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eastAsia" w:ascii="Times New Roman" w:hAnsi="Times New Roman" w:cs="Times New Roman"/>
          <w:b/>
          <w:bCs/>
          <w:sz w:val="48"/>
          <w:szCs w:val="48"/>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eastAsia" w:ascii="Times New Roman" w:hAnsi="Times New Roman" w:cs="Times New Roman"/>
          <w:b/>
          <w:bCs/>
          <w:sz w:val="48"/>
          <w:szCs w:val="48"/>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eastAsia" w:ascii="Times New Roman" w:hAnsi="Times New Roman" w:cs="Times New Roman"/>
          <w:b/>
          <w:bCs/>
          <w:sz w:val="48"/>
          <w:szCs w:val="48"/>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eastAsia" w:ascii="Times New Roman" w:hAnsi="Times New Roman" w:cs="Times New Roman"/>
          <w:b/>
          <w:bCs/>
          <w:sz w:val="48"/>
          <w:szCs w:val="48"/>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eastAsia" w:ascii="Times New Roman" w:hAnsi="Times New Roman" w:cs="Times New Roman"/>
          <w:b/>
          <w:bCs/>
          <w:sz w:val="48"/>
          <w:szCs w:val="48"/>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eastAsia" w:ascii="Times New Roman" w:hAnsi="Times New Roman" w:cs="Times New Roman"/>
          <w:b/>
          <w:bCs/>
          <w:sz w:val="48"/>
          <w:szCs w:val="48"/>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eastAsia" w:ascii="Times New Roman" w:hAnsi="Times New Roman" w:cs="Times New Roman"/>
          <w:b/>
          <w:bCs/>
          <w:sz w:val="48"/>
          <w:szCs w:val="48"/>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default" w:ascii="Times New Roman" w:hAnsi="Times New Roman" w:cs="Times New Roman"/>
          <w:b/>
          <w:bCs/>
          <w:sz w:val="48"/>
          <w:szCs w:val="48"/>
          <w:lang w:val="en-US" w:eastAsia="zh-CN"/>
        </w:rPr>
      </w:pPr>
      <w:r>
        <w:rPr>
          <w:rFonts w:hint="eastAsia" w:ascii="Times New Roman" w:hAnsi="Times New Roman" w:cs="Times New Roman"/>
          <w:b/>
          <w:bCs/>
          <w:sz w:val="48"/>
          <w:szCs w:val="48"/>
          <w:lang w:val="en-US" w:eastAsia="zh-CN"/>
        </w:rPr>
        <w:t>Analyses and practical inventory management solutions for Toon Air</w:t>
      </w: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default" w:ascii="Times New Roman" w:hAnsi="Times New Roman" w:cs="Times New Roman"/>
          <w:b/>
          <w:bCs/>
          <w:sz w:val="48"/>
          <w:szCs w:val="48"/>
          <w:lang w:val="en-US" w:eastAsia="zh-CN"/>
        </w:rPr>
      </w:pP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eastAsia" w:ascii="Times New Roman" w:hAnsi="Times New Roman" w:cs="Times New Roman"/>
          <w:b/>
          <w:bCs/>
          <w:sz w:val="48"/>
          <w:szCs w:val="48"/>
          <w:lang w:val="en-US" w:eastAsia="zh-CN"/>
        </w:rPr>
      </w:pPr>
      <w:r>
        <w:rPr>
          <w:rFonts w:hint="eastAsia" w:ascii="Times New Roman" w:hAnsi="Times New Roman" w:cs="Times New Roman"/>
          <w:b/>
          <w:bCs/>
          <w:sz w:val="48"/>
          <w:szCs w:val="48"/>
          <w:lang w:val="en-US" w:eastAsia="zh-CN"/>
        </w:rPr>
        <w:t xml:space="preserve">Name: Xun Cheng </w:t>
      </w: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eastAsia" w:ascii="Times New Roman" w:hAnsi="Times New Roman" w:cs="Times New Roman"/>
          <w:b/>
          <w:bCs/>
          <w:sz w:val="48"/>
          <w:szCs w:val="48"/>
          <w:lang w:val="en-US" w:eastAsia="zh-CN"/>
        </w:rPr>
        <w:sectPr>
          <w:footerReference r:id="rId3" w:type="default"/>
          <w:pgSz w:w="11906" w:h="16838"/>
          <w:pgMar w:top="1440" w:right="1800" w:bottom="1440" w:left="1800" w:header="851" w:footer="992" w:gutter="0"/>
          <w:cols w:space="425" w:num="1"/>
          <w:docGrid w:type="lines" w:linePitch="312" w:charSpace="0"/>
        </w:sectPr>
      </w:pPr>
      <w:r>
        <w:rPr>
          <w:rFonts w:hint="eastAsia" w:ascii="Times New Roman" w:hAnsi="Times New Roman" w:cs="Times New Roman"/>
          <w:b/>
          <w:bCs/>
          <w:sz w:val="48"/>
          <w:szCs w:val="48"/>
          <w:lang w:val="en-US" w:eastAsia="zh-CN"/>
        </w:rPr>
        <w:t>ID Number: 2206582</w:t>
      </w:r>
    </w:p>
    <w:sdt>
      <w:sdtPr>
        <w:rPr>
          <w:rFonts w:ascii="宋体" w:hAnsi="宋体" w:eastAsia="宋体" w:cstheme="minorBidi"/>
          <w:kern w:val="2"/>
          <w:sz w:val="21"/>
          <w:szCs w:val="24"/>
          <w:lang w:val="en-US" w:eastAsia="zh-CN" w:bidi="ar-SA"/>
        </w:rPr>
        <w:id w:val="147474792"/>
        <w15:color w:val="DBDBDB"/>
        <w:docPartObj>
          <w:docPartGallery w:val="Table of Contents"/>
          <w:docPartUnique/>
        </w:docPartObj>
      </w:sdtPr>
      <w:sdtEndPr>
        <w:rPr>
          <w:rFonts w:hint="default" w:ascii="Times New Roman" w:hAnsi="Times New Roman" w:cs="Times New Roman" w:eastAsiaTheme="minorEastAsia"/>
          <w:bCs/>
          <w:kern w:val="2"/>
          <w:sz w:val="21"/>
          <w:szCs w:val="48"/>
          <w:lang w:val="en-US" w:eastAsia="zh-CN" w:bidi="ar-SA"/>
        </w:rPr>
      </w:sdtEndPr>
      <w:sdtContent>
        <w:p>
          <w:pPr>
            <w:spacing w:before="0" w:beforeLines="0" w:after="0" w:afterLines="0" w:line="240" w:lineRule="auto"/>
            <w:ind w:left="0" w:leftChars="0" w:right="0" w:rightChars="0" w:firstLine="0" w:firstLineChars="0"/>
            <w:jc w:val="center"/>
          </w:pPr>
          <w:bookmarkStart w:id="0" w:name="_Toc3678"/>
          <w:bookmarkStart w:id="14" w:name="_GoBack"/>
          <w:bookmarkEnd w:id="14"/>
          <w:r>
            <w:rPr>
              <w:rFonts w:hint="default" w:ascii="Times New Roman" w:hAnsi="Times New Roman" w:cs="Times New Roman"/>
              <w:b/>
              <w:bCs/>
              <w:sz w:val="28"/>
              <w:szCs w:val="28"/>
              <w:lang w:val="en-US"/>
            </w:rPr>
            <w:t>Contents</w:t>
          </w:r>
          <w:bookmarkEnd w:id="0"/>
        </w:p>
        <w:p>
          <w:pPr>
            <w:pStyle w:val="6"/>
            <w:tabs>
              <w:tab w:val="right" w:leader="dot" w:pos="8306"/>
            </w:tabs>
            <w:rPr>
              <w:sz w:val="28"/>
              <w:szCs w:val="28"/>
            </w:rPr>
          </w:pPr>
          <w:r>
            <w:rPr>
              <w:rFonts w:hint="default" w:ascii="Times New Roman" w:hAnsi="Times New Roman" w:cs="Times New Roman"/>
              <w:b/>
              <w:bCs/>
              <w:sz w:val="48"/>
              <w:szCs w:val="48"/>
              <w:lang w:val="en-US" w:eastAsia="zh-CN"/>
            </w:rPr>
            <w:fldChar w:fldCharType="begin"/>
          </w:r>
          <w:r>
            <w:rPr>
              <w:rFonts w:hint="default" w:ascii="Times New Roman" w:hAnsi="Times New Roman" w:cs="Times New Roman"/>
              <w:b/>
              <w:bCs/>
              <w:sz w:val="48"/>
              <w:szCs w:val="48"/>
              <w:lang w:val="en-US" w:eastAsia="zh-CN"/>
            </w:rPr>
            <w:instrText xml:space="preserve">TOC \o "1-1" \h \u </w:instrText>
          </w:r>
          <w:r>
            <w:rPr>
              <w:rFonts w:hint="default" w:ascii="Times New Roman" w:hAnsi="Times New Roman" w:cs="Times New Roman"/>
              <w:b/>
              <w:bCs/>
              <w:sz w:val="48"/>
              <w:szCs w:val="48"/>
              <w:lang w:val="en-US" w:eastAsia="zh-CN"/>
            </w:rPr>
            <w:fldChar w:fldCharType="separate"/>
          </w: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_Toc2870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bCs/>
              <w:i w:val="0"/>
              <w:iCs w:val="0"/>
              <w:sz w:val="28"/>
              <w:szCs w:val="28"/>
              <w:lang w:val="en-US" w:eastAsia="zh-CN"/>
            </w:rPr>
            <w:t>Introduction</w:t>
          </w:r>
          <w:r>
            <w:rPr>
              <w:sz w:val="28"/>
              <w:szCs w:val="28"/>
            </w:rPr>
            <w:tab/>
          </w:r>
          <w:r>
            <w:rPr>
              <w:sz w:val="28"/>
              <w:szCs w:val="28"/>
            </w:rPr>
            <w:fldChar w:fldCharType="begin"/>
          </w:r>
          <w:r>
            <w:rPr>
              <w:sz w:val="28"/>
              <w:szCs w:val="28"/>
            </w:rPr>
            <w:instrText xml:space="preserve"> PAGEREF _Toc2870 \h </w:instrText>
          </w:r>
          <w:r>
            <w:rPr>
              <w:sz w:val="28"/>
              <w:szCs w:val="28"/>
            </w:rPr>
            <w:fldChar w:fldCharType="separate"/>
          </w:r>
          <w:r>
            <w:rPr>
              <w:sz w:val="28"/>
              <w:szCs w:val="28"/>
            </w:rPr>
            <w:t>1</w:t>
          </w:r>
          <w:r>
            <w:rPr>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_Toc4237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bCs/>
              <w:i w:val="0"/>
              <w:iCs w:val="0"/>
              <w:sz w:val="28"/>
              <w:szCs w:val="28"/>
              <w:lang w:val="en-US"/>
            </w:rPr>
            <w:t>Question 1</w:t>
          </w:r>
          <w:r>
            <w:rPr>
              <w:sz w:val="28"/>
              <w:szCs w:val="28"/>
            </w:rPr>
            <w:tab/>
          </w:r>
          <w:r>
            <w:rPr>
              <w:sz w:val="28"/>
              <w:szCs w:val="28"/>
            </w:rPr>
            <w:fldChar w:fldCharType="begin"/>
          </w:r>
          <w:r>
            <w:rPr>
              <w:sz w:val="28"/>
              <w:szCs w:val="28"/>
            </w:rPr>
            <w:instrText xml:space="preserve"> PAGEREF _Toc4237 \h </w:instrText>
          </w:r>
          <w:r>
            <w:rPr>
              <w:sz w:val="28"/>
              <w:szCs w:val="28"/>
            </w:rPr>
            <w:fldChar w:fldCharType="separate"/>
          </w:r>
          <w:r>
            <w:rPr>
              <w:sz w:val="28"/>
              <w:szCs w:val="28"/>
            </w:rPr>
            <w:t>3</w:t>
          </w:r>
          <w:r>
            <w:rPr>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_Toc1017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bCs/>
              <w:i w:val="0"/>
              <w:iCs w:val="0"/>
              <w:sz w:val="28"/>
              <w:szCs w:val="28"/>
              <w:lang w:val="en-US"/>
            </w:rPr>
            <w:t xml:space="preserve">Question </w:t>
          </w:r>
          <w:r>
            <w:rPr>
              <w:rFonts w:hint="eastAsia" w:ascii="Times New Roman" w:hAnsi="Times New Roman" w:cs="Times New Roman"/>
              <w:bCs/>
              <w:i w:val="0"/>
              <w:iCs w:val="0"/>
              <w:sz w:val="28"/>
              <w:szCs w:val="28"/>
              <w:lang w:val="en-US" w:eastAsia="zh-CN"/>
            </w:rPr>
            <w:t>2</w:t>
          </w:r>
          <w:r>
            <w:rPr>
              <w:sz w:val="28"/>
              <w:szCs w:val="28"/>
            </w:rPr>
            <w:tab/>
          </w:r>
          <w:r>
            <w:rPr>
              <w:sz w:val="28"/>
              <w:szCs w:val="28"/>
            </w:rPr>
            <w:fldChar w:fldCharType="begin"/>
          </w:r>
          <w:r>
            <w:rPr>
              <w:sz w:val="28"/>
              <w:szCs w:val="28"/>
            </w:rPr>
            <w:instrText xml:space="preserve"> PAGEREF _Toc1017 \h </w:instrText>
          </w:r>
          <w:r>
            <w:rPr>
              <w:sz w:val="28"/>
              <w:szCs w:val="28"/>
            </w:rPr>
            <w:fldChar w:fldCharType="separate"/>
          </w:r>
          <w:r>
            <w:rPr>
              <w:sz w:val="28"/>
              <w:szCs w:val="28"/>
            </w:rPr>
            <w:t>7</w:t>
          </w:r>
          <w:r>
            <w:rPr>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_Toc21774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bCs/>
              <w:i w:val="0"/>
              <w:iCs w:val="0"/>
              <w:sz w:val="28"/>
              <w:szCs w:val="28"/>
              <w:lang w:val="en-US" w:eastAsia="zh-CN"/>
            </w:rPr>
            <w:t>Question 3</w:t>
          </w:r>
          <w:r>
            <w:rPr>
              <w:sz w:val="28"/>
              <w:szCs w:val="28"/>
            </w:rPr>
            <w:tab/>
          </w:r>
          <w:r>
            <w:rPr>
              <w:sz w:val="28"/>
              <w:szCs w:val="28"/>
            </w:rPr>
            <w:fldChar w:fldCharType="begin"/>
          </w:r>
          <w:r>
            <w:rPr>
              <w:sz w:val="28"/>
              <w:szCs w:val="28"/>
            </w:rPr>
            <w:instrText xml:space="preserve"> PAGEREF _Toc21774 \h </w:instrText>
          </w:r>
          <w:r>
            <w:rPr>
              <w:sz w:val="28"/>
              <w:szCs w:val="28"/>
            </w:rPr>
            <w:fldChar w:fldCharType="separate"/>
          </w:r>
          <w:r>
            <w:rPr>
              <w:sz w:val="28"/>
              <w:szCs w:val="28"/>
            </w:rPr>
            <w:t>10</w:t>
          </w:r>
          <w:r>
            <w:rPr>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_Toc32431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bCs/>
              <w:i w:val="0"/>
              <w:iCs w:val="0"/>
              <w:sz w:val="28"/>
              <w:szCs w:val="28"/>
              <w:lang w:val="en-US" w:eastAsia="zh-CN"/>
            </w:rPr>
            <w:t>Recommendations</w:t>
          </w:r>
          <w:r>
            <w:rPr>
              <w:sz w:val="28"/>
              <w:szCs w:val="28"/>
            </w:rPr>
            <w:tab/>
          </w:r>
          <w:r>
            <w:rPr>
              <w:sz w:val="28"/>
              <w:szCs w:val="28"/>
            </w:rPr>
            <w:fldChar w:fldCharType="begin"/>
          </w:r>
          <w:r>
            <w:rPr>
              <w:sz w:val="28"/>
              <w:szCs w:val="28"/>
            </w:rPr>
            <w:instrText xml:space="preserve"> PAGEREF _Toc32431 \h </w:instrText>
          </w:r>
          <w:r>
            <w:rPr>
              <w:sz w:val="28"/>
              <w:szCs w:val="28"/>
            </w:rPr>
            <w:fldChar w:fldCharType="separate"/>
          </w:r>
          <w:r>
            <w:rPr>
              <w:sz w:val="28"/>
              <w:szCs w:val="28"/>
            </w:rPr>
            <w:t>13</w:t>
          </w:r>
          <w:r>
            <w:rPr>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rPr>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_Toc3679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bCs/>
              <w:sz w:val="28"/>
              <w:szCs w:val="28"/>
              <w:lang w:val="en-US"/>
            </w:rPr>
            <w:t>Summary</w:t>
          </w:r>
          <w:r>
            <w:rPr>
              <w:sz w:val="28"/>
              <w:szCs w:val="28"/>
            </w:rPr>
            <w:tab/>
          </w:r>
          <w:r>
            <w:rPr>
              <w:sz w:val="28"/>
              <w:szCs w:val="28"/>
            </w:rPr>
            <w:fldChar w:fldCharType="begin"/>
          </w:r>
          <w:r>
            <w:rPr>
              <w:sz w:val="28"/>
              <w:szCs w:val="28"/>
            </w:rPr>
            <w:instrText xml:space="preserve"> PAGEREF _Toc3679 \h </w:instrText>
          </w:r>
          <w:r>
            <w:rPr>
              <w:sz w:val="28"/>
              <w:szCs w:val="28"/>
            </w:rPr>
            <w:fldChar w:fldCharType="separate"/>
          </w:r>
          <w:r>
            <w:rPr>
              <w:sz w:val="28"/>
              <w:szCs w:val="28"/>
            </w:rPr>
            <w:t>14</w:t>
          </w:r>
          <w:r>
            <w:rPr>
              <w:sz w:val="28"/>
              <w:szCs w:val="28"/>
            </w:rPr>
            <w:fldChar w:fldCharType="end"/>
          </w:r>
          <w:r>
            <w:rPr>
              <w:rFonts w:hint="default" w:ascii="Times New Roman" w:hAnsi="Times New Roman" w:cs="Times New Roman"/>
              <w:bCs/>
              <w:sz w:val="28"/>
              <w:szCs w:val="28"/>
              <w:lang w:val="en-US" w:eastAsia="zh-CN"/>
            </w:rPr>
            <w:fldChar w:fldCharType="end"/>
          </w:r>
        </w:p>
        <w:p>
          <w:pPr>
            <w:pStyle w:val="6"/>
            <w:tabs>
              <w:tab w:val="right" w:leader="dot" w:pos="8306"/>
            </w:tabs>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_Toc20486 </w:instrText>
          </w:r>
          <w:r>
            <w:rPr>
              <w:rFonts w:hint="default" w:ascii="Times New Roman" w:hAnsi="Times New Roman" w:cs="Times New Roman"/>
              <w:bCs/>
              <w:sz w:val="28"/>
              <w:szCs w:val="28"/>
              <w:lang w:val="en-US" w:eastAsia="zh-CN"/>
            </w:rPr>
            <w:fldChar w:fldCharType="separate"/>
          </w:r>
          <w:r>
            <w:rPr>
              <w:rFonts w:hint="eastAsia" w:ascii="Times New Roman" w:hAnsi="Times New Roman" w:cs="Times New Roman"/>
              <w:bCs/>
              <w:i w:val="0"/>
              <w:iCs w:val="0"/>
              <w:sz w:val="28"/>
              <w:szCs w:val="28"/>
              <w:lang w:val="en-US" w:eastAsia="zh-CN"/>
            </w:rPr>
            <w:t>References</w:t>
          </w:r>
          <w:r>
            <w:rPr>
              <w:sz w:val="28"/>
              <w:szCs w:val="28"/>
            </w:rPr>
            <w:tab/>
          </w:r>
          <w:r>
            <w:rPr>
              <w:sz w:val="28"/>
              <w:szCs w:val="28"/>
            </w:rPr>
            <w:fldChar w:fldCharType="begin"/>
          </w:r>
          <w:r>
            <w:rPr>
              <w:sz w:val="28"/>
              <w:szCs w:val="28"/>
            </w:rPr>
            <w:instrText xml:space="preserve"> PAGEREF _Toc20486 \h </w:instrText>
          </w:r>
          <w:r>
            <w:rPr>
              <w:sz w:val="28"/>
              <w:szCs w:val="28"/>
            </w:rPr>
            <w:fldChar w:fldCharType="separate"/>
          </w:r>
          <w:r>
            <w:rPr>
              <w:sz w:val="28"/>
              <w:szCs w:val="28"/>
            </w:rPr>
            <w:t>15</w:t>
          </w:r>
          <w:r>
            <w:rPr>
              <w:sz w:val="28"/>
              <w:szCs w:val="28"/>
            </w:rPr>
            <w:fldChar w:fldCharType="end"/>
          </w:r>
          <w:r>
            <w:rPr>
              <w:rFonts w:hint="default" w:ascii="Times New Roman" w:hAnsi="Times New Roman" w:cs="Times New Roman"/>
              <w:bCs/>
              <w:sz w:val="28"/>
              <w:szCs w:val="28"/>
              <w:lang w:val="en-US" w:eastAsia="zh-CN"/>
            </w:rPr>
            <w:fldChar w:fldCharType="end"/>
          </w:r>
        </w:p>
        <w:p>
          <w:pPr>
            <w:keepNext w:val="0"/>
            <w:keepLines w:val="0"/>
            <w:pageBreakBefore w:val="0"/>
            <w:widowControl w:val="0"/>
            <w:kinsoku/>
            <w:wordWrap/>
            <w:overflowPunct/>
            <w:topLinePunct w:val="0"/>
            <w:autoSpaceDE/>
            <w:autoSpaceDN/>
            <w:bidi w:val="0"/>
            <w:adjustRightInd/>
            <w:snapToGrid/>
            <w:jc w:val="center"/>
            <w:textAlignment w:val="auto"/>
            <w:outlineLvl w:val="9"/>
            <w:rPr>
              <w:rFonts w:hint="default" w:ascii="Times New Roman" w:hAnsi="Times New Roman" w:cs="Times New Roman"/>
              <w:b/>
              <w:bCs/>
              <w:sz w:val="48"/>
              <w:szCs w:val="48"/>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Cs/>
              <w:szCs w:val="48"/>
              <w:lang w:val="en-US" w:eastAsia="zh-CN"/>
            </w:rPr>
            <w:fldChar w:fldCharType="end"/>
          </w:r>
        </w:p>
      </w:sdtContent>
    </w:sdt>
    <w:p>
      <w:pPr>
        <w:keepNext w:val="0"/>
        <w:keepLines w:val="0"/>
        <w:pageBreakBefore w:val="0"/>
        <w:widowControl w:val="0"/>
        <w:kinsoku/>
        <w:wordWrap/>
        <w:overflowPunct/>
        <w:topLinePunct w:val="0"/>
        <w:autoSpaceDE/>
        <w:autoSpaceDN/>
        <w:bidi w:val="0"/>
        <w:adjustRightInd/>
        <w:snapToGrid/>
        <w:jc w:val="both"/>
        <w:textAlignment w:val="auto"/>
        <w:outlineLvl w:val="0"/>
        <w:rPr>
          <w:rFonts w:hint="default" w:ascii="Times New Roman" w:hAnsi="Times New Roman" w:cs="Times New Roman"/>
          <w:b/>
          <w:bCs/>
          <w:i w:val="0"/>
          <w:iCs w:val="0"/>
          <w:sz w:val="28"/>
          <w:szCs w:val="36"/>
          <w:lang w:val="en-US" w:eastAsia="zh-CN"/>
        </w:rPr>
      </w:pPr>
      <w:bookmarkStart w:id="1" w:name="_Toc3020"/>
      <w:bookmarkStart w:id="2" w:name="_Toc2870"/>
      <w:r>
        <w:rPr>
          <w:rFonts w:hint="default" w:ascii="Times New Roman" w:hAnsi="Times New Roman" w:cs="Times New Roman"/>
          <w:b/>
          <w:bCs/>
          <w:i w:val="0"/>
          <w:iCs w:val="0"/>
          <w:sz w:val="28"/>
          <w:szCs w:val="36"/>
          <w:lang w:val="en-US" w:eastAsia="zh-CN"/>
        </w:rPr>
        <w:t>1 Introduction</w:t>
      </w:r>
      <w:bookmarkEnd w:id="1"/>
      <w:bookmarkEnd w:id="2"/>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As globalisation accelerates and economic and trade relations between nations expand, civil aviation plays a significant part in this process. Throughout the past four decades, the global market for civil aviation has consistently expanded. Ten to twenty percent of the total cost of operating an airline is allocated to aircraft maintenance, with the remaining fifty percent allocated to aviation supplies. Controlling and optimising material costs has become a crucial accomplishment for airlines seeking to increase economic efficiency and optimise their cost structure. Material costs are the key part of controllable costs with the highest compression potential and the most intricate value management.</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Toon Air, one of the smallest airlines in the United Kingdom, has achieved remarkable success in its market segment. However, in recent years, new competitors with extremely low pricing have joined the market, which has had a significant influence on Toon Air. In order to compete in the industry, the corporation has had to develop ways to enhance its operations, reduce expenses, and increase efficiency.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Many problems were discovered with the management of the inventory. First, all replacement parts are located distant from airports, and it takes a long time to deliver them to the appropriate airports, which makes it difficult to properly utilise aircraft and can reduce their utilisation. Second, there is a high level of investment in inventory, but because the aviation industry is developing rapidly and new designs and changes are being implemented, older parts are becoming obsolete. However, the purchasing department does not classify them, so older and newer parts are purchased together, which can result in a significant amount of waste. Because components are typically shipped in kit rows, each programme consists of a defined amount of components. Because supplier shipping timeframes are regularly revised, reordering a component can result in crucial components running out of stock, which can lead to considerable financial losses. Fourth, and this is a major risk, engineers frequently invent excuses to place orders directly with suppliers. Lastly, the absence of terms and conditions that would indicate whether a product is of high or low value considerably reduces the efficacy of many items.</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sectPr>
          <w:footerReference r:id="rId4"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b w:val="0"/>
          <w:bCs w:val="0"/>
          <w:i w:val="0"/>
          <w:iCs w:val="0"/>
          <w:sz w:val="24"/>
          <w:szCs w:val="24"/>
          <w:lang w:val="en-US" w:eastAsia="zh-CN"/>
        </w:rPr>
        <w:t>This essay will begin with the inventory management challenges at Toon Air, address the three concerns highlighted, and consider practical remedies to help Toon Air maintain market competitiveness.</w:t>
      </w:r>
    </w:p>
    <w:p>
      <w:pPr>
        <w:keepNext w:val="0"/>
        <w:keepLines w:val="0"/>
        <w:pageBreakBefore w:val="0"/>
        <w:widowControl w:val="0"/>
        <w:kinsoku/>
        <w:wordWrap/>
        <w:overflowPunct/>
        <w:topLinePunct w:val="0"/>
        <w:autoSpaceDE/>
        <w:autoSpaceDN/>
        <w:bidi w:val="0"/>
        <w:adjustRightInd/>
        <w:snapToGrid/>
        <w:textAlignment w:val="auto"/>
        <w:outlineLvl w:val="0"/>
        <w:rPr>
          <w:rFonts w:hint="default" w:ascii="Times New Roman" w:hAnsi="Times New Roman" w:cs="Times New Roman"/>
          <w:b/>
          <w:bCs/>
          <w:i w:val="0"/>
          <w:iCs w:val="0"/>
          <w:sz w:val="28"/>
          <w:szCs w:val="36"/>
          <w:lang w:val="en-US"/>
        </w:rPr>
      </w:pPr>
      <w:bookmarkStart w:id="3" w:name="_Toc17372"/>
      <w:bookmarkStart w:id="4" w:name="_Toc4237"/>
      <w:r>
        <w:rPr>
          <w:rFonts w:hint="eastAsia" w:ascii="Times New Roman" w:hAnsi="Times New Roman" w:cs="Times New Roman"/>
          <w:b/>
          <w:bCs/>
          <w:i w:val="0"/>
          <w:iCs w:val="0"/>
          <w:sz w:val="28"/>
          <w:szCs w:val="36"/>
          <w:lang w:val="en-US" w:eastAsia="zh-CN"/>
        </w:rPr>
        <w:t>2</w:t>
      </w:r>
      <w:r>
        <w:rPr>
          <w:rFonts w:hint="default" w:ascii="Times New Roman" w:hAnsi="Times New Roman" w:cs="Times New Roman"/>
          <w:b/>
          <w:bCs/>
          <w:i w:val="0"/>
          <w:iCs w:val="0"/>
          <w:sz w:val="28"/>
          <w:szCs w:val="36"/>
          <w:lang w:val="en-US"/>
        </w:rPr>
        <w:t xml:space="preserve"> Question 1</w:t>
      </w:r>
      <w:bookmarkEnd w:id="3"/>
      <w:bookmarkEnd w:id="4"/>
      <w:r>
        <w:rPr>
          <w:rFonts w:hint="default" w:ascii="Times New Roman" w:hAnsi="Times New Roman" w:cs="Times New Roman"/>
          <w:b/>
          <w:bCs/>
          <w:i w:val="0"/>
          <w:iCs w:val="0"/>
          <w:sz w:val="28"/>
          <w:szCs w:val="36"/>
          <w:lang w:val="en-US"/>
        </w:rPr>
        <w:t xml:space="preserve"> </w:t>
      </w:r>
    </w:p>
    <w:p>
      <w:pPr>
        <w:keepNext w:val="0"/>
        <w:keepLines w:val="0"/>
        <w:pageBreakBefore w:val="0"/>
        <w:widowControl w:val="0"/>
        <w:kinsoku/>
        <w:wordWrap/>
        <w:overflowPunct/>
        <w:topLinePunct w:val="0"/>
        <w:autoSpaceDE/>
        <w:autoSpaceDN/>
        <w:bidi w:val="0"/>
        <w:adjustRightInd/>
        <w:snapToGrid/>
        <w:textAlignment w:val="auto"/>
        <w:outlineLvl w:val="9"/>
        <w:rPr>
          <w:rFonts w:hint="default" w:ascii="Times New Roman" w:hAnsi="Times New Roman" w:cs="Times New Roman"/>
          <w:b/>
          <w:bCs/>
          <w:i w:val="0"/>
          <w:iCs w:val="0"/>
          <w:sz w:val="28"/>
          <w:szCs w:val="36"/>
        </w:rPr>
      </w:pPr>
      <w:r>
        <w:rPr>
          <w:rFonts w:hint="default" w:ascii="Times New Roman" w:hAnsi="Times New Roman" w:cs="Times New Roman"/>
          <w:b/>
          <w:bCs/>
          <w:i w:val="0"/>
          <w:iCs w:val="0"/>
          <w:sz w:val="28"/>
          <w:szCs w:val="36"/>
        </w:rPr>
        <w:t>Critically evaluate how the supply of spares to the end users can be improved?</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outlineLvl w:val="9"/>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Reserve stock is a resource that is held temporarily to meet the needs of our customers in the future. Inventory, on the other hand, is a valuable resource. When we have too much inventory, we have trouble with cash flow, which hurts corporate earnings. When we have too little inventory, we are more likely to run out of supplies when customer demand goes up, which causes out-of-stock expenses to go up. Inventory not only prevents shortages, but also eases the tension between supply and demand, so that consumer needs are met. How can we weigh the pros and cons, make sure they work well together, and lower the cost of inventory in the end? This is important for a business to stay in business and grow. Because of this, Toon Air needs to improve its inventory management in a big way.</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outlineLvl w:val="9"/>
        <w:rPr>
          <w:rFonts w:hint="default" w:ascii="Times New Roman" w:hAnsi="Times New Roman" w:cs="Times New Roman"/>
          <w:b w:val="0"/>
          <w:bCs w:val="0"/>
          <w:i w:val="0"/>
          <w:iCs w:val="0"/>
          <w:sz w:val="24"/>
          <w:szCs w:val="24"/>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rPr>
        <w:t>2.1 ABC</w:t>
      </w:r>
      <w:r>
        <w:rPr>
          <w:rFonts w:hint="eastAsia" w:ascii="Times New Roman" w:hAnsi="Times New Roman" w:cs="Times New Roman"/>
          <w:sz w:val="24"/>
          <w:szCs w:val="24"/>
          <w:lang w:val="en-US" w:eastAsia="zh-CN"/>
        </w:rPr>
        <w:t xml:space="preserve"> Classification</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Toon Air must classify and manage its inventory of spare parts in order to achieve the inventory's management objectives. The ABC classification system was created by the Italian economist Vilfredo Pareto[1] and was the first and most widely used in the field of categorising and managing spare components. American management scientist H. F. Dickie later used it to regulate inventory[2]. The Pareto classification, often known as the ABC classification, is commonly utilised in the inventory management of aerospace materials[3].</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ABC classification is a method for categorising reserve materials into priority and non-priority categories based on particular criteria, often involving the type of material and the cost of capital. When handling the material, the staff will classify it depending on its kind, amount, and capital cost. Pareto's criterion for categorization are as follows:</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Category A materials are low-quantity, high-capital-cost aerial resources (about 10 percent of the total amount of aerial materials in reserve) that must be managed as a priority. They account for 70% of the reserve's total amount of aerial materials.</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Category B materials have a high capital cost, accounting for 20% of the reserve's total amount, but a low quantity, accounting for the remaining 80% of the reserve's total quantity, which can generally be regulated.</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Category C materials have a small capital cost, accounting for 10% of the reserve's total amount, but a massive quantity, comprising 70% of the reserve's whole value. Despite this, the size of the reserve is manageable.</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ABC classification management system can also be used to ensure the guarantee rate while reducing the amount of capital retained in inventory, hence facilitating rapid cash flow and boosting the company's economic efficiency.</w:t>
      </w:r>
    </w:p>
    <w:p>
      <w:pPr>
        <w:keepNext w:val="0"/>
        <w:keepLines w:val="0"/>
        <w:pageBreakBefore w:val="0"/>
        <w:widowControl w:val="0"/>
        <w:tabs>
          <w:tab w:val="left" w:pos="279"/>
        </w:tabs>
        <w:kinsoku/>
        <w:wordWrap/>
        <w:overflowPunct/>
        <w:topLinePunct w:val="0"/>
        <w:autoSpaceDE/>
        <w:autoSpaceDN/>
        <w:bidi w:val="0"/>
        <w:adjustRightInd/>
        <w:snapToGrid/>
        <w:jc w:val="left"/>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2.2 Forecast of spare parts inventory requirements</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Hu et al. [4], spare parts inventory management is a unique situation requiring specialised inventory management skills due to the wide variety of spare parts, the high risk of obsolescence, the close relationship between spare parts consumption and maintenance requirements, and the randomness of demand. Conceico et al. [5] argue that, due to their lengthy procurement lead times and high out-of-stock costs, certain important spare parts must be stored intelligently, and that effective spare parts inventory management reduces downtime and production losses.</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Due to the significance of spare parts to equipment maintenance, the inventory plan for spare parts has been incorporated into the strategy for equipment maintenance.</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 are three major maintenance modalities for corporate equipment: after-the-fact maintenance, planned maintenance, and predictive maintenance. Each maintenance mode has a distinct requirement for spare parts inventory strategy, necessitating a distinct requirement for spare parts inventory management.</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Predictive and scheduled maintenance are more suitable for Toon Air. Planned maintenance is based on the previous failure records of the equipment and the distribution function that the probability of equipment failure obeys in order to estimate the demand for spare parts. Also considered are the cost of downtime and the cost of inventory replacement parts. By monitoring the equipment's condition, predictive maintenance anticipates equipment failure. The time point of spare parts demand can be predicted based on monitoring data because, in the case of predictive maintenance, when the equipment status is abnormal, spare parts must be supplied quickly, whereas when the equipment is operating normally, only a small quantity of spare parts must be stocked to prevent unforeseen situations.</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2.3 Talent development and improvement of the guarantee system</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Possessing a staff of highly qualified professionals is essential for ensuring the business's seamless operation. The standard of employees involved in the management of aircraft materials has risen as a result of continually updated and merged theories and system tools for aviation material management. In addition to regular employee training, the overall quality of the aviation material management team can be improved by rotation and the recruitment of experienced individuals. In order to maintain the overall learning environment of the aviation material management team, the organisation conducts business training and skills competitions on a monthly basis. Establish internal evaluation standards for important talents and establish a fund to provide the proper assistance and acknowledgment for these skills[6].</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Toon Air to remain competitive, the organization's systems, work procedures, and work processes must be designed from a different vantage point. On the assumption of stable supply and secure production, cost savings should also be one of the most important elements to consider concurrently. As a result, every employee will recognise the importance of cost control.</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2.4 Decentralize the storage of spares</w:t>
      </w: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Consider constructing regional storage facilities near the major destination airports as an alternative to storing all spare components centrally. This will reduce the time required to transport components to other airports and maximise the usage of available aircraft. Distribute the inventory of spare parts across multiple locations to reduce costs and transit times. Instead of storing all spare parts in a single location, Toon Air will construct regional spare parts warehouses in close proximity to the principal destination airport. According to Rizaldy et al. [7], locating warehouses near airports might reduce the cost of long-distance transportation, especially for urgently needed items. Because inventory can be stored in multiple locations, distributed storage reduces the risk of stock depletion.</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2.5 Integrate purchasing and engineering departments</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Integration of the procurement and engineering departments is necessary for the organisation to boost operational efficiency, reduce waste, and reduce expenses. Creating an interdepartmental communication platform, such as regular meetings, shared workspaces, and online collaboration tools, enables the procurement and engineering teams to readily share information, coordinate their work, and address difficulties. For significant projects and procurement choices, form joint project teams comprised of personnel from the engineering and purchasing departments. This ensures that all parties participate cooperatively throughout the whole procurement process, thereby enhancing the control of efficiency and costs. The engineering and procurement divisions should receive cross-training to better understand one another's needs, challenges, and responsibilities. This promotes innovation and teamwork.</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0"/>
        <w:rPr>
          <w:rFonts w:hint="eastAsia" w:ascii="Times New Roman" w:hAnsi="Times New Roman" w:cs="Times New Roman" w:eastAsiaTheme="minorEastAsia"/>
          <w:b/>
          <w:bCs/>
          <w:i w:val="0"/>
          <w:iCs w:val="0"/>
          <w:sz w:val="28"/>
          <w:szCs w:val="36"/>
          <w:lang w:val="en-US" w:eastAsia="zh-CN"/>
        </w:rPr>
      </w:pPr>
      <w:bookmarkStart w:id="5" w:name="_Toc1017"/>
      <w:r>
        <w:rPr>
          <w:rFonts w:hint="default" w:ascii="Times New Roman" w:hAnsi="Times New Roman" w:cs="Times New Roman"/>
          <w:b/>
          <w:bCs/>
          <w:i w:val="0"/>
          <w:iCs w:val="0"/>
          <w:sz w:val="28"/>
          <w:szCs w:val="36"/>
          <w:lang w:val="en-US"/>
        </w:rPr>
        <w:t xml:space="preserve">3 Question </w:t>
      </w:r>
      <w:r>
        <w:rPr>
          <w:rFonts w:hint="eastAsia" w:ascii="Times New Roman" w:hAnsi="Times New Roman" w:cs="Times New Roman"/>
          <w:b/>
          <w:bCs/>
          <w:i w:val="0"/>
          <w:iCs w:val="0"/>
          <w:sz w:val="28"/>
          <w:szCs w:val="36"/>
          <w:lang w:val="en-US" w:eastAsia="zh-CN"/>
        </w:rPr>
        <w:t>2</w:t>
      </w:r>
      <w:bookmarkEnd w:id="5"/>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bCs/>
          <w:i w:val="0"/>
          <w:iCs w:val="0"/>
          <w:sz w:val="28"/>
          <w:szCs w:val="36"/>
        </w:rPr>
      </w:pPr>
      <w:r>
        <w:rPr>
          <w:rFonts w:hint="default" w:ascii="Times New Roman" w:hAnsi="Times New Roman" w:cs="Times New Roman"/>
          <w:b/>
          <w:bCs/>
          <w:i w:val="0"/>
          <w:iCs w:val="0"/>
          <w:sz w:val="28"/>
          <w:szCs w:val="36"/>
        </w:rPr>
        <w:t>Critically evaluate how the supply of spares to the end users can be improved?</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concept of outsourcing was first introduced in Prahalad and Hamel's[8] renowned Harvard Business Review article, The Core Competence of the Corporation: businesses should focus on managing and developing their core businesses and core resources, while contracting out non-core businesses to external businesses with specialised advantages. There are at least four benefits of outsourcing, according to Quinn and Hilmer[9]: utilising the advantages of internal core resources, focusing on the development of core capabilities, utilising the specialisation of external partners, and rapidly boosting market position.</w:t>
      </w: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Toon Air outsources, which involves employing a capable team to manage the warehouse. A company's internal resource footprint can be decreased, professionalism and efficiency can be increased, and the engineering department can outsource components supply and warehouse management. If the company intends to continue outsourcing, the following areas require special consideration:</w:t>
      </w:r>
    </w:p>
    <w:p>
      <w:pPr>
        <w:keepNext w:val="0"/>
        <w:keepLines w:val="0"/>
        <w:pageBreakBefore w:val="0"/>
        <w:widowControl w:val="0"/>
        <w:numPr>
          <w:ilvl w:val="0"/>
          <w:numId w:val="1"/>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Develop and review outsourcing implementation plans</w:t>
      </w:r>
      <w:r>
        <w:rPr>
          <w:rFonts w:hint="eastAsia" w:ascii="Times New Roman" w:hAnsi="Times New Roman" w:cs="Times New Roman"/>
          <w:b w:val="0"/>
          <w:bCs w:val="0"/>
          <w:i w:val="0"/>
          <w:iCs w:val="0"/>
          <w:sz w:val="24"/>
          <w:szCs w:val="24"/>
          <w:lang w:val="en-US" w:eastAsia="zh-CN"/>
        </w:rPr>
        <w:t>：Then, with an emphasis on management and control points, the modules that can be outsourced are classified and managed according to the relevance of each business to the core business, the level of control over outsourced companies, the maturity of the external market, and whether they have a significant impact on the production and operations of the company. When developing an outsourcing strategy, businesses should seek the assistance of external outsourcing specialists and use their advise to enhance the execution plan. Concurrently, a dependable corporate outsourcing approval procedure must be implemented. It should also stipulate that all staff must be authorised within the permissible boundaries.</w:t>
      </w:r>
    </w:p>
    <w:p>
      <w:pPr>
        <w:keepNext w:val="0"/>
        <w:keepLines w:val="0"/>
        <w:pageBreakBefore w:val="0"/>
        <w:widowControl w:val="0"/>
        <w:numPr>
          <w:ilvl w:val="0"/>
          <w:numId w:val="1"/>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Supplier selection</w:t>
      </w:r>
      <w:r>
        <w:rPr>
          <w:rFonts w:hint="eastAsia" w:ascii="Times New Roman" w:hAnsi="Times New Roman" w:cs="Times New Roman"/>
          <w:b w:val="0"/>
          <w:bCs w:val="0"/>
          <w:i w:val="0"/>
          <w:iCs w:val="0"/>
          <w:sz w:val="24"/>
          <w:szCs w:val="24"/>
          <w:lang w:val="en-US" w:eastAsia="zh-CN"/>
        </w:rPr>
        <w:t>: A solicitation notice was posted, external tenders with prospective contractors were held, and tenders for outsourced projects and related materials were released. In accordance with the business scope, a panel of experts was assembled to evaluate contractors. A competitive process had to be conducted effectively, and the entire system had to adhere to all applicable rules and regulations, preserve the principles of justice, openness, and fairness, and utilise the most effective bidding and tendering techniques. In addition to establishing a stringent system of avoidance, oversight, and sanctions to prevent bribery and fraud in the selection of contractors by related parties, we pick contractor candidates based on the diverse input of the assessment team.</w:t>
      </w:r>
    </w:p>
    <w:p>
      <w:pPr>
        <w:keepNext w:val="0"/>
        <w:keepLines w:val="0"/>
        <w:pageBreakBefore w:val="0"/>
        <w:widowControl w:val="0"/>
        <w:numPr>
          <w:ilvl w:val="0"/>
          <w:numId w:val="1"/>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Signing of business outsourcing contracts</w:t>
      </w:r>
      <w:r>
        <w:rPr>
          <w:rFonts w:hint="eastAsia" w:ascii="Times New Roman" w:hAnsi="Times New Roman" w:cs="Times New Roman"/>
          <w:b w:val="0"/>
          <w:bCs w:val="0"/>
          <w:i w:val="0"/>
          <w:iCs w:val="0"/>
          <w:sz w:val="24"/>
          <w:szCs w:val="24"/>
          <w:lang w:val="en-US" w:eastAsia="zh-CN"/>
        </w:rPr>
        <w:t>: When entering into an outsourcing agreement, it is essential to analyse and account for all relevant risk factors mentioned in the business outsourcing plan. The text of the contract specifies the scope of the services to be supplied, the type of services to be delivered by the outsourcer, the time and cost of the services, and other information, along with connections to the various services, operating processes, hours of operation, and other particulars. Regarding contractual obligations and rights, it is self-evident that the firm has the right to oversee the contractor and keep a close eye on how service methods and procedures are being continually enhanced. The contractor is responsible for communicating the status and progress of the outsourced implementation to the business. Gil et al. [10] take remedial actions in accordance with the contract's stipulated timeframe and processes. In order to rationalise the pricing of outsourcing as much as possible and strictly limit the cost of outsourcing operations while ensuring quality, the fee schedule should take internal and external factors into account. In order to accomplish the project more effectively, the appropriate terms relating breach of contract must be created with as much flexibility as possible while adhering to the underlying principles.</w:t>
      </w:r>
    </w:p>
    <w:p>
      <w:pPr>
        <w:keepNext w:val="0"/>
        <w:keepLines w:val="0"/>
        <w:pageBreakBefore w:val="0"/>
        <w:widowControl w:val="0"/>
        <w:numPr>
          <w:ilvl w:val="0"/>
          <w:numId w:val="1"/>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Organising and implementing business outsourcing</w:t>
      </w:r>
      <w:r>
        <w:rPr>
          <w:rFonts w:hint="eastAsia" w:ascii="Times New Roman" w:hAnsi="Times New Roman" w:cs="Times New Roman"/>
          <w:b w:val="0"/>
          <w:bCs w:val="0"/>
          <w:i w:val="0"/>
          <w:iCs w:val="0"/>
          <w:sz w:val="24"/>
          <w:szCs w:val="24"/>
          <w:lang w:val="en-US" w:eastAsia="zh-CN"/>
        </w:rPr>
        <w:t>: The business must deploy at least two workers to Toon Air's warehouse for on-site management. The company must adopt a dynamic approach to contractor management, closely monitor the performance capabilities of key business outsourcing contractors as they provide services, and execute daily performance reviews and annual evaluations of contractors [11]. Develop immediate monitoring mechanisms. The contractor must swiftly amend and correct any deviations from the contract's intent. If there is clear evidence that the contractor has materially breached the terms of the contract and is incapable of completing the assigned job, the contract should be terminated immediately and the relevant department should be appointed to pursue repayment from the contractor.</w:t>
      </w:r>
    </w:p>
    <w:p>
      <w:pPr>
        <w:keepNext w:val="0"/>
        <w:keepLines w:val="0"/>
        <w:pageBreakBefore w:val="0"/>
        <w:widowControl w:val="0"/>
        <w:numPr>
          <w:ilvl w:val="0"/>
          <w:numId w:val="1"/>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Data Risk Management</w:t>
      </w:r>
      <w:r>
        <w:rPr>
          <w:rFonts w:hint="eastAsia" w:ascii="Times New Roman" w:hAnsi="Times New Roman" w:cs="Times New Roman"/>
          <w:b w:val="0"/>
          <w:bCs w:val="0"/>
          <w:i w:val="0"/>
          <w:iCs w:val="0"/>
          <w:sz w:val="24"/>
          <w:szCs w:val="24"/>
          <w:lang w:val="en-US" w:eastAsia="zh-CN"/>
        </w:rPr>
        <w:t>: According to Quinn and Hillmer [12], outsourcing may involve risks such as worse quality, delivery delays, data leakage, etc. Thus, companies must develop effective risk management techniques that involve risk assessment, risk control, risk transfer, and risk monitoring. Both managing parts warehouses and providing components necessitate extensive data processing and documentation. In addition to defining the roles and responsibilities for data management, the organisation must ensure that the outsourced service provider can preserve the security and confidentiality of the company's data and abide by all applicable laws and regulations.</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sectPr>
          <w:pgSz w:w="11906" w:h="16838"/>
          <w:pgMar w:top="1440" w:right="1800" w:bottom="1440" w:left="1800" w:header="851" w:footer="992" w:gutter="0"/>
          <w:pgNumType w:fmt="decimal"/>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textAlignment w:val="auto"/>
        <w:outlineLvl w:val="0"/>
        <w:rPr>
          <w:rFonts w:hint="default" w:ascii="Times New Roman" w:hAnsi="Times New Roman" w:cs="Times New Roman"/>
          <w:b/>
          <w:bCs/>
          <w:i w:val="0"/>
          <w:iCs w:val="0"/>
          <w:sz w:val="28"/>
          <w:szCs w:val="36"/>
          <w:lang w:val="en-US" w:eastAsia="zh-CN"/>
        </w:rPr>
      </w:pPr>
      <w:bookmarkStart w:id="6" w:name="_Toc11742"/>
      <w:bookmarkStart w:id="7" w:name="_Toc21774"/>
      <w:r>
        <w:rPr>
          <w:rFonts w:hint="eastAsia" w:ascii="Times New Roman" w:hAnsi="Times New Roman" w:cs="Times New Roman"/>
          <w:b/>
          <w:bCs/>
          <w:i w:val="0"/>
          <w:iCs w:val="0"/>
          <w:sz w:val="28"/>
          <w:szCs w:val="36"/>
          <w:lang w:val="en-US" w:eastAsia="zh-CN"/>
        </w:rPr>
        <w:t xml:space="preserve">5 </w:t>
      </w:r>
      <w:r>
        <w:rPr>
          <w:rFonts w:hint="default" w:ascii="Times New Roman" w:hAnsi="Times New Roman" w:cs="Times New Roman"/>
          <w:b/>
          <w:bCs/>
          <w:i w:val="0"/>
          <w:iCs w:val="0"/>
          <w:sz w:val="28"/>
          <w:szCs w:val="36"/>
          <w:lang w:val="en-US" w:eastAsia="zh-CN"/>
        </w:rPr>
        <w:t>Question 3</w:t>
      </w:r>
      <w:bookmarkEnd w:id="6"/>
      <w:bookmarkEnd w:id="7"/>
      <w:r>
        <w:rPr>
          <w:rFonts w:hint="default" w:ascii="Times New Roman" w:hAnsi="Times New Roman" w:cs="Times New Roman"/>
          <w:b/>
          <w:bCs/>
          <w:i w:val="0"/>
          <w:iCs w:val="0"/>
          <w:sz w:val="28"/>
          <w:szCs w:val="36"/>
          <w:lang w:val="en-US" w:eastAsia="zh-CN"/>
        </w:rPr>
        <w:t xml:space="preserve"> </w:t>
      </w:r>
    </w:p>
    <w:p>
      <w:pPr>
        <w:keepNext w:val="0"/>
        <w:keepLines w:val="0"/>
        <w:pageBreakBefore w:val="0"/>
        <w:widowControl w:val="0"/>
        <w:kinsoku/>
        <w:wordWrap/>
        <w:overflowPunct/>
        <w:topLinePunct w:val="0"/>
        <w:autoSpaceDE/>
        <w:autoSpaceDN/>
        <w:bidi w:val="0"/>
        <w:adjustRightInd/>
        <w:snapToGrid/>
        <w:textAlignment w:val="auto"/>
        <w:outlineLvl w:val="9"/>
        <w:rPr>
          <w:rFonts w:hint="default" w:ascii="Times New Roman" w:hAnsi="Times New Roman" w:cs="Times New Roman" w:eastAsiaTheme="minorEastAsia"/>
          <w:b/>
          <w:bCs/>
          <w:i w:val="0"/>
          <w:iCs w:val="0"/>
          <w:sz w:val="28"/>
          <w:szCs w:val="36"/>
          <w:lang w:val="en-US" w:eastAsia="zh-CN"/>
        </w:rPr>
      </w:pPr>
      <w:r>
        <w:rPr>
          <w:rFonts w:hint="default" w:ascii="Times New Roman" w:hAnsi="Times New Roman" w:cs="Times New Roman"/>
          <w:b/>
          <w:bCs/>
          <w:i w:val="0"/>
          <w:iCs w:val="0"/>
          <w:sz w:val="28"/>
          <w:szCs w:val="36"/>
          <w:lang w:val="en-US" w:eastAsia="zh-CN"/>
        </w:rPr>
        <w:t>Evaluate what performance measures would need to be implemented for the outsourcing of the parts warehouse？</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Performance </w:t>
      </w:r>
      <w:r>
        <w:rPr>
          <w:rFonts w:hint="eastAsia" w:ascii="Times New Roman" w:hAnsi="Times New Roman" w:cs="Times New Roman"/>
          <w:b w:val="0"/>
          <w:bCs w:val="0"/>
          <w:i w:val="0"/>
          <w:iCs w:val="0"/>
          <w:sz w:val="24"/>
          <w:szCs w:val="24"/>
          <w:lang w:val="en-US" w:eastAsia="zh-CN"/>
        </w:rPr>
        <w:t>examine</w:t>
      </w:r>
      <w:r>
        <w:rPr>
          <w:rFonts w:hint="default" w:ascii="Times New Roman" w:hAnsi="Times New Roman" w:cs="Times New Roman"/>
          <w:b w:val="0"/>
          <w:bCs w:val="0"/>
          <w:i w:val="0"/>
          <w:iCs w:val="0"/>
          <w:sz w:val="24"/>
          <w:szCs w:val="24"/>
          <w:lang w:val="en-US" w:eastAsia="zh-CN"/>
        </w:rPr>
        <w:t xml:space="preserve"> is a component of workplace performance management. It describes the procedure by which the appraisal body, in accordance with the company's work objectives and performance standards, uses scientific and reasonable appraisal methods to measure the completion of personnel's work tasks and the personal development of company employees, and simultaneously informs them of the results. This project is systematic and includes the strategy objectives and their target responsibility system, indicator evaluation system, assessment criteria, and evaluation methods, as well as other special content. It is a comprehensive review and level validation procedure for the success of departments' or individuals' work at a specific stage. Its primary objective is to achieve talent recruitment and fully explain the function of human resource deployment, all while improving the enterprise's overall profitability and enhancing individuals' comprehensive capabilities [13].</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According to Wood [14], the Key Performance Indicator (KPI) is a crucial instrument for assessing the effectiveness of a company's strategy implementation. It may also be used as a quantitative indicator to measure how well employees accomplish their duties. To outsource parts warehousing, you must delegate the management, storage, and distribution of parts to a third-party service provider. In order to guarantee the outsourcing's success, performance metrics must be implemented to track and evaluate the service provider's performance. Listed below are several key performance indicators (KPI) to consider.</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numPr>
          <w:ilvl w:val="1"/>
          <w:numId w:val="1"/>
        </w:numPr>
        <w:tabs>
          <w:tab w:val="left" w:pos="279"/>
        </w:tabs>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Warehouse Utilization Rate</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eastAsia"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Warehouse Utilisation Rate (WUR) measures the efficiency with which warehouse space is utilised.</w:t>
      </w:r>
      <w:r>
        <w:rPr>
          <w:rFonts w:hint="eastAsia" w:ascii="Times New Roman" w:hAnsi="Times New Roman" w:cs="Times New Roman"/>
          <w:b w:val="0"/>
          <w:bCs w:val="0"/>
          <w:i w:val="0"/>
          <w:iCs w:val="0"/>
          <w:sz w:val="24"/>
          <w:szCs w:val="24"/>
          <w:lang w:val="en-US" w:eastAsia="zh-CN"/>
        </w:rPr>
        <w:t xml:space="preserve"> The formula for calculating warehouse utilization rate is: Utilization Rate = (Total cubic feet of inventory in warehouse / Total cubic feet of warehouse space) x 100%[15]. It evaluates the efficiency with which resources are managed and utilised by measuring the quantity of space utilised in comparison to the total amount of space in the warehouse. A high warehouse utilisation rate suggests that all available space is being utilised, resulting in more efficient warehouse operations. A high warehouse utilisation rate indicates that the outsourced provider is effectively managing storage capacity and maximising the use of available space, whereas a low warehouse utilisation rate may indicate that resources are being wasted or underutilised. Warehouse utilisation can help organisations manage their inventory more efficiently and at a reduced cost by discovering and resolving storage space waste and management issues.</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numPr>
          <w:ilvl w:val="1"/>
          <w:numId w:val="1"/>
        </w:numPr>
        <w:tabs>
          <w:tab w:val="left" w:pos="279"/>
        </w:tabs>
        <w:kinsoku/>
        <w:wordWrap/>
        <w:overflowPunct/>
        <w:topLinePunct w:val="0"/>
        <w:autoSpaceDE/>
        <w:autoSpaceDN/>
        <w:bidi w:val="0"/>
        <w:adjustRightInd/>
        <w:snapToGrid/>
        <w:spacing w:line="360" w:lineRule="auto"/>
        <w:ind w:left="0" w:leftChars="0" w:firstLine="0" w:firstLineChars="0"/>
        <w:jc w:val="both"/>
        <w:textAlignment w:val="auto"/>
        <w:outlineLvl w:val="9"/>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On-Time Delivery Rate</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eastAsia"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A key performance indicator (KPI) that assesses the efficiency and efficacy of a supply chain, logistics, or delivery process is the on-time delivery rate (OTD). It is the proportion of orders fulfilled on or before the committed or promised delivery date, as a percentage of the total number of orders over a particular period.</w:t>
      </w:r>
      <w:r>
        <w:rPr>
          <w:rFonts w:hint="eastAsia" w:ascii="Times New Roman" w:hAnsi="Times New Roman" w:cs="Times New Roman"/>
          <w:b w:val="0"/>
          <w:bCs w:val="0"/>
          <w:i w:val="0"/>
          <w:iCs w:val="0"/>
          <w:sz w:val="24"/>
          <w:szCs w:val="24"/>
          <w:lang w:val="en-US" w:eastAsia="zh-CN"/>
        </w:rPr>
        <w:t xml:space="preserve"> To calculate the on-time delivery rate, use the following formula: On-Time Delivery Rate = (Number of On-Time Deliveries / Total Number of Deliveries) x 100%[16]. Clients can assess the dependability, performance, and productivity of their outsourced providers by analysing their on-time delivery rates. A high rate of on-time delivery suggests that the outsourcing provider can meet the customer's needs in a timely manner, boosting client happiness and confidence. Conversely, a poor on-time delivery rate might result in a loss of client trust.</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eastAsia" w:ascii="Times New Roman" w:hAnsi="Times New Roman" w:cs="Times New Roman"/>
          <w:b w:val="0"/>
          <w:bCs w:val="0"/>
          <w:i w:val="0"/>
          <w:iCs w:val="0"/>
          <w:sz w:val="24"/>
          <w:szCs w:val="24"/>
          <w:lang w:val="en-US" w:eastAsia="zh-CN"/>
        </w:rPr>
      </w:pPr>
    </w:p>
    <w:p>
      <w:pPr>
        <w:keepNext w:val="0"/>
        <w:keepLines w:val="0"/>
        <w:pageBreakBefore w:val="0"/>
        <w:widowControl w:val="0"/>
        <w:numPr>
          <w:ilvl w:val="1"/>
          <w:numId w:val="1"/>
        </w:numPr>
        <w:tabs>
          <w:tab w:val="left" w:pos="279"/>
        </w:tabs>
        <w:kinsoku/>
        <w:wordWrap/>
        <w:overflowPunct/>
        <w:topLinePunct w:val="0"/>
        <w:autoSpaceDE/>
        <w:autoSpaceDN/>
        <w:bidi w:val="0"/>
        <w:adjustRightInd/>
        <w:snapToGrid/>
        <w:spacing w:line="360" w:lineRule="auto"/>
        <w:ind w:left="0" w:leftChars="0" w:firstLine="0" w:firstLineChars="0"/>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Cost Efficiency</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This KPI tracks the whole cost of warehouse operations, including labour, utilities, and other overheads. Monitoring cost efficiency enables you to ensure that outsourced service providers control costs effectively and offer competitive pricing. Cost effectiveness aids in analysing whether outsourcing particular business operations or responsibilities is economically advantageous for an organisation. Comparing the cost of doing work internally to the cost of outsourcing can help businesses determine if outsourcing is a worthwhile strategy.</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numPr>
          <w:ilvl w:val="1"/>
          <w:numId w:val="1"/>
        </w:numPr>
        <w:tabs>
          <w:tab w:val="left" w:pos="279"/>
        </w:tabs>
        <w:kinsoku/>
        <w:wordWrap/>
        <w:overflowPunct/>
        <w:topLinePunct w:val="0"/>
        <w:autoSpaceDE/>
        <w:autoSpaceDN/>
        <w:bidi w:val="0"/>
        <w:adjustRightInd/>
        <w:snapToGrid/>
        <w:spacing w:line="360" w:lineRule="auto"/>
        <w:ind w:left="0" w:leftChars="0" w:firstLine="0" w:firstLineChars="0"/>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Order Fulfillment Accuracy</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This KPI measures the proportion of orders that are correctly selected, packed, and shipped to clients. If the fulfilment accuracy rate is high, the outsourced provider is effectively controlling inventories and minimising warehousing errors. This is a clear sign of how efficiently the outsourced company handles orders. This metric typically entails ensuring that customers receive the correct products and quantities, preventing shipping errors, fulfilling orders promptly, exceeding customers' delivery time expectations, and ensuring that all order components are assembled correctly and that no components or accessories are overlooked. This metric is utilised by organisations to determine the efficacy of their outsourcing partners and whether or not they are capable of achieving their needs.</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numPr>
          <w:ilvl w:val="1"/>
          <w:numId w:val="1"/>
        </w:numPr>
        <w:tabs>
          <w:tab w:val="left" w:pos="279"/>
        </w:tabs>
        <w:kinsoku/>
        <w:wordWrap/>
        <w:overflowPunct/>
        <w:topLinePunct w:val="0"/>
        <w:autoSpaceDE/>
        <w:autoSpaceDN/>
        <w:bidi w:val="0"/>
        <w:adjustRightInd/>
        <w:snapToGrid/>
        <w:spacing w:line="360" w:lineRule="auto"/>
        <w:ind w:left="0" w:leftChars="0" w:firstLine="0" w:firstLineChars="0"/>
        <w:jc w:val="both"/>
        <w:textAlignment w:val="auto"/>
        <w:outlineLvl w:val="9"/>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Inventory Accuracy</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default" w:ascii="Times New Roman" w:hAnsi="Times New Roman" w:cs="Times New Roman"/>
          <w:b w:val="0"/>
          <w:bCs w:val="0"/>
          <w:i w:val="0"/>
          <w:iCs w:val="0"/>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cs="Times New Roman"/>
          <w:b w:val="0"/>
          <w:bCs w:val="0"/>
          <w:i w:val="0"/>
          <w:iCs w:val="0"/>
          <w:sz w:val="24"/>
          <w:szCs w:val="24"/>
          <w:lang w:val="en-US" w:eastAsia="zh-CN"/>
        </w:rPr>
        <w:t>This key performance indicator measures the congruence between the actual warehouse inventory and the inventory recorded by the inventory management system. By preventing stock-outs and backlogs, accurate stock records encourage efficient warehouse operations. High inventory accuracy reduces operating expenses, decreases the likelihood of stock-outs, boosts customer satisfaction, and reduces overstocking. High stock accuracy refers to the degree to which the recorded stock levels correspond to the actual stock levels. A precise inventory may eliminate shipping errors and delays, prevent unnecessary stock accumulations, and help ensure that there is always sufficient inventory to fulfil consumer demand. These advantages can reduce warehouse expenses and inventory waste, as well as improve supply chain management and procurement planning.</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0"/>
        <w:rPr>
          <w:rFonts w:hint="default" w:ascii="Times New Roman" w:hAnsi="Times New Roman" w:cs="Times New Roman"/>
          <w:b/>
          <w:bCs/>
          <w:i w:val="0"/>
          <w:iCs w:val="0"/>
          <w:sz w:val="28"/>
          <w:szCs w:val="36"/>
          <w:lang w:val="en-US" w:eastAsia="zh-CN"/>
        </w:rPr>
      </w:pPr>
      <w:bookmarkStart w:id="8" w:name="_Toc31578"/>
      <w:bookmarkStart w:id="9" w:name="_Toc32431"/>
      <w:r>
        <w:rPr>
          <w:rFonts w:hint="eastAsia" w:ascii="Times New Roman" w:hAnsi="Times New Roman" w:cs="Times New Roman"/>
          <w:b/>
          <w:bCs/>
          <w:i w:val="0"/>
          <w:iCs w:val="0"/>
          <w:sz w:val="28"/>
          <w:szCs w:val="36"/>
          <w:lang w:val="en-US" w:eastAsia="zh-CN"/>
        </w:rPr>
        <w:t xml:space="preserve">6 </w:t>
      </w:r>
      <w:r>
        <w:rPr>
          <w:rFonts w:hint="default" w:ascii="Times New Roman" w:hAnsi="Times New Roman" w:cs="Times New Roman"/>
          <w:b/>
          <w:bCs/>
          <w:i w:val="0"/>
          <w:iCs w:val="0"/>
          <w:sz w:val="28"/>
          <w:szCs w:val="36"/>
          <w:lang w:val="en-US" w:eastAsia="zh-CN"/>
        </w:rPr>
        <w:t>Recommendations</w:t>
      </w:r>
      <w:bookmarkEnd w:id="8"/>
      <w:bookmarkEnd w:id="9"/>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default" w:ascii="Times New Roman" w:hAnsi="Times New Roman" w:cs="Times New Roman"/>
          <w:b w:val="0"/>
          <w:bCs w:val="0"/>
          <w:i w:val="0"/>
          <w:iCs w:val="0"/>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cs="Times New Roman"/>
          <w:b w:val="0"/>
          <w:bCs w:val="0"/>
          <w:i w:val="0"/>
          <w:iCs w:val="0"/>
          <w:sz w:val="24"/>
          <w:szCs w:val="24"/>
          <w:lang w:val="en-US" w:eastAsia="zh-CN"/>
        </w:rPr>
        <w:t>The following recommendations are offered in response to Toon Air's difficulties in this document: Classify and prioritise orders using a technique, such as ABC analysis, that organises commodities based on their value and importance. As a result, orders will be prioritised, improved terms with suppliers will be negotiated, and resources will be allocated more efficiently. Combine the engineering and procurement departments to promote interdepartmental communication and collaboration. Encourage engineers to work closely with procurement specialists to select the best components and sources, while ensuring that the procurement section handles all orders. Consider constructing regional storage facilities next to the principal destination airport in lieu of storing all spare components centrally. This will reduce the time it takes to transport parts to particular airports, hence increasing aircraft utilisation. Continuous training in materials management, procurement, and collaborative best practises is provided to employees in the engineering and procurement departments through training and development programmes. Obviously, specialised outsourcing companies may be employed to assist with inventory management.</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0"/>
        <w:rPr>
          <w:rFonts w:hint="default" w:ascii="Times New Roman" w:hAnsi="Times New Roman" w:cs="Times New Roman"/>
          <w:b/>
          <w:bCs/>
          <w:sz w:val="28"/>
          <w:szCs w:val="28"/>
          <w:lang w:val="en-US"/>
        </w:rPr>
      </w:pPr>
      <w:bookmarkStart w:id="10" w:name="_Toc15205"/>
      <w:bookmarkStart w:id="11" w:name="_Toc3679"/>
      <w:r>
        <w:rPr>
          <w:rFonts w:hint="eastAsia" w:ascii="Times New Roman" w:hAnsi="Times New Roman" w:cs="Times New Roman"/>
          <w:b/>
          <w:bCs/>
          <w:sz w:val="28"/>
          <w:szCs w:val="28"/>
          <w:lang w:val="en-US" w:eastAsia="zh-CN"/>
        </w:rPr>
        <w:t>7</w:t>
      </w:r>
      <w:r>
        <w:rPr>
          <w:rFonts w:hint="default" w:ascii="Times New Roman" w:hAnsi="Times New Roman" w:cs="Times New Roman"/>
          <w:b/>
          <w:bCs/>
          <w:sz w:val="28"/>
          <w:szCs w:val="28"/>
          <w:lang w:val="en-US"/>
        </w:rPr>
        <w:t xml:space="preserve"> Summary</w:t>
      </w:r>
      <w:bookmarkEnd w:id="10"/>
      <w:bookmarkEnd w:id="11"/>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default" w:ascii="Times New Roman" w:hAnsi="Times New Roman" w:cs="Times New Roman"/>
          <w:b w:val="0"/>
          <w:bCs w:val="0"/>
          <w:sz w:val="24"/>
          <w:szCs w:val="24"/>
          <w:lang w:val="en-US" w:eastAsia="zh-CN"/>
        </w:rPr>
        <w:sectPr>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cs="Times New Roman"/>
          <w:b w:val="0"/>
          <w:bCs w:val="0"/>
          <w:sz w:val="24"/>
          <w:szCs w:val="24"/>
          <w:lang w:val="en-US" w:eastAsia="zh-CN"/>
        </w:rPr>
        <w:t>As the airline business becomes more competitive and new low-cost carriers enter the market, it is essential to improve operations in order to decrease costs and boost efficiency. This article analyses Toon Air's issues, suggests potential remedies, and responds to the three questions posed.</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center"/>
        <w:textAlignment w:val="auto"/>
        <w:outlineLvl w:val="0"/>
        <w:rPr>
          <w:rFonts w:hint="eastAsia" w:ascii="Times New Roman" w:hAnsi="Times New Roman" w:cs="Times New Roman"/>
          <w:b/>
          <w:bCs/>
          <w:i w:val="0"/>
          <w:iCs w:val="0"/>
          <w:sz w:val="28"/>
          <w:szCs w:val="36"/>
          <w:lang w:val="en-US" w:eastAsia="zh-CN"/>
        </w:rPr>
      </w:pPr>
      <w:bookmarkStart w:id="12" w:name="_Toc21432"/>
      <w:bookmarkStart w:id="13" w:name="_Toc20486"/>
      <w:r>
        <w:rPr>
          <w:rFonts w:hint="eastAsia" w:ascii="Times New Roman" w:hAnsi="Times New Roman" w:cs="Times New Roman"/>
          <w:b/>
          <w:bCs/>
          <w:i w:val="0"/>
          <w:iCs w:val="0"/>
          <w:sz w:val="28"/>
          <w:szCs w:val="36"/>
          <w:lang w:val="en-US" w:eastAsia="zh-CN"/>
        </w:rPr>
        <w:t>References</w:t>
      </w:r>
      <w:bookmarkEnd w:id="12"/>
      <w:bookmarkEnd w:id="13"/>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Singer,</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T., 2002.</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ERP solutions: Are they right for maintenance management?. </w:t>
      </w:r>
      <w:r>
        <w:rPr>
          <w:rFonts w:hint="default" w:ascii="Times New Roman" w:hAnsi="Times New Roman" w:eastAsia="宋体" w:cs="Times New Roman"/>
          <w:i/>
          <w:iCs/>
          <w:caps w:val="0"/>
          <w:color w:val="222222"/>
          <w:spacing w:val="0"/>
          <w:sz w:val="24"/>
          <w:szCs w:val="24"/>
          <w:shd w:val="clear" w:fill="FFFFFF"/>
        </w:rPr>
        <w:t>Plant Engineering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56</w:t>
      </w:r>
      <w:r>
        <w:rPr>
          <w:rFonts w:hint="default" w:ascii="Times New Roman" w:hAnsi="Times New Roman" w:eastAsia="宋体" w:cs="Times New Roman"/>
          <w:i w:val="0"/>
          <w:iCs w:val="0"/>
          <w:caps w:val="0"/>
          <w:color w:val="222222"/>
          <w:spacing w:val="0"/>
          <w:sz w:val="24"/>
          <w:szCs w:val="24"/>
          <w:shd w:val="clear" w:fill="FFFFFF"/>
        </w:rPr>
        <w:t>(11), pp.34-35.</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Kwon, H., Lee, S.Y., Kim, J.H., Lee, S.P., Kim, J.H., Sung, I.K., Park, H.S. and Shim, C.S., 2019. ABC classification is less useful for older Koreans born before 1960. </w:t>
      </w:r>
      <w:r>
        <w:rPr>
          <w:rFonts w:hint="default" w:ascii="Times New Roman" w:hAnsi="Times New Roman" w:eastAsia="宋体" w:cs="Times New Roman"/>
          <w:i/>
          <w:iCs/>
          <w:caps w:val="0"/>
          <w:color w:val="222222"/>
          <w:spacing w:val="0"/>
          <w:sz w:val="24"/>
          <w:szCs w:val="24"/>
          <w:shd w:val="clear" w:fill="FFFFFF"/>
        </w:rPr>
        <w:t>Gut and Liver</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w:t>
      </w:r>
      <w:r>
        <w:rPr>
          <w:rFonts w:hint="default" w:ascii="Times New Roman" w:hAnsi="Times New Roman" w:eastAsia="宋体" w:cs="Times New Roman"/>
          <w:i w:val="0"/>
          <w:iCs w:val="0"/>
          <w:caps w:val="0"/>
          <w:color w:val="222222"/>
          <w:spacing w:val="0"/>
          <w:sz w:val="24"/>
          <w:szCs w:val="24"/>
          <w:shd w:val="clear" w:fill="FFFFFF"/>
        </w:rPr>
        <w:t>(5), p.522.</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Kheybari, S., Naji, S.A., Rezaie, F.M. and Salehpour, R., 2019. ABC classification according to</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Pareto’s principle: a hybrid methodology. </w:t>
      </w:r>
      <w:r>
        <w:rPr>
          <w:rFonts w:hint="default" w:ascii="Times New Roman" w:hAnsi="Times New Roman" w:eastAsia="宋体" w:cs="Times New Roman"/>
          <w:i/>
          <w:iCs/>
          <w:caps w:val="0"/>
          <w:color w:val="222222"/>
          <w:spacing w:val="0"/>
          <w:sz w:val="24"/>
          <w:szCs w:val="24"/>
          <w:shd w:val="clear" w:fill="FFFFFF"/>
        </w:rPr>
        <w:t>Opsearch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56</w:t>
      </w:r>
      <w:r>
        <w:rPr>
          <w:rFonts w:hint="default" w:ascii="Times New Roman" w:hAnsi="Times New Roman" w:eastAsia="宋体" w:cs="Times New Roman"/>
          <w:i w:val="0"/>
          <w:iCs w:val="0"/>
          <w:caps w:val="0"/>
          <w:color w:val="222222"/>
          <w:spacing w:val="0"/>
          <w:sz w:val="24"/>
          <w:szCs w:val="24"/>
          <w:shd w:val="clear" w:fill="FFFFFF"/>
        </w:rPr>
        <w:t>, pp.539-562.</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Hu, Q., Boylan, J.E., Chen, H. and Labib, A., 2018. OR in spare parts management: A review. </w:t>
      </w:r>
      <w:r>
        <w:rPr>
          <w:rFonts w:hint="default" w:ascii="Times New Roman" w:hAnsi="Times New Roman" w:eastAsia="宋体" w:cs="Times New Roman"/>
          <w:i/>
          <w:iCs/>
          <w:caps w:val="0"/>
          <w:color w:val="222222"/>
          <w:spacing w:val="0"/>
          <w:sz w:val="24"/>
          <w:szCs w:val="24"/>
          <w:shd w:val="clear" w:fill="FFFFFF"/>
        </w:rPr>
        <w:t>European Journal of Operational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266</w:t>
      </w:r>
      <w:r>
        <w:rPr>
          <w:rFonts w:hint="default" w:ascii="Times New Roman" w:hAnsi="Times New Roman" w:eastAsia="宋体" w:cs="Times New Roman"/>
          <w:i w:val="0"/>
          <w:iCs w:val="0"/>
          <w:caps w:val="0"/>
          <w:color w:val="222222"/>
          <w:spacing w:val="0"/>
          <w:sz w:val="24"/>
          <w:szCs w:val="24"/>
          <w:shd w:val="clear" w:fill="FFFFFF"/>
        </w:rPr>
        <w:t>(2), pp.395-414.</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Conceição, S.V., Da Silva, G.L.C., Lu, D., Nunes, N.T.R. and Pedrosa, G.C., 2015. A demand classification scheme for spare part inventory model subject to stochastic demand and lead time. </w:t>
      </w:r>
      <w:r>
        <w:rPr>
          <w:rFonts w:hint="default" w:ascii="Times New Roman" w:hAnsi="Times New Roman" w:eastAsia="宋体" w:cs="Times New Roman"/>
          <w:i/>
          <w:iCs/>
          <w:caps w:val="0"/>
          <w:color w:val="222222"/>
          <w:spacing w:val="0"/>
          <w:sz w:val="24"/>
          <w:szCs w:val="24"/>
          <w:shd w:val="clear" w:fill="FFFFFF"/>
        </w:rPr>
        <w:t>Production Planning &amp; Control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26</w:t>
      </w:r>
      <w:r>
        <w:rPr>
          <w:rFonts w:hint="default" w:ascii="Times New Roman" w:hAnsi="Times New Roman" w:eastAsia="宋体" w:cs="Times New Roman"/>
          <w:i w:val="0"/>
          <w:iCs w:val="0"/>
          <w:caps w:val="0"/>
          <w:color w:val="222222"/>
          <w:spacing w:val="0"/>
          <w:sz w:val="24"/>
          <w:szCs w:val="24"/>
          <w:shd w:val="clear" w:fill="FFFFFF"/>
        </w:rPr>
        <w:t>(16), pp.1318-1331.</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Martin, J. and Schmidt, C., 2010. How to keep your top talent. </w:t>
      </w:r>
      <w:r>
        <w:rPr>
          <w:rFonts w:hint="default" w:ascii="Times New Roman" w:hAnsi="Times New Roman" w:eastAsia="宋体" w:cs="Times New Roman"/>
          <w:i/>
          <w:iCs/>
          <w:caps w:val="0"/>
          <w:color w:val="222222"/>
          <w:spacing w:val="0"/>
          <w:sz w:val="24"/>
          <w:szCs w:val="24"/>
          <w:shd w:val="clear" w:fill="FFFFFF"/>
        </w:rPr>
        <w:t>Harvard business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88</w:t>
      </w:r>
      <w:r>
        <w:rPr>
          <w:rFonts w:hint="default" w:ascii="Times New Roman" w:hAnsi="Times New Roman" w:eastAsia="宋体" w:cs="Times New Roman"/>
          <w:i w:val="0"/>
          <w:iCs w:val="0"/>
          <w:caps w:val="0"/>
          <w:color w:val="222222"/>
          <w:spacing w:val="0"/>
          <w:sz w:val="24"/>
          <w:szCs w:val="24"/>
          <w:shd w:val="clear" w:fill="FFFFFF"/>
        </w:rPr>
        <w:t>(5), pp.54-61.</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Rizaldy, W., Majid, S.A. and Charles, A.N., 2015. The Effectiveness of Warehouse Utilization at Soekarno-Hatta Internasional Airport. </w:t>
      </w:r>
      <w:r>
        <w:rPr>
          <w:rFonts w:hint="default" w:ascii="Times New Roman" w:hAnsi="Times New Roman" w:eastAsia="宋体" w:cs="Times New Roman"/>
          <w:i/>
          <w:iCs/>
          <w:caps w:val="0"/>
          <w:color w:val="222222"/>
          <w:spacing w:val="0"/>
          <w:sz w:val="24"/>
          <w:szCs w:val="24"/>
          <w:shd w:val="clear" w:fill="FFFFFF"/>
        </w:rPr>
        <w:t>Jurnal Manajemen Transportasi &amp; Logistik (JMTRANSLOG)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w:t>
      </w:r>
      <w:r>
        <w:rPr>
          <w:rFonts w:hint="default" w:ascii="Times New Roman" w:hAnsi="Times New Roman" w:eastAsia="宋体" w:cs="Times New Roman"/>
          <w:i w:val="0"/>
          <w:iCs w:val="0"/>
          <w:caps w:val="0"/>
          <w:color w:val="222222"/>
          <w:spacing w:val="0"/>
          <w:sz w:val="24"/>
          <w:szCs w:val="24"/>
          <w:shd w:val="clear" w:fill="FFFFFF"/>
        </w:rPr>
        <w:t>(1), pp.35-58.</w:t>
      </w:r>
    </w:p>
    <w:p>
      <w:pPr>
        <w:ind w:firstLineChars="0"/>
        <w:jc w:val="both"/>
        <w:rPr>
          <w:rFonts w:hint="default" w:ascii="Arial" w:hAnsi="Arial" w:eastAsia="宋体" w:cs="Arial"/>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Prahalad, C.K. and Hamel, G., 2003. The core competence of the corporation. </w:t>
      </w:r>
      <w:r>
        <w:rPr>
          <w:rFonts w:hint="default" w:ascii="Times New Roman" w:hAnsi="Times New Roman" w:eastAsia="宋体" w:cs="Times New Roman"/>
          <w:i/>
          <w:iCs/>
          <w:caps w:val="0"/>
          <w:color w:val="222222"/>
          <w:spacing w:val="0"/>
          <w:sz w:val="24"/>
          <w:szCs w:val="24"/>
          <w:shd w:val="clear" w:fill="FFFFFF"/>
        </w:rPr>
        <w:t>International Library of Critical Writings in Economics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163</w:t>
      </w:r>
      <w:r>
        <w:rPr>
          <w:rFonts w:hint="default" w:ascii="Times New Roman" w:hAnsi="Times New Roman" w:eastAsia="宋体" w:cs="Times New Roman"/>
          <w:i w:val="0"/>
          <w:iCs w:val="0"/>
          <w:caps w:val="0"/>
          <w:color w:val="222222"/>
          <w:spacing w:val="0"/>
          <w:sz w:val="24"/>
          <w:szCs w:val="24"/>
          <w:shd w:val="clear" w:fill="FFFFFF"/>
        </w:rPr>
        <w:t>, pp.210-222.</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Quinn, J.B. and Hilmer, F.G., 1994. Strategic outsourcing. </w:t>
      </w:r>
      <w:r>
        <w:rPr>
          <w:rFonts w:hint="default" w:ascii="Times New Roman" w:hAnsi="Times New Roman" w:eastAsia="宋体" w:cs="Times New Roman"/>
          <w:i/>
          <w:iCs/>
          <w:caps w:val="0"/>
          <w:color w:val="222222"/>
          <w:spacing w:val="0"/>
          <w:sz w:val="24"/>
          <w:szCs w:val="24"/>
          <w:shd w:val="clear" w:fill="FFFFFF"/>
        </w:rPr>
        <w:t>MIT Sloan Management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35</w:t>
      </w:r>
      <w:r>
        <w:rPr>
          <w:rFonts w:hint="default" w:ascii="Times New Roman" w:hAnsi="Times New Roman" w:eastAsia="宋体" w:cs="Times New Roman"/>
          <w:i w:val="0"/>
          <w:iCs w:val="0"/>
          <w:caps w:val="0"/>
          <w:color w:val="222222"/>
          <w:spacing w:val="0"/>
          <w:sz w:val="24"/>
          <w:szCs w:val="24"/>
          <w:shd w:val="clear" w:fill="FFFFFF"/>
        </w:rPr>
        <w:t>(4), p.43.</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Gil, R., Kim, M. and Zanarone, G., 2022. Relationships under stress: Relational outsourcing in the US airline industry after the 2008 financial crisis. </w:t>
      </w:r>
      <w:r>
        <w:rPr>
          <w:rFonts w:hint="default" w:ascii="Times New Roman" w:hAnsi="Times New Roman" w:eastAsia="宋体" w:cs="Times New Roman"/>
          <w:i/>
          <w:iCs/>
          <w:caps w:val="0"/>
          <w:color w:val="222222"/>
          <w:spacing w:val="0"/>
          <w:sz w:val="24"/>
          <w:szCs w:val="24"/>
          <w:shd w:val="clear" w:fill="FFFFFF"/>
        </w:rPr>
        <w:t>Management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68</w:t>
      </w:r>
      <w:r>
        <w:rPr>
          <w:rFonts w:hint="default" w:ascii="Times New Roman" w:hAnsi="Times New Roman" w:eastAsia="宋体" w:cs="Times New Roman"/>
          <w:i w:val="0"/>
          <w:iCs w:val="0"/>
          <w:caps w:val="0"/>
          <w:color w:val="222222"/>
          <w:spacing w:val="0"/>
          <w:sz w:val="24"/>
          <w:szCs w:val="24"/>
          <w:shd w:val="clear" w:fill="FFFFFF"/>
        </w:rPr>
        <w:t>(2), pp.1256-1277.</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Belcourt, M., 2006. Outsourcing—The benefits and the risks. </w:t>
      </w:r>
      <w:r>
        <w:rPr>
          <w:rFonts w:hint="default" w:ascii="Times New Roman" w:hAnsi="Times New Roman" w:eastAsia="宋体" w:cs="Times New Roman"/>
          <w:i/>
          <w:iCs/>
          <w:caps w:val="0"/>
          <w:color w:val="222222"/>
          <w:spacing w:val="0"/>
          <w:sz w:val="24"/>
          <w:szCs w:val="24"/>
          <w:shd w:val="clear" w:fill="FFFFFF"/>
        </w:rPr>
        <w:t>Human resource management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16</w:t>
      </w:r>
      <w:r>
        <w:rPr>
          <w:rFonts w:hint="default" w:ascii="Times New Roman" w:hAnsi="Times New Roman" w:eastAsia="宋体" w:cs="Times New Roman"/>
          <w:i w:val="0"/>
          <w:iCs w:val="0"/>
          <w:caps w:val="0"/>
          <w:color w:val="222222"/>
          <w:spacing w:val="0"/>
          <w:sz w:val="24"/>
          <w:szCs w:val="24"/>
          <w:shd w:val="clear" w:fill="FFFFFF"/>
        </w:rPr>
        <w:t>(2), pp.269-279.</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Quinn, J.B. and Hillmer, F.G., 1995. Strategic outsourcing. </w:t>
      </w:r>
      <w:r>
        <w:rPr>
          <w:rFonts w:hint="default" w:ascii="Times New Roman" w:hAnsi="Times New Roman" w:eastAsia="宋体" w:cs="Times New Roman"/>
          <w:i/>
          <w:iCs/>
          <w:caps w:val="0"/>
          <w:color w:val="222222"/>
          <w:spacing w:val="0"/>
          <w:sz w:val="24"/>
          <w:szCs w:val="24"/>
          <w:shd w:val="clear" w:fill="FFFFFF"/>
        </w:rPr>
        <w:t>The McKinsey Quarterly</w:t>
      </w:r>
      <w:r>
        <w:rPr>
          <w:rFonts w:hint="default" w:ascii="Times New Roman" w:hAnsi="Times New Roman" w:eastAsia="宋体" w:cs="Times New Roman"/>
          <w:i w:val="0"/>
          <w:iCs w:val="0"/>
          <w:caps w:val="0"/>
          <w:color w:val="222222"/>
          <w:spacing w:val="0"/>
          <w:sz w:val="24"/>
          <w:szCs w:val="24"/>
          <w:shd w:val="clear" w:fill="FFFFFF"/>
        </w:rPr>
        <w:t>, (1), pp.48-71.</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DeNisi, A.S. and Murphy, K.R., 2017. Performance appraisal and performance management: 100 years of progress?. </w:t>
      </w:r>
      <w:r>
        <w:rPr>
          <w:rFonts w:hint="default" w:ascii="Times New Roman" w:hAnsi="Times New Roman" w:eastAsia="宋体" w:cs="Times New Roman"/>
          <w:i/>
          <w:iCs/>
          <w:caps w:val="0"/>
          <w:color w:val="222222"/>
          <w:spacing w:val="0"/>
          <w:sz w:val="24"/>
          <w:szCs w:val="24"/>
          <w:shd w:val="clear" w:fill="FFFFFF"/>
        </w:rPr>
        <w:t>Journal of applied psychology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102</w:t>
      </w:r>
      <w:r>
        <w:rPr>
          <w:rFonts w:hint="default" w:ascii="Times New Roman" w:hAnsi="Times New Roman" w:eastAsia="宋体" w:cs="Times New Roman"/>
          <w:i w:val="0"/>
          <w:iCs w:val="0"/>
          <w:caps w:val="0"/>
          <w:color w:val="222222"/>
          <w:spacing w:val="0"/>
          <w:sz w:val="24"/>
          <w:szCs w:val="24"/>
          <w:shd w:val="clear" w:fill="FFFFFF"/>
        </w:rPr>
        <w:t>(3), p.421.</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Wood, S., 1999. Human resource management and performance. </w:t>
      </w:r>
      <w:r>
        <w:rPr>
          <w:rFonts w:hint="default" w:ascii="Times New Roman" w:hAnsi="Times New Roman" w:eastAsia="宋体" w:cs="Times New Roman"/>
          <w:i/>
          <w:iCs/>
          <w:caps w:val="0"/>
          <w:color w:val="222222"/>
          <w:spacing w:val="0"/>
          <w:sz w:val="24"/>
          <w:szCs w:val="24"/>
          <w:shd w:val="clear" w:fill="FFFFFF"/>
        </w:rPr>
        <w:t>International journal of management reviews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(4), pp.367-413.</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Hwang, H.S. and Cho, G.S., 2006. A performance evaluation model for order picking warehouse design. </w:t>
      </w:r>
      <w:r>
        <w:rPr>
          <w:rFonts w:hint="default" w:ascii="Times New Roman" w:hAnsi="Times New Roman" w:eastAsia="宋体" w:cs="Times New Roman"/>
          <w:i/>
          <w:iCs/>
          <w:caps w:val="0"/>
          <w:color w:val="222222"/>
          <w:spacing w:val="0"/>
          <w:sz w:val="24"/>
          <w:szCs w:val="24"/>
          <w:shd w:val="clear" w:fill="FFFFFF"/>
        </w:rPr>
        <w:t>Computers &amp; Industrial Engineering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51</w:t>
      </w:r>
      <w:r>
        <w:rPr>
          <w:rFonts w:hint="default" w:ascii="Times New Roman" w:hAnsi="Times New Roman" w:eastAsia="宋体" w:cs="Times New Roman"/>
          <w:i w:val="0"/>
          <w:iCs w:val="0"/>
          <w:caps w:val="0"/>
          <w:color w:val="222222"/>
          <w:spacing w:val="0"/>
          <w:sz w:val="24"/>
          <w:szCs w:val="24"/>
          <w:shd w:val="clear" w:fill="FFFFFF"/>
        </w:rPr>
        <w:t>(2), pp.335-342.</w:t>
      </w:r>
    </w:p>
    <w:p>
      <w:pPr>
        <w:ind w:firstLineChars="0"/>
        <w:jc w:val="both"/>
        <w:rPr>
          <w:rFonts w:hint="default" w:ascii="Times New Roman" w:hAnsi="Times New Roman" w:eastAsia="宋体" w:cs="Times New Roman"/>
          <w:i w:val="0"/>
          <w:iCs w:val="0"/>
          <w:caps w:val="0"/>
          <w:color w:val="222222"/>
          <w:spacing w:val="0"/>
          <w:sz w:val="24"/>
          <w:szCs w:val="24"/>
          <w:shd w:val="clear" w:fill="FFFFFF"/>
        </w:rPr>
      </w:pPr>
    </w:p>
    <w:p>
      <w:pPr>
        <w:numPr>
          <w:ilvl w:val="0"/>
          <w:numId w:val="2"/>
        </w:numPr>
        <w:ind w:left="0" w:leftChars="0" w:firstLine="0" w:firstLineChars="0"/>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Kamali, A., 2018. The way to optimize on-time delivery (OTD) in logistics firms in Bahrain. </w:t>
      </w:r>
      <w:r>
        <w:rPr>
          <w:rFonts w:hint="default" w:ascii="Times New Roman" w:hAnsi="Times New Roman" w:eastAsia="宋体" w:cs="Times New Roman"/>
          <w:i/>
          <w:iCs/>
          <w:caps w:val="0"/>
          <w:color w:val="222222"/>
          <w:spacing w:val="0"/>
          <w:sz w:val="24"/>
          <w:szCs w:val="24"/>
          <w:shd w:val="clear" w:fill="FFFFFF"/>
        </w:rPr>
        <w:t>CiiT International Journal of Artificial Intelligent Systems and Machine Learning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w:t>
      </w:r>
      <w:r>
        <w:rPr>
          <w:rFonts w:hint="default" w:ascii="Times New Roman" w:hAnsi="Times New Roman" w:eastAsia="宋体" w:cs="Times New Roman"/>
          <w:i w:val="0"/>
          <w:iCs w:val="0"/>
          <w:caps w:val="0"/>
          <w:color w:val="222222"/>
          <w:spacing w:val="0"/>
          <w:sz w:val="24"/>
          <w:szCs w:val="24"/>
          <w:shd w:val="clear" w:fill="FFFFFF"/>
        </w:rPr>
        <w:t>(9), pp.198-204.</w:t>
      </w:r>
    </w:p>
    <w:p>
      <w:pPr>
        <w:keepNext w:val="0"/>
        <w:keepLines w:val="0"/>
        <w:pageBreakBefore w:val="0"/>
        <w:widowControl w:val="0"/>
        <w:numPr>
          <w:ilvl w:val="0"/>
          <w:numId w:val="0"/>
        </w:numPr>
        <w:tabs>
          <w:tab w:val="left" w:pos="279"/>
        </w:tabs>
        <w:kinsoku/>
        <w:wordWrap/>
        <w:overflowPunct/>
        <w:topLinePunct w:val="0"/>
        <w:autoSpaceDE/>
        <w:autoSpaceDN/>
        <w:bidi w:val="0"/>
        <w:adjustRightInd/>
        <w:snapToGrid/>
        <w:spacing w:line="360" w:lineRule="auto"/>
        <w:ind w:leftChars="0"/>
        <w:jc w:val="both"/>
        <w:textAlignment w:val="auto"/>
        <w:outlineLvl w:val="9"/>
        <w:rPr>
          <w:rFonts w:hint="default" w:ascii="Times New Roman" w:hAnsi="Times New Roman" w:cs="Times New Roman"/>
          <w:b w:val="0"/>
          <w:bCs w:val="0"/>
          <w:i w:val="0"/>
          <w:iCs w:val="0"/>
          <w:sz w:val="28"/>
          <w:szCs w:val="36"/>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3</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9E87A91"/>
    <w:multiLevelType w:val="multilevel"/>
    <w:tmpl w:val="D9E87A91"/>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1666CDD8"/>
    <w:multiLevelType w:val="singleLevel"/>
    <w:tmpl w:val="1666CDD8"/>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k3YjczMWZkYjg1NzhkODY1ZGExZTkzMzRlMjY4OTUifQ=="/>
  </w:docVars>
  <w:rsids>
    <w:rsidRoot w:val="00000000"/>
    <w:rsid w:val="0B957346"/>
    <w:rsid w:val="10746E6D"/>
    <w:rsid w:val="122F22A3"/>
    <w:rsid w:val="1A13148F"/>
    <w:rsid w:val="258B500F"/>
    <w:rsid w:val="27B64475"/>
    <w:rsid w:val="2EFF4953"/>
    <w:rsid w:val="4DBD6878"/>
    <w:rsid w:val="57E50335"/>
    <w:rsid w:val="69456E2B"/>
    <w:rsid w:val="6C134FBF"/>
    <w:rsid w:val="74E113BC"/>
    <w:rsid w:val="7DEF3F7C"/>
    <w:rsid w:val="7DF94F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customStyle="1" w:styleId="6">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3731</Words>
  <Characters>22052</Characters>
  <Lines>0</Lines>
  <Paragraphs>0</Paragraphs>
  <TotalTime>1</TotalTime>
  <ScaleCrop>false</ScaleCrop>
  <LinksUpToDate>false</LinksUpToDate>
  <CharactersWithSpaces>25710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2023-03-20T19:25:00Z</dcterms:created>
  <dc:creator>程迅</dc:creator>
  <cp:lastModifiedBy>安然</cp:lastModifiedBy>
  <dcterms:modified xsi:type="dcterms:W3CDTF">2023-03-28T03:52:07Z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82747F9517884BE2B5E1FF89638E5FD1</vt:lpwstr>
  </property>
</Properties>
</file>