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C2E9B" w:rsidRDefault="00CC2E9B" w:rsidP="00CC2E9B"/>
    <w:sdt>
      <w:sdtPr>
        <w:id w:val="-216122815"/>
        <w:docPartObj>
          <w:docPartGallery w:val="Cover Pages"/>
          <w:docPartUnique/>
        </w:docPartObj>
      </w:sdtPr>
      <w:sdtEndPr/>
      <w:sdtContent>
        <w:p w:rsidR="0060568B" w:rsidRDefault="0060568B" w:rsidP="005B4E88"/>
        <w:tbl>
          <w:tblPr>
            <w:tblpPr w:leftFromText="187" w:rightFromText="187" w:vertAnchor="page" w:horzAnchor="margin" w:tblpXSpec="center" w:tblpY="3769"/>
            <w:tblW w:w="3431" w:type="pct"/>
            <w:tblBorders>
              <w:top w:val="single" w:sz="36" w:space="0" w:color="3D98FD"/>
              <w:bottom w:val="single" w:sz="36" w:space="0" w:color="3D98FD"/>
              <w:insideH w:val="single" w:sz="18" w:space="0" w:color="3D98FD"/>
              <w:insideV w:val="single" w:sz="18" w:space="0" w:color="1F89FD"/>
            </w:tblBorders>
            <w:tblCellMar>
              <w:top w:w="360" w:type="dxa"/>
              <w:left w:w="115" w:type="dxa"/>
              <w:bottom w:w="360" w:type="dxa"/>
              <w:right w:w="115" w:type="dxa"/>
            </w:tblCellMar>
            <w:tblLook w:val="04A0" w:firstRow="1" w:lastRow="0" w:firstColumn="1" w:lastColumn="0" w:noHBand="0" w:noVBand="1"/>
          </w:tblPr>
          <w:tblGrid>
            <w:gridCol w:w="6351"/>
          </w:tblGrid>
          <w:tr w:rsidR="004E0B2C" w:rsidTr="00333AFF">
            <w:trPr>
              <w:trHeight w:val="2109"/>
            </w:trPr>
            <w:sdt>
              <w:sdtPr>
                <w:rPr>
                  <w:rFonts w:ascii="Calibri Light" w:eastAsiaTheme="majorEastAsia" w:hAnsi="Calibri Light" w:cstheme="majorBidi"/>
                  <w:sz w:val="52"/>
                  <w:szCs w:val="52"/>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5000" w:type="pct"/>
                  </w:tcPr>
                  <w:p w:rsidR="004E0B2C" w:rsidRPr="0015692C" w:rsidRDefault="00AE1E79" w:rsidP="00AE1E79">
                    <w:pPr>
                      <w:pStyle w:val="NoSpacing"/>
                      <w:rPr>
                        <w:rFonts w:ascii="Calibri Light" w:eastAsiaTheme="majorEastAsia" w:hAnsi="Calibri Light" w:cstheme="majorBidi"/>
                        <w:sz w:val="52"/>
                        <w:szCs w:val="52"/>
                      </w:rPr>
                    </w:pPr>
                    <w:r>
                      <w:rPr>
                        <w:rFonts w:ascii="Calibri Light" w:eastAsiaTheme="majorEastAsia" w:hAnsi="Calibri Light" w:cstheme="majorBidi"/>
                        <w:sz w:val="52"/>
                        <w:szCs w:val="52"/>
                      </w:rPr>
                      <w:t>Design of an Accuracy and Warhead Performance Trial, Enhanced Paveway II Guided Bomb</w:t>
                    </w:r>
                  </w:p>
                </w:tc>
              </w:sdtContent>
            </w:sdt>
          </w:tr>
          <w:tr w:rsidR="004E0B2C" w:rsidTr="00333AFF">
            <w:trPr>
              <w:trHeight w:val="410"/>
            </w:trPr>
            <w:sdt>
              <w:sdtPr>
                <w:rPr>
                  <w:sz w:val="24"/>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Pr>
                  <w:p w:rsidR="004E0B2C" w:rsidRPr="00283FAD" w:rsidRDefault="00AE1E79" w:rsidP="00AE1E79">
                    <w:pPr>
                      <w:pStyle w:val="NoSpacing"/>
                      <w:rPr>
                        <w:sz w:val="24"/>
                      </w:rPr>
                    </w:pPr>
                    <w:r w:rsidRPr="00AE1E79">
                      <w:rPr>
                        <w:sz w:val="24"/>
                      </w:rPr>
                      <w:t>Design a test to evaluate the performance of a UK in-service Enhanced Paveway II Bomb</w:t>
                    </w:r>
                    <w:r>
                      <w:rPr>
                        <w:sz w:val="24"/>
                      </w:rPr>
                      <w:t>. This trial should provide observations of guidance accuracy and warhead performance, and critically evaluate trial decisions.</w:t>
                    </w:r>
                  </w:p>
                </w:tc>
              </w:sdtContent>
            </w:sdt>
          </w:tr>
          <w:tr w:rsidR="004E0B2C" w:rsidTr="00333AFF">
            <w:trPr>
              <w:trHeight w:val="28"/>
            </w:trPr>
            <w:tc>
              <w:tcPr>
                <w:tcW w:w="5000" w:type="pct"/>
              </w:tcPr>
              <w:p w:rsidR="004E0B2C" w:rsidRPr="00333AFF" w:rsidRDefault="00E719D2" w:rsidP="00333AFF">
                <w:pPr>
                  <w:pStyle w:val="NoSpacing"/>
                  <w:tabs>
                    <w:tab w:val="left" w:pos="1942"/>
                  </w:tabs>
                </w:pPr>
                <w:sdt>
                  <w:sdt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proofErr w:type="spellStart"/>
                    <w:r w:rsidR="00333AFF" w:rsidRPr="00333AFF">
                      <w:t>Mr</w:t>
                    </w:r>
                    <w:proofErr w:type="spellEnd"/>
                    <w:r w:rsidR="00333AFF" w:rsidRPr="00333AFF">
                      <w:t xml:space="preserve"> </w:t>
                    </w:r>
                    <w:r w:rsidR="004E0B2C" w:rsidRPr="00333AFF">
                      <w:rPr>
                        <w:lang w:val="en-GB"/>
                      </w:rPr>
                      <w:t>H</w:t>
                    </w:r>
                    <w:r w:rsidR="00333AFF" w:rsidRPr="00333AFF">
                      <w:rPr>
                        <w:lang w:val="en-GB"/>
                      </w:rPr>
                      <w:t>arry</w:t>
                    </w:r>
                    <w:r w:rsidR="004E0B2C" w:rsidRPr="00333AFF">
                      <w:rPr>
                        <w:lang w:val="en-GB"/>
                      </w:rPr>
                      <w:t xml:space="preserve"> McAuliffe</w:t>
                    </w:r>
                  </w:sdtContent>
                </w:sdt>
                <w:r w:rsidR="00333AFF" w:rsidRPr="00333AFF">
                  <w:tab/>
                </w:r>
              </w:p>
              <w:p w:rsidR="00AA1B20" w:rsidRDefault="00AA1B20" w:rsidP="00AA1B20">
                <w:pPr>
                  <w:pStyle w:val="NoSpacing"/>
                  <w:tabs>
                    <w:tab w:val="left" w:pos="1942"/>
                  </w:tabs>
                </w:pPr>
                <w:r>
                  <w:t>P144278</w:t>
                </w:r>
              </w:p>
              <w:p w:rsidR="00333AFF" w:rsidRPr="00333AFF" w:rsidRDefault="00AE1E79" w:rsidP="00AA1B20">
                <w:pPr>
                  <w:pStyle w:val="NoSpacing"/>
                  <w:tabs>
                    <w:tab w:val="left" w:pos="1942"/>
                  </w:tabs>
                  <w:rPr>
                    <w:b/>
                  </w:rPr>
                </w:pPr>
                <w:r w:rsidRPr="00AE1E79">
                  <w:t>Munitions M6X00944</w:t>
                </w:r>
              </w:p>
              <w:p w:rsidR="00333AFF" w:rsidRPr="00333AFF" w:rsidRDefault="00AE1E79" w:rsidP="00D12BE6">
                <w:pPr>
                  <w:pStyle w:val="Modcode"/>
                  <w:jc w:val="left"/>
                  <w:rPr>
                    <w:rFonts w:asciiTheme="minorHAnsi" w:hAnsiTheme="minorHAnsi"/>
                    <w:b w:val="0"/>
                    <w:sz w:val="22"/>
                    <w:szCs w:val="22"/>
                  </w:rPr>
                </w:pPr>
                <w:r>
                  <w:rPr>
                    <w:rFonts w:asciiTheme="minorHAnsi" w:hAnsiTheme="minorHAnsi"/>
                    <w:b w:val="0"/>
                    <w:caps w:val="0"/>
                    <w:sz w:val="22"/>
                    <w:szCs w:val="22"/>
                  </w:rPr>
                  <w:t>Mr Austin Clark</w:t>
                </w:r>
                <w:r w:rsidR="00E00F38">
                  <w:rPr>
                    <w:rFonts w:asciiTheme="minorHAnsi" w:hAnsiTheme="minorHAnsi"/>
                    <w:b w:val="0"/>
                    <w:caps w:val="0"/>
                    <w:sz w:val="22"/>
                    <w:szCs w:val="22"/>
                  </w:rPr>
                  <w:t xml:space="preserve"> &amp; Mr James Edwards</w:t>
                </w:r>
              </w:p>
            </w:tc>
          </w:tr>
        </w:tbl>
        <w:p w:rsidR="0060568B" w:rsidRDefault="004E0B2C" w:rsidP="005B4E88">
          <w:pPr>
            <w:jc w:val="both"/>
          </w:pPr>
          <w:r>
            <w:rPr>
              <w:noProof/>
              <w:lang w:eastAsia="en-GB"/>
            </w:rPr>
            <w:drawing>
              <wp:anchor distT="0" distB="0" distL="114300" distR="114300" simplePos="0" relativeHeight="251650560" behindDoc="1" locked="0" layoutInCell="1" allowOverlap="1" wp14:anchorId="4297533C" wp14:editId="4260FEC9">
                <wp:simplePos x="0" y="0"/>
                <wp:positionH relativeFrom="column">
                  <wp:posOffset>818515</wp:posOffset>
                </wp:positionH>
                <wp:positionV relativeFrom="paragraph">
                  <wp:posOffset>200660</wp:posOffset>
                </wp:positionV>
                <wp:extent cx="1934845" cy="527685"/>
                <wp:effectExtent l="0" t="0" r="8255" b="5715"/>
                <wp:wrapTight wrapText="bothSides">
                  <wp:wrapPolygon edited="0">
                    <wp:start x="0" y="0"/>
                    <wp:lineTo x="0" y="21054"/>
                    <wp:lineTo x="21479" y="21054"/>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9">
                          <a:extLst>
                            <a:ext uri="{28A0092B-C50C-407E-A947-70E740481C1C}">
                              <a14:useLocalDpi xmlns:a14="http://schemas.microsoft.com/office/drawing/2010/main" val="0"/>
                            </a:ext>
                          </a:extLst>
                        </a:blip>
                        <a:stretch>
                          <a:fillRect/>
                        </a:stretch>
                      </pic:blipFill>
                      <pic:spPr>
                        <a:xfrm>
                          <a:off x="0" y="0"/>
                          <a:ext cx="1934845" cy="527685"/>
                        </a:xfrm>
                        <a:prstGeom prst="rect">
                          <a:avLst/>
                        </a:prstGeom>
                      </pic:spPr>
                    </pic:pic>
                  </a:graphicData>
                </a:graphic>
                <wp14:sizeRelH relativeFrom="page">
                  <wp14:pctWidth>0</wp14:pctWidth>
                </wp14:sizeRelH>
                <wp14:sizeRelV relativeFrom="page">
                  <wp14:pctHeight>0</wp14:pctHeight>
                </wp14:sizeRelV>
              </wp:anchor>
            </w:drawing>
          </w:r>
          <w:r w:rsidR="0060568B">
            <w:br w:type="page"/>
          </w:r>
        </w:p>
      </w:sdtContent>
    </w:sdt>
    <w:bookmarkStart w:id="0" w:name="_Toc485928577" w:displacedByCustomXml="next"/>
    <w:sdt>
      <w:sdtPr>
        <w:rPr>
          <w:rFonts w:asciiTheme="minorHAnsi" w:eastAsiaTheme="minorHAnsi" w:hAnsiTheme="minorHAnsi" w:cstheme="minorBidi"/>
          <w:b w:val="0"/>
          <w:bCs w:val="0"/>
          <w:color w:val="auto"/>
          <w:sz w:val="22"/>
          <w:szCs w:val="22"/>
        </w:rPr>
        <w:id w:val="233360984"/>
        <w:docPartObj>
          <w:docPartGallery w:val="Table of Contents"/>
          <w:docPartUnique/>
        </w:docPartObj>
      </w:sdtPr>
      <w:sdtEndPr>
        <w:rPr>
          <w:noProof/>
        </w:rPr>
      </w:sdtEndPr>
      <w:sdtContent>
        <w:p w:rsidR="009C235A" w:rsidRDefault="009C235A" w:rsidP="005A3278">
          <w:pPr>
            <w:pStyle w:val="Heading1"/>
            <w:numPr>
              <w:ilvl w:val="0"/>
              <w:numId w:val="0"/>
            </w:numPr>
            <w:ind w:left="432" w:hanging="432"/>
          </w:pPr>
          <w:r>
            <w:t>Table of Contents</w:t>
          </w:r>
          <w:bookmarkEnd w:id="0"/>
        </w:p>
        <w:p w:rsidR="000E43E2" w:rsidRPr="000E43E2" w:rsidRDefault="000E43E2" w:rsidP="000E43E2">
          <w:pPr>
            <w:rPr>
              <w:lang w:val="en-US" w:eastAsia="ja-JP"/>
            </w:rPr>
          </w:pPr>
        </w:p>
        <w:p w:rsidR="005E39B9" w:rsidRDefault="009C235A">
          <w:pPr>
            <w:pStyle w:val="TOC1"/>
            <w:rPr>
              <w:rFonts w:eastAsiaTheme="minorEastAsia"/>
              <w:b w:val="0"/>
              <w:lang w:eastAsia="en-GB"/>
            </w:rPr>
          </w:pPr>
          <w:r>
            <w:rPr>
              <w:noProof w:val="0"/>
            </w:rPr>
            <w:fldChar w:fldCharType="begin"/>
          </w:r>
          <w:r>
            <w:instrText xml:space="preserve"> TOC \o "1-3" \h \z \u </w:instrText>
          </w:r>
          <w:r>
            <w:rPr>
              <w:noProof w:val="0"/>
            </w:rPr>
            <w:fldChar w:fldCharType="separate"/>
          </w:r>
          <w:hyperlink w:anchor="_Toc485928577" w:history="1">
            <w:r w:rsidR="005E39B9" w:rsidRPr="0025206E">
              <w:rPr>
                <w:rStyle w:val="Hyperlink"/>
              </w:rPr>
              <w:t>Table of Contents</w:t>
            </w:r>
            <w:r w:rsidR="005E39B9">
              <w:rPr>
                <w:webHidden/>
              </w:rPr>
              <w:tab/>
            </w:r>
            <w:r w:rsidR="005E39B9">
              <w:rPr>
                <w:webHidden/>
              </w:rPr>
              <w:fldChar w:fldCharType="begin"/>
            </w:r>
            <w:r w:rsidR="005E39B9">
              <w:rPr>
                <w:webHidden/>
              </w:rPr>
              <w:instrText xml:space="preserve"> PAGEREF _Toc485928577 \h </w:instrText>
            </w:r>
            <w:r w:rsidR="005E39B9">
              <w:rPr>
                <w:webHidden/>
              </w:rPr>
            </w:r>
            <w:r w:rsidR="005E39B9">
              <w:rPr>
                <w:webHidden/>
              </w:rPr>
              <w:fldChar w:fldCharType="separate"/>
            </w:r>
            <w:r w:rsidR="005E39B9">
              <w:rPr>
                <w:webHidden/>
              </w:rPr>
              <w:t>1</w:t>
            </w:r>
            <w:r w:rsidR="005E39B9">
              <w:rPr>
                <w:webHidden/>
              </w:rPr>
              <w:fldChar w:fldCharType="end"/>
            </w:r>
          </w:hyperlink>
        </w:p>
        <w:p w:rsidR="005E39B9" w:rsidRDefault="00E719D2">
          <w:pPr>
            <w:pStyle w:val="TOC1"/>
            <w:rPr>
              <w:rFonts w:eastAsiaTheme="minorEastAsia"/>
              <w:b w:val="0"/>
              <w:lang w:eastAsia="en-GB"/>
            </w:rPr>
          </w:pPr>
          <w:hyperlink w:anchor="_Toc485928578" w:history="1">
            <w:r w:rsidR="005E39B9" w:rsidRPr="0025206E">
              <w:rPr>
                <w:rStyle w:val="Hyperlink"/>
              </w:rPr>
              <w:t>Abstract</w:t>
            </w:r>
            <w:r w:rsidR="005E39B9">
              <w:rPr>
                <w:webHidden/>
              </w:rPr>
              <w:tab/>
            </w:r>
            <w:r w:rsidR="005E39B9">
              <w:rPr>
                <w:webHidden/>
              </w:rPr>
              <w:fldChar w:fldCharType="begin"/>
            </w:r>
            <w:r w:rsidR="005E39B9">
              <w:rPr>
                <w:webHidden/>
              </w:rPr>
              <w:instrText xml:space="preserve"> PAGEREF _Toc485928578 \h </w:instrText>
            </w:r>
            <w:r w:rsidR="005E39B9">
              <w:rPr>
                <w:webHidden/>
              </w:rPr>
            </w:r>
            <w:r w:rsidR="005E39B9">
              <w:rPr>
                <w:webHidden/>
              </w:rPr>
              <w:fldChar w:fldCharType="separate"/>
            </w:r>
            <w:r w:rsidR="005E39B9">
              <w:rPr>
                <w:webHidden/>
              </w:rPr>
              <w:t>2</w:t>
            </w:r>
            <w:r w:rsidR="005E39B9">
              <w:rPr>
                <w:webHidden/>
              </w:rPr>
              <w:fldChar w:fldCharType="end"/>
            </w:r>
          </w:hyperlink>
        </w:p>
        <w:p w:rsidR="005E39B9" w:rsidRDefault="00E719D2">
          <w:pPr>
            <w:pStyle w:val="TOC1"/>
            <w:rPr>
              <w:rFonts w:eastAsiaTheme="minorEastAsia"/>
              <w:b w:val="0"/>
              <w:lang w:eastAsia="en-GB"/>
            </w:rPr>
          </w:pPr>
          <w:hyperlink w:anchor="_Toc485928579" w:history="1">
            <w:r w:rsidR="005E39B9" w:rsidRPr="0025206E">
              <w:rPr>
                <w:rStyle w:val="Hyperlink"/>
              </w:rPr>
              <w:t>Definition of Terms</w:t>
            </w:r>
            <w:r w:rsidR="005E39B9">
              <w:rPr>
                <w:webHidden/>
              </w:rPr>
              <w:tab/>
            </w:r>
            <w:r w:rsidR="005E39B9">
              <w:rPr>
                <w:webHidden/>
              </w:rPr>
              <w:fldChar w:fldCharType="begin"/>
            </w:r>
            <w:r w:rsidR="005E39B9">
              <w:rPr>
                <w:webHidden/>
              </w:rPr>
              <w:instrText xml:space="preserve"> PAGEREF _Toc485928579 \h </w:instrText>
            </w:r>
            <w:r w:rsidR="005E39B9">
              <w:rPr>
                <w:webHidden/>
              </w:rPr>
            </w:r>
            <w:r w:rsidR="005E39B9">
              <w:rPr>
                <w:webHidden/>
              </w:rPr>
              <w:fldChar w:fldCharType="separate"/>
            </w:r>
            <w:r w:rsidR="005E39B9">
              <w:rPr>
                <w:webHidden/>
              </w:rPr>
              <w:t>2</w:t>
            </w:r>
            <w:r w:rsidR="005E39B9">
              <w:rPr>
                <w:webHidden/>
              </w:rPr>
              <w:fldChar w:fldCharType="end"/>
            </w:r>
          </w:hyperlink>
        </w:p>
        <w:p w:rsidR="005E39B9" w:rsidRDefault="00E719D2">
          <w:pPr>
            <w:pStyle w:val="TOC1"/>
            <w:rPr>
              <w:rFonts w:eastAsiaTheme="minorEastAsia"/>
              <w:b w:val="0"/>
              <w:lang w:eastAsia="en-GB"/>
            </w:rPr>
          </w:pPr>
          <w:hyperlink w:anchor="_Toc485928580" w:history="1">
            <w:r w:rsidR="005E39B9" w:rsidRPr="0025206E">
              <w:rPr>
                <w:rStyle w:val="Hyperlink"/>
              </w:rPr>
              <w:t>1.</w:t>
            </w:r>
            <w:r w:rsidR="005E39B9">
              <w:rPr>
                <w:rFonts w:eastAsiaTheme="minorEastAsia"/>
                <w:b w:val="0"/>
                <w:lang w:eastAsia="en-GB"/>
              </w:rPr>
              <w:tab/>
            </w:r>
            <w:r w:rsidR="005E39B9" w:rsidRPr="0025206E">
              <w:rPr>
                <w:rStyle w:val="Hyperlink"/>
              </w:rPr>
              <w:t>Introduction</w:t>
            </w:r>
            <w:r w:rsidR="005E39B9">
              <w:rPr>
                <w:webHidden/>
              </w:rPr>
              <w:tab/>
            </w:r>
            <w:r w:rsidR="005E39B9">
              <w:rPr>
                <w:webHidden/>
              </w:rPr>
              <w:fldChar w:fldCharType="begin"/>
            </w:r>
            <w:r w:rsidR="005E39B9">
              <w:rPr>
                <w:webHidden/>
              </w:rPr>
              <w:instrText xml:space="preserve"> PAGEREF _Toc485928580 \h </w:instrText>
            </w:r>
            <w:r w:rsidR="005E39B9">
              <w:rPr>
                <w:webHidden/>
              </w:rPr>
            </w:r>
            <w:r w:rsidR="005E39B9">
              <w:rPr>
                <w:webHidden/>
              </w:rPr>
              <w:fldChar w:fldCharType="separate"/>
            </w:r>
            <w:r w:rsidR="005E39B9">
              <w:rPr>
                <w:webHidden/>
              </w:rPr>
              <w:t>3</w:t>
            </w:r>
            <w:r w:rsidR="005E39B9">
              <w:rPr>
                <w:webHidden/>
              </w:rPr>
              <w:fldChar w:fldCharType="end"/>
            </w:r>
          </w:hyperlink>
        </w:p>
        <w:p w:rsidR="005E39B9" w:rsidRDefault="00E719D2">
          <w:pPr>
            <w:pStyle w:val="TOC1"/>
            <w:rPr>
              <w:rFonts w:eastAsiaTheme="minorEastAsia"/>
              <w:b w:val="0"/>
              <w:lang w:eastAsia="en-GB"/>
            </w:rPr>
          </w:pPr>
          <w:hyperlink w:anchor="_Toc485928581" w:history="1">
            <w:r w:rsidR="005E39B9" w:rsidRPr="0025206E">
              <w:rPr>
                <w:rStyle w:val="Hyperlink"/>
              </w:rPr>
              <w:t>2.</w:t>
            </w:r>
            <w:r w:rsidR="005E39B9">
              <w:rPr>
                <w:rFonts w:eastAsiaTheme="minorEastAsia"/>
                <w:b w:val="0"/>
                <w:lang w:eastAsia="en-GB"/>
              </w:rPr>
              <w:tab/>
            </w:r>
            <w:r w:rsidR="005E39B9" w:rsidRPr="0025206E">
              <w:rPr>
                <w:rStyle w:val="Hyperlink"/>
              </w:rPr>
              <w:t>Define the Test Asset – Enhanced Paveway II Guided Bomb</w:t>
            </w:r>
            <w:r w:rsidR="005E39B9">
              <w:rPr>
                <w:webHidden/>
              </w:rPr>
              <w:tab/>
            </w:r>
            <w:r w:rsidR="005E39B9">
              <w:rPr>
                <w:webHidden/>
              </w:rPr>
              <w:fldChar w:fldCharType="begin"/>
            </w:r>
            <w:r w:rsidR="005E39B9">
              <w:rPr>
                <w:webHidden/>
              </w:rPr>
              <w:instrText xml:space="preserve"> PAGEREF _Toc485928581 \h </w:instrText>
            </w:r>
            <w:r w:rsidR="005E39B9">
              <w:rPr>
                <w:webHidden/>
              </w:rPr>
            </w:r>
            <w:r w:rsidR="005E39B9">
              <w:rPr>
                <w:webHidden/>
              </w:rPr>
              <w:fldChar w:fldCharType="separate"/>
            </w:r>
            <w:r w:rsidR="005E39B9">
              <w:rPr>
                <w:webHidden/>
              </w:rPr>
              <w:t>3</w:t>
            </w:r>
            <w:r w:rsidR="005E39B9">
              <w:rPr>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2" w:history="1">
            <w:r w:rsidR="005E39B9" w:rsidRPr="0025206E">
              <w:rPr>
                <w:rStyle w:val="Hyperlink"/>
                <w:noProof/>
              </w:rPr>
              <w:t>2.1</w:t>
            </w:r>
            <w:r w:rsidR="005E39B9">
              <w:rPr>
                <w:rFonts w:eastAsiaTheme="minorEastAsia"/>
                <w:noProof/>
                <w:lang w:eastAsia="en-GB"/>
              </w:rPr>
              <w:tab/>
            </w:r>
            <w:r w:rsidR="005E39B9" w:rsidRPr="0025206E">
              <w:rPr>
                <w:rStyle w:val="Hyperlink"/>
                <w:noProof/>
              </w:rPr>
              <w:t>Command Methods and Guidance</w:t>
            </w:r>
            <w:r w:rsidR="005E39B9">
              <w:rPr>
                <w:noProof/>
                <w:webHidden/>
              </w:rPr>
              <w:tab/>
            </w:r>
            <w:r w:rsidR="005E39B9">
              <w:rPr>
                <w:noProof/>
                <w:webHidden/>
              </w:rPr>
              <w:fldChar w:fldCharType="begin"/>
            </w:r>
            <w:r w:rsidR="005E39B9">
              <w:rPr>
                <w:noProof/>
                <w:webHidden/>
              </w:rPr>
              <w:instrText xml:space="preserve"> PAGEREF _Toc485928582 \h </w:instrText>
            </w:r>
            <w:r w:rsidR="005E39B9">
              <w:rPr>
                <w:noProof/>
                <w:webHidden/>
              </w:rPr>
            </w:r>
            <w:r w:rsidR="005E39B9">
              <w:rPr>
                <w:noProof/>
                <w:webHidden/>
              </w:rPr>
              <w:fldChar w:fldCharType="separate"/>
            </w:r>
            <w:r w:rsidR="005E39B9">
              <w:rPr>
                <w:noProof/>
                <w:webHidden/>
              </w:rPr>
              <w:t>3</w:t>
            </w:r>
            <w:r w:rsidR="005E39B9">
              <w:rPr>
                <w:noProof/>
                <w:webHidden/>
              </w:rPr>
              <w:fldChar w:fldCharType="end"/>
            </w:r>
          </w:hyperlink>
        </w:p>
        <w:p w:rsidR="005E39B9" w:rsidRDefault="00E719D2">
          <w:pPr>
            <w:pStyle w:val="TOC1"/>
            <w:rPr>
              <w:rFonts w:eastAsiaTheme="minorEastAsia"/>
              <w:b w:val="0"/>
              <w:lang w:eastAsia="en-GB"/>
            </w:rPr>
          </w:pPr>
          <w:hyperlink w:anchor="_Toc485928583" w:history="1">
            <w:r w:rsidR="005E39B9" w:rsidRPr="0025206E">
              <w:rPr>
                <w:rStyle w:val="Hyperlink"/>
              </w:rPr>
              <w:t>3.</w:t>
            </w:r>
            <w:r w:rsidR="005E39B9">
              <w:rPr>
                <w:rFonts w:eastAsiaTheme="minorEastAsia"/>
                <w:b w:val="0"/>
                <w:lang w:eastAsia="en-GB"/>
              </w:rPr>
              <w:tab/>
            </w:r>
            <w:r w:rsidR="005E39B9" w:rsidRPr="0025206E">
              <w:rPr>
                <w:rStyle w:val="Hyperlink"/>
              </w:rPr>
              <w:t>Trial Conception</w:t>
            </w:r>
            <w:r w:rsidR="005E39B9">
              <w:rPr>
                <w:webHidden/>
              </w:rPr>
              <w:tab/>
            </w:r>
            <w:r w:rsidR="005E39B9">
              <w:rPr>
                <w:webHidden/>
              </w:rPr>
              <w:fldChar w:fldCharType="begin"/>
            </w:r>
            <w:r w:rsidR="005E39B9">
              <w:rPr>
                <w:webHidden/>
              </w:rPr>
              <w:instrText xml:space="preserve"> PAGEREF _Toc485928583 \h </w:instrText>
            </w:r>
            <w:r w:rsidR="005E39B9">
              <w:rPr>
                <w:webHidden/>
              </w:rPr>
            </w:r>
            <w:r w:rsidR="005E39B9">
              <w:rPr>
                <w:webHidden/>
              </w:rPr>
              <w:fldChar w:fldCharType="separate"/>
            </w:r>
            <w:r w:rsidR="005E39B9">
              <w:rPr>
                <w:webHidden/>
              </w:rPr>
              <w:t>4</w:t>
            </w:r>
            <w:r w:rsidR="005E39B9">
              <w:rPr>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4" w:history="1">
            <w:r w:rsidR="005E39B9" w:rsidRPr="0025206E">
              <w:rPr>
                <w:rStyle w:val="Hyperlink"/>
                <w:noProof/>
              </w:rPr>
              <w:t>3.1</w:t>
            </w:r>
            <w:r w:rsidR="005E39B9">
              <w:rPr>
                <w:rFonts w:eastAsiaTheme="minorEastAsia"/>
                <w:noProof/>
                <w:lang w:eastAsia="en-GB"/>
              </w:rPr>
              <w:tab/>
            </w:r>
            <w:r w:rsidR="005E39B9" w:rsidRPr="0025206E">
              <w:rPr>
                <w:rStyle w:val="Hyperlink"/>
                <w:noProof/>
              </w:rPr>
              <w:t>Trial Location</w:t>
            </w:r>
            <w:r w:rsidR="005E39B9">
              <w:rPr>
                <w:noProof/>
                <w:webHidden/>
              </w:rPr>
              <w:tab/>
            </w:r>
            <w:r w:rsidR="005E39B9">
              <w:rPr>
                <w:noProof/>
                <w:webHidden/>
              </w:rPr>
              <w:fldChar w:fldCharType="begin"/>
            </w:r>
            <w:r w:rsidR="005E39B9">
              <w:rPr>
                <w:noProof/>
                <w:webHidden/>
              </w:rPr>
              <w:instrText xml:space="preserve"> PAGEREF _Toc485928584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5" w:history="1">
            <w:r w:rsidR="005E39B9" w:rsidRPr="0025206E">
              <w:rPr>
                <w:rStyle w:val="Hyperlink"/>
                <w:noProof/>
              </w:rPr>
              <w:t>3.2</w:t>
            </w:r>
            <w:r w:rsidR="005E39B9">
              <w:rPr>
                <w:rFonts w:eastAsiaTheme="minorEastAsia"/>
                <w:noProof/>
                <w:lang w:eastAsia="en-GB"/>
              </w:rPr>
              <w:tab/>
            </w:r>
            <w:r w:rsidR="005E39B9" w:rsidRPr="0025206E">
              <w:rPr>
                <w:rStyle w:val="Hyperlink"/>
                <w:noProof/>
              </w:rPr>
              <w:t>Target System</w:t>
            </w:r>
            <w:r w:rsidR="005E39B9">
              <w:rPr>
                <w:noProof/>
                <w:webHidden/>
              </w:rPr>
              <w:tab/>
            </w:r>
            <w:r w:rsidR="005E39B9">
              <w:rPr>
                <w:noProof/>
                <w:webHidden/>
              </w:rPr>
              <w:fldChar w:fldCharType="begin"/>
            </w:r>
            <w:r w:rsidR="005E39B9">
              <w:rPr>
                <w:noProof/>
                <w:webHidden/>
              </w:rPr>
              <w:instrText xml:space="preserve"> PAGEREF _Toc485928585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6" w:history="1">
            <w:r w:rsidR="005E39B9" w:rsidRPr="0025206E">
              <w:rPr>
                <w:rStyle w:val="Hyperlink"/>
                <w:noProof/>
              </w:rPr>
              <w:t>3.3</w:t>
            </w:r>
            <w:r w:rsidR="005E39B9">
              <w:rPr>
                <w:rFonts w:eastAsiaTheme="minorEastAsia"/>
                <w:noProof/>
                <w:lang w:eastAsia="en-GB"/>
              </w:rPr>
              <w:tab/>
            </w:r>
            <w:r w:rsidR="005E39B9" w:rsidRPr="0025206E">
              <w:rPr>
                <w:rStyle w:val="Hyperlink"/>
                <w:noProof/>
              </w:rPr>
              <w:t>Range Infrastructure and Applicable Equipment</w:t>
            </w:r>
            <w:r w:rsidR="005E39B9">
              <w:rPr>
                <w:noProof/>
                <w:webHidden/>
              </w:rPr>
              <w:tab/>
            </w:r>
            <w:r w:rsidR="005E39B9">
              <w:rPr>
                <w:noProof/>
                <w:webHidden/>
              </w:rPr>
              <w:fldChar w:fldCharType="begin"/>
            </w:r>
            <w:r w:rsidR="005E39B9">
              <w:rPr>
                <w:noProof/>
                <w:webHidden/>
              </w:rPr>
              <w:instrText xml:space="preserve"> PAGEREF _Toc485928586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1"/>
            <w:rPr>
              <w:rFonts w:eastAsiaTheme="minorEastAsia"/>
              <w:b w:val="0"/>
              <w:lang w:eastAsia="en-GB"/>
            </w:rPr>
          </w:pPr>
          <w:hyperlink w:anchor="_Toc485928587" w:history="1">
            <w:r w:rsidR="005E39B9" w:rsidRPr="0025206E">
              <w:rPr>
                <w:rStyle w:val="Hyperlink"/>
              </w:rPr>
              <w:t>4.</w:t>
            </w:r>
            <w:r w:rsidR="005E39B9">
              <w:rPr>
                <w:rFonts w:eastAsiaTheme="minorEastAsia"/>
                <w:b w:val="0"/>
                <w:lang w:eastAsia="en-GB"/>
              </w:rPr>
              <w:tab/>
            </w:r>
            <w:r w:rsidR="005E39B9" w:rsidRPr="0025206E">
              <w:rPr>
                <w:rStyle w:val="Hyperlink"/>
              </w:rPr>
              <w:t>Trial Instrumentation</w:t>
            </w:r>
            <w:r w:rsidR="005E39B9">
              <w:rPr>
                <w:webHidden/>
              </w:rPr>
              <w:tab/>
            </w:r>
            <w:r w:rsidR="005E39B9">
              <w:rPr>
                <w:webHidden/>
              </w:rPr>
              <w:fldChar w:fldCharType="begin"/>
            </w:r>
            <w:r w:rsidR="005E39B9">
              <w:rPr>
                <w:webHidden/>
              </w:rPr>
              <w:instrText xml:space="preserve"> PAGEREF _Toc485928587 \h </w:instrText>
            </w:r>
            <w:r w:rsidR="005E39B9">
              <w:rPr>
                <w:webHidden/>
              </w:rPr>
            </w:r>
            <w:r w:rsidR="005E39B9">
              <w:rPr>
                <w:webHidden/>
              </w:rPr>
              <w:fldChar w:fldCharType="separate"/>
            </w:r>
            <w:r w:rsidR="005E39B9">
              <w:rPr>
                <w:webHidden/>
              </w:rPr>
              <w:t>4</w:t>
            </w:r>
            <w:r w:rsidR="005E39B9">
              <w:rPr>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8" w:history="1">
            <w:r w:rsidR="005E39B9" w:rsidRPr="0025206E">
              <w:rPr>
                <w:rStyle w:val="Hyperlink"/>
                <w:noProof/>
              </w:rPr>
              <w:t>4.1</w:t>
            </w:r>
            <w:r w:rsidR="005E39B9">
              <w:rPr>
                <w:rFonts w:eastAsiaTheme="minorEastAsia"/>
                <w:noProof/>
                <w:lang w:eastAsia="en-GB"/>
              </w:rPr>
              <w:tab/>
            </w:r>
            <w:r w:rsidR="005E39B9" w:rsidRPr="0025206E">
              <w:rPr>
                <w:rStyle w:val="Hyperlink"/>
                <w:noProof/>
              </w:rPr>
              <w:t>Terminal Ballistic Measurement</w:t>
            </w:r>
            <w:r w:rsidR="005E39B9">
              <w:rPr>
                <w:noProof/>
                <w:webHidden/>
              </w:rPr>
              <w:tab/>
            </w:r>
            <w:r w:rsidR="005E39B9">
              <w:rPr>
                <w:noProof/>
                <w:webHidden/>
              </w:rPr>
              <w:fldChar w:fldCharType="begin"/>
            </w:r>
            <w:r w:rsidR="005E39B9">
              <w:rPr>
                <w:noProof/>
                <w:webHidden/>
              </w:rPr>
              <w:instrText xml:space="preserve"> PAGEREF _Toc485928588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89" w:history="1">
            <w:r w:rsidR="005E39B9" w:rsidRPr="0025206E">
              <w:rPr>
                <w:rStyle w:val="Hyperlink"/>
                <w:noProof/>
              </w:rPr>
              <w:t>4.2</w:t>
            </w:r>
            <w:r w:rsidR="005E39B9">
              <w:rPr>
                <w:rFonts w:eastAsiaTheme="minorEastAsia"/>
                <w:noProof/>
                <w:lang w:eastAsia="en-GB"/>
              </w:rPr>
              <w:tab/>
            </w:r>
            <w:r w:rsidR="005E39B9" w:rsidRPr="0025206E">
              <w:rPr>
                <w:rStyle w:val="Hyperlink"/>
                <w:noProof/>
              </w:rPr>
              <w:t>Blast</w:t>
            </w:r>
            <w:r w:rsidR="005E39B9">
              <w:rPr>
                <w:noProof/>
                <w:webHidden/>
              </w:rPr>
              <w:tab/>
            </w:r>
            <w:r w:rsidR="005E39B9">
              <w:rPr>
                <w:noProof/>
                <w:webHidden/>
              </w:rPr>
              <w:fldChar w:fldCharType="begin"/>
            </w:r>
            <w:r w:rsidR="005E39B9">
              <w:rPr>
                <w:noProof/>
                <w:webHidden/>
              </w:rPr>
              <w:instrText xml:space="preserve"> PAGEREF _Toc485928589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0" w:history="1">
            <w:r w:rsidR="005E39B9" w:rsidRPr="0025206E">
              <w:rPr>
                <w:rStyle w:val="Hyperlink"/>
                <w:noProof/>
              </w:rPr>
              <w:t>4.3</w:t>
            </w:r>
            <w:r w:rsidR="005E39B9">
              <w:rPr>
                <w:rFonts w:eastAsiaTheme="minorEastAsia"/>
                <w:noProof/>
                <w:lang w:eastAsia="en-GB"/>
              </w:rPr>
              <w:tab/>
            </w:r>
            <w:r w:rsidR="005E39B9" w:rsidRPr="0025206E">
              <w:rPr>
                <w:rStyle w:val="Hyperlink"/>
                <w:noProof/>
              </w:rPr>
              <w:t>Photographic</w:t>
            </w:r>
            <w:r w:rsidR="005E39B9">
              <w:rPr>
                <w:noProof/>
                <w:webHidden/>
              </w:rPr>
              <w:tab/>
            </w:r>
            <w:r w:rsidR="005E39B9">
              <w:rPr>
                <w:noProof/>
                <w:webHidden/>
              </w:rPr>
              <w:fldChar w:fldCharType="begin"/>
            </w:r>
            <w:r w:rsidR="005E39B9">
              <w:rPr>
                <w:noProof/>
                <w:webHidden/>
              </w:rPr>
              <w:instrText xml:space="preserve"> PAGEREF _Toc485928590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1" w:history="1">
            <w:r w:rsidR="005E39B9" w:rsidRPr="0025206E">
              <w:rPr>
                <w:rStyle w:val="Hyperlink"/>
                <w:noProof/>
              </w:rPr>
              <w:t>4.4</w:t>
            </w:r>
            <w:r w:rsidR="005E39B9">
              <w:rPr>
                <w:rFonts w:eastAsiaTheme="minorEastAsia"/>
                <w:noProof/>
                <w:lang w:eastAsia="en-GB"/>
              </w:rPr>
              <w:tab/>
            </w:r>
            <w:r w:rsidR="005E39B9" w:rsidRPr="0025206E">
              <w:rPr>
                <w:rStyle w:val="Hyperlink"/>
                <w:noProof/>
              </w:rPr>
              <w:t>Risk to Equipment</w:t>
            </w:r>
            <w:r w:rsidR="005E39B9">
              <w:rPr>
                <w:noProof/>
                <w:webHidden/>
              </w:rPr>
              <w:tab/>
            </w:r>
            <w:r w:rsidR="005E39B9">
              <w:rPr>
                <w:noProof/>
                <w:webHidden/>
              </w:rPr>
              <w:fldChar w:fldCharType="begin"/>
            </w:r>
            <w:r w:rsidR="005E39B9">
              <w:rPr>
                <w:noProof/>
                <w:webHidden/>
              </w:rPr>
              <w:instrText xml:space="preserve"> PAGEREF _Toc485928591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1"/>
            <w:rPr>
              <w:rFonts w:eastAsiaTheme="minorEastAsia"/>
              <w:b w:val="0"/>
              <w:lang w:eastAsia="en-GB"/>
            </w:rPr>
          </w:pPr>
          <w:hyperlink w:anchor="_Toc485928592" w:history="1">
            <w:r w:rsidR="005E39B9" w:rsidRPr="0025206E">
              <w:rPr>
                <w:rStyle w:val="Hyperlink"/>
              </w:rPr>
              <w:t>5.</w:t>
            </w:r>
            <w:r w:rsidR="005E39B9">
              <w:rPr>
                <w:rFonts w:eastAsiaTheme="minorEastAsia"/>
                <w:b w:val="0"/>
                <w:lang w:eastAsia="en-GB"/>
              </w:rPr>
              <w:tab/>
            </w:r>
            <w:r w:rsidR="005E39B9" w:rsidRPr="0025206E">
              <w:rPr>
                <w:rStyle w:val="Hyperlink"/>
              </w:rPr>
              <w:t>Safety and Legal Considerations</w:t>
            </w:r>
            <w:r w:rsidR="005E39B9">
              <w:rPr>
                <w:webHidden/>
              </w:rPr>
              <w:tab/>
            </w:r>
            <w:r w:rsidR="005E39B9">
              <w:rPr>
                <w:webHidden/>
              </w:rPr>
              <w:fldChar w:fldCharType="begin"/>
            </w:r>
            <w:r w:rsidR="005E39B9">
              <w:rPr>
                <w:webHidden/>
              </w:rPr>
              <w:instrText xml:space="preserve"> PAGEREF _Toc485928592 \h </w:instrText>
            </w:r>
            <w:r w:rsidR="005E39B9">
              <w:rPr>
                <w:webHidden/>
              </w:rPr>
            </w:r>
            <w:r w:rsidR="005E39B9">
              <w:rPr>
                <w:webHidden/>
              </w:rPr>
              <w:fldChar w:fldCharType="separate"/>
            </w:r>
            <w:r w:rsidR="005E39B9">
              <w:rPr>
                <w:webHidden/>
              </w:rPr>
              <w:t>4</w:t>
            </w:r>
            <w:r w:rsidR="005E39B9">
              <w:rPr>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3" w:history="1">
            <w:r w:rsidR="005E39B9" w:rsidRPr="0025206E">
              <w:rPr>
                <w:rStyle w:val="Hyperlink"/>
                <w:noProof/>
              </w:rPr>
              <w:t>5.1</w:t>
            </w:r>
            <w:r w:rsidR="005E39B9">
              <w:rPr>
                <w:rFonts w:eastAsiaTheme="minorEastAsia"/>
                <w:noProof/>
                <w:lang w:eastAsia="en-GB"/>
              </w:rPr>
              <w:tab/>
            </w:r>
            <w:r w:rsidR="005E39B9" w:rsidRPr="0025206E">
              <w:rPr>
                <w:rStyle w:val="Hyperlink"/>
                <w:noProof/>
              </w:rPr>
              <w:t>Trial Safety</w:t>
            </w:r>
            <w:r w:rsidR="005E39B9">
              <w:rPr>
                <w:noProof/>
                <w:webHidden/>
              </w:rPr>
              <w:tab/>
            </w:r>
            <w:r w:rsidR="005E39B9">
              <w:rPr>
                <w:noProof/>
                <w:webHidden/>
              </w:rPr>
              <w:fldChar w:fldCharType="begin"/>
            </w:r>
            <w:r w:rsidR="005E39B9">
              <w:rPr>
                <w:noProof/>
                <w:webHidden/>
              </w:rPr>
              <w:instrText xml:space="preserve"> PAGEREF _Toc485928593 \h </w:instrText>
            </w:r>
            <w:r w:rsidR="005E39B9">
              <w:rPr>
                <w:noProof/>
                <w:webHidden/>
              </w:rPr>
            </w:r>
            <w:r w:rsidR="005E39B9">
              <w:rPr>
                <w:noProof/>
                <w:webHidden/>
              </w:rPr>
              <w:fldChar w:fldCharType="separate"/>
            </w:r>
            <w:r w:rsidR="005E39B9">
              <w:rPr>
                <w:noProof/>
                <w:webHidden/>
              </w:rPr>
              <w:t>4</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4" w:history="1">
            <w:r w:rsidR="005E39B9" w:rsidRPr="0025206E">
              <w:rPr>
                <w:rStyle w:val="Hyperlink"/>
                <w:noProof/>
              </w:rPr>
              <w:t>5.2</w:t>
            </w:r>
            <w:r w:rsidR="005E39B9">
              <w:rPr>
                <w:rFonts w:eastAsiaTheme="minorEastAsia"/>
                <w:noProof/>
                <w:lang w:eastAsia="en-GB"/>
              </w:rPr>
              <w:tab/>
            </w:r>
            <w:r w:rsidR="005E39B9" w:rsidRPr="0025206E">
              <w:rPr>
                <w:rStyle w:val="Hyperlink"/>
                <w:noProof/>
              </w:rPr>
              <w:t>Storage and Transport</w:t>
            </w:r>
            <w:r w:rsidR="005E39B9">
              <w:rPr>
                <w:noProof/>
                <w:webHidden/>
              </w:rPr>
              <w:tab/>
            </w:r>
            <w:r w:rsidR="005E39B9">
              <w:rPr>
                <w:noProof/>
                <w:webHidden/>
              </w:rPr>
              <w:fldChar w:fldCharType="begin"/>
            </w:r>
            <w:r w:rsidR="005E39B9">
              <w:rPr>
                <w:noProof/>
                <w:webHidden/>
              </w:rPr>
              <w:instrText xml:space="preserve"> PAGEREF _Toc485928594 \h </w:instrText>
            </w:r>
            <w:r w:rsidR="005E39B9">
              <w:rPr>
                <w:noProof/>
                <w:webHidden/>
              </w:rPr>
            </w:r>
            <w:r w:rsidR="005E39B9">
              <w:rPr>
                <w:noProof/>
                <w:webHidden/>
              </w:rPr>
              <w:fldChar w:fldCharType="separate"/>
            </w:r>
            <w:r w:rsidR="005E39B9">
              <w:rPr>
                <w:noProof/>
                <w:webHidden/>
              </w:rPr>
              <w:t>5</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5" w:history="1">
            <w:r w:rsidR="005E39B9" w:rsidRPr="0025206E">
              <w:rPr>
                <w:rStyle w:val="Hyperlink"/>
                <w:noProof/>
              </w:rPr>
              <w:t>5.3</w:t>
            </w:r>
            <w:r w:rsidR="005E39B9">
              <w:rPr>
                <w:rFonts w:eastAsiaTheme="minorEastAsia"/>
                <w:noProof/>
                <w:lang w:eastAsia="en-GB"/>
              </w:rPr>
              <w:tab/>
            </w:r>
            <w:r w:rsidR="005E39B9" w:rsidRPr="0025206E">
              <w:rPr>
                <w:rStyle w:val="Hyperlink"/>
                <w:noProof/>
              </w:rPr>
              <w:t>Munition defects and history</w:t>
            </w:r>
            <w:r w:rsidR="005E39B9">
              <w:rPr>
                <w:noProof/>
                <w:webHidden/>
              </w:rPr>
              <w:tab/>
            </w:r>
            <w:r w:rsidR="005E39B9">
              <w:rPr>
                <w:noProof/>
                <w:webHidden/>
              </w:rPr>
              <w:fldChar w:fldCharType="begin"/>
            </w:r>
            <w:r w:rsidR="005E39B9">
              <w:rPr>
                <w:noProof/>
                <w:webHidden/>
              </w:rPr>
              <w:instrText xml:space="preserve"> PAGEREF _Toc485928595 \h </w:instrText>
            </w:r>
            <w:r w:rsidR="005E39B9">
              <w:rPr>
                <w:noProof/>
                <w:webHidden/>
              </w:rPr>
            </w:r>
            <w:r w:rsidR="005E39B9">
              <w:rPr>
                <w:noProof/>
                <w:webHidden/>
              </w:rPr>
              <w:fldChar w:fldCharType="separate"/>
            </w:r>
            <w:r w:rsidR="005E39B9">
              <w:rPr>
                <w:noProof/>
                <w:webHidden/>
              </w:rPr>
              <w:t>5</w:t>
            </w:r>
            <w:r w:rsidR="005E39B9">
              <w:rPr>
                <w:noProof/>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6" w:history="1">
            <w:r w:rsidR="005E39B9" w:rsidRPr="0025206E">
              <w:rPr>
                <w:rStyle w:val="Hyperlink"/>
                <w:noProof/>
              </w:rPr>
              <w:t>5.4</w:t>
            </w:r>
            <w:r w:rsidR="005E39B9">
              <w:rPr>
                <w:rFonts w:eastAsiaTheme="minorEastAsia"/>
                <w:noProof/>
                <w:lang w:eastAsia="en-GB"/>
              </w:rPr>
              <w:tab/>
            </w:r>
            <w:r w:rsidR="005E39B9" w:rsidRPr="0025206E">
              <w:rPr>
                <w:rStyle w:val="Hyperlink"/>
                <w:noProof/>
              </w:rPr>
              <w:t>Laser Hazards</w:t>
            </w:r>
            <w:r w:rsidR="005E39B9">
              <w:rPr>
                <w:noProof/>
                <w:webHidden/>
              </w:rPr>
              <w:tab/>
            </w:r>
            <w:r w:rsidR="005E39B9">
              <w:rPr>
                <w:noProof/>
                <w:webHidden/>
              </w:rPr>
              <w:fldChar w:fldCharType="begin"/>
            </w:r>
            <w:r w:rsidR="005E39B9">
              <w:rPr>
                <w:noProof/>
                <w:webHidden/>
              </w:rPr>
              <w:instrText xml:space="preserve"> PAGEREF _Toc485928596 \h </w:instrText>
            </w:r>
            <w:r w:rsidR="005E39B9">
              <w:rPr>
                <w:noProof/>
                <w:webHidden/>
              </w:rPr>
            </w:r>
            <w:r w:rsidR="005E39B9">
              <w:rPr>
                <w:noProof/>
                <w:webHidden/>
              </w:rPr>
              <w:fldChar w:fldCharType="separate"/>
            </w:r>
            <w:r w:rsidR="005E39B9">
              <w:rPr>
                <w:noProof/>
                <w:webHidden/>
              </w:rPr>
              <w:t>5</w:t>
            </w:r>
            <w:r w:rsidR="005E39B9">
              <w:rPr>
                <w:noProof/>
                <w:webHidden/>
              </w:rPr>
              <w:fldChar w:fldCharType="end"/>
            </w:r>
          </w:hyperlink>
        </w:p>
        <w:p w:rsidR="005E39B9" w:rsidRDefault="00E719D2">
          <w:pPr>
            <w:pStyle w:val="TOC1"/>
            <w:rPr>
              <w:rFonts w:eastAsiaTheme="minorEastAsia"/>
              <w:b w:val="0"/>
              <w:lang w:eastAsia="en-GB"/>
            </w:rPr>
          </w:pPr>
          <w:hyperlink w:anchor="_Toc485928597" w:history="1">
            <w:r w:rsidR="005E39B9" w:rsidRPr="0025206E">
              <w:rPr>
                <w:rStyle w:val="Hyperlink"/>
              </w:rPr>
              <w:t>6.</w:t>
            </w:r>
            <w:r w:rsidR="005E39B9">
              <w:rPr>
                <w:rFonts w:eastAsiaTheme="minorEastAsia"/>
                <w:b w:val="0"/>
                <w:lang w:eastAsia="en-GB"/>
              </w:rPr>
              <w:tab/>
            </w:r>
            <w:r w:rsidR="005E39B9" w:rsidRPr="0025206E">
              <w:rPr>
                <w:rStyle w:val="Hyperlink"/>
              </w:rPr>
              <w:t>Conclusion</w:t>
            </w:r>
            <w:r w:rsidR="005E39B9">
              <w:rPr>
                <w:webHidden/>
              </w:rPr>
              <w:tab/>
            </w:r>
            <w:r w:rsidR="005E39B9">
              <w:rPr>
                <w:webHidden/>
              </w:rPr>
              <w:fldChar w:fldCharType="begin"/>
            </w:r>
            <w:r w:rsidR="005E39B9">
              <w:rPr>
                <w:webHidden/>
              </w:rPr>
              <w:instrText xml:space="preserve"> PAGEREF _Toc485928597 \h </w:instrText>
            </w:r>
            <w:r w:rsidR="005E39B9">
              <w:rPr>
                <w:webHidden/>
              </w:rPr>
            </w:r>
            <w:r w:rsidR="005E39B9">
              <w:rPr>
                <w:webHidden/>
              </w:rPr>
              <w:fldChar w:fldCharType="separate"/>
            </w:r>
            <w:r w:rsidR="005E39B9">
              <w:rPr>
                <w:webHidden/>
              </w:rPr>
              <w:t>5</w:t>
            </w:r>
            <w:r w:rsidR="005E39B9">
              <w:rPr>
                <w:webHidden/>
              </w:rPr>
              <w:fldChar w:fldCharType="end"/>
            </w:r>
          </w:hyperlink>
        </w:p>
        <w:p w:rsidR="005E39B9" w:rsidRDefault="00E719D2">
          <w:pPr>
            <w:pStyle w:val="TOC2"/>
            <w:tabs>
              <w:tab w:val="left" w:pos="880"/>
              <w:tab w:val="right" w:leader="dot" w:pos="9016"/>
            </w:tabs>
            <w:rPr>
              <w:rFonts w:eastAsiaTheme="minorEastAsia"/>
              <w:noProof/>
              <w:lang w:eastAsia="en-GB"/>
            </w:rPr>
          </w:pPr>
          <w:hyperlink w:anchor="_Toc485928598" w:history="1">
            <w:r w:rsidR="005E39B9" w:rsidRPr="0025206E">
              <w:rPr>
                <w:rStyle w:val="Hyperlink"/>
                <w:noProof/>
              </w:rPr>
              <w:t>6.1</w:t>
            </w:r>
            <w:r w:rsidR="005E39B9">
              <w:rPr>
                <w:rFonts w:eastAsiaTheme="minorEastAsia"/>
                <w:noProof/>
                <w:lang w:eastAsia="en-GB"/>
              </w:rPr>
              <w:tab/>
            </w:r>
            <w:r w:rsidR="005E39B9" w:rsidRPr="0025206E">
              <w:rPr>
                <w:rStyle w:val="Hyperlink"/>
                <w:noProof/>
              </w:rPr>
              <w:t>Conclusion</w:t>
            </w:r>
            <w:r w:rsidR="005E39B9">
              <w:rPr>
                <w:noProof/>
                <w:webHidden/>
              </w:rPr>
              <w:tab/>
            </w:r>
            <w:r w:rsidR="005E39B9">
              <w:rPr>
                <w:noProof/>
                <w:webHidden/>
              </w:rPr>
              <w:fldChar w:fldCharType="begin"/>
            </w:r>
            <w:r w:rsidR="005E39B9">
              <w:rPr>
                <w:noProof/>
                <w:webHidden/>
              </w:rPr>
              <w:instrText xml:space="preserve"> PAGEREF _Toc485928598 \h </w:instrText>
            </w:r>
            <w:r w:rsidR="005E39B9">
              <w:rPr>
                <w:noProof/>
                <w:webHidden/>
              </w:rPr>
            </w:r>
            <w:r w:rsidR="005E39B9">
              <w:rPr>
                <w:noProof/>
                <w:webHidden/>
              </w:rPr>
              <w:fldChar w:fldCharType="separate"/>
            </w:r>
            <w:r w:rsidR="005E39B9">
              <w:rPr>
                <w:noProof/>
                <w:webHidden/>
              </w:rPr>
              <w:t>5</w:t>
            </w:r>
            <w:r w:rsidR="005E39B9">
              <w:rPr>
                <w:noProof/>
                <w:webHidden/>
              </w:rPr>
              <w:fldChar w:fldCharType="end"/>
            </w:r>
          </w:hyperlink>
        </w:p>
        <w:p w:rsidR="005E39B9" w:rsidRDefault="00E719D2">
          <w:pPr>
            <w:pStyle w:val="TOC1"/>
            <w:rPr>
              <w:rFonts w:eastAsiaTheme="minorEastAsia"/>
              <w:b w:val="0"/>
              <w:lang w:eastAsia="en-GB"/>
            </w:rPr>
          </w:pPr>
          <w:hyperlink w:anchor="_Toc485928599" w:history="1">
            <w:r w:rsidR="005E39B9" w:rsidRPr="0025206E">
              <w:rPr>
                <w:rStyle w:val="Hyperlink"/>
              </w:rPr>
              <w:t>7.</w:t>
            </w:r>
            <w:r w:rsidR="005E39B9">
              <w:rPr>
                <w:rFonts w:eastAsiaTheme="minorEastAsia"/>
                <w:b w:val="0"/>
                <w:lang w:eastAsia="en-GB"/>
              </w:rPr>
              <w:tab/>
            </w:r>
            <w:r w:rsidR="005E39B9" w:rsidRPr="0025206E">
              <w:rPr>
                <w:rStyle w:val="Hyperlink"/>
              </w:rPr>
              <w:t>Works Cited</w:t>
            </w:r>
            <w:r w:rsidR="005E39B9">
              <w:rPr>
                <w:webHidden/>
              </w:rPr>
              <w:tab/>
            </w:r>
            <w:r w:rsidR="005E39B9">
              <w:rPr>
                <w:webHidden/>
              </w:rPr>
              <w:fldChar w:fldCharType="begin"/>
            </w:r>
            <w:r w:rsidR="005E39B9">
              <w:rPr>
                <w:webHidden/>
              </w:rPr>
              <w:instrText xml:space="preserve"> PAGEREF _Toc485928599 \h </w:instrText>
            </w:r>
            <w:r w:rsidR="005E39B9">
              <w:rPr>
                <w:webHidden/>
              </w:rPr>
            </w:r>
            <w:r w:rsidR="005E39B9">
              <w:rPr>
                <w:webHidden/>
              </w:rPr>
              <w:fldChar w:fldCharType="separate"/>
            </w:r>
            <w:r w:rsidR="005E39B9">
              <w:rPr>
                <w:webHidden/>
              </w:rPr>
              <w:t>5</w:t>
            </w:r>
            <w:r w:rsidR="005E39B9">
              <w:rPr>
                <w:webHidden/>
              </w:rPr>
              <w:fldChar w:fldCharType="end"/>
            </w:r>
          </w:hyperlink>
        </w:p>
        <w:p w:rsidR="005E39B9" w:rsidRDefault="00E719D2">
          <w:pPr>
            <w:pStyle w:val="TOC1"/>
            <w:rPr>
              <w:rFonts w:eastAsiaTheme="minorEastAsia"/>
              <w:b w:val="0"/>
              <w:lang w:eastAsia="en-GB"/>
            </w:rPr>
          </w:pPr>
          <w:hyperlink w:anchor="_Toc485928600" w:history="1">
            <w:r w:rsidR="005E39B9" w:rsidRPr="0025206E">
              <w:rPr>
                <w:rStyle w:val="Hyperlink"/>
              </w:rPr>
              <w:t>8.</w:t>
            </w:r>
            <w:r w:rsidR="005E39B9">
              <w:rPr>
                <w:rFonts w:eastAsiaTheme="minorEastAsia"/>
                <w:b w:val="0"/>
                <w:lang w:eastAsia="en-GB"/>
              </w:rPr>
              <w:tab/>
            </w:r>
            <w:r w:rsidR="005E39B9" w:rsidRPr="0025206E">
              <w:rPr>
                <w:rStyle w:val="Hyperlink"/>
              </w:rPr>
              <w:t>Appendices</w:t>
            </w:r>
            <w:r w:rsidR="005E39B9">
              <w:rPr>
                <w:webHidden/>
              </w:rPr>
              <w:tab/>
            </w:r>
            <w:r w:rsidR="005E39B9">
              <w:rPr>
                <w:webHidden/>
              </w:rPr>
              <w:fldChar w:fldCharType="begin"/>
            </w:r>
            <w:r w:rsidR="005E39B9">
              <w:rPr>
                <w:webHidden/>
              </w:rPr>
              <w:instrText xml:space="preserve"> PAGEREF _Toc485928600 \h </w:instrText>
            </w:r>
            <w:r w:rsidR="005E39B9">
              <w:rPr>
                <w:webHidden/>
              </w:rPr>
            </w:r>
            <w:r w:rsidR="005E39B9">
              <w:rPr>
                <w:webHidden/>
              </w:rPr>
              <w:fldChar w:fldCharType="separate"/>
            </w:r>
            <w:r w:rsidR="005E39B9">
              <w:rPr>
                <w:webHidden/>
              </w:rPr>
              <w:t>5</w:t>
            </w:r>
            <w:r w:rsidR="005E39B9">
              <w:rPr>
                <w:webHidden/>
              </w:rPr>
              <w:fldChar w:fldCharType="end"/>
            </w:r>
          </w:hyperlink>
        </w:p>
        <w:p w:rsidR="009C235A" w:rsidRDefault="009C235A">
          <w:r>
            <w:rPr>
              <w:b/>
              <w:bCs/>
              <w:noProof/>
            </w:rPr>
            <w:fldChar w:fldCharType="end"/>
          </w:r>
        </w:p>
      </w:sdtContent>
    </w:sdt>
    <w:p w:rsidR="005E39B9" w:rsidRDefault="005E39B9" w:rsidP="005E39B9">
      <w:pPr>
        <w:sectPr w:rsidR="005E39B9" w:rsidSect="0060568B">
          <w:headerReference w:type="default"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bookmarkStart w:id="1" w:name="_Toc485928578"/>
    </w:p>
    <w:p w:rsidR="00002AC6" w:rsidRPr="005E39B9" w:rsidRDefault="00D345AC" w:rsidP="005E39B9">
      <w:pPr>
        <w:pStyle w:val="Heading1"/>
        <w:numPr>
          <w:ilvl w:val="0"/>
          <w:numId w:val="0"/>
        </w:numPr>
        <w:ind w:left="432" w:hanging="432"/>
      </w:pPr>
      <w:r>
        <w:lastRenderedPageBreak/>
        <w:t>Abstract</w:t>
      </w:r>
      <w:bookmarkEnd w:id="1"/>
    </w:p>
    <w:p w:rsidR="00930986" w:rsidRPr="00930986" w:rsidRDefault="00930986" w:rsidP="00930986">
      <w:r w:rsidRPr="00930986">
        <w:t>The principle method to determine warhead accuracy in this trial is through the use of photography. As such, two high speed Phantom Cameras would be required to attain a suitable measurement of the point of detonation. This would need to be validated by the use of a scale.</w:t>
      </w:r>
    </w:p>
    <w:p w:rsidR="00930986" w:rsidRPr="00930986" w:rsidRDefault="00930986" w:rsidP="00930986">
      <w:r w:rsidRPr="00930986">
        <w:t>In the target system defined in 3.2, a fixed scale is specified to be constructed with the target stand. This could however be captured before the test in a single shot, and then overlaid on the trails footage to provide the required accuracy.</w:t>
      </w:r>
    </w:p>
    <w:p w:rsidR="00930986" w:rsidRPr="00930986" w:rsidRDefault="00930986" w:rsidP="00930986">
      <w:r w:rsidRPr="00930986">
        <w:t>The Laser designator has a wavelength of 1.06μm; therefore it is necessary to use an infrared camera to capture the exact location of the laser spot on the target. This plate should also be marked in such a way that the footage attained has a suitable scale.</w:t>
      </w:r>
    </w:p>
    <w:p w:rsidR="00F45613" w:rsidRPr="00930986" w:rsidRDefault="00930986" w:rsidP="00930986">
      <w:pPr>
        <w:rPr>
          <w:b/>
          <w:bCs/>
          <w:noProof/>
          <w:lang w:val="en-US"/>
        </w:rPr>
      </w:pPr>
      <w:r w:rsidRPr="00930986">
        <w:t>Finally, the Safety Video Camera is a requirement of the range that allows the TCO to remotely examine the trials area. This is essential to determine that the immediate area is both clear of personnel before firing commences, and also to assess potential health hazards prior to approaching the trials site post-firing.</w:t>
      </w:r>
    </w:p>
    <w:p w:rsidR="001B02E6" w:rsidRDefault="001B02E6" w:rsidP="009456F1">
      <w:pPr>
        <w:pStyle w:val="Heading1"/>
        <w:numPr>
          <w:ilvl w:val="0"/>
          <w:numId w:val="0"/>
        </w:numPr>
        <w:ind w:left="432" w:hanging="432"/>
      </w:pPr>
      <w:bookmarkStart w:id="2" w:name="_Toc485928579"/>
    </w:p>
    <w:p w:rsidR="009456F1" w:rsidRDefault="009456F1" w:rsidP="009456F1">
      <w:pPr>
        <w:pStyle w:val="Heading1"/>
        <w:numPr>
          <w:ilvl w:val="0"/>
          <w:numId w:val="0"/>
        </w:numPr>
        <w:ind w:left="432" w:hanging="432"/>
      </w:pPr>
      <w:r>
        <w:t>Definition of Terms</w:t>
      </w:r>
      <w:bookmarkEnd w:id="2"/>
    </w:p>
    <w:p w:rsidR="001B02E6" w:rsidRPr="001B02E6" w:rsidRDefault="001B02E6" w:rsidP="001B02E6"/>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951"/>
        <w:gridCol w:w="7291"/>
      </w:tblGrid>
      <w:tr w:rsidR="009456F1" w:rsidTr="001B02E6">
        <w:trPr>
          <w:trHeight w:hRule="exact" w:val="397"/>
        </w:trPr>
        <w:tc>
          <w:tcPr>
            <w:tcW w:w="1951" w:type="dxa"/>
            <w:tcBorders>
              <w:top w:val="single" w:sz="4" w:space="0" w:color="auto"/>
              <w:bottom w:val="single" w:sz="4" w:space="0" w:color="auto"/>
            </w:tcBorders>
            <w:vAlign w:val="center"/>
          </w:tcPr>
          <w:p w:rsidR="009456F1" w:rsidRDefault="00FE1158" w:rsidP="001B02E6">
            <w:pPr>
              <w:rPr>
                <w:b/>
              </w:rPr>
            </w:pPr>
            <w:r>
              <w:rPr>
                <w:b/>
              </w:rPr>
              <w:t>Test Asset</w:t>
            </w:r>
          </w:p>
        </w:tc>
        <w:tc>
          <w:tcPr>
            <w:tcW w:w="7291" w:type="dxa"/>
            <w:tcBorders>
              <w:top w:val="single" w:sz="4" w:space="0" w:color="auto"/>
              <w:bottom w:val="single" w:sz="4" w:space="0" w:color="auto"/>
            </w:tcBorders>
            <w:vAlign w:val="center"/>
          </w:tcPr>
          <w:p w:rsidR="009456F1" w:rsidRPr="002E66AC" w:rsidRDefault="00FE1158" w:rsidP="001B02E6">
            <w:pPr>
              <w:rPr>
                <w:i/>
              </w:rPr>
            </w:pPr>
            <w:r>
              <w:t>This term typically refers to the</w:t>
            </w:r>
            <w:r w:rsidR="00930986">
              <w:t xml:space="preserve"> munition</w:t>
            </w:r>
            <w:r>
              <w:t xml:space="preserve"> under test</w:t>
            </w:r>
          </w:p>
        </w:tc>
      </w:tr>
      <w:tr w:rsidR="009456F1" w:rsidTr="001B02E6">
        <w:trPr>
          <w:trHeight w:hRule="exact" w:val="397"/>
        </w:trPr>
        <w:tc>
          <w:tcPr>
            <w:tcW w:w="1951" w:type="dxa"/>
            <w:tcBorders>
              <w:top w:val="single" w:sz="4" w:space="0" w:color="auto"/>
              <w:bottom w:val="single" w:sz="4" w:space="0" w:color="auto"/>
            </w:tcBorders>
            <w:vAlign w:val="center"/>
          </w:tcPr>
          <w:p w:rsidR="009456F1" w:rsidRPr="00696D59" w:rsidRDefault="004B3AE5" w:rsidP="001B02E6">
            <w:pPr>
              <w:rPr>
                <w:b/>
              </w:rPr>
            </w:pPr>
            <w:r w:rsidRPr="00696D59">
              <w:rPr>
                <w:b/>
              </w:rPr>
              <w:t>EWPII</w:t>
            </w:r>
          </w:p>
        </w:tc>
        <w:tc>
          <w:tcPr>
            <w:tcW w:w="7291" w:type="dxa"/>
            <w:tcBorders>
              <w:top w:val="single" w:sz="4" w:space="0" w:color="auto"/>
              <w:bottom w:val="single" w:sz="4" w:space="0" w:color="auto"/>
            </w:tcBorders>
            <w:vAlign w:val="center"/>
          </w:tcPr>
          <w:p w:rsidR="009456F1" w:rsidRPr="00696D59" w:rsidRDefault="004B3AE5" w:rsidP="001B02E6">
            <w:r w:rsidRPr="00696D59">
              <w:t>Enhanced Paveway II</w:t>
            </w:r>
          </w:p>
        </w:tc>
      </w:tr>
      <w:tr w:rsidR="009456F1" w:rsidTr="001B02E6">
        <w:trPr>
          <w:trHeight w:hRule="exact" w:val="397"/>
        </w:trPr>
        <w:tc>
          <w:tcPr>
            <w:tcW w:w="1951" w:type="dxa"/>
            <w:tcBorders>
              <w:top w:val="single" w:sz="4" w:space="0" w:color="auto"/>
              <w:bottom w:val="single" w:sz="4" w:space="0" w:color="auto"/>
            </w:tcBorders>
            <w:vAlign w:val="center"/>
          </w:tcPr>
          <w:p w:rsidR="009456F1" w:rsidRPr="00696D59" w:rsidRDefault="004B3AE5" w:rsidP="001B02E6">
            <w:pPr>
              <w:rPr>
                <w:b/>
              </w:rPr>
            </w:pPr>
            <w:r w:rsidRPr="00696D59">
              <w:rPr>
                <w:b/>
              </w:rPr>
              <w:t>GBU</w:t>
            </w:r>
          </w:p>
        </w:tc>
        <w:tc>
          <w:tcPr>
            <w:tcW w:w="7291" w:type="dxa"/>
            <w:tcBorders>
              <w:top w:val="single" w:sz="4" w:space="0" w:color="auto"/>
              <w:bottom w:val="single" w:sz="4" w:space="0" w:color="auto"/>
            </w:tcBorders>
            <w:vAlign w:val="center"/>
          </w:tcPr>
          <w:p w:rsidR="009456F1" w:rsidRPr="00696D59" w:rsidRDefault="004B3AE5" w:rsidP="001B02E6">
            <w:r w:rsidRPr="00696D59">
              <w:t xml:space="preserve">Guided Bomb </w:t>
            </w:r>
            <w:r w:rsidR="00696D59" w:rsidRPr="00696D59">
              <w:t>Unit</w:t>
            </w:r>
          </w:p>
        </w:tc>
      </w:tr>
      <w:tr w:rsidR="009456F1" w:rsidTr="001B02E6">
        <w:trPr>
          <w:trHeight w:hRule="exact" w:val="397"/>
        </w:trPr>
        <w:tc>
          <w:tcPr>
            <w:tcW w:w="1951" w:type="dxa"/>
            <w:tcBorders>
              <w:top w:val="single" w:sz="4" w:space="0" w:color="auto"/>
              <w:bottom w:val="single" w:sz="4" w:space="0" w:color="auto"/>
            </w:tcBorders>
            <w:vAlign w:val="center"/>
          </w:tcPr>
          <w:p w:rsidR="009456F1" w:rsidRPr="00930986" w:rsidRDefault="00930986" w:rsidP="001B02E6">
            <w:pPr>
              <w:rPr>
                <w:b/>
              </w:rPr>
            </w:pPr>
            <w:r w:rsidRPr="00930986">
              <w:rPr>
                <w:b/>
              </w:rPr>
              <w:t>STANAG</w:t>
            </w:r>
          </w:p>
        </w:tc>
        <w:tc>
          <w:tcPr>
            <w:tcW w:w="7291" w:type="dxa"/>
            <w:tcBorders>
              <w:top w:val="single" w:sz="4" w:space="0" w:color="auto"/>
              <w:bottom w:val="single" w:sz="4" w:space="0" w:color="auto"/>
            </w:tcBorders>
            <w:vAlign w:val="center"/>
          </w:tcPr>
          <w:p w:rsidR="009456F1" w:rsidRPr="00930986" w:rsidRDefault="00930986" w:rsidP="001B02E6">
            <w:pPr>
              <w:tabs>
                <w:tab w:val="left" w:pos="2188"/>
              </w:tabs>
            </w:pPr>
            <w:r w:rsidRPr="00930986">
              <w:t>NATO Standardisation Agreement</w:t>
            </w:r>
          </w:p>
        </w:tc>
      </w:tr>
      <w:tr w:rsidR="009456F1" w:rsidTr="001B02E6">
        <w:tc>
          <w:tcPr>
            <w:tcW w:w="1951" w:type="dxa"/>
            <w:tcBorders>
              <w:top w:val="single" w:sz="4" w:space="0" w:color="auto"/>
            </w:tcBorders>
            <w:vAlign w:val="center"/>
          </w:tcPr>
          <w:p w:rsidR="009456F1" w:rsidRPr="00FE1158" w:rsidRDefault="009456F1" w:rsidP="00BD2F92">
            <w:pPr>
              <w:rPr>
                <w:b/>
                <w:color w:val="FF0000"/>
              </w:rPr>
            </w:pPr>
          </w:p>
        </w:tc>
        <w:tc>
          <w:tcPr>
            <w:tcW w:w="7291" w:type="dxa"/>
            <w:tcBorders>
              <w:top w:val="single" w:sz="4" w:space="0" w:color="auto"/>
            </w:tcBorders>
          </w:tcPr>
          <w:p w:rsidR="009456F1" w:rsidRPr="00FE1158" w:rsidRDefault="009456F1" w:rsidP="00BD2F92">
            <w:pPr>
              <w:rPr>
                <w:b/>
                <w:i/>
                <w:color w:val="FF0000"/>
              </w:rPr>
            </w:pPr>
          </w:p>
        </w:tc>
      </w:tr>
    </w:tbl>
    <w:p w:rsidR="008B0FFF" w:rsidRDefault="008B0FFF">
      <w:pPr>
        <w:rPr>
          <w:b/>
          <w:bCs/>
          <w:noProof/>
          <w:lang w:val="en-US"/>
        </w:rPr>
      </w:pPr>
    </w:p>
    <w:p w:rsidR="009456F1" w:rsidRDefault="009456F1" w:rsidP="00E541C1">
      <w:pPr>
        <w:pStyle w:val="Heading1"/>
        <w:numPr>
          <w:ilvl w:val="0"/>
          <w:numId w:val="0"/>
        </w:numPr>
        <w:spacing w:after="240"/>
        <w:ind w:left="432" w:hanging="432"/>
        <w:rPr>
          <w:rStyle w:val="tgc"/>
        </w:rPr>
      </w:pPr>
    </w:p>
    <w:p w:rsidR="00D60C09" w:rsidRDefault="00E541C1" w:rsidP="00E541C1">
      <w:r>
        <w:t>Links DUMP</w:t>
      </w:r>
      <w:r>
        <w:br/>
      </w:r>
      <w:hyperlink r:id="rId14" w:history="1">
        <w:r w:rsidRPr="00125A27">
          <w:rPr>
            <w:rStyle w:val="Hyperlink"/>
          </w:rPr>
          <w:t>https://www.raf.mod.uk/equipment/enh</w:t>
        </w:r>
        <w:r w:rsidRPr="00125A27">
          <w:rPr>
            <w:rStyle w:val="Hyperlink"/>
          </w:rPr>
          <w:t>a</w:t>
        </w:r>
        <w:r w:rsidRPr="00125A27">
          <w:rPr>
            <w:rStyle w:val="Hyperlink"/>
          </w:rPr>
          <w:t>ncedpaveway.cfm</w:t>
        </w:r>
      </w:hyperlink>
      <w:r>
        <w:br/>
      </w:r>
      <w:hyperlink r:id="rId15" w:history="1">
        <w:r w:rsidRPr="00125A27">
          <w:rPr>
            <w:rStyle w:val="Hyperlink"/>
          </w:rPr>
          <w:t>https://www.publications.parliament.uk/pa/cm199900/cmselect/cmdf</w:t>
        </w:r>
        <w:r w:rsidRPr="00125A27">
          <w:rPr>
            <w:rStyle w:val="Hyperlink"/>
          </w:rPr>
          <w:t>e</w:t>
        </w:r>
        <w:r w:rsidRPr="00125A27">
          <w:rPr>
            <w:rStyle w:val="Hyperlink"/>
          </w:rPr>
          <w:t>nce/347/34722.htm</w:t>
        </w:r>
      </w:hyperlink>
      <w:r w:rsidR="00D60C09">
        <w:br/>
      </w:r>
      <w:hyperlink r:id="rId16" w:history="1">
        <w:r w:rsidR="00D60C09" w:rsidRPr="00125A27">
          <w:rPr>
            <w:rStyle w:val="Hyperlink"/>
          </w:rPr>
          <w:t>http://www.designation-systems.net/dusrm/app5/paveway-</w:t>
        </w:r>
        <w:r w:rsidR="00D60C09" w:rsidRPr="00125A27">
          <w:rPr>
            <w:rStyle w:val="Hyperlink"/>
          </w:rPr>
          <w:t>2</w:t>
        </w:r>
        <w:r w:rsidR="00D60C09" w:rsidRPr="00125A27">
          <w:rPr>
            <w:rStyle w:val="Hyperlink"/>
          </w:rPr>
          <w:t>.html</w:t>
        </w:r>
      </w:hyperlink>
      <w:r w:rsidR="001B02E6">
        <w:rPr>
          <w:rStyle w:val="Hyperlink"/>
        </w:rPr>
        <w:br/>
      </w:r>
      <w:hyperlink r:id="rId17" w:history="1">
        <w:r w:rsidR="001B02E6" w:rsidRPr="001B02E6">
          <w:rPr>
            <w:rStyle w:val="Hyperlink"/>
          </w:rPr>
          <w:t>http://www.ultra-cis.com/resourses/Litening%20III%20-%20secured.pdf</w:t>
        </w:r>
      </w:hyperlink>
    </w:p>
    <w:p w:rsidR="00E541C1" w:rsidRPr="00E541C1" w:rsidRDefault="00E541C1" w:rsidP="00E541C1">
      <w:pPr>
        <w:sectPr w:rsidR="00E541C1" w:rsidRPr="00E541C1" w:rsidSect="005E39B9">
          <w:footerReference w:type="first" r:id="rId18"/>
          <w:pgSz w:w="11906" w:h="16838"/>
          <w:pgMar w:top="1440" w:right="1440" w:bottom="1440" w:left="1440" w:header="708" w:footer="708" w:gutter="0"/>
          <w:cols w:space="708"/>
          <w:titlePg/>
          <w:docGrid w:linePitch="360"/>
        </w:sectPr>
      </w:pPr>
      <w:r>
        <w:br/>
      </w:r>
    </w:p>
    <w:p w:rsidR="00EF2212" w:rsidRPr="00EF2212" w:rsidRDefault="00D345AC" w:rsidP="00EF2212">
      <w:pPr>
        <w:pStyle w:val="Heading1"/>
        <w:numPr>
          <w:ilvl w:val="0"/>
          <w:numId w:val="1"/>
        </w:numPr>
        <w:spacing w:after="240"/>
      </w:pPr>
      <w:bookmarkStart w:id="3" w:name="_Toc485928580"/>
      <w:r w:rsidRPr="00D345AC">
        <w:rPr>
          <w:rStyle w:val="tgc"/>
        </w:rPr>
        <w:lastRenderedPageBreak/>
        <w:t>Introduction</w:t>
      </w:r>
      <w:bookmarkEnd w:id="3"/>
    </w:p>
    <w:p w:rsidR="003140AB" w:rsidRDefault="00E778CE" w:rsidP="00B82F54">
      <w:r>
        <w:t>The principle role of the UK defence test and evaluation</w:t>
      </w:r>
      <w:r w:rsidR="003140AB">
        <w:t xml:space="preserve"> (T&amp;E)</w:t>
      </w:r>
      <w:r>
        <w:t xml:space="preserve"> industry is to ensure the equipment used by our armed forces is safe, effective and suitable for use. </w:t>
      </w:r>
      <w:r w:rsidR="003140AB">
        <w:t>The industry plays a vital role in the procurement, risk management and assurance processes, demonstrating our military capabilities perform as designed to meet an ever changing array of potential targets.</w:t>
      </w:r>
    </w:p>
    <w:p w:rsidR="00EF2212" w:rsidRDefault="003140AB" w:rsidP="00B82F54">
      <w:r>
        <w:t>At its core, it is an inherently dangerous</w:t>
      </w:r>
      <w:r w:rsidR="00AE3BCF">
        <w:t xml:space="preserve"> working environment,</w:t>
      </w:r>
      <w:r>
        <w:t xml:space="preserve"> highly controlled by a complex network of procedures, engineering safety measures, critical thinking and a culture of specialist understanding and innovation.</w:t>
      </w:r>
    </w:p>
    <w:p w:rsidR="003140AB" w:rsidRPr="00B82F54" w:rsidRDefault="003140AB" w:rsidP="00B82F54">
      <w:r>
        <w:t>This document aims to demonstrate the process of delivering a trial to assess</w:t>
      </w:r>
      <w:r w:rsidRPr="003140AB">
        <w:t xml:space="preserve"> the performance of a UK in-service Enhanced Paveway II Bomb</w:t>
      </w:r>
      <w:r>
        <w:t>. This assessment will include detailed observations of the guidance capability of the test asset</w:t>
      </w:r>
      <w:r w:rsidR="00AE3BCF">
        <w:t>, and will measure</w:t>
      </w:r>
      <w:r>
        <w:t xml:space="preserve"> the terminal ballistic effects of the warhead.</w:t>
      </w:r>
      <w:sdt>
        <w:sdtPr>
          <w:id w:val="1136839192"/>
          <w:citation/>
        </w:sdtPr>
        <w:sdtContent>
          <w:r w:rsidR="00CD7281">
            <w:fldChar w:fldCharType="begin"/>
          </w:r>
          <w:r w:rsidR="00CD7281">
            <w:instrText xml:space="preserve"> CITATION Uni17 \l 2057 </w:instrText>
          </w:r>
          <w:r w:rsidR="00CD7281">
            <w:fldChar w:fldCharType="separate"/>
          </w:r>
          <w:r w:rsidR="00D875AE">
            <w:rPr>
              <w:noProof/>
            </w:rPr>
            <w:t xml:space="preserve"> (1)</w:t>
          </w:r>
          <w:r w:rsidR="00CD7281">
            <w:fldChar w:fldCharType="end"/>
          </w:r>
        </w:sdtContent>
      </w:sdt>
    </w:p>
    <w:p w:rsidR="003E2197" w:rsidRDefault="003E2197">
      <w:pPr>
        <w:rPr>
          <w:rStyle w:val="tgc"/>
          <w:rFonts w:asciiTheme="majorHAnsi" w:eastAsiaTheme="majorEastAsia" w:hAnsiTheme="majorHAnsi" w:cstheme="majorBidi"/>
          <w:b/>
          <w:bCs/>
          <w:color w:val="365F91" w:themeColor="accent1" w:themeShade="BF"/>
          <w:sz w:val="28"/>
          <w:szCs w:val="28"/>
        </w:rPr>
      </w:pPr>
      <w:r>
        <w:rPr>
          <w:rStyle w:val="tgc"/>
        </w:rPr>
        <w:br w:type="page"/>
      </w:r>
    </w:p>
    <w:p w:rsidR="00A244A1" w:rsidRDefault="003140AB" w:rsidP="00D25094">
      <w:pPr>
        <w:pStyle w:val="Heading1"/>
        <w:numPr>
          <w:ilvl w:val="0"/>
          <w:numId w:val="1"/>
        </w:numPr>
        <w:spacing w:after="240"/>
        <w:rPr>
          <w:rStyle w:val="tgc"/>
        </w:rPr>
      </w:pPr>
      <w:r>
        <w:rPr>
          <w:rStyle w:val="tgc"/>
        </w:rPr>
        <w:lastRenderedPageBreak/>
        <w:t>Test Asset Analysis</w:t>
      </w:r>
    </w:p>
    <w:p w:rsidR="001A6B30" w:rsidRDefault="001A6B30" w:rsidP="005E39B9">
      <w:pPr>
        <w:autoSpaceDE w:val="0"/>
        <w:autoSpaceDN w:val="0"/>
        <w:adjustRightInd w:val="0"/>
        <w:spacing w:line="240" w:lineRule="auto"/>
        <w:rPr>
          <w:rFonts w:cs="Arial"/>
        </w:rPr>
      </w:pPr>
      <w:r w:rsidRPr="001A6B30">
        <w:rPr>
          <w:rFonts w:cs="Arial"/>
        </w:rPr>
        <w:t>The Enhanced Paveway II (EPWII) Guided Bomb entered service with the RAF in 2001</w:t>
      </w:r>
      <w:r>
        <w:rPr>
          <w:rFonts w:cs="Arial"/>
        </w:rPr>
        <w:t xml:space="preserve">, in response to widespread criticism of the </w:t>
      </w:r>
      <w:r w:rsidR="00420C5D">
        <w:rPr>
          <w:rFonts w:cs="Arial"/>
        </w:rPr>
        <w:t>Royal Air Force’s (</w:t>
      </w:r>
      <w:r>
        <w:rPr>
          <w:rFonts w:cs="Arial"/>
        </w:rPr>
        <w:t>RAF</w:t>
      </w:r>
      <w:r w:rsidR="00420C5D">
        <w:rPr>
          <w:rFonts w:cs="Arial"/>
        </w:rPr>
        <w:t>)</w:t>
      </w:r>
      <w:r>
        <w:rPr>
          <w:rFonts w:cs="Arial"/>
        </w:rPr>
        <w:t xml:space="preserve"> bombing </w:t>
      </w:r>
      <w:r w:rsidR="00420C5D">
        <w:rPr>
          <w:rFonts w:cs="Arial"/>
        </w:rPr>
        <w:t>of Yugoslavia</w:t>
      </w:r>
      <w:r>
        <w:rPr>
          <w:rFonts w:cs="Arial"/>
        </w:rPr>
        <w:t xml:space="preserve"> in the Kosovo War</w:t>
      </w:r>
      <w:r w:rsidR="00420C5D">
        <w:rPr>
          <w:rFonts w:cs="Arial"/>
        </w:rPr>
        <w:t xml:space="preserve"> of</w:t>
      </w:r>
      <w:r>
        <w:rPr>
          <w:rFonts w:cs="Arial"/>
        </w:rPr>
        <w:t xml:space="preserve"> 1999.</w:t>
      </w:r>
      <w:r w:rsidR="00420C5D">
        <w:rPr>
          <w:rFonts w:cs="Arial"/>
        </w:rPr>
        <w:t xml:space="preserve"> It is reported that only 40% of all the bombs dropped in the </w:t>
      </w:r>
      <w:r w:rsidR="00E541C1">
        <w:rPr>
          <w:rFonts w:cs="Arial"/>
        </w:rPr>
        <w:t xml:space="preserve">UK </w:t>
      </w:r>
      <w:r w:rsidR="00420C5D">
        <w:rPr>
          <w:rFonts w:cs="Arial"/>
        </w:rPr>
        <w:t xml:space="preserve">campaign were ‘confirmed hits’; while </w:t>
      </w:r>
      <w:r w:rsidR="00420C5D">
        <w:t>unguided impact-fuse bombs</w:t>
      </w:r>
      <w:r w:rsidR="00420C5D">
        <w:rPr>
          <w:rFonts w:cs="Arial"/>
        </w:rPr>
        <w:t xml:space="preserve"> reported only three confirmed hits, despite 122 being deployed on operations.</w:t>
      </w:r>
    </w:p>
    <w:p w:rsidR="00420C5D" w:rsidRDefault="00420C5D" w:rsidP="005E39B9">
      <w:pPr>
        <w:autoSpaceDE w:val="0"/>
        <w:autoSpaceDN w:val="0"/>
        <w:adjustRightInd w:val="0"/>
        <w:spacing w:line="240" w:lineRule="auto"/>
        <w:rPr>
          <w:rFonts w:cs="Arial"/>
        </w:rPr>
      </w:pPr>
      <w:r>
        <w:rPr>
          <w:rFonts w:cs="Arial"/>
        </w:rPr>
        <w:t xml:space="preserve">The conclusions of the </w:t>
      </w:r>
      <w:r w:rsidR="00E541C1">
        <w:rPr>
          <w:rFonts w:cs="Arial"/>
        </w:rPr>
        <w:t>“</w:t>
      </w:r>
      <w:r>
        <w:rPr>
          <w:rFonts w:cs="Arial"/>
        </w:rPr>
        <w:t xml:space="preserve">Fourteenth </w:t>
      </w:r>
      <w:r w:rsidR="00E541C1">
        <w:rPr>
          <w:rFonts w:cs="Arial"/>
        </w:rPr>
        <w:t xml:space="preserve">Report”, responsible for drawing lessons learnt from the Kosovo war determined that </w:t>
      </w:r>
      <w:r w:rsidR="00E541C1" w:rsidRPr="00E541C1">
        <w:rPr>
          <w:rFonts w:cs="Arial"/>
          <w:i/>
        </w:rPr>
        <w:t>“The lack of all-weather capability to deliver precision-guided weapons from the air severely compromised the RAF's and the Royal Navy's effectiveness”</w:t>
      </w:r>
      <w:sdt>
        <w:sdtPr>
          <w:rPr>
            <w:rFonts w:cs="Arial"/>
            <w:i/>
          </w:rPr>
          <w:id w:val="684712558"/>
          <w:citation/>
        </w:sdtPr>
        <w:sdtContent>
          <w:r w:rsidR="00CD7281">
            <w:rPr>
              <w:rFonts w:cs="Arial"/>
              <w:i/>
            </w:rPr>
            <w:fldChar w:fldCharType="begin"/>
          </w:r>
          <w:r w:rsidR="00CD7281">
            <w:rPr>
              <w:rFonts w:cs="Arial"/>
              <w:i/>
            </w:rPr>
            <w:instrText xml:space="preserve"> CITATION Min00 \l 2057 </w:instrText>
          </w:r>
          <w:r w:rsidR="00CD7281">
            <w:rPr>
              <w:rFonts w:cs="Arial"/>
              <w:i/>
            </w:rPr>
            <w:fldChar w:fldCharType="separate"/>
          </w:r>
          <w:r w:rsidR="00D875AE">
            <w:rPr>
              <w:rFonts w:cs="Arial"/>
              <w:i/>
              <w:noProof/>
            </w:rPr>
            <w:t xml:space="preserve"> </w:t>
          </w:r>
          <w:r w:rsidR="00D875AE" w:rsidRPr="00D875AE">
            <w:rPr>
              <w:rFonts w:cs="Arial"/>
              <w:noProof/>
            </w:rPr>
            <w:t>(2)</w:t>
          </w:r>
          <w:r w:rsidR="00CD7281">
            <w:rPr>
              <w:rFonts w:cs="Arial"/>
              <w:i/>
            </w:rPr>
            <w:fldChar w:fldCharType="end"/>
          </w:r>
        </w:sdtContent>
      </w:sdt>
    </w:p>
    <w:p w:rsidR="00D60C09" w:rsidRDefault="00E541C1" w:rsidP="005E39B9">
      <w:pPr>
        <w:autoSpaceDE w:val="0"/>
        <w:autoSpaceDN w:val="0"/>
        <w:adjustRightInd w:val="0"/>
        <w:spacing w:line="240" w:lineRule="auto"/>
        <w:rPr>
          <w:rFonts w:cs="Arial"/>
        </w:rPr>
      </w:pPr>
      <w:r>
        <w:rPr>
          <w:rFonts w:cs="Arial"/>
        </w:rPr>
        <w:t>The EP</w:t>
      </w:r>
      <w:r w:rsidR="003E2197">
        <w:rPr>
          <w:rFonts w:cs="Arial"/>
        </w:rPr>
        <w:t xml:space="preserve">WII was developed to provide UK Armed forces with the </w:t>
      </w:r>
      <w:r>
        <w:rPr>
          <w:rFonts w:cs="Arial"/>
        </w:rPr>
        <w:t xml:space="preserve">capability to attack </w:t>
      </w:r>
      <w:r w:rsidR="00776BB1">
        <w:rPr>
          <w:rFonts w:cs="Arial"/>
        </w:rPr>
        <w:t xml:space="preserve">static and mobile </w:t>
      </w:r>
      <w:r>
        <w:rPr>
          <w:rFonts w:cs="Arial"/>
        </w:rPr>
        <w:t xml:space="preserve">targets with increased accuracy in all weathers, 24 hours a day. </w:t>
      </w:r>
    </w:p>
    <w:p w:rsidR="003E2197" w:rsidRDefault="003E2197" w:rsidP="005E39B9">
      <w:pPr>
        <w:autoSpaceDE w:val="0"/>
        <w:autoSpaceDN w:val="0"/>
        <w:adjustRightInd w:val="0"/>
        <w:spacing w:line="240" w:lineRule="auto"/>
        <w:rPr>
          <w:rFonts w:cs="Arial"/>
        </w:rPr>
      </w:pPr>
    </w:p>
    <w:p w:rsidR="00AF68B7" w:rsidRPr="00D60C09" w:rsidRDefault="00D60C09" w:rsidP="005E39B9">
      <w:pPr>
        <w:autoSpaceDE w:val="0"/>
        <w:autoSpaceDN w:val="0"/>
        <w:adjustRightInd w:val="0"/>
        <w:spacing w:line="240" w:lineRule="auto"/>
        <w:rPr>
          <w:rFonts w:asciiTheme="majorHAnsi" w:eastAsiaTheme="majorEastAsia" w:hAnsiTheme="majorHAnsi" w:cstheme="majorBidi"/>
          <w:b/>
          <w:bCs/>
          <w:color w:val="4F81BD" w:themeColor="accent1"/>
          <w:sz w:val="26"/>
          <w:szCs w:val="26"/>
        </w:rPr>
      </w:pPr>
      <w:r w:rsidRPr="00D60C09">
        <w:rPr>
          <w:rFonts w:asciiTheme="majorHAnsi" w:eastAsiaTheme="majorEastAsia" w:hAnsiTheme="majorHAnsi" w:cstheme="majorBidi"/>
          <w:b/>
          <w:bCs/>
          <w:color w:val="4F81BD" w:themeColor="accent1"/>
          <w:sz w:val="26"/>
          <w:szCs w:val="26"/>
        </w:rPr>
        <w:t>Enhanced Paveway II, GBU-</w:t>
      </w:r>
      <w:r w:rsidR="00693FC8">
        <w:rPr>
          <w:rFonts w:asciiTheme="majorHAnsi" w:eastAsiaTheme="majorEastAsia" w:hAnsiTheme="majorHAnsi" w:cstheme="majorBidi"/>
          <w:b/>
          <w:bCs/>
          <w:color w:val="4F81BD" w:themeColor="accent1"/>
          <w:sz w:val="26"/>
          <w:szCs w:val="26"/>
        </w:rPr>
        <w:t>48</w:t>
      </w:r>
      <w:r>
        <w:rPr>
          <w:rFonts w:asciiTheme="majorHAnsi" w:eastAsiaTheme="majorEastAsia" w:hAnsiTheme="majorHAnsi" w:cstheme="majorBidi"/>
          <w:b/>
          <w:bCs/>
          <w:color w:val="4F81BD" w:themeColor="accent1"/>
          <w:sz w:val="26"/>
          <w:szCs w:val="26"/>
        </w:rPr>
        <w:t xml:space="preserve"> - Specifications</w:t>
      </w:r>
    </w:p>
    <w:p w:rsidR="00AF68B7" w:rsidRDefault="00AF68B7" w:rsidP="005E39B9">
      <w:pPr>
        <w:autoSpaceDE w:val="0"/>
        <w:autoSpaceDN w:val="0"/>
        <w:adjustRightInd w:val="0"/>
        <w:spacing w:line="240" w:lineRule="auto"/>
        <w:rPr>
          <w:rFonts w:cs="Arial"/>
        </w:rPr>
      </w:pPr>
      <w:r>
        <w:rPr>
          <w:noProof/>
          <w:lang w:eastAsia="en-GB"/>
        </w:rPr>
        <w:drawing>
          <wp:inline distT="0" distB="0" distL="0" distR="0">
            <wp:extent cx="5717098" cy="640080"/>
            <wp:effectExtent l="0" t="0" r="0" b="7620"/>
            <wp:docPr id="2" name="Picture 2" descr="Image result for GBU-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BU-16"/>
                    <pic:cNvPicPr>
                      <a:picLocks noChangeAspect="1" noChangeArrowheads="1"/>
                    </pic:cNvPicPr>
                  </pic:nvPicPr>
                  <pic:blipFill rotWithShape="1">
                    <a:blip r:embed="rId19">
                      <a:extLst>
                        <a:ext uri="{28A0092B-C50C-407E-A947-70E740481C1C}">
                          <a14:useLocalDpi xmlns:a14="http://schemas.microsoft.com/office/drawing/2010/main" val="0"/>
                        </a:ext>
                      </a:extLst>
                    </a:blip>
                    <a:srcRect t="45806" b="34315"/>
                    <a:stretch/>
                  </pic:blipFill>
                  <pic:spPr bwMode="auto">
                    <a:xfrm>
                      <a:off x="0" y="0"/>
                      <a:ext cx="5731510" cy="641694"/>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8930"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6662"/>
      </w:tblGrid>
      <w:tr w:rsidR="00AF68B7" w:rsidTr="00AA662C">
        <w:tc>
          <w:tcPr>
            <w:tcW w:w="2268" w:type="dxa"/>
          </w:tcPr>
          <w:p w:rsidR="00AF68B7" w:rsidRPr="00D60C09" w:rsidRDefault="00D60C09" w:rsidP="00D60C09">
            <w:pPr>
              <w:autoSpaceDE w:val="0"/>
              <w:autoSpaceDN w:val="0"/>
              <w:adjustRightInd w:val="0"/>
              <w:jc w:val="right"/>
              <w:rPr>
                <w:rFonts w:cs="Arial"/>
                <w:b/>
              </w:rPr>
            </w:pPr>
            <w:r w:rsidRPr="00D60C09">
              <w:rPr>
                <w:rFonts w:cs="Arial"/>
                <w:b/>
              </w:rPr>
              <w:t>Length</w:t>
            </w:r>
          </w:p>
        </w:tc>
        <w:tc>
          <w:tcPr>
            <w:tcW w:w="6662" w:type="dxa"/>
          </w:tcPr>
          <w:p w:rsidR="00AF68B7" w:rsidRDefault="00D60C09" w:rsidP="00AF68B7">
            <w:pPr>
              <w:autoSpaceDE w:val="0"/>
              <w:autoSpaceDN w:val="0"/>
              <w:adjustRightInd w:val="0"/>
              <w:rPr>
                <w:rFonts w:cs="Arial"/>
              </w:rPr>
            </w:pPr>
            <w:r w:rsidRPr="00D60C09">
              <w:rPr>
                <w:rFonts w:cs="Arial"/>
              </w:rPr>
              <w:t>3.68 m</w:t>
            </w:r>
          </w:p>
        </w:tc>
      </w:tr>
      <w:tr w:rsidR="00D60C09" w:rsidTr="00AA662C">
        <w:tc>
          <w:tcPr>
            <w:tcW w:w="2268" w:type="dxa"/>
          </w:tcPr>
          <w:p w:rsidR="00D60C09" w:rsidRPr="00D60C09" w:rsidRDefault="00D60C09" w:rsidP="00D60C09">
            <w:pPr>
              <w:autoSpaceDE w:val="0"/>
              <w:autoSpaceDN w:val="0"/>
              <w:adjustRightInd w:val="0"/>
              <w:jc w:val="right"/>
              <w:rPr>
                <w:rFonts w:cs="Arial"/>
                <w:b/>
              </w:rPr>
            </w:pPr>
            <w:r w:rsidRPr="00D60C09">
              <w:rPr>
                <w:rFonts w:cs="Arial"/>
                <w:b/>
              </w:rPr>
              <w:t>Diameter</w:t>
            </w:r>
          </w:p>
        </w:tc>
        <w:tc>
          <w:tcPr>
            <w:tcW w:w="6662" w:type="dxa"/>
          </w:tcPr>
          <w:p w:rsidR="00D60C09" w:rsidRDefault="00D60C09" w:rsidP="00D60C09">
            <w:pPr>
              <w:autoSpaceDE w:val="0"/>
              <w:autoSpaceDN w:val="0"/>
              <w:adjustRightInd w:val="0"/>
              <w:rPr>
                <w:rFonts w:cs="Arial"/>
              </w:rPr>
            </w:pPr>
            <w:r>
              <w:rPr>
                <w:rFonts w:cs="Arial"/>
              </w:rPr>
              <w:t>0.42 m</w:t>
            </w:r>
          </w:p>
        </w:tc>
      </w:tr>
      <w:tr w:rsidR="00D60C09" w:rsidTr="00AA662C">
        <w:tc>
          <w:tcPr>
            <w:tcW w:w="2268" w:type="dxa"/>
          </w:tcPr>
          <w:p w:rsidR="00D60C09" w:rsidRPr="00D60C09" w:rsidRDefault="00D60C09" w:rsidP="00D60C09">
            <w:pPr>
              <w:autoSpaceDE w:val="0"/>
              <w:autoSpaceDN w:val="0"/>
              <w:adjustRightInd w:val="0"/>
              <w:jc w:val="right"/>
              <w:rPr>
                <w:rFonts w:cs="Arial"/>
                <w:b/>
              </w:rPr>
            </w:pPr>
            <w:r w:rsidRPr="00D60C09">
              <w:rPr>
                <w:rFonts w:cs="Arial"/>
                <w:b/>
              </w:rPr>
              <w:t>Fin Span</w:t>
            </w:r>
          </w:p>
        </w:tc>
        <w:tc>
          <w:tcPr>
            <w:tcW w:w="6662" w:type="dxa"/>
          </w:tcPr>
          <w:p w:rsidR="00D60C09" w:rsidRDefault="00D60C09" w:rsidP="00AF68B7">
            <w:pPr>
              <w:autoSpaceDE w:val="0"/>
              <w:autoSpaceDN w:val="0"/>
              <w:adjustRightInd w:val="0"/>
              <w:rPr>
                <w:rFonts w:cs="Arial"/>
              </w:rPr>
            </w:pPr>
            <w:r>
              <w:rPr>
                <w:rFonts w:cs="Arial"/>
              </w:rPr>
              <w:t>1.6 m</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Weight</w:t>
            </w:r>
          </w:p>
        </w:tc>
        <w:tc>
          <w:tcPr>
            <w:tcW w:w="6662" w:type="dxa"/>
          </w:tcPr>
          <w:p w:rsidR="00AF68B7" w:rsidRDefault="00D60C09" w:rsidP="00D60C09">
            <w:pPr>
              <w:autoSpaceDE w:val="0"/>
              <w:autoSpaceDN w:val="0"/>
              <w:adjustRightInd w:val="0"/>
              <w:rPr>
                <w:rFonts w:cs="Arial"/>
              </w:rPr>
            </w:pPr>
            <w:r>
              <w:t xml:space="preserve">545 kg (1201 </w:t>
            </w:r>
            <w:r w:rsidR="00AF68B7">
              <w:t>lb</w:t>
            </w:r>
            <w:r>
              <w:t>)</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Warhead</w:t>
            </w:r>
          </w:p>
        </w:tc>
        <w:tc>
          <w:tcPr>
            <w:tcW w:w="6662" w:type="dxa"/>
          </w:tcPr>
          <w:p w:rsidR="00AF68B7" w:rsidRDefault="00AF68B7" w:rsidP="003E2197">
            <w:pPr>
              <w:autoSpaceDE w:val="0"/>
              <w:autoSpaceDN w:val="0"/>
              <w:adjustRightInd w:val="0"/>
              <w:rPr>
                <w:rFonts w:cs="Arial"/>
              </w:rPr>
            </w:pPr>
            <w:r>
              <w:t>MK-83</w:t>
            </w:r>
            <w:r w:rsidR="003E2197">
              <w:t>, 1000 lb, General Purpose Bomb</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 xml:space="preserve">Explosive </w:t>
            </w:r>
          </w:p>
        </w:tc>
        <w:tc>
          <w:tcPr>
            <w:tcW w:w="6662" w:type="dxa"/>
          </w:tcPr>
          <w:p w:rsidR="00AF68B7" w:rsidRDefault="00AF68B7" w:rsidP="003E2197">
            <w:pPr>
              <w:autoSpaceDE w:val="0"/>
              <w:autoSpaceDN w:val="0"/>
              <w:adjustRightInd w:val="0"/>
            </w:pPr>
            <w:r w:rsidRPr="00AF68B7">
              <w:t>Tritonal</w:t>
            </w:r>
            <w:r w:rsidR="003E2197">
              <w:t xml:space="preserve"> </w:t>
            </w:r>
            <w:r>
              <w:t xml:space="preserve"> </w:t>
            </w:r>
          </w:p>
        </w:tc>
      </w:tr>
      <w:tr w:rsidR="00AF68B7" w:rsidTr="00AA662C">
        <w:tc>
          <w:tcPr>
            <w:tcW w:w="2268" w:type="dxa"/>
          </w:tcPr>
          <w:p w:rsidR="00AF68B7" w:rsidRPr="00D60C09" w:rsidRDefault="00D60C09" w:rsidP="00D60C09">
            <w:pPr>
              <w:autoSpaceDE w:val="0"/>
              <w:autoSpaceDN w:val="0"/>
              <w:adjustRightInd w:val="0"/>
              <w:jc w:val="right"/>
              <w:rPr>
                <w:rFonts w:cs="Arial"/>
                <w:b/>
              </w:rPr>
            </w:pPr>
            <w:r>
              <w:rPr>
                <w:rFonts w:cs="Arial"/>
                <w:b/>
              </w:rPr>
              <w:t>NEQ</w:t>
            </w:r>
          </w:p>
        </w:tc>
        <w:tc>
          <w:tcPr>
            <w:tcW w:w="6662" w:type="dxa"/>
          </w:tcPr>
          <w:p w:rsidR="00AF68B7" w:rsidRDefault="003E2197" w:rsidP="003E2197">
            <w:pPr>
              <w:autoSpaceDE w:val="0"/>
              <w:autoSpaceDN w:val="0"/>
              <w:adjustRightInd w:val="0"/>
            </w:pPr>
            <w:r>
              <w:t>202 Kg</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Guidance System</w:t>
            </w:r>
          </w:p>
        </w:tc>
        <w:tc>
          <w:tcPr>
            <w:tcW w:w="6662" w:type="dxa"/>
          </w:tcPr>
          <w:p w:rsidR="00AF68B7" w:rsidRDefault="00D60C09" w:rsidP="00574E15">
            <w:pPr>
              <w:autoSpaceDE w:val="0"/>
              <w:autoSpaceDN w:val="0"/>
              <w:adjustRightInd w:val="0"/>
              <w:rPr>
                <w:rFonts w:cs="Arial"/>
              </w:rPr>
            </w:pPr>
            <w:r>
              <w:rPr>
                <w:rFonts w:cs="Arial"/>
              </w:rPr>
              <w:t xml:space="preserve">Laser </w:t>
            </w:r>
            <w:r w:rsidR="00574E15">
              <w:rPr>
                <w:rFonts w:cs="Arial"/>
              </w:rPr>
              <w:t>Seeker &amp;</w:t>
            </w:r>
            <w:r>
              <w:rPr>
                <w:rFonts w:cs="Arial"/>
              </w:rPr>
              <w:t xml:space="preserve"> GPS</w:t>
            </w:r>
            <w:r w:rsidR="00693FC8">
              <w:rPr>
                <w:rFonts w:cs="Arial"/>
              </w:rPr>
              <w:t>-Aided</w:t>
            </w:r>
            <w:r>
              <w:rPr>
                <w:rFonts w:cs="Arial"/>
              </w:rPr>
              <w:t xml:space="preserve"> Inertial Navigation System (GAINS)</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Compatible Aircraft</w:t>
            </w:r>
          </w:p>
        </w:tc>
        <w:tc>
          <w:tcPr>
            <w:tcW w:w="6662" w:type="dxa"/>
          </w:tcPr>
          <w:p w:rsidR="00574E15" w:rsidRDefault="00D60C09" w:rsidP="005E39B9">
            <w:pPr>
              <w:autoSpaceDE w:val="0"/>
              <w:autoSpaceDN w:val="0"/>
              <w:adjustRightInd w:val="0"/>
              <w:rPr>
                <w:rFonts w:cs="Arial"/>
              </w:rPr>
            </w:pPr>
            <w:r>
              <w:rPr>
                <w:rFonts w:cs="Arial"/>
              </w:rPr>
              <w:t>Typhoon FGR4 &amp; Tornado GR4</w:t>
            </w:r>
          </w:p>
        </w:tc>
      </w:tr>
    </w:tbl>
    <w:p w:rsidR="003E2197" w:rsidRDefault="003E2197" w:rsidP="003E2197">
      <w:pPr>
        <w:pStyle w:val="Heading2"/>
        <w:numPr>
          <w:ilvl w:val="0"/>
          <w:numId w:val="0"/>
        </w:numPr>
        <w:spacing w:after="240"/>
        <w:rPr>
          <w:rFonts w:asciiTheme="minorHAnsi" w:eastAsiaTheme="minorHAnsi" w:hAnsiTheme="minorHAnsi" w:cstheme="minorBidi"/>
          <w:b w:val="0"/>
          <w:bCs w:val="0"/>
          <w:color w:val="auto"/>
          <w:sz w:val="22"/>
          <w:szCs w:val="22"/>
        </w:rPr>
      </w:pPr>
      <w:bookmarkStart w:id="4" w:name="_Toc485928582"/>
      <w:r>
        <w:rPr>
          <w:rFonts w:asciiTheme="minorHAnsi" w:eastAsiaTheme="minorHAnsi" w:hAnsiTheme="minorHAnsi" w:cstheme="minorBidi"/>
          <w:b w:val="0"/>
          <w:bCs w:val="0"/>
          <w:color w:val="auto"/>
          <w:sz w:val="22"/>
          <w:szCs w:val="22"/>
        </w:rPr>
        <w:t>T</w:t>
      </w:r>
      <w:r w:rsidRPr="003E2197">
        <w:rPr>
          <w:rFonts w:asciiTheme="minorHAnsi" w:eastAsiaTheme="minorHAnsi" w:hAnsiTheme="minorHAnsi" w:cstheme="minorBidi"/>
          <w:b w:val="0"/>
          <w:bCs w:val="0"/>
          <w:color w:val="auto"/>
          <w:sz w:val="22"/>
          <w:szCs w:val="22"/>
        </w:rPr>
        <w:t xml:space="preserve">he </w:t>
      </w:r>
      <w:r>
        <w:rPr>
          <w:rFonts w:asciiTheme="minorHAnsi" w:eastAsiaTheme="minorHAnsi" w:hAnsiTheme="minorHAnsi" w:cstheme="minorBidi"/>
          <w:b w:val="0"/>
          <w:bCs w:val="0"/>
          <w:color w:val="auto"/>
          <w:sz w:val="22"/>
          <w:szCs w:val="22"/>
        </w:rPr>
        <w:t xml:space="preserve">Paveway series of guided munitions revolves around guidance kits that can be attached to existing munitions. In the case of EPWII, the guidance framework is used in conjunction with the 1000 lb, Mk 83 General-Purpose </w:t>
      </w:r>
      <w:r w:rsidRPr="00CD7281">
        <w:rPr>
          <w:rFonts w:asciiTheme="minorHAnsi" w:eastAsiaTheme="minorHAnsi" w:hAnsiTheme="minorHAnsi" w:cstheme="minorBidi"/>
          <w:b w:val="0"/>
          <w:bCs w:val="0"/>
          <w:color w:val="auto"/>
          <w:sz w:val="22"/>
          <w:szCs w:val="22"/>
        </w:rPr>
        <w:t xml:space="preserve">Bomb. </w:t>
      </w:r>
      <w:sdt>
        <w:sdtPr>
          <w:rPr>
            <w:rFonts w:asciiTheme="minorHAnsi" w:eastAsiaTheme="minorHAnsi" w:hAnsiTheme="minorHAnsi" w:cstheme="minorBidi"/>
            <w:b w:val="0"/>
            <w:bCs w:val="0"/>
            <w:color w:val="auto"/>
            <w:sz w:val="22"/>
            <w:szCs w:val="22"/>
          </w:rPr>
          <w:id w:val="-444469673"/>
          <w:citation/>
        </w:sdtPr>
        <w:sdtContent>
          <w:r w:rsidR="00CD7281" w:rsidRPr="00CD7281">
            <w:rPr>
              <w:rFonts w:asciiTheme="minorHAnsi" w:eastAsiaTheme="minorHAnsi" w:hAnsiTheme="minorHAnsi" w:cstheme="minorBidi"/>
              <w:b w:val="0"/>
              <w:bCs w:val="0"/>
              <w:color w:val="auto"/>
              <w:sz w:val="22"/>
              <w:szCs w:val="22"/>
            </w:rPr>
            <w:fldChar w:fldCharType="begin"/>
          </w:r>
          <w:r w:rsidR="00CD7281" w:rsidRPr="00CD7281">
            <w:rPr>
              <w:rFonts w:asciiTheme="minorHAnsi" w:eastAsiaTheme="minorHAnsi" w:hAnsiTheme="minorHAnsi" w:cstheme="minorBidi"/>
              <w:b w:val="0"/>
              <w:bCs w:val="0"/>
              <w:color w:val="auto"/>
              <w:sz w:val="22"/>
              <w:szCs w:val="22"/>
            </w:rPr>
            <w:instrText xml:space="preserve"> CITATION Dir08 \l 2057 </w:instrText>
          </w:r>
          <w:r w:rsidR="00CD7281" w:rsidRPr="00CD7281">
            <w:rPr>
              <w:rFonts w:asciiTheme="minorHAnsi" w:eastAsiaTheme="minorHAnsi" w:hAnsiTheme="minorHAnsi" w:cstheme="minorBidi"/>
              <w:b w:val="0"/>
              <w:bCs w:val="0"/>
              <w:color w:val="auto"/>
              <w:sz w:val="22"/>
              <w:szCs w:val="22"/>
            </w:rPr>
            <w:fldChar w:fldCharType="separate"/>
          </w:r>
          <w:r w:rsidR="00D875AE" w:rsidRPr="00D875AE">
            <w:rPr>
              <w:rFonts w:asciiTheme="minorHAnsi" w:eastAsiaTheme="minorHAnsi" w:hAnsiTheme="minorHAnsi" w:cstheme="minorBidi"/>
              <w:noProof/>
              <w:color w:val="auto"/>
              <w:sz w:val="22"/>
              <w:szCs w:val="22"/>
            </w:rPr>
            <w:t>(3)</w:t>
          </w:r>
          <w:r w:rsidR="00CD7281" w:rsidRPr="00CD7281">
            <w:rPr>
              <w:rFonts w:asciiTheme="minorHAnsi" w:eastAsiaTheme="minorHAnsi" w:hAnsiTheme="minorHAnsi" w:cstheme="minorBidi"/>
              <w:b w:val="0"/>
              <w:bCs w:val="0"/>
              <w:color w:val="auto"/>
              <w:sz w:val="22"/>
              <w:szCs w:val="22"/>
            </w:rPr>
            <w:fldChar w:fldCharType="end"/>
          </w:r>
        </w:sdtContent>
      </w:sdt>
    </w:p>
    <w:p w:rsidR="003E2197" w:rsidRPr="003E2197" w:rsidRDefault="003E2197" w:rsidP="003E2197"/>
    <w:p w:rsidR="0062444E" w:rsidRDefault="00FE1158" w:rsidP="0062444E">
      <w:pPr>
        <w:pStyle w:val="Heading2"/>
        <w:numPr>
          <w:ilvl w:val="1"/>
          <w:numId w:val="1"/>
        </w:numPr>
        <w:spacing w:after="240"/>
      </w:pPr>
      <w:r>
        <w:t>Command Methods and Guidance</w:t>
      </w:r>
      <w:bookmarkEnd w:id="4"/>
    </w:p>
    <w:p w:rsidR="00973ADD" w:rsidRDefault="00693FC8" w:rsidP="00973ADD">
      <w:pPr>
        <w:autoSpaceDE w:val="0"/>
        <w:autoSpaceDN w:val="0"/>
        <w:adjustRightInd w:val="0"/>
        <w:spacing w:line="240" w:lineRule="auto"/>
      </w:pPr>
      <w:r>
        <w:t>Built specifically to r</w:t>
      </w:r>
      <w:r w:rsidR="00B127C9">
        <w:t>educe collateral damage, and to operate in all weather conditions, t</w:t>
      </w:r>
      <w:r w:rsidR="008563A0" w:rsidRPr="00693FC8">
        <w:t xml:space="preserve">he EPWII features </w:t>
      </w:r>
      <w:r w:rsidRPr="00693FC8">
        <w:t>Raytheon’s Enhanced dual-mode GPS and Laser guidance</w:t>
      </w:r>
      <w:r>
        <w:t xml:space="preserve"> system</w:t>
      </w:r>
      <w:r w:rsidRPr="00693FC8">
        <w:t xml:space="preserve">. </w:t>
      </w:r>
    </w:p>
    <w:p w:rsidR="00973ADD" w:rsidRDefault="00973ADD" w:rsidP="00973ADD">
      <w:pPr>
        <w:autoSpaceDE w:val="0"/>
        <w:autoSpaceDN w:val="0"/>
        <w:adjustRightInd w:val="0"/>
        <w:spacing w:line="240" w:lineRule="auto"/>
      </w:pPr>
      <w:r>
        <w:t>The Paveway laser guidance system utilises a semi-active seeker head. For this feature to function the target must be designated with a specific laser light; this in turn is reflected away from the target, received by the bomb, and can be used to guide the muniti</w:t>
      </w:r>
      <w:r w:rsidR="00187287">
        <w:t>on to a strike accuracy of approximately a meter</w:t>
      </w:r>
      <w:r>
        <w:t>.</w:t>
      </w:r>
    </w:p>
    <w:p w:rsidR="005E39B9" w:rsidRDefault="00973ADD" w:rsidP="00973ADD">
      <w:pPr>
        <w:autoSpaceDE w:val="0"/>
        <w:autoSpaceDN w:val="0"/>
        <w:adjustRightInd w:val="0"/>
        <w:spacing w:line="240" w:lineRule="auto"/>
      </w:pPr>
      <w:r>
        <w:t xml:space="preserve">Unfortunately, Laser designation has a sub-optimal response in high moisture weather conditions, such as rain or fog. The water in the atmosphere causes refraction and distortion in the laser light, </w:t>
      </w:r>
      <w:r>
        <w:lastRenderedPageBreak/>
        <w:t>resulting in a scattered target image. The Paveway guidance system is designed to switch to GAINS guidance if a suitable target image cannot be found.</w:t>
      </w:r>
      <w:sdt>
        <w:sdtPr>
          <w:id w:val="1600608640"/>
          <w:citation/>
        </w:sdtPr>
        <w:sdtContent>
          <w:r w:rsidR="00CD7281">
            <w:fldChar w:fldCharType="begin"/>
          </w:r>
          <w:r w:rsidR="00CD7281">
            <w:instrText xml:space="preserve"> CITATION ttp06 \l 2057 </w:instrText>
          </w:r>
          <w:r w:rsidR="00CD7281">
            <w:fldChar w:fldCharType="separate"/>
          </w:r>
          <w:r w:rsidR="00D875AE">
            <w:rPr>
              <w:noProof/>
            </w:rPr>
            <w:t xml:space="preserve"> (4)</w:t>
          </w:r>
          <w:r w:rsidR="00CD7281">
            <w:fldChar w:fldCharType="end"/>
          </w:r>
        </w:sdtContent>
      </w:sdt>
    </w:p>
    <w:p w:rsidR="00B07DA0" w:rsidRDefault="00B07DA0" w:rsidP="005E39B9">
      <w:pPr>
        <w:autoSpaceDE w:val="0"/>
        <w:autoSpaceDN w:val="0"/>
        <w:adjustRightInd w:val="0"/>
        <w:spacing w:line="240" w:lineRule="auto"/>
        <w:rPr>
          <w:b/>
          <w:u w:val="single"/>
        </w:rPr>
      </w:pPr>
      <w:r w:rsidRPr="00B07DA0">
        <w:rPr>
          <w:b/>
          <w:u w:val="single"/>
        </w:rPr>
        <w:t>Laser Guidance</w:t>
      </w:r>
    </w:p>
    <w:p w:rsidR="00B07DA0" w:rsidRDefault="00862D03" w:rsidP="005E39B9">
      <w:pPr>
        <w:autoSpaceDE w:val="0"/>
        <w:autoSpaceDN w:val="0"/>
        <w:adjustRightInd w:val="0"/>
        <w:spacing w:line="240" w:lineRule="auto"/>
      </w:pPr>
      <w:r>
        <w:t>When c</w:t>
      </w:r>
      <w:r w:rsidR="00B07DA0">
        <w:t>onsidering the compatible aircraft advertised by RAF.gov.uk, it is possible to assess the laser guidance characteristics required for the laser seeker to function correctly. Both t</w:t>
      </w:r>
      <w:r w:rsidR="002335DA">
        <w:t>h</w:t>
      </w:r>
      <w:r w:rsidR="00B07DA0">
        <w:t xml:space="preserve">e Typhoon and Tornado aircraft are equipped with the Rafael LITENING III targeting pod to designate targets for the Paveway series of munitions. </w:t>
      </w:r>
    </w:p>
    <w:p w:rsidR="002335DA" w:rsidRPr="00D60C09" w:rsidRDefault="002335DA" w:rsidP="002335DA">
      <w:pPr>
        <w:autoSpaceDE w:val="0"/>
        <w:autoSpaceDN w:val="0"/>
        <w:adjustRightInd w:val="0"/>
        <w:spacing w:line="240" w:lineRule="auto"/>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 xml:space="preserve">Rafael, LITENING III </w:t>
      </w:r>
      <w:r w:rsidR="00862D03">
        <w:rPr>
          <w:rFonts w:asciiTheme="majorHAnsi" w:eastAsiaTheme="majorEastAsia" w:hAnsiTheme="majorHAnsi" w:cstheme="majorBidi"/>
          <w:b/>
          <w:bCs/>
          <w:color w:val="4F81BD" w:themeColor="accent1"/>
          <w:sz w:val="26"/>
          <w:szCs w:val="26"/>
        </w:rPr>
        <w:t>Targeting Pod</w:t>
      </w:r>
      <w:r>
        <w:rPr>
          <w:rFonts w:asciiTheme="majorHAnsi" w:eastAsiaTheme="majorEastAsia" w:hAnsiTheme="majorHAnsi" w:cstheme="majorBidi"/>
          <w:b/>
          <w:bCs/>
          <w:color w:val="4F81BD" w:themeColor="accent1"/>
          <w:sz w:val="26"/>
          <w:szCs w:val="26"/>
        </w:rPr>
        <w:t xml:space="preserve"> - Specifications</w:t>
      </w:r>
    </w:p>
    <w:p w:rsidR="002335DA" w:rsidRPr="002335DA" w:rsidRDefault="002335DA" w:rsidP="002335DA">
      <w:pPr>
        <w:autoSpaceDE w:val="0"/>
        <w:autoSpaceDN w:val="0"/>
        <w:adjustRightInd w:val="0"/>
        <w:spacing w:line="240" w:lineRule="auto"/>
        <w:jc w:val="center"/>
        <w:rPr>
          <w:rFonts w:cstheme="minorHAnsi"/>
        </w:rPr>
      </w:pPr>
      <w:r w:rsidRPr="002335DA">
        <w:rPr>
          <w:rFonts w:cstheme="minorHAnsi"/>
          <w:noProof/>
          <w:lang w:eastAsia="en-GB"/>
        </w:rPr>
        <w:drawing>
          <wp:inline distT="0" distB="0" distL="0" distR="0" wp14:anchorId="0D7DAE93" wp14:editId="299EF3A7">
            <wp:extent cx="4419600" cy="835298"/>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420293" cy="835429"/>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7149"/>
      </w:tblGrid>
      <w:tr w:rsidR="002335DA" w:rsidRPr="002335DA" w:rsidTr="00AA662C">
        <w:tc>
          <w:tcPr>
            <w:tcW w:w="2093" w:type="dxa"/>
            <w:vAlign w:val="center"/>
          </w:tcPr>
          <w:p w:rsidR="002335DA" w:rsidRPr="00973ADD" w:rsidRDefault="00862D03" w:rsidP="00862D03">
            <w:pPr>
              <w:autoSpaceDE w:val="0"/>
              <w:autoSpaceDN w:val="0"/>
              <w:adjustRightInd w:val="0"/>
              <w:jc w:val="right"/>
              <w:rPr>
                <w:rFonts w:cstheme="minorHAnsi"/>
                <w:b/>
              </w:rPr>
            </w:pPr>
            <w:r w:rsidRPr="00973ADD">
              <w:rPr>
                <w:b/>
              </w:rPr>
              <w:t>Length:</w:t>
            </w:r>
          </w:p>
        </w:tc>
        <w:tc>
          <w:tcPr>
            <w:tcW w:w="7149" w:type="dxa"/>
          </w:tcPr>
          <w:p w:rsidR="002335DA" w:rsidRPr="002335DA" w:rsidRDefault="00973ADD" w:rsidP="00973ADD">
            <w:pPr>
              <w:autoSpaceDE w:val="0"/>
              <w:autoSpaceDN w:val="0"/>
              <w:adjustRightInd w:val="0"/>
              <w:rPr>
                <w:rFonts w:cstheme="minorHAnsi"/>
              </w:rPr>
            </w:pPr>
            <w:r>
              <w:t>2.20 m</w:t>
            </w:r>
          </w:p>
        </w:tc>
      </w:tr>
      <w:tr w:rsidR="00862D03" w:rsidRPr="002335DA" w:rsidTr="00AA662C">
        <w:tc>
          <w:tcPr>
            <w:tcW w:w="2093" w:type="dxa"/>
            <w:vAlign w:val="center"/>
          </w:tcPr>
          <w:p w:rsidR="00862D03" w:rsidRPr="00973ADD" w:rsidRDefault="00862D03" w:rsidP="00862D03">
            <w:pPr>
              <w:autoSpaceDE w:val="0"/>
              <w:autoSpaceDN w:val="0"/>
              <w:adjustRightInd w:val="0"/>
              <w:jc w:val="right"/>
              <w:rPr>
                <w:rFonts w:cstheme="minorHAnsi"/>
                <w:b/>
              </w:rPr>
            </w:pPr>
            <w:r w:rsidRPr="00973ADD">
              <w:rPr>
                <w:b/>
              </w:rPr>
              <w:t>Diameter:</w:t>
            </w:r>
          </w:p>
        </w:tc>
        <w:tc>
          <w:tcPr>
            <w:tcW w:w="7149" w:type="dxa"/>
          </w:tcPr>
          <w:p w:rsidR="00862D03" w:rsidRPr="00973ADD" w:rsidRDefault="00973ADD" w:rsidP="002335DA">
            <w:pPr>
              <w:autoSpaceDE w:val="0"/>
              <w:autoSpaceDN w:val="0"/>
              <w:adjustRightInd w:val="0"/>
            </w:pPr>
            <w:r>
              <w:t>0.406 m</w:t>
            </w:r>
          </w:p>
        </w:tc>
      </w:tr>
      <w:tr w:rsidR="00862D03" w:rsidRPr="002335DA" w:rsidTr="00AA662C">
        <w:tc>
          <w:tcPr>
            <w:tcW w:w="2093" w:type="dxa"/>
            <w:vAlign w:val="center"/>
          </w:tcPr>
          <w:p w:rsidR="00862D03" w:rsidRPr="00973ADD" w:rsidRDefault="00862D03" w:rsidP="00862D03">
            <w:pPr>
              <w:autoSpaceDE w:val="0"/>
              <w:autoSpaceDN w:val="0"/>
              <w:adjustRightInd w:val="0"/>
              <w:jc w:val="right"/>
              <w:rPr>
                <w:rFonts w:cstheme="minorHAnsi"/>
                <w:b/>
              </w:rPr>
            </w:pPr>
            <w:r w:rsidRPr="00973ADD">
              <w:rPr>
                <w:b/>
              </w:rPr>
              <w:t>Weight:</w:t>
            </w:r>
          </w:p>
        </w:tc>
        <w:tc>
          <w:tcPr>
            <w:tcW w:w="7149" w:type="dxa"/>
          </w:tcPr>
          <w:p w:rsidR="00862D03" w:rsidRPr="002335DA" w:rsidRDefault="00973ADD" w:rsidP="002335DA">
            <w:pPr>
              <w:autoSpaceDE w:val="0"/>
              <w:autoSpaceDN w:val="0"/>
              <w:adjustRightInd w:val="0"/>
              <w:rPr>
                <w:rFonts w:cstheme="minorHAnsi"/>
              </w:rPr>
            </w:pPr>
            <w:r>
              <w:t xml:space="preserve"> 208 kg (455 lb)</w:t>
            </w:r>
          </w:p>
        </w:tc>
      </w:tr>
      <w:tr w:rsidR="00862D03" w:rsidRPr="002335DA" w:rsidTr="00AA662C">
        <w:tc>
          <w:tcPr>
            <w:tcW w:w="2093" w:type="dxa"/>
            <w:vAlign w:val="center"/>
          </w:tcPr>
          <w:p w:rsidR="00862D03" w:rsidRPr="002335DA" w:rsidRDefault="00862D03" w:rsidP="00BD2F92">
            <w:pPr>
              <w:autoSpaceDE w:val="0"/>
              <w:autoSpaceDN w:val="0"/>
              <w:adjustRightInd w:val="0"/>
              <w:jc w:val="right"/>
              <w:rPr>
                <w:rFonts w:cstheme="minorHAnsi"/>
                <w:b/>
              </w:rPr>
            </w:pPr>
            <w:r w:rsidRPr="002335DA">
              <w:rPr>
                <w:rFonts w:cstheme="minorHAnsi"/>
                <w:b/>
              </w:rPr>
              <w:t>Laser Type</w:t>
            </w:r>
          </w:p>
        </w:tc>
        <w:tc>
          <w:tcPr>
            <w:tcW w:w="7149" w:type="dxa"/>
          </w:tcPr>
          <w:p w:rsidR="00862D03" w:rsidRDefault="00862D03" w:rsidP="00BD2F92">
            <w:pPr>
              <w:autoSpaceDE w:val="0"/>
              <w:autoSpaceDN w:val="0"/>
              <w:adjustRightInd w:val="0"/>
              <w:rPr>
                <w:rFonts w:cstheme="minorHAnsi"/>
              </w:rPr>
            </w:pPr>
            <w:r w:rsidRPr="002335DA">
              <w:rPr>
                <w:rFonts w:cstheme="minorHAnsi"/>
              </w:rPr>
              <w:t>Class 4, Neodymium yttrium aluminium garnet (Nd:Yag)</w:t>
            </w:r>
          </w:p>
          <w:p w:rsidR="00AA662C" w:rsidRPr="00AA662C" w:rsidRDefault="00AA662C" w:rsidP="00AA662C">
            <w:pPr>
              <w:autoSpaceDE w:val="0"/>
              <w:autoSpaceDN w:val="0"/>
              <w:adjustRightInd w:val="0"/>
              <w:rPr>
                <w:rFonts w:cstheme="minorHAnsi"/>
                <w:i/>
              </w:rPr>
            </w:pPr>
            <w:r w:rsidRPr="00AA662C">
              <w:rPr>
                <w:i/>
              </w:rPr>
              <w:t>Diode Pump Laser conforms with NATO Std</w:t>
            </w:r>
            <w:r>
              <w:rPr>
                <w:i/>
              </w:rPr>
              <w:t xml:space="preserve">. </w:t>
            </w:r>
            <w:r w:rsidRPr="00AA662C">
              <w:rPr>
                <w:i/>
              </w:rPr>
              <w:t>Coding</w:t>
            </w:r>
            <w:r>
              <w:rPr>
                <w:i/>
              </w:rPr>
              <w:t xml:space="preserve"> </w:t>
            </w:r>
            <w:r w:rsidRPr="00AA662C">
              <w:rPr>
                <w:i/>
              </w:rPr>
              <w:t>&amp; Eye Safe</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Power</w:t>
            </w:r>
          </w:p>
        </w:tc>
        <w:tc>
          <w:tcPr>
            <w:tcW w:w="7149" w:type="dxa"/>
          </w:tcPr>
          <w:p w:rsidR="00862D03" w:rsidRPr="002335DA" w:rsidRDefault="00AA662C" w:rsidP="00AA662C">
            <w:pPr>
              <w:autoSpaceDE w:val="0"/>
              <w:autoSpaceDN w:val="0"/>
              <w:adjustRightInd w:val="0"/>
              <w:rPr>
                <w:rFonts w:cstheme="minorHAnsi"/>
              </w:rPr>
            </w:pPr>
            <w:r>
              <w:rPr>
                <w:rFonts w:cstheme="minorHAnsi"/>
                <w:color w:val="000000"/>
              </w:rPr>
              <w:t>140mJ</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Pulse Duration</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20ns</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Pulse Frequency</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20Hz</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Beam Divergence</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0.12mrad</w:t>
            </w:r>
          </w:p>
        </w:tc>
      </w:tr>
      <w:tr w:rsidR="00AA662C" w:rsidRPr="002335DA" w:rsidTr="00AA662C">
        <w:tc>
          <w:tcPr>
            <w:tcW w:w="2093" w:type="dxa"/>
            <w:vAlign w:val="center"/>
          </w:tcPr>
          <w:p w:rsidR="00AA662C" w:rsidRPr="002335DA" w:rsidRDefault="00AA662C" w:rsidP="00862D03">
            <w:pPr>
              <w:autoSpaceDE w:val="0"/>
              <w:autoSpaceDN w:val="0"/>
              <w:adjustRightInd w:val="0"/>
              <w:jc w:val="right"/>
              <w:rPr>
                <w:rFonts w:cstheme="minorHAnsi"/>
                <w:b/>
              </w:rPr>
            </w:pPr>
            <w:r>
              <w:rPr>
                <w:rFonts w:cstheme="minorHAnsi"/>
                <w:b/>
              </w:rPr>
              <w:t>Wavelength</w:t>
            </w:r>
          </w:p>
        </w:tc>
        <w:tc>
          <w:tcPr>
            <w:tcW w:w="7149" w:type="dxa"/>
          </w:tcPr>
          <w:p w:rsidR="00AA662C" w:rsidRPr="002335DA" w:rsidRDefault="00AA662C" w:rsidP="00BD2F92">
            <w:pPr>
              <w:autoSpaceDE w:val="0"/>
              <w:autoSpaceDN w:val="0"/>
              <w:adjustRightInd w:val="0"/>
              <w:rPr>
                <w:rFonts w:cstheme="minorHAnsi"/>
              </w:rPr>
            </w:pPr>
            <w:r>
              <w:t>1.06μm (Designator), 1.57μm (Rangefinder)</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Pr>
                <w:rFonts w:cstheme="minorHAnsi"/>
                <w:b/>
              </w:rPr>
              <w:t>Sensors</w:t>
            </w:r>
          </w:p>
        </w:tc>
        <w:tc>
          <w:tcPr>
            <w:tcW w:w="7149" w:type="dxa"/>
          </w:tcPr>
          <w:p w:rsidR="00862D03" w:rsidRPr="002335DA" w:rsidRDefault="00862D03" w:rsidP="00AA662C">
            <w:pPr>
              <w:autoSpaceDE w:val="0"/>
              <w:autoSpaceDN w:val="0"/>
              <w:adjustRightInd w:val="0"/>
              <w:rPr>
                <w:rFonts w:cstheme="minorHAnsi"/>
              </w:rPr>
            </w:pPr>
            <w:r w:rsidRPr="00862D03">
              <w:rPr>
                <w:rFonts w:cstheme="minorHAnsi"/>
              </w:rPr>
              <w:t xml:space="preserve">Infrared detector, CCD-TV camera, </w:t>
            </w:r>
            <w:r w:rsidR="00AA662C">
              <w:rPr>
                <w:rFonts w:cstheme="minorHAnsi"/>
              </w:rPr>
              <w:t>Laser Rangefinder/D</w:t>
            </w:r>
            <w:r w:rsidRPr="00862D03">
              <w:rPr>
                <w:rFonts w:cstheme="minorHAnsi"/>
              </w:rPr>
              <w:t>esignator</w:t>
            </w:r>
          </w:p>
        </w:tc>
      </w:tr>
    </w:tbl>
    <w:p w:rsidR="00862D03" w:rsidRDefault="00862D03" w:rsidP="00862D03">
      <w:pPr>
        <w:autoSpaceDE w:val="0"/>
        <w:autoSpaceDN w:val="0"/>
        <w:adjustRightInd w:val="0"/>
        <w:spacing w:line="240" w:lineRule="auto"/>
      </w:pPr>
    </w:p>
    <w:p w:rsidR="00973ADD" w:rsidRDefault="00973ADD" w:rsidP="00862D03">
      <w:pPr>
        <w:autoSpaceDE w:val="0"/>
        <w:autoSpaceDN w:val="0"/>
        <w:adjustRightInd w:val="0"/>
        <w:spacing w:line="240" w:lineRule="auto"/>
      </w:pPr>
      <w:r>
        <w:t>From this information, it is immediately a</w:t>
      </w:r>
      <w:r w:rsidR="00AA662C">
        <w:t>pparent that observations of a C</w:t>
      </w:r>
      <w:r>
        <w:t>lass 4 laser will require some scrut</w:t>
      </w:r>
      <w:r w:rsidR="00AA662C">
        <w:t xml:space="preserve">iny from a technical specialist, as high power lasers can cause </w:t>
      </w:r>
      <w:r w:rsidR="000E2D3E">
        <w:t>interference</w:t>
      </w:r>
      <w:r w:rsidR="00D718B3">
        <w:t xml:space="preserve"> with equipment.</w:t>
      </w:r>
      <w:r>
        <w:t xml:space="preserve">  </w:t>
      </w:r>
      <w:r w:rsidR="00D718B3">
        <w:t xml:space="preserve">Also, a wavelength of 1.06μm is in the </w:t>
      </w:r>
      <w:r w:rsidR="002D4528">
        <w:t>infrared</w:t>
      </w:r>
      <w:r w:rsidR="00D718B3">
        <w:t xml:space="preserve"> spectrum, and can be detected and recorded on most IR Camera equipment. It will also be necessary to create a laser safety trace for this activity</w:t>
      </w:r>
      <w:r w:rsidR="000E2D3E">
        <w:t>.</w:t>
      </w:r>
      <w:sdt>
        <w:sdtPr>
          <w:id w:val="1394700868"/>
          <w:citation/>
        </w:sdtPr>
        <w:sdtContent>
          <w:r w:rsidR="00CD7281">
            <w:fldChar w:fldCharType="begin"/>
          </w:r>
          <w:r w:rsidR="00CD7281">
            <w:instrText xml:space="preserve"> CITATION Ult10 \l 2057 </w:instrText>
          </w:r>
          <w:r w:rsidR="00CD7281">
            <w:fldChar w:fldCharType="separate"/>
          </w:r>
          <w:r w:rsidR="00D875AE">
            <w:rPr>
              <w:noProof/>
            </w:rPr>
            <w:t xml:space="preserve"> (5)</w:t>
          </w:r>
          <w:r w:rsidR="00CD7281">
            <w:fldChar w:fldCharType="end"/>
          </w:r>
        </w:sdtContent>
      </w:sdt>
    </w:p>
    <w:p w:rsidR="00B127C9" w:rsidRDefault="00B127C9" w:rsidP="005E39B9">
      <w:pPr>
        <w:autoSpaceDE w:val="0"/>
        <w:autoSpaceDN w:val="0"/>
        <w:adjustRightInd w:val="0"/>
        <w:spacing w:line="240" w:lineRule="auto"/>
        <w:rPr>
          <w:b/>
          <w:u w:val="single"/>
        </w:rPr>
      </w:pPr>
      <w:r>
        <w:rPr>
          <w:b/>
          <w:u w:val="single"/>
        </w:rPr>
        <w:t>GPS-aided Inertial Navigation System</w:t>
      </w:r>
    </w:p>
    <w:p w:rsidR="00B127C9" w:rsidRDefault="003E2197" w:rsidP="005E39B9">
      <w:pPr>
        <w:autoSpaceDE w:val="0"/>
        <w:autoSpaceDN w:val="0"/>
        <w:adjustRightInd w:val="0"/>
        <w:spacing w:line="240" w:lineRule="auto"/>
      </w:pPr>
      <w:r>
        <w:t xml:space="preserve">Often abbreviated to GAINS or GPS/INS; </w:t>
      </w:r>
      <w:r w:rsidR="00D718B3">
        <w:t>this method of guidance is d</w:t>
      </w:r>
      <w:r w:rsidR="00B127C9">
        <w:t xml:space="preserve">esigned to operate in cases where </w:t>
      </w:r>
      <w:r w:rsidR="00D718B3">
        <w:t>a suitable laser target designation i</w:t>
      </w:r>
      <w:r w:rsidR="00B127C9">
        <w:t>s not feasible due to weather/battle constraints</w:t>
      </w:r>
      <w:r w:rsidR="00D718B3">
        <w:t xml:space="preserve">. Also, GAINS can be used in situations where laser guidance has been lost mid-mission for any reason, and retain an </w:t>
      </w:r>
      <w:r w:rsidR="00D718B3" w:rsidRPr="00D718B3">
        <w:t>accuracy of a few meters.</w:t>
      </w:r>
      <w:r w:rsidR="00B127C9">
        <w:t xml:space="preserve"> </w:t>
      </w:r>
    </w:p>
    <w:p w:rsidR="00D718B3" w:rsidRDefault="00F33A47" w:rsidP="005E39B9">
      <w:pPr>
        <w:autoSpaceDE w:val="0"/>
        <w:autoSpaceDN w:val="0"/>
        <w:adjustRightInd w:val="0"/>
        <w:spacing w:line="240" w:lineRule="auto"/>
      </w:pPr>
      <w:r>
        <w:t>The GPS element of the system accurately records the last known location of the bomb prior to release using the aircraft GPS datalink. From this point the accuracy of the GPS element is sub-optimal, measuring the location of the device in space to within approximately 6 meters.</w:t>
      </w:r>
      <w:r>
        <w:br/>
      </w:r>
      <w:r>
        <w:br/>
        <w:t>From this last know location, the Inertial Navigation System is far more accurate over short-flight ranges. This module uses solid state ring laser gyroscopes and highly sensitive accelerometers to map the motion of the munition from the last known location provided by GPS. This then feeds the location data back to the Paveway logic controller, which is turn manoeuvres the missile canards</w:t>
      </w:r>
      <w:r w:rsidR="004E56B5">
        <w:t xml:space="preserve"> (via a compressed gas generator)</w:t>
      </w:r>
      <w:r>
        <w:t xml:space="preserve"> to </w:t>
      </w:r>
      <w:r w:rsidR="004E56B5">
        <w:t>align the</w:t>
      </w:r>
      <w:r>
        <w:t xml:space="preserve"> strike trajectory. This process is repeated</w:t>
      </w:r>
      <w:r w:rsidR="004E56B5">
        <w:t xml:space="preserve"> as fast as the logic processor will allow.</w:t>
      </w:r>
      <w:sdt>
        <w:sdtPr>
          <w:id w:val="-2033250288"/>
          <w:citation/>
        </w:sdtPr>
        <w:sdtContent>
          <w:r w:rsidR="00CD7281">
            <w:fldChar w:fldCharType="begin"/>
          </w:r>
          <w:r w:rsidR="00CD7281">
            <w:instrText xml:space="preserve"> CITATION Ove16 \l 2057 </w:instrText>
          </w:r>
          <w:r w:rsidR="00CD7281">
            <w:fldChar w:fldCharType="separate"/>
          </w:r>
          <w:r w:rsidR="00D875AE">
            <w:rPr>
              <w:noProof/>
            </w:rPr>
            <w:t xml:space="preserve"> (6)</w:t>
          </w:r>
          <w:r w:rsidR="00CD7281">
            <w:fldChar w:fldCharType="end"/>
          </w:r>
        </w:sdtContent>
      </w:sdt>
    </w:p>
    <w:p w:rsidR="00A244A1" w:rsidRDefault="00FE1158" w:rsidP="00D25094">
      <w:pPr>
        <w:pStyle w:val="Heading1"/>
        <w:numPr>
          <w:ilvl w:val="0"/>
          <w:numId w:val="1"/>
        </w:numPr>
        <w:spacing w:after="240"/>
        <w:rPr>
          <w:rStyle w:val="tgc"/>
        </w:rPr>
      </w:pPr>
      <w:bookmarkStart w:id="5" w:name="_Toc485928583"/>
      <w:r>
        <w:rPr>
          <w:rStyle w:val="tgc"/>
        </w:rPr>
        <w:lastRenderedPageBreak/>
        <w:t>Trial Conception</w:t>
      </w:r>
      <w:bookmarkEnd w:id="5"/>
    </w:p>
    <w:p w:rsidR="002D01E6" w:rsidRDefault="004E56B5" w:rsidP="002D01E6">
      <w:r>
        <w:t>This EPWII Accuracy and Warhead Performance trial poses a number of potential difficulties and risks.</w:t>
      </w:r>
      <w:r w:rsidR="002D01E6">
        <w:t xml:space="preserve"> </w:t>
      </w:r>
      <w:r w:rsidR="00F37C50">
        <w:t>I</w:t>
      </w:r>
      <w:r w:rsidR="002D01E6">
        <w:t xml:space="preserve">t is essential to consider the facilities and </w:t>
      </w:r>
      <w:r w:rsidR="00F0433D">
        <w:t>qualities of the embedded staff at each location.</w:t>
      </w:r>
    </w:p>
    <w:p w:rsidR="00F0433D" w:rsidRDefault="00F0433D" w:rsidP="002D01E6">
      <w:r>
        <w:t>It is also important to consider the position and detectability of the target system from the air, as well as considering the location of the instrumentation and technical teams during trial conduct. It is entirely possible that a 1000lb bomb could compromise the vast majority of the undercover positions that QinetiQ use. Furthermore, it is imperative to ensure that the range has the infrastructure to accommodate the activity planned.</w:t>
      </w:r>
    </w:p>
    <w:p w:rsidR="00F0433D" w:rsidRDefault="00F0433D" w:rsidP="002D01E6">
      <w:r>
        <w:t xml:space="preserve">Each of these aspects of the trial delivery will be further explored below, providing discussion </w:t>
      </w:r>
      <w:r w:rsidR="00F37C50">
        <w:t>on each potential option from a safety and financial perspective.</w:t>
      </w:r>
    </w:p>
    <w:p w:rsidR="007E7791" w:rsidRPr="00D25094" w:rsidRDefault="00FE1158" w:rsidP="007E7791">
      <w:pPr>
        <w:pStyle w:val="Heading2"/>
        <w:numPr>
          <w:ilvl w:val="1"/>
          <w:numId w:val="1"/>
        </w:numPr>
        <w:spacing w:after="240"/>
      </w:pPr>
      <w:bookmarkStart w:id="6" w:name="_Toc485928584"/>
      <w:r>
        <w:t>Trial Location</w:t>
      </w:r>
      <w:bookmarkEnd w:id="6"/>
    </w:p>
    <w:p w:rsidR="00AA3D5B" w:rsidRDefault="00F37C50" w:rsidP="005E39B9">
      <w:pPr>
        <w:autoSpaceDE w:val="0"/>
        <w:autoSpaceDN w:val="0"/>
        <w:adjustRightInd w:val="0"/>
        <w:spacing w:after="0" w:line="240" w:lineRule="auto"/>
        <w:rPr>
          <w:rFonts w:cs="Arial"/>
        </w:rPr>
      </w:pPr>
      <w:r w:rsidRPr="00F37C50">
        <w:rPr>
          <w:rFonts w:cs="Arial"/>
        </w:rPr>
        <w:t>A number of facilities could accommodate the trial in various forms. MOD Shoeburyness for example is not an air range, and is not ideal from a competency perspective to conduct air-ground communications. They do have the competency however to perform a</w:t>
      </w:r>
      <w:r w:rsidR="00AA3D5B">
        <w:rPr>
          <w:rFonts w:cs="Arial"/>
        </w:rPr>
        <w:t xml:space="preserve"> static warhead effect</w:t>
      </w:r>
      <w:r w:rsidRPr="00F37C50">
        <w:rPr>
          <w:rFonts w:cs="Arial"/>
        </w:rPr>
        <w:t xml:space="preserve"> trial. </w:t>
      </w:r>
    </w:p>
    <w:p w:rsidR="00F37C50" w:rsidRDefault="00AA3D5B" w:rsidP="005E39B9">
      <w:pPr>
        <w:autoSpaceDE w:val="0"/>
        <w:autoSpaceDN w:val="0"/>
        <w:adjustRightInd w:val="0"/>
        <w:spacing w:after="0" w:line="240" w:lineRule="auto"/>
        <w:rPr>
          <w:rFonts w:cs="Arial"/>
        </w:rPr>
      </w:pPr>
      <w:r>
        <w:rPr>
          <w:rFonts w:cs="Arial"/>
        </w:rPr>
        <w:t>The data from this static trial could then be subject to computer simulation to determine the ‘real’ effect of the downward motion of the bomb on the fragment beam angle.</w:t>
      </w:r>
      <w:r>
        <w:rPr>
          <w:rFonts w:cs="Arial"/>
        </w:rPr>
        <w:br/>
      </w:r>
      <w:r>
        <w:rPr>
          <w:rFonts w:cs="Arial"/>
        </w:rPr>
        <w:br/>
      </w:r>
      <w:r w:rsidR="00F37C50" w:rsidRPr="00F37C50">
        <w:rPr>
          <w:rFonts w:cs="Arial"/>
        </w:rPr>
        <w:t>This</w:t>
      </w:r>
      <w:r>
        <w:rPr>
          <w:rFonts w:cs="Arial"/>
        </w:rPr>
        <w:t xml:space="preserve"> activity</w:t>
      </w:r>
      <w:r w:rsidR="00F37C50" w:rsidRPr="00F37C50">
        <w:rPr>
          <w:rFonts w:cs="Arial"/>
        </w:rPr>
        <w:t xml:space="preserve"> could in turn develop the dynamic portion of the trial into dropping an inert guided munition. From a safety perspect</w:t>
      </w:r>
      <w:r w:rsidR="00F37C50">
        <w:rPr>
          <w:rFonts w:cs="Arial"/>
        </w:rPr>
        <w:t xml:space="preserve">ive, this seems to be far better option as there is no need to be concerned about the warhead effect combined with probable error in accuracy. This </w:t>
      </w:r>
      <w:r>
        <w:rPr>
          <w:rFonts w:cs="Arial"/>
        </w:rPr>
        <w:t>delivery method does have the potential to</w:t>
      </w:r>
      <w:r w:rsidR="00F37C50">
        <w:rPr>
          <w:rFonts w:cs="Arial"/>
        </w:rPr>
        <w:t xml:space="preserve"> cost the customer more money in comparison</w:t>
      </w:r>
      <w:r>
        <w:rPr>
          <w:rFonts w:cs="Arial"/>
        </w:rPr>
        <w:t xml:space="preserve"> to the single air-drop trial, but is also the only method that could supply the customer with</w:t>
      </w:r>
      <w:r w:rsidR="005772EF">
        <w:rPr>
          <w:rFonts w:cs="Arial"/>
        </w:rPr>
        <w:t xml:space="preserve"> high accuracy</w:t>
      </w:r>
      <w:r>
        <w:rPr>
          <w:rFonts w:cs="Arial"/>
        </w:rPr>
        <w:t xml:space="preserve"> blast data from the activity. Considering the </w:t>
      </w:r>
      <w:r w:rsidR="005772EF">
        <w:rPr>
          <w:rFonts w:cs="Arial"/>
        </w:rPr>
        <w:t xml:space="preserve">error in </w:t>
      </w:r>
      <w:r>
        <w:rPr>
          <w:rFonts w:cs="Arial"/>
        </w:rPr>
        <w:t>accuracy of the munition, deploying</w:t>
      </w:r>
      <w:r w:rsidR="005772EF">
        <w:rPr>
          <w:rFonts w:cs="Arial"/>
        </w:rPr>
        <w:t xml:space="preserve"> </w:t>
      </w:r>
      <w:r w:rsidR="00FE3AB3">
        <w:rPr>
          <w:rFonts w:cs="Arial"/>
        </w:rPr>
        <w:t>high accuracy</w:t>
      </w:r>
      <w:r>
        <w:rPr>
          <w:rFonts w:cs="Arial"/>
        </w:rPr>
        <w:t xml:space="preserve"> blast gauges could expose them to fragmentation, and</w:t>
      </w:r>
      <w:r w:rsidR="00FE3AB3">
        <w:rPr>
          <w:rFonts w:cs="Arial"/>
        </w:rPr>
        <w:t xml:space="preserve"> presents a risk of damaging</w:t>
      </w:r>
      <w:r>
        <w:rPr>
          <w:rFonts w:cs="Arial"/>
        </w:rPr>
        <w:t xml:space="preserve"> very expensive equipment.</w:t>
      </w:r>
    </w:p>
    <w:p w:rsidR="00F37C50" w:rsidRDefault="00F37C50" w:rsidP="005E39B9">
      <w:pPr>
        <w:autoSpaceDE w:val="0"/>
        <w:autoSpaceDN w:val="0"/>
        <w:adjustRightInd w:val="0"/>
        <w:spacing w:after="0" w:line="240" w:lineRule="auto"/>
        <w:rPr>
          <w:rFonts w:cs="Arial"/>
        </w:rPr>
      </w:pPr>
    </w:p>
    <w:p w:rsidR="00F37C50" w:rsidRDefault="00F37C50" w:rsidP="005E39B9">
      <w:pPr>
        <w:autoSpaceDE w:val="0"/>
        <w:autoSpaceDN w:val="0"/>
        <w:adjustRightInd w:val="0"/>
        <w:spacing w:after="0" w:line="240" w:lineRule="auto"/>
        <w:rPr>
          <w:rFonts w:cs="Arial"/>
        </w:rPr>
      </w:pPr>
      <w:r>
        <w:rPr>
          <w:rFonts w:cs="Arial"/>
        </w:rPr>
        <w:t xml:space="preserve">MOD Pendine </w:t>
      </w:r>
      <w:r w:rsidR="00AA3D5B">
        <w:rPr>
          <w:rFonts w:cs="Arial"/>
        </w:rPr>
        <w:t>also has the potential to conduct a dynamic warhead effects trial on the Long Test Track facility, again permitting the dropped munition to be inert and still satisfy the project requirements. The long test track has a significant waiting list, and may delay the activity beyond established limits. It is also a very expensive facility, but it permits the warhead function test to generate ‘real’ data as to the effect of bomb velocity on the fragmentation beam angle.</w:t>
      </w:r>
    </w:p>
    <w:p w:rsidR="00AA3D5B" w:rsidRDefault="00AA3D5B" w:rsidP="005E39B9">
      <w:pPr>
        <w:autoSpaceDE w:val="0"/>
        <w:autoSpaceDN w:val="0"/>
        <w:adjustRightInd w:val="0"/>
        <w:spacing w:after="0" w:line="240" w:lineRule="auto"/>
        <w:rPr>
          <w:rFonts w:cs="Arial"/>
        </w:rPr>
      </w:pPr>
    </w:p>
    <w:p w:rsidR="00AA3D5B" w:rsidRDefault="00AA3D5B" w:rsidP="005E39B9">
      <w:pPr>
        <w:autoSpaceDE w:val="0"/>
        <w:autoSpaceDN w:val="0"/>
        <w:adjustRightInd w:val="0"/>
        <w:spacing w:after="0" w:line="240" w:lineRule="auto"/>
        <w:rPr>
          <w:rFonts w:cs="Arial"/>
        </w:rPr>
      </w:pPr>
      <w:r>
        <w:rPr>
          <w:rFonts w:cs="Arial"/>
        </w:rPr>
        <w:t xml:space="preserve">Alternatively, MOD West Freugh is an air range with a </w:t>
      </w:r>
      <w:r w:rsidR="00AA02FF">
        <w:rPr>
          <w:rFonts w:cs="Arial"/>
        </w:rPr>
        <w:t xml:space="preserve">200m by 400m concrete trial space that could be used to conduct the test as defined. The embedded </w:t>
      </w:r>
      <w:proofErr w:type="gramStart"/>
      <w:r w:rsidR="00AA02FF">
        <w:rPr>
          <w:rFonts w:cs="Arial"/>
        </w:rPr>
        <w:t>staff have</w:t>
      </w:r>
      <w:proofErr w:type="gramEnd"/>
      <w:r w:rsidR="00AA02FF">
        <w:rPr>
          <w:rFonts w:cs="Arial"/>
        </w:rPr>
        <w:t xml:space="preserve"> comprehensive knowledge and experience of conducting air dropped munition tests.</w:t>
      </w:r>
      <w:r w:rsidR="004B7D52">
        <w:rPr>
          <w:rFonts w:cs="Arial"/>
        </w:rPr>
        <w:br/>
        <w:t>The principle concern for using this range is t</w:t>
      </w:r>
      <w:r w:rsidR="00AA02FF">
        <w:rPr>
          <w:rFonts w:cs="Arial"/>
        </w:rPr>
        <w:t xml:space="preserve">he point of impact </w:t>
      </w:r>
      <w:r w:rsidR="004B7D52">
        <w:rPr>
          <w:rFonts w:cs="Arial"/>
        </w:rPr>
        <w:t>is approximately</w:t>
      </w:r>
      <w:r w:rsidR="00AA02FF">
        <w:rPr>
          <w:rFonts w:cs="Arial"/>
        </w:rPr>
        <w:t xml:space="preserve"> 600m from the </w:t>
      </w:r>
      <w:r w:rsidR="00696D59">
        <w:rPr>
          <w:rFonts w:cs="Arial"/>
        </w:rPr>
        <w:t>undercover</w:t>
      </w:r>
      <w:r w:rsidR="00AA02FF">
        <w:rPr>
          <w:rFonts w:cs="Arial"/>
        </w:rPr>
        <w:t xml:space="preserve"> building, well within the safety trace </w:t>
      </w:r>
      <w:r w:rsidR="004B7D52">
        <w:rPr>
          <w:rFonts w:cs="Arial"/>
        </w:rPr>
        <w:t>for this bomb.</w:t>
      </w:r>
    </w:p>
    <w:p w:rsidR="00AA02FF" w:rsidRDefault="00AA02FF" w:rsidP="005E39B9">
      <w:pPr>
        <w:autoSpaceDE w:val="0"/>
        <w:autoSpaceDN w:val="0"/>
        <w:adjustRightInd w:val="0"/>
        <w:spacing w:after="0" w:line="240" w:lineRule="auto"/>
        <w:rPr>
          <w:rFonts w:cs="Arial"/>
        </w:rPr>
      </w:pPr>
    </w:p>
    <w:p w:rsidR="00AA02FF" w:rsidRDefault="004B7D52" w:rsidP="005E39B9">
      <w:pPr>
        <w:autoSpaceDE w:val="0"/>
        <w:autoSpaceDN w:val="0"/>
        <w:adjustRightInd w:val="0"/>
        <w:spacing w:after="0" w:line="240" w:lineRule="auto"/>
        <w:rPr>
          <w:rFonts w:cs="Arial"/>
        </w:rPr>
      </w:pPr>
      <w:r>
        <w:rPr>
          <w:rFonts w:cs="Arial"/>
        </w:rPr>
        <w:t xml:space="preserve">MOD West Freugh is to be used </w:t>
      </w:r>
      <w:r w:rsidR="006F05E4">
        <w:rPr>
          <w:rFonts w:cs="Arial"/>
        </w:rPr>
        <w:t>to deliver this</w:t>
      </w:r>
      <w:r>
        <w:rPr>
          <w:rFonts w:cs="Arial"/>
        </w:rPr>
        <w:t xml:space="preserve"> work.</w:t>
      </w:r>
    </w:p>
    <w:p w:rsidR="005E39B9" w:rsidRDefault="005E39B9" w:rsidP="005E39B9">
      <w:pPr>
        <w:autoSpaceDE w:val="0"/>
        <w:autoSpaceDN w:val="0"/>
        <w:adjustRightInd w:val="0"/>
        <w:spacing w:after="0" w:line="240" w:lineRule="auto"/>
        <w:rPr>
          <w:rFonts w:cs="Arial"/>
          <w:color w:val="FF0000"/>
        </w:rPr>
      </w:pPr>
    </w:p>
    <w:p w:rsidR="006F05E4" w:rsidRDefault="006F05E4" w:rsidP="005E39B9">
      <w:pPr>
        <w:autoSpaceDE w:val="0"/>
        <w:autoSpaceDN w:val="0"/>
        <w:adjustRightInd w:val="0"/>
        <w:spacing w:after="0" w:line="240" w:lineRule="auto"/>
        <w:rPr>
          <w:rFonts w:cs="Arial"/>
          <w:color w:val="FF0000"/>
        </w:rPr>
      </w:pPr>
    </w:p>
    <w:p w:rsidR="006F05E4" w:rsidRDefault="006F05E4" w:rsidP="005E39B9">
      <w:pPr>
        <w:autoSpaceDE w:val="0"/>
        <w:autoSpaceDN w:val="0"/>
        <w:adjustRightInd w:val="0"/>
        <w:spacing w:after="0" w:line="240" w:lineRule="auto"/>
        <w:rPr>
          <w:rFonts w:cs="Arial"/>
          <w:color w:val="FF0000"/>
        </w:rPr>
      </w:pPr>
    </w:p>
    <w:p w:rsidR="006F05E4" w:rsidRDefault="006F05E4" w:rsidP="005E39B9">
      <w:pPr>
        <w:autoSpaceDE w:val="0"/>
        <w:autoSpaceDN w:val="0"/>
        <w:adjustRightInd w:val="0"/>
        <w:spacing w:after="0" w:line="240" w:lineRule="auto"/>
        <w:rPr>
          <w:rFonts w:cs="Arial"/>
          <w:color w:val="FF0000"/>
        </w:rPr>
      </w:pPr>
    </w:p>
    <w:p w:rsidR="006F05E4" w:rsidRDefault="00FE1158" w:rsidP="006F05E4">
      <w:pPr>
        <w:pStyle w:val="Heading2"/>
        <w:numPr>
          <w:ilvl w:val="1"/>
          <w:numId w:val="1"/>
        </w:numPr>
        <w:spacing w:after="240"/>
      </w:pPr>
      <w:bookmarkStart w:id="7" w:name="_Toc485928585"/>
      <w:r>
        <w:lastRenderedPageBreak/>
        <w:t>Target System</w:t>
      </w:r>
      <w:bookmarkEnd w:id="7"/>
    </w:p>
    <w:p w:rsidR="00F337B0" w:rsidRDefault="00F337B0" w:rsidP="00F337B0">
      <w:pPr>
        <w:autoSpaceDE w:val="0"/>
        <w:autoSpaceDN w:val="0"/>
        <w:adjustRightInd w:val="0"/>
        <w:spacing w:after="0" w:line="240" w:lineRule="auto"/>
        <w:jc w:val="center"/>
        <w:rPr>
          <w:rFonts w:cs="Arial"/>
          <w:color w:val="FF0000"/>
        </w:rPr>
      </w:pPr>
      <w:r>
        <w:rPr>
          <w:noProof/>
          <w:lang w:eastAsia="en-GB"/>
        </w:rPr>
        <w:drawing>
          <wp:inline distT="0" distB="0" distL="0" distR="0" wp14:anchorId="0E30CA75" wp14:editId="00D3A720">
            <wp:extent cx="4236720" cy="2446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236720" cy="2446020"/>
                    </a:xfrm>
                    <a:prstGeom prst="rect">
                      <a:avLst/>
                    </a:prstGeom>
                  </pic:spPr>
                </pic:pic>
              </a:graphicData>
            </a:graphic>
          </wp:inline>
        </w:drawing>
      </w:r>
    </w:p>
    <w:p w:rsidR="00F337B0" w:rsidRDefault="00F337B0" w:rsidP="005E39B9">
      <w:pPr>
        <w:autoSpaceDE w:val="0"/>
        <w:autoSpaceDN w:val="0"/>
        <w:adjustRightInd w:val="0"/>
        <w:spacing w:after="0" w:line="240" w:lineRule="auto"/>
        <w:rPr>
          <w:rFonts w:cs="Arial"/>
          <w:color w:val="FF0000"/>
        </w:rPr>
      </w:pPr>
    </w:p>
    <w:p w:rsidR="00F337B0" w:rsidRPr="006E5742" w:rsidRDefault="00696D59" w:rsidP="005E39B9">
      <w:pPr>
        <w:autoSpaceDE w:val="0"/>
        <w:autoSpaceDN w:val="0"/>
        <w:adjustRightInd w:val="0"/>
        <w:spacing w:after="0" w:line="240" w:lineRule="auto"/>
        <w:rPr>
          <w:rFonts w:cs="Arial"/>
        </w:rPr>
      </w:pPr>
      <w:r w:rsidRPr="006E5742">
        <w:rPr>
          <w:rFonts w:cs="Arial"/>
        </w:rPr>
        <w:t xml:space="preserve">The target system comprises of </w:t>
      </w:r>
      <w:r w:rsidR="00F337B0" w:rsidRPr="006E5742">
        <w:rPr>
          <w:rFonts w:cs="Arial"/>
        </w:rPr>
        <w:t xml:space="preserve">a laser </w:t>
      </w:r>
      <w:r w:rsidR="006E5742">
        <w:rPr>
          <w:rFonts w:cs="Arial"/>
        </w:rPr>
        <w:t>capture plate</w:t>
      </w:r>
      <w:r w:rsidR="00F337B0" w:rsidRPr="006E5742">
        <w:rPr>
          <w:rFonts w:cs="Arial"/>
        </w:rPr>
        <w:t xml:space="preserve">, and a number of warhead performance capture methods. These methods include the use of a witness plate below the laser </w:t>
      </w:r>
      <w:r w:rsidR="006E5742">
        <w:rPr>
          <w:rFonts w:cs="Arial"/>
        </w:rPr>
        <w:t>plate</w:t>
      </w:r>
      <w:r w:rsidR="00F337B0" w:rsidRPr="006E5742">
        <w:rPr>
          <w:rFonts w:cs="Arial"/>
        </w:rPr>
        <w:t>, and a fragmentation capture area in a hemisphere around the ideal point of impact.</w:t>
      </w:r>
    </w:p>
    <w:p w:rsidR="00F337B0" w:rsidRPr="006E5742" w:rsidRDefault="00F337B0" w:rsidP="005E39B9">
      <w:pPr>
        <w:autoSpaceDE w:val="0"/>
        <w:autoSpaceDN w:val="0"/>
        <w:adjustRightInd w:val="0"/>
        <w:spacing w:after="0" w:line="240" w:lineRule="auto"/>
        <w:rPr>
          <w:rFonts w:cs="Arial"/>
        </w:rPr>
      </w:pPr>
    </w:p>
    <w:p w:rsidR="00F337B0" w:rsidRPr="006E5742" w:rsidRDefault="00F337B0" w:rsidP="005E39B9">
      <w:pPr>
        <w:autoSpaceDE w:val="0"/>
        <w:autoSpaceDN w:val="0"/>
        <w:adjustRightInd w:val="0"/>
        <w:spacing w:after="0" w:line="240" w:lineRule="auto"/>
        <w:rPr>
          <w:rFonts w:cs="Arial"/>
        </w:rPr>
      </w:pPr>
      <w:r w:rsidRPr="006E5742">
        <w:rPr>
          <w:rFonts w:cs="Arial"/>
        </w:rPr>
        <w:t>Considering the munition has a probable error in range of one meter, the witness plate shall measure 1.5m x 1.5m t</w:t>
      </w:r>
      <w:r w:rsidR="006E5742">
        <w:rPr>
          <w:rFonts w:cs="Arial"/>
        </w:rPr>
        <w:t>o ensure that is</w:t>
      </w:r>
      <w:r w:rsidRPr="006E5742">
        <w:rPr>
          <w:rFonts w:cs="Arial"/>
        </w:rPr>
        <w:t xml:space="preserve"> underneath the munition upon detonation. This will be raised off the ground by a wooden table, situated 1m from the ground.</w:t>
      </w:r>
    </w:p>
    <w:p w:rsidR="00F337B0" w:rsidRPr="006E5742" w:rsidRDefault="00F337B0" w:rsidP="005E39B9">
      <w:pPr>
        <w:autoSpaceDE w:val="0"/>
        <w:autoSpaceDN w:val="0"/>
        <w:adjustRightInd w:val="0"/>
        <w:spacing w:after="0" w:line="240" w:lineRule="auto"/>
        <w:rPr>
          <w:rFonts w:cs="Arial"/>
        </w:rPr>
      </w:pPr>
      <w:r w:rsidRPr="006E5742">
        <w:rPr>
          <w:rFonts w:cs="Arial"/>
        </w:rPr>
        <w:t xml:space="preserve">The fragmentation arena is comprised of strawboard packs arranged in a semicircle from the ideal point of impact. Each pack-face measures 0.5m by 1m, and will be stacked 2 high. This is the reason for raising the witness plate on a table to half the height of the pack. </w:t>
      </w:r>
      <w:r w:rsidRPr="006E5742">
        <w:rPr>
          <w:rFonts w:cs="Arial"/>
        </w:rPr>
        <w:br/>
        <w:t>It is thought that this elevation should provide a suitable measure of the beam angle of the warhead under test.</w:t>
      </w:r>
    </w:p>
    <w:p w:rsidR="00F337B0" w:rsidRPr="006E5742" w:rsidRDefault="00F337B0" w:rsidP="005E39B9">
      <w:pPr>
        <w:autoSpaceDE w:val="0"/>
        <w:autoSpaceDN w:val="0"/>
        <w:adjustRightInd w:val="0"/>
        <w:spacing w:after="0" w:line="240" w:lineRule="auto"/>
        <w:rPr>
          <w:rFonts w:cs="Arial"/>
        </w:rPr>
      </w:pPr>
    </w:p>
    <w:p w:rsidR="00F337B0" w:rsidRDefault="006E5742" w:rsidP="005E39B9">
      <w:pPr>
        <w:autoSpaceDE w:val="0"/>
        <w:autoSpaceDN w:val="0"/>
        <w:adjustRightInd w:val="0"/>
        <w:spacing w:after="0" w:line="240" w:lineRule="auto"/>
        <w:rPr>
          <w:rFonts w:cs="Arial"/>
        </w:rPr>
      </w:pPr>
      <w:r w:rsidRPr="006E5742">
        <w:rPr>
          <w:rFonts w:cs="Arial"/>
        </w:rPr>
        <w:t>Furthermore</w:t>
      </w:r>
      <w:r w:rsidR="00F337B0" w:rsidRPr="006E5742">
        <w:rPr>
          <w:rFonts w:cs="Arial"/>
        </w:rPr>
        <w:t xml:space="preserve">, the table should also incorporate a vertical pole marked at suitable intervals. This should be on the table edge away from the fragmentation arena, so as not to disturb the fragment map. This pole will be used to determine the height of detonation </w:t>
      </w:r>
      <w:r w:rsidRPr="006E5742">
        <w:rPr>
          <w:rFonts w:cs="Arial"/>
        </w:rPr>
        <w:t>when viewed on the accuracy cameras.</w:t>
      </w:r>
    </w:p>
    <w:p w:rsidR="004E4E16" w:rsidRDefault="004E4E16" w:rsidP="005E39B9">
      <w:pPr>
        <w:autoSpaceDE w:val="0"/>
        <w:autoSpaceDN w:val="0"/>
        <w:adjustRightInd w:val="0"/>
        <w:spacing w:after="0" w:line="240" w:lineRule="auto"/>
        <w:rPr>
          <w:rFonts w:cs="Arial"/>
        </w:rPr>
      </w:pPr>
    </w:p>
    <w:p w:rsidR="004E4E16" w:rsidRPr="006E5742" w:rsidRDefault="004E4E16" w:rsidP="005E39B9">
      <w:pPr>
        <w:autoSpaceDE w:val="0"/>
        <w:autoSpaceDN w:val="0"/>
        <w:adjustRightInd w:val="0"/>
        <w:spacing w:after="0" w:line="240" w:lineRule="auto"/>
        <w:rPr>
          <w:rFonts w:cs="Arial"/>
        </w:rPr>
      </w:pPr>
      <w:r>
        <w:rPr>
          <w:rFonts w:cs="Arial"/>
        </w:rPr>
        <w:t>It is important that the witness plate is suitably prepared to minimise laser reflections. For this reason, the plate is to be painted matt black on the visible surfaces.</w:t>
      </w:r>
    </w:p>
    <w:p w:rsidR="00CB3206" w:rsidRDefault="00CB3206">
      <w:pPr>
        <w:rPr>
          <w:rFonts w:asciiTheme="majorHAnsi" w:eastAsiaTheme="majorEastAsia" w:hAnsiTheme="majorHAnsi" w:cstheme="majorBidi"/>
          <w:b/>
          <w:bCs/>
          <w:color w:val="4F81BD" w:themeColor="accent1"/>
          <w:sz w:val="26"/>
          <w:szCs w:val="26"/>
        </w:rPr>
      </w:pPr>
      <w:bookmarkStart w:id="8" w:name="_Toc485928586"/>
      <w:r>
        <w:br w:type="page"/>
      </w:r>
    </w:p>
    <w:p w:rsidR="00B175B9" w:rsidRDefault="00FE1158" w:rsidP="00B175B9">
      <w:pPr>
        <w:pStyle w:val="Heading2"/>
        <w:numPr>
          <w:ilvl w:val="1"/>
          <w:numId w:val="1"/>
        </w:numPr>
        <w:spacing w:after="240"/>
      </w:pPr>
      <w:r>
        <w:lastRenderedPageBreak/>
        <w:t>Range Infrastructure and Applicable Equipment</w:t>
      </w:r>
      <w:bookmarkEnd w:id="8"/>
      <w:r>
        <w:t xml:space="preserve"> </w:t>
      </w:r>
    </w:p>
    <w:p w:rsidR="00D875AE" w:rsidRPr="00D875AE" w:rsidRDefault="00D875AE" w:rsidP="005E39B9">
      <w:pPr>
        <w:autoSpaceDE w:val="0"/>
        <w:autoSpaceDN w:val="0"/>
        <w:adjustRightInd w:val="0"/>
        <w:spacing w:after="0" w:line="240" w:lineRule="auto"/>
        <w:rPr>
          <w:rFonts w:cs="Arial"/>
        </w:rPr>
      </w:pPr>
      <w:r w:rsidRPr="00D875AE">
        <w:rPr>
          <w:rFonts w:cs="Arial"/>
        </w:rPr>
        <w:t>The following procedures are defined in MOD West Freugh, Range Standing Orders.</w:t>
      </w:r>
      <w:sdt>
        <w:sdtPr>
          <w:rPr>
            <w:rFonts w:cs="Arial"/>
          </w:rPr>
          <w:id w:val="-1085446705"/>
          <w:citation/>
        </w:sdtPr>
        <w:sdtContent>
          <w:r>
            <w:rPr>
              <w:rFonts w:cs="Arial"/>
            </w:rPr>
            <w:fldChar w:fldCharType="begin"/>
          </w:r>
          <w:r>
            <w:rPr>
              <w:rFonts w:cs="Arial"/>
            </w:rPr>
            <w:instrText xml:space="preserve"> CITATION Qin17 \l 2057 </w:instrText>
          </w:r>
          <w:r>
            <w:rPr>
              <w:rFonts w:cs="Arial"/>
            </w:rPr>
            <w:fldChar w:fldCharType="separate"/>
          </w:r>
          <w:r>
            <w:rPr>
              <w:rFonts w:cs="Arial"/>
              <w:noProof/>
            </w:rPr>
            <w:t xml:space="preserve"> </w:t>
          </w:r>
          <w:r w:rsidRPr="00D875AE">
            <w:rPr>
              <w:rFonts w:cs="Arial"/>
              <w:noProof/>
            </w:rPr>
            <w:t>(7)</w:t>
          </w:r>
          <w:r>
            <w:rPr>
              <w:rFonts w:cs="Arial"/>
            </w:rPr>
            <w:fldChar w:fldCharType="end"/>
          </w:r>
        </w:sdtContent>
      </w:sdt>
    </w:p>
    <w:p w:rsidR="00D875AE" w:rsidRDefault="00D875AE" w:rsidP="005E39B9">
      <w:pPr>
        <w:autoSpaceDE w:val="0"/>
        <w:autoSpaceDN w:val="0"/>
        <w:adjustRightInd w:val="0"/>
        <w:spacing w:after="0" w:line="240" w:lineRule="auto"/>
        <w:rPr>
          <w:rFonts w:cs="Arial"/>
          <w:b/>
        </w:rPr>
      </w:pPr>
    </w:p>
    <w:p w:rsidR="00CB3206" w:rsidRDefault="00CB3206" w:rsidP="005E39B9">
      <w:pPr>
        <w:autoSpaceDE w:val="0"/>
        <w:autoSpaceDN w:val="0"/>
        <w:adjustRightInd w:val="0"/>
        <w:spacing w:after="0" w:line="240" w:lineRule="auto"/>
        <w:rPr>
          <w:rFonts w:cs="Arial"/>
          <w:b/>
        </w:rPr>
      </w:pPr>
      <w:r w:rsidRPr="00CB3206">
        <w:rPr>
          <w:rFonts w:cs="Arial"/>
          <w:b/>
        </w:rPr>
        <w:t>Airspace Control</w:t>
      </w:r>
    </w:p>
    <w:p w:rsidR="007010B9" w:rsidRPr="007010B9" w:rsidRDefault="007010B9" w:rsidP="005E39B9">
      <w:pPr>
        <w:autoSpaceDE w:val="0"/>
        <w:autoSpaceDN w:val="0"/>
        <w:adjustRightInd w:val="0"/>
        <w:spacing w:after="0" w:line="240" w:lineRule="auto"/>
        <w:rPr>
          <w:rFonts w:cs="Arial"/>
        </w:rPr>
      </w:pPr>
      <w:r>
        <w:rPr>
          <w:rFonts w:cs="Arial"/>
        </w:rPr>
        <w:t xml:space="preserve">The airspace from the point of bomb release to the height of the range air danger area is controlled National Aircraft Traffic Control (ATCO) in accordance with range procedures across QinetiQ. From the air danger area to the ground, air traffic is monitored by the on-site radar operatives. These individuals feed important information to the Operations room, </w:t>
      </w:r>
      <w:proofErr w:type="gramStart"/>
      <w:r>
        <w:rPr>
          <w:rFonts w:cs="Arial"/>
        </w:rPr>
        <w:t>who</w:t>
      </w:r>
      <w:proofErr w:type="gramEnd"/>
      <w:r>
        <w:rPr>
          <w:rFonts w:cs="Arial"/>
        </w:rPr>
        <w:t xml:space="preserve"> are responsible for relaying information between Radar and the Trials Conducting Officer (TCO).</w:t>
      </w:r>
    </w:p>
    <w:p w:rsidR="00CB3206" w:rsidRPr="00CB3206" w:rsidRDefault="00CB3206" w:rsidP="005E39B9">
      <w:pPr>
        <w:autoSpaceDE w:val="0"/>
        <w:autoSpaceDN w:val="0"/>
        <w:adjustRightInd w:val="0"/>
        <w:spacing w:after="0" w:line="240" w:lineRule="auto"/>
        <w:rPr>
          <w:rFonts w:cs="Arial"/>
          <w:b/>
        </w:rPr>
      </w:pPr>
    </w:p>
    <w:p w:rsidR="00CB3206" w:rsidRDefault="00CB3206" w:rsidP="005E39B9">
      <w:pPr>
        <w:autoSpaceDE w:val="0"/>
        <w:autoSpaceDN w:val="0"/>
        <w:adjustRightInd w:val="0"/>
        <w:spacing w:after="0" w:line="240" w:lineRule="auto"/>
        <w:rPr>
          <w:rFonts w:cs="Arial"/>
          <w:b/>
        </w:rPr>
      </w:pPr>
      <w:r w:rsidRPr="00CB3206">
        <w:rPr>
          <w:rFonts w:cs="Arial"/>
          <w:b/>
        </w:rPr>
        <w:t>Land Weapon Danger Area Control</w:t>
      </w:r>
    </w:p>
    <w:p w:rsidR="007010B9" w:rsidRPr="007010B9" w:rsidRDefault="007010B9" w:rsidP="005E39B9">
      <w:pPr>
        <w:autoSpaceDE w:val="0"/>
        <w:autoSpaceDN w:val="0"/>
        <w:adjustRightInd w:val="0"/>
        <w:spacing w:after="0" w:line="240" w:lineRule="auto"/>
        <w:rPr>
          <w:rFonts w:cs="Arial"/>
        </w:rPr>
      </w:pPr>
      <w:r>
        <w:rPr>
          <w:rFonts w:cs="Arial"/>
        </w:rPr>
        <w:t>The land based weapon danger area is strictly controlled via range control. The range foreman and range technicians are responsible for closing down all access to the land weapon danger area, installing sentries and flags where appropriate.</w:t>
      </w:r>
      <w:r>
        <w:rPr>
          <w:rFonts w:cs="Arial"/>
        </w:rPr>
        <w:br/>
        <w:t xml:space="preserve">Upon completion of this activity, range </w:t>
      </w:r>
      <w:proofErr w:type="gramStart"/>
      <w:r w:rsidR="00CD7281">
        <w:rPr>
          <w:rFonts w:cs="Arial"/>
        </w:rPr>
        <w:t>control are</w:t>
      </w:r>
      <w:proofErr w:type="gramEnd"/>
      <w:r>
        <w:rPr>
          <w:rFonts w:cs="Arial"/>
        </w:rPr>
        <w:t xml:space="preserve"> to verify two lines of communication are operational between themselves, the sentries and the range foreman. Range control also operates a network of CCTV cameras to monitor any potential unauthorised access to the trials area. Finally, the range foreman is to conduct a visual inspection of any known ‘blind spots’ prior to the test being fired.</w:t>
      </w:r>
    </w:p>
    <w:p w:rsidR="00CB3206" w:rsidRPr="00CB3206" w:rsidRDefault="00CB3206" w:rsidP="005E39B9">
      <w:pPr>
        <w:autoSpaceDE w:val="0"/>
        <w:autoSpaceDN w:val="0"/>
        <w:adjustRightInd w:val="0"/>
        <w:spacing w:after="0" w:line="240" w:lineRule="auto"/>
        <w:rPr>
          <w:rFonts w:cs="Arial"/>
          <w:b/>
        </w:rPr>
      </w:pPr>
    </w:p>
    <w:p w:rsidR="00CB3206" w:rsidRDefault="00CB3206" w:rsidP="005E39B9">
      <w:pPr>
        <w:autoSpaceDE w:val="0"/>
        <w:autoSpaceDN w:val="0"/>
        <w:adjustRightInd w:val="0"/>
        <w:spacing w:after="0" w:line="240" w:lineRule="auto"/>
        <w:rPr>
          <w:rFonts w:cs="Arial"/>
          <w:b/>
        </w:rPr>
      </w:pPr>
      <w:r w:rsidRPr="00CB3206">
        <w:rPr>
          <w:rFonts w:cs="Arial"/>
          <w:b/>
        </w:rPr>
        <w:t>Trials Conduct Control</w:t>
      </w:r>
    </w:p>
    <w:p w:rsidR="00CB3206" w:rsidRPr="00CB3206" w:rsidRDefault="007010B9" w:rsidP="00BD2F92">
      <w:pPr>
        <w:autoSpaceDE w:val="0"/>
        <w:autoSpaceDN w:val="0"/>
        <w:adjustRightInd w:val="0"/>
        <w:spacing w:after="0" w:line="240" w:lineRule="auto"/>
        <w:rPr>
          <w:rFonts w:cs="Arial"/>
        </w:rPr>
      </w:pPr>
      <w:r w:rsidRPr="007010B9">
        <w:rPr>
          <w:rFonts w:cs="Arial"/>
        </w:rPr>
        <w:t xml:space="preserve">At the trials site, </w:t>
      </w:r>
      <w:r>
        <w:rPr>
          <w:rFonts w:cs="Arial"/>
        </w:rPr>
        <w:t>safe conduct and correct test set-up is monitored by the Trials Conducting Officer (TCO). It is his sole responsibility to ensure that the test is carried out in accordance with the agreed governing documentation ratified by the hazardous act</w:t>
      </w:r>
      <w:r w:rsidR="00BD2F92">
        <w:rPr>
          <w:rFonts w:cs="Arial"/>
        </w:rPr>
        <w:t>ivity safety process. The TCO holds significant authority on the ground</w:t>
      </w:r>
      <w:r>
        <w:rPr>
          <w:rFonts w:cs="Arial"/>
        </w:rPr>
        <w:t xml:space="preserve"> to remove anyone from the trials area who </w:t>
      </w:r>
      <w:r w:rsidR="00BD2F92">
        <w:rPr>
          <w:rFonts w:cs="Arial"/>
        </w:rPr>
        <w:t>may be hazardous to the safety of personnel or trial delivery; conduct dynamic risk analysis that poses immediate risk; and to ensure the customer specification is met.</w:t>
      </w:r>
    </w:p>
    <w:p w:rsidR="00CB3206" w:rsidRPr="00CB3206" w:rsidRDefault="00CB3206" w:rsidP="005E39B9">
      <w:pPr>
        <w:autoSpaceDE w:val="0"/>
        <w:autoSpaceDN w:val="0"/>
        <w:adjustRightInd w:val="0"/>
        <w:spacing w:after="0" w:line="240" w:lineRule="auto"/>
        <w:rPr>
          <w:rFonts w:cs="Arial"/>
        </w:rPr>
      </w:pPr>
    </w:p>
    <w:p w:rsidR="00CB3206" w:rsidRDefault="00CB3206" w:rsidP="005E39B9">
      <w:pPr>
        <w:autoSpaceDE w:val="0"/>
        <w:autoSpaceDN w:val="0"/>
        <w:adjustRightInd w:val="0"/>
        <w:spacing w:after="0" w:line="240" w:lineRule="auto"/>
        <w:rPr>
          <w:rFonts w:cs="Arial"/>
          <w:color w:val="FF0000"/>
        </w:rPr>
      </w:pPr>
    </w:p>
    <w:p w:rsidR="00CB3206" w:rsidRDefault="00CB3206" w:rsidP="005E39B9">
      <w:pPr>
        <w:autoSpaceDE w:val="0"/>
        <w:autoSpaceDN w:val="0"/>
        <w:adjustRightInd w:val="0"/>
        <w:spacing w:after="0" w:line="240" w:lineRule="auto"/>
        <w:rPr>
          <w:rFonts w:cs="Arial"/>
          <w:color w:val="FF0000"/>
        </w:rPr>
      </w:pPr>
    </w:p>
    <w:p w:rsidR="00CB3206" w:rsidRDefault="00CB3206">
      <w:pPr>
        <w:rPr>
          <w:rStyle w:val="tgc"/>
          <w:rFonts w:asciiTheme="majorHAnsi" w:eastAsiaTheme="majorEastAsia" w:hAnsiTheme="majorHAnsi" w:cstheme="majorBidi"/>
          <w:b/>
          <w:bCs/>
          <w:color w:val="365F91" w:themeColor="accent1" w:themeShade="BF"/>
          <w:sz w:val="28"/>
          <w:szCs w:val="28"/>
        </w:rPr>
      </w:pPr>
      <w:bookmarkStart w:id="9" w:name="_Toc485928587"/>
      <w:r>
        <w:rPr>
          <w:rStyle w:val="tgc"/>
        </w:rPr>
        <w:br w:type="page"/>
      </w:r>
    </w:p>
    <w:p w:rsidR="00527E8B" w:rsidRDefault="00FE1158" w:rsidP="00F86F15">
      <w:pPr>
        <w:pStyle w:val="Heading1"/>
        <w:numPr>
          <w:ilvl w:val="0"/>
          <w:numId w:val="1"/>
        </w:numPr>
        <w:spacing w:after="240"/>
        <w:rPr>
          <w:rStyle w:val="tgc"/>
        </w:rPr>
      </w:pPr>
      <w:r>
        <w:rPr>
          <w:rStyle w:val="tgc"/>
        </w:rPr>
        <w:lastRenderedPageBreak/>
        <w:t>Trial Instrumentation</w:t>
      </w:r>
      <w:bookmarkEnd w:id="9"/>
    </w:p>
    <w:p w:rsidR="00797A1B" w:rsidRDefault="00FE3AB3" w:rsidP="00797A1B">
      <w:pPr>
        <w:jc w:val="center"/>
      </w:pPr>
      <w:r>
        <w:rPr>
          <w:noProof/>
          <w:lang w:eastAsia="en-GB"/>
        </w:rPr>
        <w:drawing>
          <wp:inline distT="0" distB="0" distL="0" distR="0" wp14:anchorId="1800C549" wp14:editId="60651A9F">
            <wp:extent cx="5731510" cy="4070842"/>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4070842"/>
                    </a:xfrm>
                    <a:prstGeom prst="rect">
                      <a:avLst/>
                    </a:prstGeom>
                  </pic:spPr>
                </pic:pic>
              </a:graphicData>
            </a:graphic>
          </wp:inline>
        </w:drawing>
      </w:r>
    </w:p>
    <w:p w:rsidR="00532679" w:rsidRDefault="00FE1158" w:rsidP="00532679">
      <w:pPr>
        <w:pStyle w:val="Heading2"/>
        <w:numPr>
          <w:ilvl w:val="1"/>
          <w:numId w:val="1"/>
        </w:numPr>
        <w:spacing w:after="240"/>
      </w:pPr>
      <w:bookmarkStart w:id="10" w:name="_Toc485928588"/>
      <w:r>
        <w:t>Terminal Ballistic Measurement</w:t>
      </w:r>
      <w:bookmarkEnd w:id="10"/>
    </w:p>
    <w:p w:rsidR="008A76E6" w:rsidRDefault="00BD2F92" w:rsidP="008A76E6">
      <w:r>
        <w:t>Ballistic effects will be captured with the inclusion of the fragmentation pack arena as defined in 3.2. This method may in improved by using a f</w:t>
      </w:r>
      <w:r w:rsidR="00FE1158">
        <w:t>rag</w:t>
      </w:r>
      <w:r>
        <w:t>ment-field analysis testing (FRAT) system. However, due to the payload of the munition, it is likely that a FRAT system would be obliterated by the terminal ballistic effect of the bomb.</w:t>
      </w:r>
    </w:p>
    <w:p w:rsidR="00FE1158" w:rsidRDefault="00BD2F92" w:rsidP="008A76E6">
      <w:r>
        <w:t>The use of a witness plate is to measure the ability of the munition to penetrate a sheet metal target from above.</w:t>
      </w:r>
      <w:r w:rsidR="005772EF">
        <w:t xml:space="preserve"> The thickness of this plate would be determined from conversations with the customer, as the current specification does not provide enough detail as to the warhead performance criteria.</w:t>
      </w:r>
    </w:p>
    <w:p w:rsidR="00FE1158" w:rsidRDefault="00FE1158" w:rsidP="00FE1158">
      <w:pPr>
        <w:pStyle w:val="Heading2"/>
        <w:numPr>
          <w:ilvl w:val="1"/>
          <w:numId w:val="1"/>
        </w:numPr>
        <w:spacing w:after="240"/>
      </w:pPr>
      <w:bookmarkStart w:id="11" w:name="_Toc485928589"/>
      <w:r>
        <w:t>Blast</w:t>
      </w:r>
      <w:bookmarkEnd w:id="11"/>
    </w:p>
    <w:p w:rsidR="00FE1158" w:rsidRDefault="00FE3AB3" w:rsidP="008A76E6">
      <w:r>
        <w:t xml:space="preserve">Deploying high accuracy blast gauges on this trial would be a significant risk to the equipment; however cheaper piezoelectric gauges could be employed to provide a reasonable picture of the blast from warhead detonation. These would likely be incorporated in a 90° arc from the point of detonation. </w:t>
      </w:r>
    </w:p>
    <w:p w:rsidR="00FE3AB3" w:rsidRDefault="00FE3AB3" w:rsidP="008A76E6">
      <w:r>
        <w:t xml:space="preserve">These gauges produce very small voltages as a result of pressure crushing the piezoelectric crystals. As a result, it would be necessary to incorporate a number of amplifiers nearby to capture and boast the signal to the </w:t>
      </w:r>
      <w:r w:rsidR="00930986">
        <w:t>Genesis Electrofusion</w:t>
      </w:r>
      <w:r>
        <w:t xml:space="preserve"> processer.</w:t>
      </w:r>
    </w:p>
    <w:p w:rsidR="00FE1158" w:rsidRDefault="00FE1158" w:rsidP="00FE1158">
      <w:pPr>
        <w:pStyle w:val="Heading2"/>
        <w:numPr>
          <w:ilvl w:val="1"/>
          <w:numId w:val="1"/>
        </w:numPr>
        <w:spacing w:after="240"/>
      </w:pPr>
      <w:bookmarkStart w:id="12" w:name="_Toc485928590"/>
      <w:r>
        <w:lastRenderedPageBreak/>
        <w:t>Photographic</w:t>
      </w:r>
      <w:bookmarkEnd w:id="12"/>
    </w:p>
    <w:p w:rsidR="00A31F1E" w:rsidRDefault="00FE3AB3" w:rsidP="00FE1158">
      <w:r>
        <w:t xml:space="preserve">The principle method to determine warhead accuracy in this trial is through the use of photography. As such, two high speed Phantom Cameras would be required to attain a suitable </w:t>
      </w:r>
      <w:r w:rsidR="00A31F1E">
        <w:t>measurement of the point of detonation. This would need to be validated by the use of a scale.</w:t>
      </w:r>
    </w:p>
    <w:p w:rsidR="00A31F1E" w:rsidRDefault="00A31F1E" w:rsidP="00FE1158">
      <w:r>
        <w:t>In the target system defined in 3.2, a fixed scale is specified to be constructed with the target stand. This could however be captured before the test in a single shot, and then overlaid on the trails footage to provide the required accuracy.</w:t>
      </w:r>
    </w:p>
    <w:p w:rsidR="00FE1158" w:rsidRDefault="00A31F1E" w:rsidP="00FE1158">
      <w:r>
        <w:t>The Laser designator has a wavelength of 1.06μm; therefore it is necessary to use an infrared camera to capture the exact location of the laser spot on the target. This plate should also be marked in such a way that the footage attained has a suitable scale.</w:t>
      </w:r>
    </w:p>
    <w:p w:rsidR="00A31F1E" w:rsidRDefault="00A31F1E" w:rsidP="00FE1158">
      <w:r>
        <w:t>Finally, the Safety Video Camera is a requirement of the range that allows the TCO to remotely examine the trials area. This is essential to determine that the immediate area is both clear of personnel before firing commences, and also to assess potential health hazards prior to approaching the trials site post-firing.</w:t>
      </w:r>
    </w:p>
    <w:p w:rsidR="00A31F1E" w:rsidRPr="008A76E6" w:rsidRDefault="00A31F1E" w:rsidP="00FE1158">
      <w:r>
        <w:t>It is important to note that both the phantom cameras and Infrared Laser Spot cameras are contained in splinter proof shelters. This is to ensure that the camera equipment and data are not lost to terminal ballistic effects of the munition. The safety camera for this activity, is likely to be located much further away, and is considered a viable expense if damaged.</w:t>
      </w:r>
    </w:p>
    <w:p w:rsidR="00FE1158" w:rsidRDefault="00633625" w:rsidP="00FE1158">
      <w:pPr>
        <w:pStyle w:val="Heading1"/>
        <w:numPr>
          <w:ilvl w:val="0"/>
          <w:numId w:val="1"/>
        </w:numPr>
        <w:spacing w:after="240"/>
        <w:rPr>
          <w:rStyle w:val="tgc"/>
        </w:rPr>
      </w:pPr>
      <w:bookmarkStart w:id="13" w:name="_Toc485928592"/>
      <w:bookmarkStart w:id="14" w:name="_GoBack"/>
      <w:bookmarkEnd w:id="14"/>
      <w:r>
        <w:rPr>
          <w:rStyle w:val="tgc"/>
        </w:rPr>
        <w:t>Risk</w:t>
      </w:r>
      <w:r w:rsidR="00FE1158">
        <w:rPr>
          <w:rStyle w:val="tgc"/>
        </w:rPr>
        <w:t xml:space="preserve"> Consideration</w:t>
      </w:r>
      <w:bookmarkEnd w:id="13"/>
    </w:p>
    <w:p w:rsidR="00193984" w:rsidRPr="00193984" w:rsidRDefault="00193984" w:rsidP="00193984">
      <w:r>
        <w:t>It is essential in the Defence industry to consider the entirety of the risk posed by a trial. This does not simply encompass the activity itself, but to the storage and transport of a munition; prior history of a weapon to defects or failure; and in this case the specialist risk posed by the use of class 4 lasers in an unbounded location.</w:t>
      </w:r>
    </w:p>
    <w:p w:rsidR="00FE1158" w:rsidRDefault="00FE1158" w:rsidP="00FE1158">
      <w:pPr>
        <w:pStyle w:val="Heading2"/>
        <w:numPr>
          <w:ilvl w:val="1"/>
          <w:numId w:val="1"/>
        </w:numPr>
        <w:spacing w:after="240"/>
      </w:pPr>
      <w:bookmarkStart w:id="15" w:name="_Toc485928593"/>
      <w:r>
        <w:t>Trial Safety</w:t>
      </w:r>
      <w:bookmarkEnd w:id="15"/>
    </w:p>
    <w:p w:rsidR="00FE1158" w:rsidRDefault="00C919CB" w:rsidP="00FE1158">
      <w:r>
        <w:t>Trial safety is controlled in three parts; the hazardous activity management process; range procedure;</w:t>
      </w:r>
      <w:r w:rsidR="00D150D6">
        <w:t xml:space="preserve"> and in personal</w:t>
      </w:r>
      <w:r>
        <w:t xml:space="preserve"> competency. Each of which has already been discussed to some degree. </w:t>
      </w:r>
    </w:p>
    <w:p w:rsidR="00C919CB" w:rsidRDefault="00C919CB" w:rsidP="00C919CB">
      <w:pPr>
        <w:spacing w:after="0"/>
        <w:rPr>
          <w:b/>
        </w:rPr>
      </w:pPr>
      <w:r w:rsidRPr="00C919CB">
        <w:rPr>
          <w:b/>
        </w:rPr>
        <w:t>Hazardous activity management</w:t>
      </w:r>
    </w:p>
    <w:p w:rsidR="00C919CB" w:rsidRDefault="00C919CB" w:rsidP="00FE1158">
      <w:r>
        <w:t>Prior to the conduct of a trial, the trials manager is to assess the risk posed by an activity from the munition arriving on the range through to asset disposal. This assessment is recorded in the trials documentation including; a trials plan, risk assessment, safety trace, movement plan, environmental impact assessment and safety briefing. This documentation is then subject to scrutiny from a panel of specialists from across QinetiQ. When all members of the safety panel are content that the activity poses a tolerable level of risk, the documentation is approved.</w:t>
      </w:r>
    </w:p>
    <w:p w:rsidR="00C919CB" w:rsidRDefault="00C919CB" w:rsidP="00C919CB">
      <w:pPr>
        <w:spacing w:after="0"/>
        <w:rPr>
          <w:b/>
        </w:rPr>
      </w:pPr>
      <w:r>
        <w:rPr>
          <w:b/>
        </w:rPr>
        <w:t>Range Procedure</w:t>
      </w:r>
    </w:p>
    <w:p w:rsidR="00C919CB" w:rsidRDefault="00C919CB" w:rsidP="00C919CB">
      <w:r>
        <w:t xml:space="preserve">Range procedure is detailed in a number of hierarchical documents including; range standing orders, </w:t>
      </w:r>
      <w:r w:rsidR="00D150D6">
        <w:t>operating framework documents, joint s</w:t>
      </w:r>
      <w:r>
        <w:t xml:space="preserve">ervice publications and many more. These detail the </w:t>
      </w:r>
      <w:r>
        <w:lastRenderedPageBreak/>
        <w:t>entirety of the airspace and land weapon danger area control methods, contraband rules</w:t>
      </w:r>
      <w:r w:rsidR="00D150D6">
        <w:t>, emergency procedures and more. They form the core of the operational safety requirements of the range.</w:t>
      </w:r>
    </w:p>
    <w:p w:rsidR="00D150D6" w:rsidRDefault="00D150D6" w:rsidP="00D150D6">
      <w:pPr>
        <w:spacing w:after="0"/>
        <w:rPr>
          <w:b/>
        </w:rPr>
      </w:pPr>
      <w:r>
        <w:rPr>
          <w:b/>
        </w:rPr>
        <w:t>Personal Competency</w:t>
      </w:r>
    </w:p>
    <w:p w:rsidR="00C919CB" w:rsidRPr="00C919CB" w:rsidRDefault="00D150D6" w:rsidP="00FE1158">
      <w:r>
        <w:t xml:space="preserve">Personal competency is a difficult safety management tool to quantify. QinetiQ </w:t>
      </w:r>
      <w:proofErr w:type="gramStart"/>
      <w:r>
        <w:t>staff operate</w:t>
      </w:r>
      <w:proofErr w:type="gramEnd"/>
      <w:r>
        <w:t xml:space="preserve"> in a highly specialised industry where experience and training are required to maintain low risk operations. </w:t>
      </w:r>
    </w:p>
    <w:p w:rsidR="00FE1158" w:rsidRDefault="00FE1158" w:rsidP="00FE1158">
      <w:pPr>
        <w:pStyle w:val="Heading2"/>
        <w:numPr>
          <w:ilvl w:val="1"/>
          <w:numId w:val="1"/>
        </w:numPr>
        <w:spacing w:after="240"/>
      </w:pPr>
      <w:bookmarkStart w:id="16" w:name="_Toc485928594"/>
      <w:r>
        <w:t>Storage and Transport</w:t>
      </w:r>
      <w:bookmarkEnd w:id="16"/>
    </w:p>
    <w:p w:rsidR="00FE1158" w:rsidRPr="008A76E6" w:rsidRDefault="00D150D6" w:rsidP="00FE1158">
      <w:r>
        <w:t xml:space="preserve">One aspect of a trial that is often overlooked is the ability to safely store and transport a munition. In this case however, the EPWII has been accepted into service. This requires the weapon to have undertaken STANAG testing, and environmental qualification. </w:t>
      </w:r>
      <w:r w:rsidR="00767631">
        <w:t>Provided that the munitions can be stored with the range magazines license limit, transport and storage should not be a significant concern.</w:t>
      </w:r>
    </w:p>
    <w:p w:rsidR="00FE1158" w:rsidRDefault="00FE1158" w:rsidP="00FE1158">
      <w:pPr>
        <w:pStyle w:val="Heading2"/>
        <w:numPr>
          <w:ilvl w:val="1"/>
          <w:numId w:val="1"/>
        </w:numPr>
        <w:spacing w:after="240"/>
      </w:pPr>
      <w:bookmarkStart w:id="17" w:name="_Toc485928595"/>
      <w:r>
        <w:t>Munition defects and history</w:t>
      </w:r>
      <w:bookmarkEnd w:id="17"/>
    </w:p>
    <w:p w:rsidR="00FE1158" w:rsidRPr="008A76E6" w:rsidRDefault="00767631" w:rsidP="00FE1158">
      <w:r>
        <w:t xml:space="preserve">Due to the availability and sensitivity of the data involved, it is not possible to detail the specific defects and history of the EPWII munition in this document. This information must be considered and assessed in the construction of the trials documentation. All relevant information should be presented and discussed with peers to offer potential mitigation or solutions for such occurrences. This should be clearly detailed within this documentation and communicated via the safety </w:t>
      </w:r>
      <w:proofErr w:type="spellStart"/>
      <w:r>
        <w:t>brefing</w:t>
      </w:r>
      <w:proofErr w:type="spellEnd"/>
      <w:r>
        <w:t>.</w:t>
      </w:r>
    </w:p>
    <w:p w:rsidR="00FE1158" w:rsidRDefault="00FE1158" w:rsidP="00FE1158">
      <w:pPr>
        <w:pStyle w:val="Heading2"/>
        <w:numPr>
          <w:ilvl w:val="1"/>
          <w:numId w:val="1"/>
        </w:numPr>
        <w:spacing w:after="240"/>
      </w:pPr>
      <w:bookmarkStart w:id="18" w:name="_Toc485928596"/>
      <w:r>
        <w:t>Laser Hazards</w:t>
      </w:r>
      <w:bookmarkEnd w:id="18"/>
    </w:p>
    <w:p w:rsidR="00527E8B" w:rsidRPr="00527E8B" w:rsidRDefault="00D150D6" w:rsidP="00767631">
      <w:r>
        <w:t>Without more specific knowledge of the laser designator, it is difficult to assess the hazard posed by the diffused laser on contact with the laser plate. With this consideration, it would be a reasonable precaution to</w:t>
      </w:r>
      <w:r w:rsidR="00767631">
        <w:t xml:space="preserve"> protect employees from the two most common hazards associated with laser energy; burns to eyes and skin. </w:t>
      </w:r>
      <w:r>
        <w:t xml:space="preserve"> </w:t>
      </w:r>
      <w:r w:rsidR="00767631">
        <w:t>A</w:t>
      </w:r>
      <w:r>
        <w:t xml:space="preserve">ll personnel working on the activity </w:t>
      </w:r>
      <w:r w:rsidR="00767631">
        <w:t xml:space="preserve">shall be provided </w:t>
      </w:r>
      <w:r>
        <w:t xml:space="preserve">a pair of laser safety goggles </w:t>
      </w:r>
      <w:r w:rsidR="00767631">
        <w:t>to EN 207, and are to ensure that skin remains</w:t>
      </w:r>
      <w:r>
        <w:t xml:space="preserve"> covered while the laser is active.</w:t>
      </w:r>
      <w:r w:rsidR="00527E8B">
        <w:tab/>
      </w:r>
    </w:p>
    <w:p w:rsidR="00851638" w:rsidRPr="00F86F15" w:rsidRDefault="00D91B24" w:rsidP="00F86F15">
      <w:pPr>
        <w:pStyle w:val="Heading1"/>
        <w:numPr>
          <w:ilvl w:val="0"/>
          <w:numId w:val="1"/>
        </w:numPr>
        <w:spacing w:after="240"/>
        <w:rPr>
          <w:rStyle w:val="tgc"/>
        </w:rPr>
      </w:pPr>
      <w:bookmarkStart w:id="19" w:name="_Toc485928597"/>
      <w:r w:rsidRPr="00F86F15">
        <w:rPr>
          <w:rStyle w:val="tgc"/>
        </w:rPr>
        <w:t>Conclusion</w:t>
      </w:r>
      <w:bookmarkEnd w:id="19"/>
    </w:p>
    <w:p w:rsidR="00930986" w:rsidRPr="00930986" w:rsidRDefault="00930986" w:rsidP="00930986">
      <w:pPr>
        <w:rPr>
          <w:rFonts w:cs="Times New Roman"/>
          <w:i/>
        </w:rPr>
      </w:pPr>
      <w:r>
        <w:t xml:space="preserve">While I feel that the </w:t>
      </w:r>
      <w:r w:rsidR="00767631">
        <w:t xml:space="preserve">nature of the activity is difficult to define within a unclassified publication, the solution specified above has the capacity to meet the customer requirement as specified in the Assignment Brief for the Test Range Engineering module; </w:t>
      </w:r>
      <w:r w:rsidR="00767631" w:rsidRPr="00767631">
        <w:t xml:space="preserve">Munitions </w:t>
      </w:r>
      <w:r w:rsidR="00767631">
        <w:t>(</w:t>
      </w:r>
      <w:r w:rsidR="00767631" w:rsidRPr="00767631">
        <w:t>M6X00944</w:t>
      </w:r>
      <w:r w:rsidR="00767631">
        <w:t>)</w:t>
      </w:r>
      <w:r>
        <w:t>,</w:t>
      </w:r>
      <w:r w:rsidR="00767631">
        <w:t xml:space="preserve"> 2017.</w:t>
      </w:r>
      <w:r>
        <w:t xml:space="preserve"> </w:t>
      </w:r>
      <w:r>
        <w:br/>
      </w:r>
      <w:r>
        <w:br/>
      </w:r>
      <w:r>
        <w:rPr>
          <w:rFonts w:cs="Times New Roman"/>
          <w:i/>
        </w:rPr>
        <w:t>“</w:t>
      </w:r>
      <w:r w:rsidRPr="00930986">
        <w:rPr>
          <w:rFonts w:cs="Times New Roman"/>
          <w:i/>
        </w:rPr>
        <w:t>Observations are to include:</w:t>
      </w:r>
    </w:p>
    <w:p w:rsidR="00930986" w:rsidRPr="00930986" w:rsidRDefault="00930986" w:rsidP="00930986">
      <w:pPr>
        <w:pStyle w:val="ListParagraph"/>
        <w:numPr>
          <w:ilvl w:val="0"/>
          <w:numId w:val="8"/>
        </w:numPr>
        <w:rPr>
          <w:rFonts w:cs="Times New Roman"/>
          <w:i/>
        </w:rPr>
      </w:pPr>
      <w:r w:rsidRPr="00930986">
        <w:rPr>
          <w:rFonts w:cs="Times New Roman"/>
          <w:i/>
        </w:rPr>
        <w:t>Recording of the laser spot positions on the selected target</w:t>
      </w:r>
    </w:p>
    <w:p w:rsidR="00930986" w:rsidRPr="00930986" w:rsidRDefault="00930986" w:rsidP="00930986">
      <w:pPr>
        <w:pStyle w:val="ListParagraph"/>
        <w:numPr>
          <w:ilvl w:val="0"/>
          <w:numId w:val="8"/>
        </w:numPr>
        <w:rPr>
          <w:rFonts w:cs="Times New Roman"/>
          <w:i/>
        </w:rPr>
      </w:pPr>
      <w:r w:rsidRPr="00930986">
        <w:rPr>
          <w:rFonts w:cs="Times New Roman"/>
          <w:i/>
        </w:rPr>
        <w:t>Measurement of the distance between the laser spot and the point of munition warhead detonation must be provided</w:t>
      </w:r>
    </w:p>
    <w:p w:rsidR="00F86F15" w:rsidRPr="00930986" w:rsidRDefault="00930986" w:rsidP="00F86F15">
      <w:pPr>
        <w:pStyle w:val="ListParagraph"/>
        <w:numPr>
          <w:ilvl w:val="0"/>
          <w:numId w:val="8"/>
        </w:numPr>
        <w:rPr>
          <w:rFonts w:cs="Times New Roman"/>
          <w:i/>
        </w:rPr>
      </w:pPr>
      <w:r w:rsidRPr="00930986">
        <w:rPr>
          <w:rFonts w:cs="Times New Roman"/>
          <w:i/>
        </w:rPr>
        <w:t>The fragmentation pattern of the detonated warhead must be provided.</w:t>
      </w:r>
      <w:r>
        <w:rPr>
          <w:rFonts w:cs="Times New Roman"/>
          <w:i/>
        </w:rPr>
        <w:t>”</w:t>
      </w:r>
    </w:p>
    <w:bookmarkStart w:id="20" w:name="_Toc485928599" w:displacedByCustomXml="next"/>
    <w:sdt>
      <w:sdtPr>
        <w:rPr>
          <w:rFonts w:asciiTheme="minorHAnsi" w:eastAsiaTheme="minorHAnsi" w:hAnsiTheme="minorHAnsi" w:cstheme="minorBidi"/>
          <w:b w:val="0"/>
          <w:bCs w:val="0"/>
          <w:color w:val="auto"/>
          <w:sz w:val="22"/>
          <w:szCs w:val="22"/>
        </w:rPr>
        <w:id w:val="-152759746"/>
        <w:docPartObj>
          <w:docPartGallery w:val="Bibliographies"/>
          <w:docPartUnique/>
        </w:docPartObj>
      </w:sdtPr>
      <w:sdtEndPr/>
      <w:sdtContent>
        <w:p w:rsidR="00F86F15" w:rsidRPr="00F86F15" w:rsidRDefault="00F86F15" w:rsidP="009456F1">
          <w:pPr>
            <w:pStyle w:val="Heading1"/>
            <w:numPr>
              <w:ilvl w:val="0"/>
              <w:numId w:val="1"/>
            </w:numPr>
            <w:spacing w:after="240"/>
            <w:rPr>
              <w:rStyle w:val="tgc"/>
            </w:rPr>
          </w:pPr>
          <w:r w:rsidRPr="00F86F15">
            <w:rPr>
              <w:rStyle w:val="tgc"/>
            </w:rPr>
            <w:t>Works Cited</w:t>
          </w:r>
          <w:bookmarkEnd w:id="20"/>
        </w:p>
        <w:p w:rsidR="00D875AE" w:rsidRDefault="00F86F15" w:rsidP="00D875AE">
          <w:pPr>
            <w:pStyle w:val="Bibliography"/>
            <w:rPr>
              <w:noProof/>
            </w:rPr>
          </w:pPr>
          <w:r>
            <w:fldChar w:fldCharType="begin"/>
          </w:r>
          <w:r>
            <w:instrText xml:space="preserve"> BIBLIOGRAPHY </w:instrText>
          </w:r>
          <w:r>
            <w:fldChar w:fldCharType="separate"/>
          </w:r>
          <w:r w:rsidR="00D875AE">
            <w:rPr>
              <w:noProof/>
            </w:rPr>
            <w:t xml:space="preserve">1. </w:t>
          </w:r>
          <w:r w:rsidR="00D875AE">
            <w:rPr>
              <w:b/>
              <w:bCs/>
              <w:noProof/>
            </w:rPr>
            <w:t>David, University of Wales Trinity &amp; St.</w:t>
          </w:r>
          <w:r w:rsidR="00D875AE">
            <w:rPr>
              <w:noProof/>
            </w:rPr>
            <w:t xml:space="preserve"> </w:t>
          </w:r>
          <w:r w:rsidR="00D875AE">
            <w:rPr>
              <w:i/>
              <w:iCs/>
              <w:noProof/>
            </w:rPr>
            <w:t xml:space="preserve">Assignment Brief: Munitions M6X00944. </w:t>
          </w:r>
          <w:r w:rsidR="00D875AE">
            <w:rPr>
              <w:noProof/>
            </w:rPr>
            <w:t>Swansea : s.n., 2017.</w:t>
          </w:r>
        </w:p>
        <w:p w:rsidR="00D875AE" w:rsidRDefault="00D875AE" w:rsidP="00D875AE">
          <w:pPr>
            <w:pStyle w:val="Bibliography"/>
            <w:rPr>
              <w:noProof/>
            </w:rPr>
          </w:pPr>
          <w:r>
            <w:rPr>
              <w:noProof/>
            </w:rPr>
            <w:t xml:space="preserve">2. </w:t>
          </w:r>
          <w:r>
            <w:rPr>
              <w:b/>
              <w:bCs/>
              <w:noProof/>
            </w:rPr>
            <w:t>Ministry of Defence.</w:t>
          </w:r>
          <w:r>
            <w:rPr>
              <w:noProof/>
            </w:rPr>
            <w:t xml:space="preserve"> </w:t>
          </w:r>
          <w:r>
            <w:rPr>
              <w:i/>
              <w:iCs/>
              <w:noProof/>
            </w:rPr>
            <w:t xml:space="preserve">Select Committee on Defence; Fourteenth Report. </w:t>
          </w:r>
          <w:r>
            <w:rPr>
              <w:noProof/>
            </w:rPr>
            <w:t>London : House of Commons, 2000.</w:t>
          </w:r>
        </w:p>
        <w:p w:rsidR="00D875AE" w:rsidRDefault="00D875AE" w:rsidP="00D875AE">
          <w:pPr>
            <w:pStyle w:val="Bibliography"/>
            <w:rPr>
              <w:noProof/>
            </w:rPr>
          </w:pPr>
          <w:r>
            <w:rPr>
              <w:noProof/>
            </w:rPr>
            <w:t xml:space="preserve">3. </w:t>
          </w:r>
          <w:r>
            <w:rPr>
              <w:b/>
              <w:bCs/>
              <w:noProof/>
            </w:rPr>
            <w:t>Directory of Military Rockets and Missiles.</w:t>
          </w:r>
          <w:r>
            <w:rPr>
              <w:noProof/>
            </w:rPr>
            <w:t xml:space="preserve"> Raytheon Paveway II. </w:t>
          </w:r>
          <w:r>
            <w:rPr>
              <w:i/>
              <w:iCs/>
              <w:noProof/>
            </w:rPr>
            <w:t xml:space="preserve">Appendix 5: Guided Bombs. </w:t>
          </w:r>
          <w:r>
            <w:rPr>
              <w:noProof/>
            </w:rPr>
            <w:t>[Online] 2008. http://www.designation-systems.net/dusrm/app5/paveway-2.html.</w:t>
          </w:r>
        </w:p>
        <w:p w:rsidR="00D875AE" w:rsidRDefault="00D875AE" w:rsidP="00D875AE">
          <w:pPr>
            <w:pStyle w:val="Bibliography"/>
            <w:rPr>
              <w:noProof/>
            </w:rPr>
          </w:pPr>
          <w:r>
            <w:rPr>
              <w:noProof/>
            </w:rPr>
            <w:t xml:space="preserve">4. </w:t>
          </w:r>
          <w:r>
            <w:rPr>
              <w:b/>
              <w:bCs/>
              <w:noProof/>
            </w:rPr>
            <w:t>ttps://www.raf.mod.uk/equipment/enhancedpaveway.cfm.</w:t>
          </w:r>
          <w:r>
            <w:rPr>
              <w:noProof/>
            </w:rPr>
            <w:t xml:space="preserve"> RAF - Enhanced Paveway II. </w:t>
          </w:r>
          <w:r>
            <w:rPr>
              <w:i/>
              <w:iCs/>
              <w:noProof/>
            </w:rPr>
            <w:t xml:space="preserve">Royal Air Force. </w:t>
          </w:r>
          <w:r>
            <w:rPr>
              <w:noProof/>
            </w:rPr>
            <w:t>[Online] 2006. https://www.raf.mod.uk/equipment/enhancedpaveway.cfm.</w:t>
          </w:r>
        </w:p>
        <w:p w:rsidR="00D875AE" w:rsidRDefault="00D875AE" w:rsidP="00D875AE">
          <w:pPr>
            <w:pStyle w:val="Bibliography"/>
            <w:rPr>
              <w:noProof/>
            </w:rPr>
          </w:pPr>
          <w:r>
            <w:rPr>
              <w:noProof/>
            </w:rPr>
            <w:t xml:space="preserve">5. </w:t>
          </w:r>
          <w:r>
            <w:rPr>
              <w:b/>
              <w:bCs/>
              <w:noProof/>
            </w:rPr>
            <w:t>Ultra Electroncs Limited.</w:t>
          </w:r>
          <w:r>
            <w:rPr>
              <w:noProof/>
            </w:rPr>
            <w:t xml:space="preserve"> </w:t>
          </w:r>
          <w:r>
            <w:rPr>
              <w:i/>
              <w:iCs/>
              <w:noProof/>
            </w:rPr>
            <w:t xml:space="preserve">Litening III Advanced Targeting/Recce Pod. </w:t>
          </w:r>
          <w:r>
            <w:rPr>
              <w:noProof/>
            </w:rPr>
            <w:t>2010.</w:t>
          </w:r>
        </w:p>
        <w:p w:rsidR="00D875AE" w:rsidRDefault="00D875AE" w:rsidP="00D875AE">
          <w:pPr>
            <w:pStyle w:val="Bibliography"/>
            <w:rPr>
              <w:noProof/>
            </w:rPr>
          </w:pPr>
          <w:r>
            <w:rPr>
              <w:noProof/>
            </w:rPr>
            <w:t xml:space="preserve">6. </w:t>
          </w:r>
          <w:r>
            <w:rPr>
              <w:b/>
              <w:bCs/>
              <w:noProof/>
            </w:rPr>
            <w:t>Overton, Iain.</w:t>
          </w:r>
          <w:r>
            <w:rPr>
              <w:noProof/>
            </w:rPr>
            <w:t xml:space="preserve"> Specific details for the Mark 80 series and Paveway attachments. </w:t>
          </w:r>
          <w:r>
            <w:rPr>
              <w:i/>
              <w:iCs/>
              <w:noProof/>
            </w:rPr>
            <w:t xml:space="preserve">AOAC.org.uk. </w:t>
          </w:r>
          <w:r>
            <w:rPr>
              <w:noProof/>
            </w:rPr>
            <w:t>[Online] 2016. https://aoav.org.uk/2016/the-mark-80-series-and-paveway-attachments/.</w:t>
          </w:r>
        </w:p>
        <w:p w:rsidR="00D875AE" w:rsidRDefault="00D875AE" w:rsidP="00D875AE">
          <w:pPr>
            <w:pStyle w:val="Bibliography"/>
            <w:rPr>
              <w:noProof/>
            </w:rPr>
          </w:pPr>
          <w:r>
            <w:rPr>
              <w:noProof/>
            </w:rPr>
            <w:t xml:space="preserve">7. </w:t>
          </w:r>
          <w:r>
            <w:rPr>
              <w:b/>
              <w:bCs/>
              <w:noProof/>
            </w:rPr>
            <w:t>PLC, QinetiQ.</w:t>
          </w:r>
          <w:r>
            <w:rPr>
              <w:noProof/>
            </w:rPr>
            <w:t xml:space="preserve"> </w:t>
          </w:r>
          <w:r>
            <w:rPr>
              <w:i/>
              <w:iCs/>
              <w:noProof/>
            </w:rPr>
            <w:t xml:space="preserve">MOD West Freugh, Range Standing Orders. </w:t>
          </w:r>
          <w:r>
            <w:rPr>
              <w:noProof/>
            </w:rPr>
            <w:t>s.l. : QinetiQ plc, 2017.</w:t>
          </w:r>
        </w:p>
        <w:p w:rsidR="00D875AE" w:rsidRDefault="00D875AE" w:rsidP="00D875AE">
          <w:pPr>
            <w:pStyle w:val="Bibliography"/>
            <w:rPr>
              <w:noProof/>
            </w:rPr>
          </w:pPr>
          <w:r>
            <w:rPr>
              <w:noProof/>
            </w:rPr>
            <w:t xml:space="preserve">8. </w:t>
          </w:r>
          <w:r>
            <w:rPr>
              <w:b/>
              <w:bCs/>
              <w:noProof/>
            </w:rPr>
            <w:t>MOD.</w:t>
          </w:r>
          <w:r>
            <w:rPr>
              <w:noProof/>
            </w:rPr>
            <w:t xml:space="preserve"> JSP 403. </w:t>
          </w:r>
          <w:r>
            <w:rPr>
              <w:i/>
              <w:iCs/>
              <w:noProof/>
            </w:rPr>
            <w:t xml:space="preserve">JSP 403 Volume 1 Part 1. </w:t>
          </w:r>
          <w:r>
            <w:rPr>
              <w:noProof/>
            </w:rPr>
            <w:t>2015, p. ii.</w:t>
          </w:r>
        </w:p>
        <w:p w:rsidR="00D875AE" w:rsidRDefault="00D875AE" w:rsidP="00D875AE">
          <w:pPr>
            <w:pStyle w:val="Bibliography"/>
            <w:rPr>
              <w:noProof/>
            </w:rPr>
          </w:pPr>
          <w:r>
            <w:rPr>
              <w:noProof/>
            </w:rPr>
            <w:t xml:space="preserve">9. —. </w:t>
          </w:r>
          <w:r>
            <w:rPr>
              <w:i/>
              <w:iCs/>
              <w:noProof/>
            </w:rPr>
            <w:t xml:space="preserve">Joint Service Publication. </w:t>
          </w:r>
          <w:r>
            <w:rPr>
              <w:noProof/>
            </w:rPr>
            <w:t>s.l. : Ministry of Defence, 11 January 2017. JSP Collection.</w:t>
          </w:r>
        </w:p>
        <w:p w:rsidR="00D875AE" w:rsidRDefault="00D875AE" w:rsidP="00D875AE">
          <w:pPr>
            <w:pStyle w:val="Bibliography"/>
            <w:rPr>
              <w:noProof/>
            </w:rPr>
          </w:pPr>
          <w:r>
            <w:rPr>
              <w:noProof/>
            </w:rPr>
            <w:t xml:space="preserve">10. </w:t>
          </w:r>
          <w:r>
            <w:rPr>
              <w:b/>
              <w:bCs/>
              <w:noProof/>
            </w:rPr>
            <w:t>Lewis, Debbie.</w:t>
          </w:r>
          <w:r>
            <w:rPr>
              <w:noProof/>
            </w:rPr>
            <w:t xml:space="preserve"> </w:t>
          </w:r>
          <w:r>
            <w:rPr>
              <w:i/>
              <w:iCs/>
              <w:noProof/>
            </w:rPr>
            <w:t xml:space="preserve">RAF Bomb releases using Litening III. </w:t>
          </w:r>
          <w:r>
            <w:rPr>
              <w:noProof/>
            </w:rPr>
            <w:t>Aberporth : QinetiQ, 2014.</w:t>
          </w:r>
        </w:p>
        <w:p w:rsidR="00D875AE" w:rsidRDefault="00D875AE" w:rsidP="00D875AE">
          <w:pPr>
            <w:pStyle w:val="Bibliography"/>
            <w:rPr>
              <w:noProof/>
            </w:rPr>
          </w:pPr>
          <w:r>
            <w:rPr>
              <w:noProof/>
            </w:rPr>
            <w:t xml:space="preserve">11. </w:t>
          </w:r>
          <w:r>
            <w:rPr>
              <w:b/>
              <w:bCs/>
              <w:noProof/>
            </w:rPr>
            <w:t>Planner, Trial.</w:t>
          </w:r>
          <w:r>
            <w:rPr>
              <w:noProof/>
            </w:rPr>
            <w:t xml:space="preserve"> </w:t>
          </w:r>
          <w:r>
            <w:rPr>
              <w:i/>
              <w:iCs/>
              <w:noProof/>
            </w:rPr>
            <w:t xml:space="preserve">Weapons &amp; Maritime Devision First level Peer Riview. </w:t>
          </w:r>
        </w:p>
        <w:p w:rsidR="00D875AE" w:rsidRDefault="00D875AE" w:rsidP="00D875AE">
          <w:pPr>
            <w:pStyle w:val="Bibliography"/>
            <w:rPr>
              <w:noProof/>
            </w:rPr>
          </w:pPr>
          <w:r>
            <w:rPr>
              <w:noProof/>
            </w:rPr>
            <w:t xml:space="preserve">12. </w:t>
          </w:r>
          <w:r>
            <w:rPr>
              <w:b/>
              <w:bCs/>
              <w:noProof/>
            </w:rPr>
            <w:t>Deagel.com.</w:t>
          </w:r>
          <w:r>
            <w:rPr>
              <w:noProof/>
            </w:rPr>
            <w:t xml:space="preserve"> LITENING III. </w:t>
          </w:r>
          <w:r>
            <w:rPr>
              <w:i/>
              <w:iCs/>
              <w:noProof/>
            </w:rPr>
            <w:t xml:space="preserve">Sensor Systems. </w:t>
          </w:r>
          <w:r>
            <w:rPr>
              <w:noProof/>
            </w:rPr>
            <w:t>[Online] 2017. http://www.deagel.com/Sensor-Systems/LITENING-III_a001563005.aspx.</w:t>
          </w:r>
        </w:p>
        <w:p w:rsidR="00D91B24" w:rsidRPr="00D875AE" w:rsidRDefault="00F86F15" w:rsidP="00D875AE">
          <w:pPr>
            <w:pStyle w:val="Bibliography"/>
          </w:pPr>
          <w:r>
            <w:rPr>
              <w:b/>
              <w:bCs/>
            </w:rPr>
            <w:fldChar w:fldCharType="end"/>
          </w:r>
        </w:p>
      </w:sdtContent>
    </w:sdt>
    <w:sectPr w:rsidR="00D91B24" w:rsidRPr="00D875AE" w:rsidSect="005E39B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19D2" w:rsidRDefault="00E719D2" w:rsidP="0060568B">
      <w:pPr>
        <w:spacing w:after="0" w:line="240" w:lineRule="auto"/>
      </w:pPr>
      <w:r>
        <w:separator/>
      </w:r>
    </w:p>
  </w:endnote>
  <w:endnote w:type="continuationSeparator" w:id="0">
    <w:p w:rsidR="00E719D2" w:rsidRDefault="00E719D2" w:rsidP="00605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4248489"/>
      <w:docPartObj>
        <w:docPartGallery w:val="Page Numbers (Bottom of Page)"/>
        <w:docPartUnique/>
      </w:docPartObj>
    </w:sdtPr>
    <w:sdtEndPr>
      <w:rPr>
        <w:color w:val="808080" w:themeColor="background1" w:themeShade="80"/>
        <w:spacing w:val="60"/>
      </w:rPr>
    </w:sdtEndPr>
    <w:sdtContent>
      <w:p w:rsidR="00BD2F92" w:rsidRDefault="00BD2F92">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75AE">
          <w:rPr>
            <w:noProof/>
          </w:rPr>
          <w:t>1</w:t>
        </w:r>
        <w:r>
          <w:rPr>
            <w:noProof/>
          </w:rPr>
          <w:fldChar w:fldCharType="end"/>
        </w:r>
        <w:r>
          <w:t xml:space="preserve"> | </w:t>
        </w:r>
        <w:r>
          <w:rPr>
            <w:color w:val="808080" w:themeColor="background1" w:themeShade="80"/>
            <w:spacing w:val="60"/>
          </w:rPr>
          <w:t>Page</w:t>
        </w:r>
      </w:p>
    </w:sdtContent>
  </w:sdt>
  <w:p w:rsidR="00BD2F92" w:rsidRPr="005E39B9" w:rsidRDefault="00BD2F92" w:rsidP="005E39B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F92" w:rsidRDefault="00BD2F92" w:rsidP="005E39B9">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3870007"/>
      <w:docPartObj>
        <w:docPartGallery w:val="Page Numbers (Bottom of Page)"/>
        <w:docPartUnique/>
      </w:docPartObj>
    </w:sdtPr>
    <w:sdtEndPr>
      <w:rPr>
        <w:color w:val="808080" w:themeColor="background1" w:themeShade="80"/>
        <w:spacing w:val="60"/>
      </w:rPr>
    </w:sdtEndPr>
    <w:sdtContent>
      <w:p w:rsidR="00BD2F92" w:rsidRDefault="00BD2F92">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75AE">
          <w:rPr>
            <w:noProof/>
          </w:rPr>
          <w:t>2</w:t>
        </w:r>
        <w:r>
          <w:rPr>
            <w:noProof/>
          </w:rPr>
          <w:fldChar w:fldCharType="end"/>
        </w:r>
        <w:r>
          <w:t xml:space="preserve"> | </w:t>
        </w:r>
        <w:r>
          <w:rPr>
            <w:color w:val="808080" w:themeColor="background1" w:themeShade="80"/>
            <w:spacing w:val="60"/>
          </w:rPr>
          <w:t>Page</w:t>
        </w:r>
      </w:p>
    </w:sdtContent>
  </w:sdt>
  <w:p w:rsidR="00BD2F92" w:rsidRDefault="00BD2F92" w:rsidP="005E39B9">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19D2" w:rsidRDefault="00E719D2" w:rsidP="0060568B">
      <w:pPr>
        <w:spacing w:after="0" w:line="240" w:lineRule="auto"/>
      </w:pPr>
      <w:r>
        <w:separator/>
      </w:r>
    </w:p>
  </w:footnote>
  <w:footnote w:type="continuationSeparator" w:id="0">
    <w:p w:rsidR="00E719D2" w:rsidRDefault="00E719D2" w:rsidP="006056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F92" w:rsidRPr="005D172E" w:rsidRDefault="00BD2F92" w:rsidP="005D172E">
    <w:pPr>
      <w:pStyle w:val="Header"/>
      <w:tabs>
        <w:tab w:val="left" w:pos="8238"/>
      </w:tabs>
      <w:rPr>
        <w:sz w:val="20"/>
        <w:szCs w:val="20"/>
      </w:rPr>
    </w:pPr>
    <w:r>
      <w:rPr>
        <w:rFonts w:ascii="Calibri Light" w:eastAsiaTheme="majorEastAsia" w:hAnsi="Calibri Light" w:cstheme="majorBidi"/>
        <w:sz w:val="18"/>
        <w:szCs w:val="18"/>
      </w:rPr>
      <w:tab/>
    </w:r>
    <w:sdt>
      <w:sdtPr>
        <w:rPr>
          <w:rFonts w:ascii="Calibri Light" w:eastAsiaTheme="majorEastAsia" w:hAnsi="Calibri Light" w:cstheme="majorBidi"/>
          <w:sz w:val="20"/>
          <w:szCs w:val="20"/>
        </w:rPr>
        <w:alias w:val="Title"/>
        <w:id w:val="478743521"/>
        <w:dataBinding w:prefixMappings="xmlns:ns0='http://schemas.openxmlformats.org/package/2006/metadata/core-properties' xmlns:ns1='http://purl.org/dc/elements/1.1/'" w:xpath="/ns0:coreProperties[1]/ns1:title[1]" w:storeItemID="{6C3C8BC8-F283-45AE-878A-BAB7291924A1}"/>
        <w:text/>
      </w:sdtPr>
      <w:sdtEndPr/>
      <w:sdtContent>
        <w:r>
          <w:rPr>
            <w:rFonts w:ascii="Calibri Light" w:eastAsiaTheme="majorEastAsia" w:hAnsi="Calibri Light" w:cstheme="majorBidi"/>
            <w:sz w:val="20"/>
            <w:szCs w:val="20"/>
          </w:rPr>
          <w:t>Design of an Accuracy and Warhead Performance Trial, Enhanced Paveway II Guided Bomb</w:t>
        </w:r>
      </w:sdtContent>
    </w:sdt>
    <w:r w:rsidRPr="005D172E">
      <w:rPr>
        <w:rFonts w:ascii="Calibri Light" w:eastAsiaTheme="majorEastAsia" w:hAnsi="Calibri Light" w:cstheme="majorBidi"/>
        <w:sz w:val="20"/>
        <w:szCs w:val="20"/>
      </w:rP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F92" w:rsidRDefault="00E719D2" w:rsidP="005E39B9">
    <w:pPr>
      <w:pStyle w:val="Header"/>
      <w:jc w:val="center"/>
    </w:pPr>
    <w:sdt>
      <w:sdtPr>
        <w:rPr>
          <w:rFonts w:ascii="Calibri Light" w:eastAsiaTheme="majorEastAsia" w:hAnsi="Calibri Light" w:cstheme="majorBidi"/>
          <w:sz w:val="20"/>
          <w:szCs w:val="20"/>
        </w:rPr>
        <w:alias w:val="Title"/>
        <w:id w:val="-1108503078"/>
        <w:dataBinding w:prefixMappings="xmlns:ns0='http://schemas.openxmlformats.org/package/2006/metadata/core-properties' xmlns:ns1='http://purl.org/dc/elements/1.1/'" w:xpath="/ns0:coreProperties[1]/ns1:title[1]" w:storeItemID="{6C3C8BC8-F283-45AE-878A-BAB7291924A1}"/>
        <w:text/>
      </w:sdtPr>
      <w:sdtEndPr/>
      <w:sdtContent>
        <w:r w:rsidR="00BD2F92">
          <w:rPr>
            <w:rFonts w:ascii="Calibri Light" w:eastAsiaTheme="majorEastAsia" w:hAnsi="Calibri Light" w:cstheme="majorBidi"/>
            <w:sz w:val="20"/>
            <w:szCs w:val="20"/>
          </w:rPr>
          <w:t>Design of an Accuracy and Warhead Performance Trial, Enhanced Paveway II Guided Bomb</w:t>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86E33"/>
    <w:multiLevelType w:val="hybridMultilevel"/>
    <w:tmpl w:val="D710FF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3087314"/>
    <w:multiLevelType w:val="multilevel"/>
    <w:tmpl w:val="5ADC27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F7B03AF"/>
    <w:multiLevelType w:val="hybridMultilevel"/>
    <w:tmpl w:val="021C3D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E0E0553"/>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nsid w:val="53E547A7"/>
    <w:multiLevelType w:val="hybridMultilevel"/>
    <w:tmpl w:val="EAA8D1DA"/>
    <w:lvl w:ilvl="0" w:tplc="59DE017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66326185"/>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3"/>
  </w:num>
  <w:num w:numId="2">
    <w:abstractNumId w:val="1"/>
  </w:num>
  <w:num w:numId="3">
    <w:abstractNumId w:val="5"/>
  </w:num>
  <w:num w:numId="4">
    <w:abstractNumId w:val="4"/>
  </w:num>
  <w:num w:numId="5">
    <w:abstractNumId w:val="1"/>
  </w:num>
  <w:num w:numId="6">
    <w:abstractNumId w:val="1"/>
  </w:num>
  <w:num w:numId="7">
    <w:abstractNumId w:val="2"/>
  </w:num>
  <w:num w:numId="8">
    <w:abstractNumId w:val="0"/>
    <w:lvlOverride w:ilvl="0"/>
    <w:lvlOverride w:ilvl="1"/>
    <w:lvlOverride w:ilvl="2"/>
    <w:lvlOverride w:ilvl="3"/>
    <w:lvlOverride w:ilvl="4"/>
    <w:lvlOverride w:ilvl="5"/>
    <w:lvlOverride w:ilvl="6"/>
    <w:lvlOverride w:ilvl="7"/>
    <w:lvlOverride w:ilv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235A"/>
    <w:rsid w:val="00002AC6"/>
    <w:rsid w:val="0000747B"/>
    <w:rsid w:val="000142E0"/>
    <w:rsid w:val="00020C63"/>
    <w:rsid w:val="000224C6"/>
    <w:rsid w:val="00024322"/>
    <w:rsid w:val="000251B7"/>
    <w:rsid w:val="00031593"/>
    <w:rsid w:val="000347D6"/>
    <w:rsid w:val="00035A3E"/>
    <w:rsid w:val="0004361E"/>
    <w:rsid w:val="0005202F"/>
    <w:rsid w:val="00052E56"/>
    <w:rsid w:val="000560E1"/>
    <w:rsid w:val="00057B9D"/>
    <w:rsid w:val="00060E44"/>
    <w:rsid w:val="00064887"/>
    <w:rsid w:val="000654D7"/>
    <w:rsid w:val="00065748"/>
    <w:rsid w:val="00071AE6"/>
    <w:rsid w:val="0008631A"/>
    <w:rsid w:val="00086A5B"/>
    <w:rsid w:val="000976F4"/>
    <w:rsid w:val="000A1223"/>
    <w:rsid w:val="000B6FFE"/>
    <w:rsid w:val="000C6B1B"/>
    <w:rsid w:val="000D332C"/>
    <w:rsid w:val="000D45DD"/>
    <w:rsid w:val="000D4926"/>
    <w:rsid w:val="000D5C53"/>
    <w:rsid w:val="000D60AF"/>
    <w:rsid w:val="000E2D3E"/>
    <w:rsid w:val="000E43E2"/>
    <w:rsid w:val="000F3062"/>
    <w:rsid w:val="000F6909"/>
    <w:rsid w:val="00103EB7"/>
    <w:rsid w:val="00104F27"/>
    <w:rsid w:val="00117CE3"/>
    <w:rsid w:val="00120DBB"/>
    <w:rsid w:val="00123ABE"/>
    <w:rsid w:val="00124010"/>
    <w:rsid w:val="00136770"/>
    <w:rsid w:val="00152D1C"/>
    <w:rsid w:val="0015692C"/>
    <w:rsid w:val="0016499A"/>
    <w:rsid w:val="00176D4C"/>
    <w:rsid w:val="00187287"/>
    <w:rsid w:val="0019198A"/>
    <w:rsid w:val="00192850"/>
    <w:rsid w:val="00193984"/>
    <w:rsid w:val="00193C5F"/>
    <w:rsid w:val="001947A0"/>
    <w:rsid w:val="001A640B"/>
    <w:rsid w:val="001A6B30"/>
    <w:rsid w:val="001B02E6"/>
    <w:rsid w:val="001D18EA"/>
    <w:rsid w:val="001D4FE1"/>
    <w:rsid w:val="001E5F3D"/>
    <w:rsid w:val="001F7087"/>
    <w:rsid w:val="002126AA"/>
    <w:rsid w:val="00214DA8"/>
    <w:rsid w:val="00221E4D"/>
    <w:rsid w:val="00224FFD"/>
    <w:rsid w:val="00230585"/>
    <w:rsid w:val="002334D8"/>
    <w:rsid w:val="002335DA"/>
    <w:rsid w:val="00235F5A"/>
    <w:rsid w:val="00244328"/>
    <w:rsid w:val="00251BEB"/>
    <w:rsid w:val="00272075"/>
    <w:rsid w:val="0027429F"/>
    <w:rsid w:val="00283FAD"/>
    <w:rsid w:val="002927EF"/>
    <w:rsid w:val="002B3AD8"/>
    <w:rsid w:val="002B5961"/>
    <w:rsid w:val="002B7DCE"/>
    <w:rsid w:val="002D01E6"/>
    <w:rsid w:val="002D0E58"/>
    <w:rsid w:val="002D4528"/>
    <w:rsid w:val="002D5596"/>
    <w:rsid w:val="002D69D1"/>
    <w:rsid w:val="002E005D"/>
    <w:rsid w:val="002E3384"/>
    <w:rsid w:val="002E575D"/>
    <w:rsid w:val="002E66AC"/>
    <w:rsid w:val="002F0983"/>
    <w:rsid w:val="002F1DC9"/>
    <w:rsid w:val="00304971"/>
    <w:rsid w:val="003140AB"/>
    <w:rsid w:val="003308AF"/>
    <w:rsid w:val="00332429"/>
    <w:rsid w:val="00333AFF"/>
    <w:rsid w:val="0033762F"/>
    <w:rsid w:val="00350941"/>
    <w:rsid w:val="00353DFA"/>
    <w:rsid w:val="00361AD1"/>
    <w:rsid w:val="00362CF6"/>
    <w:rsid w:val="0036730D"/>
    <w:rsid w:val="00373D24"/>
    <w:rsid w:val="00382E07"/>
    <w:rsid w:val="003B02AA"/>
    <w:rsid w:val="003B06FC"/>
    <w:rsid w:val="003B1554"/>
    <w:rsid w:val="003B1D23"/>
    <w:rsid w:val="003B5AE3"/>
    <w:rsid w:val="003E2197"/>
    <w:rsid w:val="003E441F"/>
    <w:rsid w:val="003F2AB9"/>
    <w:rsid w:val="003F6653"/>
    <w:rsid w:val="0041226A"/>
    <w:rsid w:val="00420C5D"/>
    <w:rsid w:val="00434665"/>
    <w:rsid w:val="00435E5C"/>
    <w:rsid w:val="004462D3"/>
    <w:rsid w:val="00460E2F"/>
    <w:rsid w:val="00470BDF"/>
    <w:rsid w:val="004713A3"/>
    <w:rsid w:val="004732A8"/>
    <w:rsid w:val="00481222"/>
    <w:rsid w:val="00483BD1"/>
    <w:rsid w:val="00487C6D"/>
    <w:rsid w:val="0049042A"/>
    <w:rsid w:val="004A05E5"/>
    <w:rsid w:val="004A2FC3"/>
    <w:rsid w:val="004A4072"/>
    <w:rsid w:val="004A45E3"/>
    <w:rsid w:val="004B3AE5"/>
    <w:rsid w:val="004B7352"/>
    <w:rsid w:val="004B7D52"/>
    <w:rsid w:val="004C1C64"/>
    <w:rsid w:val="004C48E7"/>
    <w:rsid w:val="004D1132"/>
    <w:rsid w:val="004D6818"/>
    <w:rsid w:val="004D72F9"/>
    <w:rsid w:val="004D77D2"/>
    <w:rsid w:val="004E0B2C"/>
    <w:rsid w:val="004E2FE1"/>
    <w:rsid w:val="004E4E16"/>
    <w:rsid w:val="004E501C"/>
    <w:rsid w:val="004E56B5"/>
    <w:rsid w:val="004F2834"/>
    <w:rsid w:val="005034DA"/>
    <w:rsid w:val="00512C0F"/>
    <w:rsid w:val="00513DE0"/>
    <w:rsid w:val="005142BA"/>
    <w:rsid w:val="00514891"/>
    <w:rsid w:val="00527865"/>
    <w:rsid w:val="00527E8B"/>
    <w:rsid w:val="00532679"/>
    <w:rsid w:val="0053288F"/>
    <w:rsid w:val="00536704"/>
    <w:rsid w:val="00536F2A"/>
    <w:rsid w:val="00542DF2"/>
    <w:rsid w:val="00546CCA"/>
    <w:rsid w:val="005555E0"/>
    <w:rsid w:val="005644A8"/>
    <w:rsid w:val="00574E15"/>
    <w:rsid w:val="00576E60"/>
    <w:rsid w:val="005772EF"/>
    <w:rsid w:val="00582951"/>
    <w:rsid w:val="0059436F"/>
    <w:rsid w:val="00596080"/>
    <w:rsid w:val="00596D9E"/>
    <w:rsid w:val="005A3278"/>
    <w:rsid w:val="005B3302"/>
    <w:rsid w:val="005B4E88"/>
    <w:rsid w:val="005B5397"/>
    <w:rsid w:val="005B6A47"/>
    <w:rsid w:val="005D172E"/>
    <w:rsid w:val="005E1029"/>
    <w:rsid w:val="005E39B9"/>
    <w:rsid w:val="005F55A6"/>
    <w:rsid w:val="005F5CDB"/>
    <w:rsid w:val="00602563"/>
    <w:rsid w:val="0060568B"/>
    <w:rsid w:val="006149A9"/>
    <w:rsid w:val="00615E40"/>
    <w:rsid w:val="00617DE7"/>
    <w:rsid w:val="006213F7"/>
    <w:rsid w:val="0062444E"/>
    <w:rsid w:val="00624E91"/>
    <w:rsid w:val="00633625"/>
    <w:rsid w:val="00640C9A"/>
    <w:rsid w:val="0064666D"/>
    <w:rsid w:val="00651E7D"/>
    <w:rsid w:val="00653855"/>
    <w:rsid w:val="006621CE"/>
    <w:rsid w:val="00666F33"/>
    <w:rsid w:val="00670B7D"/>
    <w:rsid w:val="00673223"/>
    <w:rsid w:val="006735C8"/>
    <w:rsid w:val="00673B27"/>
    <w:rsid w:val="00675B47"/>
    <w:rsid w:val="00693FC8"/>
    <w:rsid w:val="00695A6D"/>
    <w:rsid w:val="00696D59"/>
    <w:rsid w:val="006A09FE"/>
    <w:rsid w:val="006A13B0"/>
    <w:rsid w:val="006A5730"/>
    <w:rsid w:val="006B04C2"/>
    <w:rsid w:val="006B3C8E"/>
    <w:rsid w:val="006C3E38"/>
    <w:rsid w:val="006C714F"/>
    <w:rsid w:val="006D3AFE"/>
    <w:rsid w:val="006D7BA3"/>
    <w:rsid w:val="006E5742"/>
    <w:rsid w:val="006F05E4"/>
    <w:rsid w:val="006F0EBC"/>
    <w:rsid w:val="006F4D67"/>
    <w:rsid w:val="00700C23"/>
    <w:rsid w:val="007010B9"/>
    <w:rsid w:val="0071790C"/>
    <w:rsid w:val="00717D61"/>
    <w:rsid w:val="00742086"/>
    <w:rsid w:val="0075288F"/>
    <w:rsid w:val="00757A78"/>
    <w:rsid w:val="007649E2"/>
    <w:rsid w:val="00767631"/>
    <w:rsid w:val="007717E9"/>
    <w:rsid w:val="00776BB1"/>
    <w:rsid w:val="00777D8C"/>
    <w:rsid w:val="007808C8"/>
    <w:rsid w:val="007838E9"/>
    <w:rsid w:val="00797A1B"/>
    <w:rsid w:val="007A2FC8"/>
    <w:rsid w:val="007B1E15"/>
    <w:rsid w:val="007B27A1"/>
    <w:rsid w:val="007B30A5"/>
    <w:rsid w:val="007B34BF"/>
    <w:rsid w:val="007B6DDC"/>
    <w:rsid w:val="007C001D"/>
    <w:rsid w:val="007D2408"/>
    <w:rsid w:val="007E37AE"/>
    <w:rsid w:val="007E7791"/>
    <w:rsid w:val="007F0C4C"/>
    <w:rsid w:val="007F63B6"/>
    <w:rsid w:val="00801EA7"/>
    <w:rsid w:val="008043DE"/>
    <w:rsid w:val="00807D14"/>
    <w:rsid w:val="00812BD9"/>
    <w:rsid w:val="00820684"/>
    <w:rsid w:val="00825AA7"/>
    <w:rsid w:val="008273FA"/>
    <w:rsid w:val="0083496F"/>
    <w:rsid w:val="00847851"/>
    <w:rsid w:val="00850B57"/>
    <w:rsid w:val="00851638"/>
    <w:rsid w:val="00851DA0"/>
    <w:rsid w:val="00852E9C"/>
    <w:rsid w:val="0085308F"/>
    <w:rsid w:val="008563A0"/>
    <w:rsid w:val="00857432"/>
    <w:rsid w:val="00861BF6"/>
    <w:rsid w:val="00862D03"/>
    <w:rsid w:val="0086336E"/>
    <w:rsid w:val="008640A3"/>
    <w:rsid w:val="008668FC"/>
    <w:rsid w:val="0087248A"/>
    <w:rsid w:val="00873D71"/>
    <w:rsid w:val="00875C7A"/>
    <w:rsid w:val="00883C3F"/>
    <w:rsid w:val="00886D56"/>
    <w:rsid w:val="008A05D0"/>
    <w:rsid w:val="008A1827"/>
    <w:rsid w:val="008A19E6"/>
    <w:rsid w:val="008A2350"/>
    <w:rsid w:val="008A76E6"/>
    <w:rsid w:val="008B0FFF"/>
    <w:rsid w:val="008B1EDE"/>
    <w:rsid w:val="008B4637"/>
    <w:rsid w:val="008C0D48"/>
    <w:rsid w:val="008D379E"/>
    <w:rsid w:val="008D3C22"/>
    <w:rsid w:val="008E08C7"/>
    <w:rsid w:val="008E3C73"/>
    <w:rsid w:val="00905DE1"/>
    <w:rsid w:val="00911210"/>
    <w:rsid w:val="00913531"/>
    <w:rsid w:val="00914CEA"/>
    <w:rsid w:val="00927183"/>
    <w:rsid w:val="00930986"/>
    <w:rsid w:val="00932C20"/>
    <w:rsid w:val="00941ED1"/>
    <w:rsid w:val="009456F1"/>
    <w:rsid w:val="00957DB4"/>
    <w:rsid w:val="00970CFC"/>
    <w:rsid w:val="00973ADD"/>
    <w:rsid w:val="00985309"/>
    <w:rsid w:val="00987CC0"/>
    <w:rsid w:val="009915FD"/>
    <w:rsid w:val="009A1D70"/>
    <w:rsid w:val="009B29A0"/>
    <w:rsid w:val="009B4C6C"/>
    <w:rsid w:val="009C0578"/>
    <w:rsid w:val="009C106B"/>
    <w:rsid w:val="009C235A"/>
    <w:rsid w:val="009D2B6D"/>
    <w:rsid w:val="009D77BC"/>
    <w:rsid w:val="009E0F72"/>
    <w:rsid w:val="009E14B7"/>
    <w:rsid w:val="009E23CF"/>
    <w:rsid w:val="009E2679"/>
    <w:rsid w:val="009F51CB"/>
    <w:rsid w:val="009F5A59"/>
    <w:rsid w:val="00A1109A"/>
    <w:rsid w:val="00A16F12"/>
    <w:rsid w:val="00A244A1"/>
    <w:rsid w:val="00A267F8"/>
    <w:rsid w:val="00A27C77"/>
    <w:rsid w:val="00A31F1E"/>
    <w:rsid w:val="00A32ECA"/>
    <w:rsid w:val="00A343F2"/>
    <w:rsid w:val="00A35B34"/>
    <w:rsid w:val="00A41268"/>
    <w:rsid w:val="00A43AC3"/>
    <w:rsid w:val="00A44DBC"/>
    <w:rsid w:val="00A52914"/>
    <w:rsid w:val="00A550CE"/>
    <w:rsid w:val="00A60F1A"/>
    <w:rsid w:val="00A629EA"/>
    <w:rsid w:val="00A66596"/>
    <w:rsid w:val="00A755F2"/>
    <w:rsid w:val="00A76FA0"/>
    <w:rsid w:val="00A945AC"/>
    <w:rsid w:val="00AA0295"/>
    <w:rsid w:val="00AA02FF"/>
    <w:rsid w:val="00AA1B20"/>
    <w:rsid w:val="00AA3D5B"/>
    <w:rsid w:val="00AA662C"/>
    <w:rsid w:val="00AB371E"/>
    <w:rsid w:val="00AB73A8"/>
    <w:rsid w:val="00AC0079"/>
    <w:rsid w:val="00AC037D"/>
    <w:rsid w:val="00AC5A97"/>
    <w:rsid w:val="00AD48CE"/>
    <w:rsid w:val="00AE1E79"/>
    <w:rsid w:val="00AE3BCF"/>
    <w:rsid w:val="00AE66EB"/>
    <w:rsid w:val="00AE6949"/>
    <w:rsid w:val="00AF68B7"/>
    <w:rsid w:val="00B02035"/>
    <w:rsid w:val="00B0468B"/>
    <w:rsid w:val="00B07DA0"/>
    <w:rsid w:val="00B127C9"/>
    <w:rsid w:val="00B12AB9"/>
    <w:rsid w:val="00B1428B"/>
    <w:rsid w:val="00B15A84"/>
    <w:rsid w:val="00B175B9"/>
    <w:rsid w:val="00B26598"/>
    <w:rsid w:val="00B32884"/>
    <w:rsid w:val="00B44D5D"/>
    <w:rsid w:val="00B54714"/>
    <w:rsid w:val="00B64AC6"/>
    <w:rsid w:val="00B82F54"/>
    <w:rsid w:val="00B866AA"/>
    <w:rsid w:val="00B94B9D"/>
    <w:rsid w:val="00B965A5"/>
    <w:rsid w:val="00B9663A"/>
    <w:rsid w:val="00BA5632"/>
    <w:rsid w:val="00BC5F77"/>
    <w:rsid w:val="00BD013C"/>
    <w:rsid w:val="00BD14FA"/>
    <w:rsid w:val="00BD2F92"/>
    <w:rsid w:val="00BD4F00"/>
    <w:rsid w:val="00BD7C4D"/>
    <w:rsid w:val="00BF0AEE"/>
    <w:rsid w:val="00BF3851"/>
    <w:rsid w:val="00BF3CD2"/>
    <w:rsid w:val="00C022A8"/>
    <w:rsid w:val="00C03E6F"/>
    <w:rsid w:val="00C07209"/>
    <w:rsid w:val="00C12D6E"/>
    <w:rsid w:val="00C1462A"/>
    <w:rsid w:val="00C1779A"/>
    <w:rsid w:val="00C306DC"/>
    <w:rsid w:val="00C53486"/>
    <w:rsid w:val="00C54060"/>
    <w:rsid w:val="00C57E27"/>
    <w:rsid w:val="00C6440D"/>
    <w:rsid w:val="00C647A8"/>
    <w:rsid w:val="00C7513C"/>
    <w:rsid w:val="00C919CB"/>
    <w:rsid w:val="00C97379"/>
    <w:rsid w:val="00CA1A4B"/>
    <w:rsid w:val="00CB3206"/>
    <w:rsid w:val="00CC04A9"/>
    <w:rsid w:val="00CC076B"/>
    <w:rsid w:val="00CC2E9B"/>
    <w:rsid w:val="00CC6F60"/>
    <w:rsid w:val="00CD4530"/>
    <w:rsid w:val="00CD4E3D"/>
    <w:rsid w:val="00CD4E6A"/>
    <w:rsid w:val="00CD7281"/>
    <w:rsid w:val="00CE4D07"/>
    <w:rsid w:val="00D04592"/>
    <w:rsid w:val="00D054B5"/>
    <w:rsid w:val="00D06702"/>
    <w:rsid w:val="00D11E8E"/>
    <w:rsid w:val="00D12BE6"/>
    <w:rsid w:val="00D1336A"/>
    <w:rsid w:val="00D14AB8"/>
    <w:rsid w:val="00D150D6"/>
    <w:rsid w:val="00D25094"/>
    <w:rsid w:val="00D345AC"/>
    <w:rsid w:val="00D3556B"/>
    <w:rsid w:val="00D37F6B"/>
    <w:rsid w:val="00D4745F"/>
    <w:rsid w:val="00D57D7B"/>
    <w:rsid w:val="00D60C09"/>
    <w:rsid w:val="00D718B3"/>
    <w:rsid w:val="00D72930"/>
    <w:rsid w:val="00D7485E"/>
    <w:rsid w:val="00D83AB3"/>
    <w:rsid w:val="00D875AE"/>
    <w:rsid w:val="00D87D99"/>
    <w:rsid w:val="00D90910"/>
    <w:rsid w:val="00D91B24"/>
    <w:rsid w:val="00DA5B20"/>
    <w:rsid w:val="00DB15B4"/>
    <w:rsid w:val="00DB1718"/>
    <w:rsid w:val="00DB1B70"/>
    <w:rsid w:val="00DB2C0D"/>
    <w:rsid w:val="00DD31F9"/>
    <w:rsid w:val="00DD5461"/>
    <w:rsid w:val="00DD58A4"/>
    <w:rsid w:val="00DE1ED8"/>
    <w:rsid w:val="00DE2B66"/>
    <w:rsid w:val="00E00F38"/>
    <w:rsid w:val="00E07A10"/>
    <w:rsid w:val="00E21651"/>
    <w:rsid w:val="00E25306"/>
    <w:rsid w:val="00E34BD7"/>
    <w:rsid w:val="00E3543C"/>
    <w:rsid w:val="00E373A3"/>
    <w:rsid w:val="00E37E42"/>
    <w:rsid w:val="00E417EC"/>
    <w:rsid w:val="00E420F2"/>
    <w:rsid w:val="00E51F92"/>
    <w:rsid w:val="00E541C1"/>
    <w:rsid w:val="00E719D2"/>
    <w:rsid w:val="00E7293A"/>
    <w:rsid w:val="00E778CE"/>
    <w:rsid w:val="00E8256A"/>
    <w:rsid w:val="00E82D07"/>
    <w:rsid w:val="00E87C81"/>
    <w:rsid w:val="00E9194D"/>
    <w:rsid w:val="00E93D85"/>
    <w:rsid w:val="00E96309"/>
    <w:rsid w:val="00EA4B71"/>
    <w:rsid w:val="00EC37E9"/>
    <w:rsid w:val="00ED0321"/>
    <w:rsid w:val="00EE6DC5"/>
    <w:rsid w:val="00EF2212"/>
    <w:rsid w:val="00F02042"/>
    <w:rsid w:val="00F0433D"/>
    <w:rsid w:val="00F23146"/>
    <w:rsid w:val="00F25DF9"/>
    <w:rsid w:val="00F309A8"/>
    <w:rsid w:val="00F337B0"/>
    <w:rsid w:val="00F33A47"/>
    <w:rsid w:val="00F33B01"/>
    <w:rsid w:val="00F37C50"/>
    <w:rsid w:val="00F445C7"/>
    <w:rsid w:val="00F45613"/>
    <w:rsid w:val="00F50260"/>
    <w:rsid w:val="00F51E46"/>
    <w:rsid w:val="00F57B94"/>
    <w:rsid w:val="00F60E72"/>
    <w:rsid w:val="00F70782"/>
    <w:rsid w:val="00F71228"/>
    <w:rsid w:val="00F7472B"/>
    <w:rsid w:val="00F75125"/>
    <w:rsid w:val="00F7727D"/>
    <w:rsid w:val="00F835FD"/>
    <w:rsid w:val="00F86F15"/>
    <w:rsid w:val="00F95215"/>
    <w:rsid w:val="00F954BE"/>
    <w:rsid w:val="00F96175"/>
    <w:rsid w:val="00FA05C8"/>
    <w:rsid w:val="00FA4A08"/>
    <w:rsid w:val="00FB1DE3"/>
    <w:rsid w:val="00FC1A61"/>
    <w:rsid w:val="00FC6318"/>
    <w:rsid w:val="00FD590F"/>
    <w:rsid w:val="00FE0F0C"/>
    <w:rsid w:val="00FE1158"/>
    <w:rsid w:val="00FE27F4"/>
    <w:rsid w:val="00FE3AB3"/>
    <w:rsid w:val="00FE5180"/>
    <w:rsid w:val="00FF44D5"/>
    <w:rsid w:val="00FF53DC"/>
    <w:rsid w:val="00FF6109"/>
    <w:rsid w:val="00FF6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FootnoteText">
    <w:name w:val="footnote text"/>
    <w:basedOn w:val="Normal"/>
    <w:link w:val="FootnoteTextChar"/>
    <w:uiPriority w:val="99"/>
    <w:semiHidden/>
    <w:unhideWhenUsed/>
    <w:rsid w:val="00CD72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7281"/>
    <w:rPr>
      <w:sz w:val="20"/>
      <w:szCs w:val="20"/>
    </w:rPr>
  </w:style>
  <w:style w:type="character" w:styleId="FootnoteReference">
    <w:name w:val="footnote reference"/>
    <w:basedOn w:val="DefaultParagraphFont"/>
    <w:uiPriority w:val="99"/>
    <w:semiHidden/>
    <w:unhideWhenUsed/>
    <w:rsid w:val="00CD7281"/>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FootnoteText">
    <w:name w:val="footnote text"/>
    <w:basedOn w:val="Normal"/>
    <w:link w:val="FootnoteTextChar"/>
    <w:uiPriority w:val="99"/>
    <w:semiHidden/>
    <w:unhideWhenUsed/>
    <w:rsid w:val="00CD72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7281"/>
    <w:rPr>
      <w:sz w:val="20"/>
      <w:szCs w:val="20"/>
    </w:rPr>
  </w:style>
  <w:style w:type="character" w:styleId="FootnoteReference">
    <w:name w:val="footnote reference"/>
    <w:basedOn w:val="DefaultParagraphFont"/>
    <w:uiPriority w:val="99"/>
    <w:semiHidden/>
    <w:unhideWhenUsed/>
    <w:rsid w:val="00CD72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6183847">
      <w:bodyDiv w:val="1"/>
      <w:marLeft w:val="0"/>
      <w:marRight w:val="0"/>
      <w:marTop w:val="0"/>
      <w:marBottom w:val="0"/>
      <w:divBdr>
        <w:top w:val="none" w:sz="0" w:space="0" w:color="auto"/>
        <w:left w:val="none" w:sz="0" w:space="0" w:color="auto"/>
        <w:bottom w:val="none" w:sz="0" w:space="0" w:color="auto"/>
        <w:right w:val="none" w:sz="0" w:space="0" w:color="auto"/>
      </w:divBdr>
    </w:div>
    <w:div w:id="328795949">
      <w:bodyDiv w:val="1"/>
      <w:marLeft w:val="0"/>
      <w:marRight w:val="0"/>
      <w:marTop w:val="0"/>
      <w:marBottom w:val="0"/>
      <w:divBdr>
        <w:top w:val="none" w:sz="0" w:space="0" w:color="auto"/>
        <w:left w:val="none" w:sz="0" w:space="0" w:color="auto"/>
        <w:bottom w:val="none" w:sz="0" w:space="0" w:color="auto"/>
        <w:right w:val="none" w:sz="0" w:space="0" w:color="auto"/>
      </w:divBdr>
    </w:div>
    <w:div w:id="517933478">
      <w:bodyDiv w:val="1"/>
      <w:marLeft w:val="0"/>
      <w:marRight w:val="0"/>
      <w:marTop w:val="0"/>
      <w:marBottom w:val="0"/>
      <w:divBdr>
        <w:top w:val="none" w:sz="0" w:space="0" w:color="auto"/>
        <w:left w:val="none" w:sz="0" w:space="0" w:color="auto"/>
        <w:bottom w:val="none" w:sz="0" w:space="0" w:color="auto"/>
        <w:right w:val="none" w:sz="0" w:space="0" w:color="auto"/>
      </w:divBdr>
    </w:div>
    <w:div w:id="566036782">
      <w:bodyDiv w:val="1"/>
      <w:marLeft w:val="0"/>
      <w:marRight w:val="0"/>
      <w:marTop w:val="0"/>
      <w:marBottom w:val="0"/>
      <w:divBdr>
        <w:top w:val="none" w:sz="0" w:space="0" w:color="auto"/>
        <w:left w:val="none" w:sz="0" w:space="0" w:color="auto"/>
        <w:bottom w:val="none" w:sz="0" w:space="0" w:color="auto"/>
        <w:right w:val="none" w:sz="0" w:space="0" w:color="auto"/>
      </w:divBdr>
    </w:div>
    <w:div w:id="620840310">
      <w:bodyDiv w:val="1"/>
      <w:marLeft w:val="0"/>
      <w:marRight w:val="0"/>
      <w:marTop w:val="0"/>
      <w:marBottom w:val="0"/>
      <w:divBdr>
        <w:top w:val="none" w:sz="0" w:space="0" w:color="auto"/>
        <w:left w:val="none" w:sz="0" w:space="0" w:color="auto"/>
        <w:bottom w:val="none" w:sz="0" w:space="0" w:color="auto"/>
        <w:right w:val="none" w:sz="0" w:space="0" w:color="auto"/>
      </w:divBdr>
    </w:div>
    <w:div w:id="1126655061">
      <w:bodyDiv w:val="1"/>
      <w:marLeft w:val="0"/>
      <w:marRight w:val="0"/>
      <w:marTop w:val="0"/>
      <w:marBottom w:val="0"/>
      <w:divBdr>
        <w:top w:val="none" w:sz="0" w:space="0" w:color="auto"/>
        <w:left w:val="none" w:sz="0" w:space="0" w:color="auto"/>
        <w:bottom w:val="none" w:sz="0" w:space="0" w:color="auto"/>
        <w:right w:val="none" w:sz="0" w:space="0" w:color="auto"/>
      </w:divBdr>
    </w:div>
    <w:div w:id="1129277736">
      <w:bodyDiv w:val="1"/>
      <w:marLeft w:val="0"/>
      <w:marRight w:val="0"/>
      <w:marTop w:val="0"/>
      <w:marBottom w:val="0"/>
      <w:divBdr>
        <w:top w:val="none" w:sz="0" w:space="0" w:color="auto"/>
        <w:left w:val="none" w:sz="0" w:space="0" w:color="auto"/>
        <w:bottom w:val="none" w:sz="0" w:space="0" w:color="auto"/>
        <w:right w:val="none" w:sz="0" w:space="0" w:color="auto"/>
      </w:divBdr>
    </w:div>
    <w:div w:id="1151218140">
      <w:bodyDiv w:val="1"/>
      <w:marLeft w:val="0"/>
      <w:marRight w:val="0"/>
      <w:marTop w:val="0"/>
      <w:marBottom w:val="0"/>
      <w:divBdr>
        <w:top w:val="none" w:sz="0" w:space="0" w:color="auto"/>
        <w:left w:val="none" w:sz="0" w:space="0" w:color="auto"/>
        <w:bottom w:val="none" w:sz="0" w:space="0" w:color="auto"/>
        <w:right w:val="none" w:sz="0" w:space="0" w:color="auto"/>
      </w:divBdr>
    </w:div>
    <w:div w:id="1361584146">
      <w:bodyDiv w:val="1"/>
      <w:marLeft w:val="0"/>
      <w:marRight w:val="0"/>
      <w:marTop w:val="0"/>
      <w:marBottom w:val="0"/>
      <w:divBdr>
        <w:top w:val="none" w:sz="0" w:space="0" w:color="auto"/>
        <w:left w:val="none" w:sz="0" w:space="0" w:color="auto"/>
        <w:bottom w:val="none" w:sz="0" w:space="0" w:color="auto"/>
        <w:right w:val="none" w:sz="0" w:space="0" w:color="auto"/>
      </w:divBdr>
    </w:div>
    <w:div w:id="1451319286">
      <w:bodyDiv w:val="1"/>
      <w:marLeft w:val="0"/>
      <w:marRight w:val="0"/>
      <w:marTop w:val="0"/>
      <w:marBottom w:val="0"/>
      <w:divBdr>
        <w:top w:val="none" w:sz="0" w:space="0" w:color="auto"/>
        <w:left w:val="none" w:sz="0" w:space="0" w:color="auto"/>
        <w:bottom w:val="none" w:sz="0" w:space="0" w:color="auto"/>
        <w:right w:val="none" w:sz="0" w:space="0" w:color="auto"/>
      </w:divBdr>
    </w:div>
    <w:div w:id="1483043198">
      <w:bodyDiv w:val="1"/>
      <w:marLeft w:val="0"/>
      <w:marRight w:val="0"/>
      <w:marTop w:val="0"/>
      <w:marBottom w:val="0"/>
      <w:divBdr>
        <w:top w:val="none" w:sz="0" w:space="0" w:color="auto"/>
        <w:left w:val="none" w:sz="0" w:space="0" w:color="auto"/>
        <w:bottom w:val="none" w:sz="0" w:space="0" w:color="auto"/>
        <w:right w:val="none" w:sz="0" w:space="0" w:color="auto"/>
      </w:divBdr>
    </w:div>
    <w:div w:id="1498960207">
      <w:bodyDiv w:val="1"/>
      <w:marLeft w:val="0"/>
      <w:marRight w:val="0"/>
      <w:marTop w:val="0"/>
      <w:marBottom w:val="0"/>
      <w:divBdr>
        <w:top w:val="none" w:sz="0" w:space="0" w:color="auto"/>
        <w:left w:val="none" w:sz="0" w:space="0" w:color="auto"/>
        <w:bottom w:val="none" w:sz="0" w:space="0" w:color="auto"/>
        <w:right w:val="none" w:sz="0" w:space="0" w:color="auto"/>
      </w:divBdr>
    </w:div>
    <w:div w:id="1746997040">
      <w:bodyDiv w:val="1"/>
      <w:marLeft w:val="0"/>
      <w:marRight w:val="0"/>
      <w:marTop w:val="0"/>
      <w:marBottom w:val="0"/>
      <w:divBdr>
        <w:top w:val="none" w:sz="0" w:space="0" w:color="auto"/>
        <w:left w:val="none" w:sz="0" w:space="0" w:color="auto"/>
        <w:bottom w:val="none" w:sz="0" w:space="0" w:color="auto"/>
        <w:right w:val="none" w:sz="0" w:space="0" w:color="auto"/>
      </w:divBdr>
    </w:div>
    <w:div w:id="1880582682">
      <w:bodyDiv w:val="1"/>
      <w:marLeft w:val="0"/>
      <w:marRight w:val="0"/>
      <w:marTop w:val="0"/>
      <w:marBottom w:val="0"/>
      <w:divBdr>
        <w:top w:val="none" w:sz="0" w:space="0" w:color="auto"/>
        <w:left w:val="none" w:sz="0" w:space="0" w:color="auto"/>
        <w:bottom w:val="none" w:sz="0" w:space="0" w:color="auto"/>
        <w:right w:val="none" w:sz="0" w:space="0" w:color="auto"/>
      </w:divBdr>
    </w:div>
    <w:div w:id="1986884308">
      <w:bodyDiv w:val="1"/>
      <w:marLeft w:val="0"/>
      <w:marRight w:val="0"/>
      <w:marTop w:val="0"/>
      <w:marBottom w:val="0"/>
      <w:divBdr>
        <w:top w:val="none" w:sz="0" w:space="0" w:color="auto"/>
        <w:left w:val="none" w:sz="0" w:space="0" w:color="auto"/>
        <w:bottom w:val="none" w:sz="0" w:space="0" w:color="auto"/>
        <w:right w:val="none" w:sz="0" w:space="0" w:color="auto"/>
      </w:divBdr>
    </w:div>
    <w:div w:id="205700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hyperlink" Target="http://www.ultra-cis.com/resourses/Litening%20III%20-%20secured.pdf" TargetMode="External"/><Relationship Id="rId2" Type="http://schemas.openxmlformats.org/officeDocument/2006/relationships/numbering" Target="numbering.xml"/><Relationship Id="rId16" Type="http://schemas.openxmlformats.org/officeDocument/2006/relationships/hyperlink" Target="http://www.designation-systems.net/dusrm/app5/paveway-2.html"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ublications.parliament.uk/pa/cm199900/cmselect/cmdfence/347/34722.htm"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raf.mod.uk/equipment/enhancedpaveway.cfm"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MOD15</b:Tag>
    <b:SourceType>BookSection</b:SourceType>
    <b:Guid>{C3E30015-F59C-43B1-8D99-1FF719BFACC1}</b:Guid>
    <b:Title>JSP 403</b:Title>
    <b:Year>2015</b:Year>
    <b:Author>
      <b:Author>
        <b:NameList>
          <b:Person>
            <b:Last>MOD</b:Last>
          </b:Person>
        </b:NameList>
      </b:Author>
      <b:BookAuthor>
        <b:NameList>
          <b:Person>
            <b:Last>MOD</b:Last>
          </b:Person>
        </b:NameList>
      </b:BookAuthor>
    </b:Author>
    <b:PublicationTitle>JSP 403 Volume 1 Part 1</b:PublicationTitle>
    <b:BookTitle>JSP 403 Volume 1 Part 1</b:BookTitle>
    <b:Pages>ii</b:Pages>
    <b:RefOrder>8</b:RefOrder>
  </b:Source>
  <b:Source>
    <b:Tag>MOD17</b:Tag>
    <b:SourceType>Book</b:SourceType>
    <b:Guid>{6CBB3254-B164-4E4B-B810-EE8A163E4525}</b:Guid>
    <b:Title>Joint Service Publication</b:Title>
    <b:Year>11 January 2017</b:Year>
    <b:Publisher>Ministry of Defence</b:Publisher>
    <b:StandardNumber>JSP Collection</b:StandardNumber>
    <b:Author>
      <b:Author>
        <b:Corporate>MOD</b:Corporate>
      </b:Author>
    </b:Author>
    <b:RefOrder>9</b:RefOrder>
  </b:Source>
  <b:Source>
    <b:Tag>Deb14</b:Tag>
    <b:SourceType>Report</b:SourceType>
    <b:Guid>{1DEAB323-36F7-4DA7-9ECA-CE784484F7A2}</b:Guid>
    <b:Title>RAF Bomb releases using Litening III</b:Title>
    <b:Year>2014</b:Year>
    <b:City>Aberporth</b:City>
    <b:Publisher>QinetiQ</b:Publisher>
    <b:Author>
      <b:Author>
        <b:NameList>
          <b:Person>
            <b:Last>Lewis</b:Last>
            <b:First>Debbie</b:First>
          </b:Person>
        </b:NameList>
      </b:Author>
    </b:Author>
    <b:RefOrder>10</b:RefOrder>
  </b:Source>
  <b:Source>
    <b:Tag>Tri</b:Tag>
    <b:SourceType>Report</b:SourceType>
    <b:Guid>{CE29C6AD-624B-463D-93E6-7EECFC258691}</b:Guid>
    <b:Author>
      <b:Author>
        <b:NameList>
          <b:Person>
            <b:Last>Planner</b:Last>
            <b:First>Trial</b:First>
          </b:Person>
        </b:NameList>
      </b:Author>
    </b:Author>
    <b:Title>Weapons &amp; Maritime Devision First level Peer Riview</b:Title>
    <b:RefOrder>11</b:RefOrder>
  </b:Source>
  <b:Source>
    <b:Tag>Dea17</b:Tag>
    <b:SourceType>InternetSite</b:SourceType>
    <b:Guid>{AEF85451-FFF8-47F0-822B-AEC66A2E9523}</b:Guid>
    <b:Author>
      <b:Author>
        <b:NameList>
          <b:Person>
            <b:Last>Deagel.com</b:Last>
          </b:Person>
        </b:NameList>
      </b:Author>
    </b:Author>
    <b:Title>LITENING III</b:Title>
    <b:InternetSiteTitle>Sensor Systems</b:InternetSiteTitle>
    <b:Year>2017</b:Year>
    <b:YearAccessed>2017</b:YearAccessed>
    <b:URL>http://www.deagel.com/Sensor-Systems/LITENING-III_a001563005.aspx</b:URL>
    <b:RefOrder>12</b:RefOrder>
  </b:Source>
  <b:Source>
    <b:Tag>Uni17</b:Tag>
    <b:SourceType>Book</b:SourceType>
    <b:Guid>{C625EC0F-D356-4D38-B330-D7FD5B60CACF}</b:Guid>
    <b:Title>Assignment Brief: Munitions M6X00944</b:Title>
    <b:Year>2017</b:Year>
    <b:Author>
      <b:Author>
        <b:NameList>
          <b:Person>
            <b:Last>David</b:Last>
            <b:First>University</b:First>
            <b:Middle>of Wales Trinity &amp; St.</b:Middle>
          </b:Person>
        </b:NameList>
      </b:Author>
    </b:Author>
    <b:City>Swansea</b:City>
    <b:RefOrder>1</b:RefOrder>
  </b:Source>
  <b:Source>
    <b:Tag>Min00</b:Tag>
    <b:SourceType>Report</b:SourceType>
    <b:Guid>{9E61AC4D-2E57-4F45-ABEA-4558F4D9E194}</b:Guid>
    <b:Title>Select Committee on Defence; Fourteenth Report</b:Title>
    <b:Year>2000</b:Year>
    <b:City>London</b:City>
    <b:Publisher>House of Commons</b:Publisher>
    <b:Author>
      <b:Author>
        <b:Corporate>Ministry of Defence</b:Corporate>
      </b:Author>
    </b:Author>
    <b:RefOrder>2</b:RefOrder>
  </b:Source>
  <b:Source>
    <b:Tag>Dir08</b:Tag>
    <b:SourceType>InternetSite</b:SourceType>
    <b:Guid>{70721372-19E5-4DF0-AB3A-65960771227C}</b:Guid>
    <b:Title>Raytheon Paveway II</b:Title>
    <b:Year>2008</b:Year>
    <b:Author>
      <b:Author>
        <b:Corporate>Directory of Military Rockets and Missiles</b:Corporate>
      </b:Author>
    </b:Author>
    <b:InternetSiteTitle>Appendix 5: Guided Bombs</b:InternetSiteTitle>
    <b:URL>http://www.designation-systems.net/dusrm/app5/paveway-2.html</b:URL>
    <b:RefOrder>3</b:RefOrder>
  </b:Source>
  <b:Source>
    <b:Tag>Ult10</b:Tag>
    <b:SourceType>Report</b:SourceType>
    <b:Guid>{1EF927D9-856A-4FD5-9F90-344AE1784067}</b:Guid>
    <b:Author>
      <b:Author>
        <b:Corporate>Ultra Electroncs Limited</b:Corporate>
      </b:Author>
    </b:Author>
    <b:Title>Litening III Advanced Targeting/Recce Pod</b:Title>
    <b:Year>2010</b:Year>
    <b:RefOrder>5</b:RefOrder>
  </b:Source>
  <b:Source>
    <b:Tag>Ove16</b:Tag>
    <b:SourceType>DocumentFromInternetSite</b:SourceType>
    <b:Guid>{FFCC5C60-3937-4A43-8120-2F54094E0DBA}</b:Guid>
    <b:Author>
      <b:Author>
        <b:NameList>
          <b:Person>
            <b:Last>Overton</b:Last>
            <b:First>Iain</b:First>
          </b:Person>
        </b:NameList>
      </b:Author>
    </b:Author>
    <b:Title>Specific details for the Mark 80 series and Paveway attachments</b:Title>
    <b:Year>2016</b:Year>
    <b:InternetSiteTitle>AOAC.org.uk</b:InternetSiteTitle>
    <b:URL>https://aoav.org.uk/2016/the-mark-80-series-and-paveway-attachments/</b:URL>
    <b:RefOrder>6</b:RefOrder>
  </b:Source>
  <b:Source>
    <b:Tag>ttp06</b:Tag>
    <b:SourceType>InternetSite</b:SourceType>
    <b:Guid>{6E508F3D-66B4-458C-B5B7-1B59EF914E4A}</b:Guid>
    <b:Author>
      <b:Author>
        <b:NameList>
          <b:Person>
            <b:Last>ttps://www.raf.mod.uk/equipment/enhancedpaveway.cfm</b:Last>
          </b:Person>
        </b:NameList>
      </b:Author>
    </b:Author>
    <b:Title>RAF - Enhanced Paveway II</b:Title>
    <b:InternetSiteTitle>Royal Air Force</b:InternetSiteTitle>
    <b:Year>2006</b:Year>
    <b:URL>https://www.raf.mod.uk/equipment/enhancedpaveway.cfm</b:URL>
    <b:RefOrder>4</b:RefOrder>
  </b:Source>
  <b:Source>
    <b:Tag>Qin17</b:Tag>
    <b:SourceType>Book</b:SourceType>
    <b:Guid>{BE30EB73-03E6-4776-8F97-B4DD72BD81F0}</b:Guid>
    <b:Title>MOD West Freugh, Range Standing Orders</b:Title>
    <b:Year>2017</b:Year>
    <b:Author>
      <b:Author>
        <b:NameList>
          <b:Person>
            <b:Last>PLC</b:Last>
            <b:First>QinetiQ</b:First>
          </b:Person>
        </b:NameList>
      </b:Author>
    </b:Author>
    <b:Publisher>QinetiQ plc</b:Publisher>
    <b:RefOrder>7</b:RefOrder>
  </b:Source>
</b:Sources>
</file>

<file path=customXml/itemProps1.xml><?xml version="1.0" encoding="utf-8"?>
<ds:datastoreItem xmlns:ds="http://schemas.openxmlformats.org/officeDocument/2006/customXml" ds:itemID="{FFA3B05F-A5F9-480F-B023-BF2E82160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1124</TotalTime>
  <Pages>13</Pages>
  <Words>3628</Words>
  <Characters>20685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Design of an Accuracy and Warhead Performance Trial, Enhanced Paveway II Guided Bomb</vt:lpstr>
    </vt:vector>
  </TitlesOfParts>
  <Company>Microsoft</Company>
  <LinksUpToDate>false</LinksUpToDate>
  <CharactersWithSpaces>24265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an Accuracy and Warhead Performance Trial, Enhanced Paveway II Guided Bomb</dc:title>
  <dc:subject>Design a test to evaluate the performance of a UK in-service Enhanced Paveway II Bomb. This trial should provide observations of guidance accuracy and warhead performance, and critically evaluate trial decisions.</dc:subject>
  <dc:creator>Mr Harry McAuliffe</dc:creator>
  <cp:lastModifiedBy>McKazzer</cp:lastModifiedBy>
  <cp:revision>18</cp:revision>
  <cp:lastPrinted>2015-06-23T14:41:00Z</cp:lastPrinted>
  <dcterms:created xsi:type="dcterms:W3CDTF">2017-06-22T18:59:00Z</dcterms:created>
  <dcterms:modified xsi:type="dcterms:W3CDTF">2017-07-04T09:40:00Z</dcterms:modified>
</cp:coreProperties>
</file>