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3314F9" w14:textId="77777777" w:rsidR="00B71600" w:rsidRPr="00B71600" w:rsidRDefault="00B71600" w:rsidP="00B71600">
      <w:pPr>
        <w:rPr>
          <w:b/>
          <w:bCs/>
        </w:rPr>
      </w:pPr>
      <w:r w:rsidRPr="00B71600">
        <w:rPr>
          <w:b/>
          <w:bCs/>
        </w:rPr>
        <w:t>Overall Assessment</w:t>
      </w:r>
    </w:p>
    <w:p w14:paraId="5AB88EE3" w14:textId="77777777" w:rsidR="00B71600" w:rsidRPr="00B71600" w:rsidRDefault="00B71600" w:rsidP="00B71600">
      <w:r w:rsidRPr="00B71600">
        <w:t>Compass Group has demonstrated a robust financial recovery over the 5-year period:</w:t>
      </w:r>
    </w:p>
    <w:p w14:paraId="754E932C" w14:textId="77777777" w:rsidR="00B71600" w:rsidRPr="00B71600" w:rsidRDefault="00B71600" w:rsidP="00B71600">
      <w:pPr>
        <w:numPr>
          <w:ilvl w:val="0"/>
          <w:numId w:val="1"/>
        </w:numPr>
      </w:pPr>
      <w:r w:rsidRPr="00B71600">
        <w:rPr>
          <w:b/>
          <w:bCs/>
        </w:rPr>
        <w:t>Profits:</w:t>
      </w:r>
      <w:r w:rsidRPr="00B71600">
        <w:t> The Group successfully navigated the pandemic impact, delivering strong margin improvement and excellent ROE.</w:t>
      </w:r>
    </w:p>
    <w:p w14:paraId="6270F0B9" w14:textId="77777777" w:rsidR="00B71600" w:rsidRPr="00B71600" w:rsidRDefault="00B71600" w:rsidP="00B71600">
      <w:pPr>
        <w:numPr>
          <w:ilvl w:val="0"/>
          <w:numId w:val="1"/>
        </w:numPr>
      </w:pPr>
      <w:r w:rsidRPr="00B71600">
        <w:rPr>
          <w:b/>
          <w:bCs/>
        </w:rPr>
        <w:t>Liquidity:</w:t>
      </w:r>
      <w:r w:rsidRPr="00B71600">
        <w:t> While current ratios remain below 1.0, the Group's strong cash generation, access to undrawn credit facilities, and efficient working capital management ensure it remains highly liquid.</w:t>
      </w:r>
    </w:p>
    <w:p w14:paraId="21CFDF39" w14:textId="77777777" w:rsidR="00B71600" w:rsidRPr="00B71600" w:rsidRDefault="00B71600" w:rsidP="00B71600">
      <w:pPr>
        <w:numPr>
          <w:ilvl w:val="0"/>
          <w:numId w:val="1"/>
        </w:numPr>
      </w:pPr>
      <w:r w:rsidRPr="00B71600">
        <w:rPr>
          <w:b/>
          <w:bCs/>
        </w:rPr>
        <w:t>Efficiency:</w:t>
      </w:r>
      <w:r w:rsidRPr="00B71600">
        <w:t> The surge in asset turnover reflects excellent operational leverage and a lean business model.</w:t>
      </w:r>
    </w:p>
    <w:p w14:paraId="3EB34468" w14:textId="77777777" w:rsidR="00B71600" w:rsidRPr="00B71600" w:rsidRDefault="00B71600" w:rsidP="00B71600">
      <w:pPr>
        <w:numPr>
          <w:ilvl w:val="0"/>
          <w:numId w:val="1"/>
        </w:numPr>
      </w:pPr>
      <w:r w:rsidRPr="00B71600">
        <w:rPr>
          <w:b/>
          <w:bCs/>
        </w:rPr>
        <w:t>Leverage:</w:t>
      </w:r>
      <w:r w:rsidRPr="00B71600">
        <w:t> The Group has deleveraged significantly, moving from an elevated net debt to EBITDA ratio of 4.2x in 2020 to 1.3x in 2024, comfortably within its target range of 1.0-1.5x.</w:t>
      </w:r>
    </w:p>
    <w:p w14:paraId="1DF98464" w14:textId="77777777" w:rsidR="005E0610" w:rsidRDefault="005E0610"/>
    <w:sectPr w:rsidR="005E0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D0729"/>
    <w:multiLevelType w:val="multilevel"/>
    <w:tmpl w:val="C1EC30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12508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E53"/>
    <w:rsid w:val="00584E53"/>
    <w:rsid w:val="005E0610"/>
    <w:rsid w:val="00B71600"/>
    <w:rsid w:val="00D73B47"/>
    <w:rsid w:val="00EF7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C525AE-C0F6-42F6-A33B-6482DC780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4E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4E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4E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4E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4E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4E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4E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4E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4E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4E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4E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4E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4E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4E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4E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4E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4E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4E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4E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4E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4E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4E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4E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4E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4E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4E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4E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4E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4E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603</Characters>
  <Application>Microsoft Office Word</Application>
  <DocSecurity>0</DocSecurity>
  <Lines>5</Lines>
  <Paragraphs>1</Paragraphs>
  <ScaleCrop>false</ScaleCrop>
  <Company/>
  <LinksUpToDate>false</LinksUpToDate>
  <CharactersWithSpaces>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Adeem KHAN</dc:creator>
  <cp:keywords/>
  <dc:description/>
  <cp:lastModifiedBy>Adeem KHAN</cp:lastModifiedBy>
  <cp:revision>2</cp:revision>
  <dcterms:created xsi:type="dcterms:W3CDTF">2026-07-24T14:11:00Z</dcterms:created>
  <dcterms:modified xsi:type="dcterms:W3CDTF">2026-07-24T14:12:00Z</dcterms:modified>
</cp:coreProperties>
</file>