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CA3CE" w14:textId="77777777" w:rsidR="00C32A38" w:rsidRDefault="00C32A38" w:rsidP="001D000E">
      <w:pPr>
        <w:jc w:val="center"/>
        <w:rPr>
          <w:rFonts w:ascii="Arial" w:hAnsi="Arial" w:cs="Arial"/>
          <w:b/>
          <w:bCs/>
          <w:sz w:val="24"/>
          <w:szCs w:val="24"/>
        </w:rPr>
      </w:pPr>
    </w:p>
    <w:p w14:paraId="4CBC9AD5" w14:textId="77777777" w:rsidR="00C32A38" w:rsidRDefault="00C32A38" w:rsidP="001D000E">
      <w:pPr>
        <w:jc w:val="center"/>
        <w:rPr>
          <w:rFonts w:ascii="Arial" w:hAnsi="Arial" w:cs="Arial"/>
          <w:b/>
          <w:bCs/>
          <w:sz w:val="24"/>
          <w:szCs w:val="24"/>
        </w:rPr>
      </w:pPr>
    </w:p>
    <w:p w14:paraId="01C58362" w14:textId="77777777" w:rsidR="00C32A38" w:rsidRDefault="00C32A38" w:rsidP="001D000E">
      <w:pPr>
        <w:jc w:val="center"/>
        <w:rPr>
          <w:rFonts w:ascii="Arial" w:hAnsi="Arial" w:cs="Arial"/>
          <w:b/>
          <w:bCs/>
          <w:sz w:val="24"/>
          <w:szCs w:val="24"/>
        </w:rPr>
      </w:pPr>
    </w:p>
    <w:p w14:paraId="78E412E6" w14:textId="77777777" w:rsidR="00C32A38" w:rsidRDefault="00C32A38" w:rsidP="001D000E">
      <w:pPr>
        <w:jc w:val="center"/>
        <w:rPr>
          <w:rFonts w:ascii="Arial" w:hAnsi="Arial" w:cs="Arial"/>
          <w:b/>
          <w:bCs/>
          <w:sz w:val="24"/>
          <w:szCs w:val="24"/>
        </w:rPr>
      </w:pPr>
    </w:p>
    <w:p w14:paraId="3332293C" w14:textId="114E035F" w:rsidR="001D000E" w:rsidRPr="00A1400E" w:rsidRDefault="001D000E" w:rsidP="001D000E">
      <w:pPr>
        <w:jc w:val="center"/>
        <w:rPr>
          <w:rFonts w:ascii="Arial" w:hAnsi="Arial" w:cs="Arial"/>
          <w:b/>
          <w:bCs/>
          <w:sz w:val="24"/>
          <w:szCs w:val="24"/>
        </w:rPr>
      </w:pPr>
      <w:r w:rsidRPr="00A1400E">
        <w:rPr>
          <w:rFonts w:ascii="Arial" w:hAnsi="Arial" w:cs="Arial"/>
          <w:b/>
          <w:bCs/>
          <w:sz w:val="24"/>
          <w:szCs w:val="24"/>
        </w:rPr>
        <w:t xml:space="preserve">RESTAURANT MANAGEMENT AND TYPE OF SERVICE </w:t>
      </w:r>
    </w:p>
    <w:p w14:paraId="2664A0B1" w14:textId="77777777" w:rsidR="001D000E" w:rsidRPr="008A3205" w:rsidRDefault="001D000E" w:rsidP="001D000E">
      <w:pPr>
        <w:rPr>
          <w:rFonts w:ascii="Arial" w:hAnsi="Arial" w:cs="Arial"/>
          <w:sz w:val="24"/>
          <w:szCs w:val="24"/>
        </w:rPr>
      </w:pPr>
    </w:p>
    <w:p w14:paraId="7D755B1F" w14:textId="77777777" w:rsidR="001D000E" w:rsidRPr="008A3205" w:rsidRDefault="001D000E" w:rsidP="001D000E">
      <w:pPr>
        <w:jc w:val="center"/>
        <w:rPr>
          <w:rFonts w:ascii="Arial" w:hAnsi="Arial" w:cs="Arial"/>
          <w:sz w:val="24"/>
          <w:szCs w:val="24"/>
        </w:rPr>
      </w:pPr>
    </w:p>
    <w:p w14:paraId="1A35B6A4" w14:textId="77777777" w:rsidR="001D000E" w:rsidRPr="008A3205" w:rsidRDefault="001D000E" w:rsidP="001D000E">
      <w:pPr>
        <w:jc w:val="center"/>
        <w:rPr>
          <w:rFonts w:ascii="Arial" w:hAnsi="Arial" w:cs="Arial"/>
          <w:sz w:val="24"/>
          <w:szCs w:val="24"/>
        </w:rPr>
      </w:pPr>
    </w:p>
    <w:p w14:paraId="19AC6728" w14:textId="77777777" w:rsidR="001D000E" w:rsidRPr="008A3205" w:rsidRDefault="001D000E" w:rsidP="001D000E">
      <w:pPr>
        <w:rPr>
          <w:rFonts w:ascii="Arial" w:hAnsi="Arial" w:cs="Arial"/>
          <w:sz w:val="24"/>
          <w:szCs w:val="24"/>
        </w:rPr>
      </w:pPr>
    </w:p>
    <w:p w14:paraId="379A4642" w14:textId="77777777" w:rsidR="00C32A38" w:rsidRDefault="00C32A38" w:rsidP="001D000E">
      <w:pPr>
        <w:jc w:val="center"/>
        <w:rPr>
          <w:rFonts w:ascii="Arial" w:hAnsi="Arial" w:cs="Arial"/>
          <w:sz w:val="24"/>
          <w:szCs w:val="24"/>
        </w:rPr>
      </w:pPr>
    </w:p>
    <w:p w14:paraId="19A7E9F9" w14:textId="77777777" w:rsidR="00C32A38" w:rsidRDefault="00C32A38" w:rsidP="001D000E">
      <w:pPr>
        <w:jc w:val="center"/>
        <w:rPr>
          <w:rFonts w:ascii="Arial" w:hAnsi="Arial" w:cs="Arial"/>
          <w:sz w:val="24"/>
          <w:szCs w:val="24"/>
        </w:rPr>
      </w:pPr>
    </w:p>
    <w:p w14:paraId="5C4C8320" w14:textId="77777777" w:rsidR="00C32A38" w:rsidRDefault="00C32A38" w:rsidP="001D000E">
      <w:pPr>
        <w:jc w:val="center"/>
        <w:rPr>
          <w:rFonts w:ascii="Arial" w:hAnsi="Arial" w:cs="Arial"/>
          <w:sz w:val="24"/>
          <w:szCs w:val="24"/>
        </w:rPr>
      </w:pPr>
    </w:p>
    <w:p w14:paraId="40091BD3" w14:textId="77777777" w:rsidR="00C32A38" w:rsidRDefault="00C32A38" w:rsidP="001D000E">
      <w:pPr>
        <w:jc w:val="center"/>
        <w:rPr>
          <w:rFonts w:ascii="Arial" w:hAnsi="Arial" w:cs="Arial"/>
          <w:sz w:val="24"/>
          <w:szCs w:val="24"/>
        </w:rPr>
      </w:pPr>
    </w:p>
    <w:p w14:paraId="7FF0CFCD" w14:textId="7E4F374A" w:rsidR="001D000E" w:rsidRDefault="008B011A" w:rsidP="001D000E">
      <w:pPr>
        <w:jc w:val="center"/>
        <w:rPr>
          <w:rFonts w:ascii="Arial" w:hAnsi="Arial" w:cs="Arial"/>
          <w:sz w:val="24"/>
          <w:szCs w:val="24"/>
        </w:rPr>
      </w:pPr>
      <w:r>
        <w:rPr>
          <w:rFonts w:ascii="Arial" w:hAnsi="Arial" w:cs="Arial"/>
          <w:sz w:val="24"/>
          <w:szCs w:val="24"/>
        </w:rPr>
        <w:t>Livia Valentina Vladu</w:t>
      </w:r>
    </w:p>
    <w:p w14:paraId="63FDE1AE" w14:textId="4F81C190" w:rsidR="008B011A" w:rsidRDefault="0055671F" w:rsidP="001D000E">
      <w:pPr>
        <w:jc w:val="center"/>
        <w:rPr>
          <w:rFonts w:ascii="Arial" w:hAnsi="Arial" w:cs="Arial"/>
          <w:sz w:val="24"/>
          <w:szCs w:val="24"/>
        </w:rPr>
      </w:pPr>
      <w:r>
        <w:rPr>
          <w:rFonts w:ascii="Arial" w:hAnsi="Arial" w:cs="Arial"/>
          <w:sz w:val="24"/>
          <w:szCs w:val="24"/>
        </w:rPr>
        <w:t>21271</w:t>
      </w:r>
      <w:r w:rsidR="00AA6EF8">
        <w:rPr>
          <w:rFonts w:ascii="Arial" w:hAnsi="Arial" w:cs="Arial"/>
          <w:sz w:val="24"/>
          <w:szCs w:val="24"/>
        </w:rPr>
        <w:t>20</w:t>
      </w:r>
    </w:p>
    <w:p w14:paraId="4D5405AA" w14:textId="6C1EDA2E" w:rsidR="00AA6EF8" w:rsidRDefault="00AA6EF8" w:rsidP="001D000E">
      <w:pPr>
        <w:jc w:val="center"/>
        <w:rPr>
          <w:rFonts w:ascii="Arial" w:hAnsi="Arial" w:cs="Arial"/>
          <w:sz w:val="24"/>
          <w:szCs w:val="24"/>
        </w:rPr>
      </w:pPr>
      <w:r>
        <w:rPr>
          <w:rFonts w:ascii="Arial" w:hAnsi="Arial" w:cs="Arial"/>
          <w:sz w:val="24"/>
          <w:szCs w:val="24"/>
        </w:rPr>
        <w:t>Food &amp;</w:t>
      </w:r>
      <w:r w:rsidR="009B431D">
        <w:rPr>
          <w:rFonts w:ascii="Arial" w:hAnsi="Arial" w:cs="Arial"/>
          <w:sz w:val="24"/>
          <w:szCs w:val="24"/>
        </w:rPr>
        <w:t xml:space="preserve"> Beverage Operations (BMIH</w:t>
      </w:r>
      <w:r w:rsidR="00EC3B34">
        <w:rPr>
          <w:rFonts w:ascii="Arial" w:hAnsi="Arial" w:cs="Arial"/>
          <w:sz w:val="24"/>
          <w:szCs w:val="24"/>
        </w:rPr>
        <w:t>4002)</w:t>
      </w:r>
    </w:p>
    <w:p w14:paraId="32B84B6F" w14:textId="10EA8E14" w:rsidR="00EC3B34" w:rsidRDefault="00EC3B34" w:rsidP="001D000E">
      <w:pPr>
        <w:jc w:val="center"/>
        <w:rPr>
          <w:rFonts w:ascii="Arial" w:hAnsi="Arial" w:cs="Arial"/>
          <w:sz w:val="24"/>
          <w:szCs w:val="24"/>
        </w:rPr>
      </w:pPr>
      <w:r>
        <w:rPr>
          <w:rFonts w:ascii="Arial" w:hAnsi="Arial" w:cs="Arial"/>
          <w:sz w:val="24"/>
          <w:szCs w:val="24"/>
        </w:rPr>
        <w:t xml:space="preserve">Module Tutor: </w:t>
      </w:r>
      <w:r w:rsidR="00A97FB0">
        <w:rPr>
          <w:rFonts w:ascii="Arial" w:hAnsi="Arial" w:cs="Arial"/>
          <w:sz w:val="24"/>
          <w:szCs w:val="24"/>
        </w:rPr>
        <w:t>Tristan Hawkins</w:t>
      </w:r>
    </w:p>
    <w:p w14:paraId="298A8FB9" w14:textId="7EDEEE5B" w:rsidR="00A97FB0" w:rsidRDefault="00C32A38" w:rsidP="001D000E">
      <w:pPr>
        <w:jc w:val="center"/>
        <w:rPr>
          <w:rFonts w:ascii="Arial" w:hAnsi="Arial" w:cs="Arial"/>
          <w:sz w:val="24"/>
          <w:szCs w:val="24"/>
        </w:rPr>
      </w:pPr>
      <w:r>
        <w:rPr>
          <w:rFonts w:ascii="Arial" w:hAnsi="Arial" w:cs="Arial"/>
          <w:sz w:val="24"/>
          <w:szCs w:val="24"/>
        </w:rPr>
        <w:t>University of Wales Trinity Saint David</w:t>
      </w:r>
    </w:p>
    <w:p w14:paraId="13B059E9" w14:textId="77777777" w:rsidR="008B011A" w:rsidRPr="008A3205" w:rsidRDefault="008B011A" w:rsidP="001D000E">
      <w:pPr>
        <w:jc w:val="center"/>
        <w:rPr>
          <w:rFonts w:ascii="Arial" w:hAnsi="Arial" w:cs="Arial"/>
          <w:sz w:val="24"/>
          <w:szCs w:val="24"/>
        </w:rPr>
      </w:pPr>
    </w:p>
    <w:p w14:paraId="5460EA8D" w14:textId="77777777" w:rsidR="001D000E" w:rsidRPr="008A3205" w:rsidRDefault="001D000E" w:rsidP="001D000E">
      <w:pPr>
        <w:jc w:val="center"/>
        <w:rPr>
          <w:rFonts w:ascii="Arial" w:hAnsi="Arial" w:cs="Arial"/>
          <w:sz w:val="24"/>
          <w:szCs w:val="24"/>
        </w:rPr>
      </w:pPr>
    </w:p>
    <w:p w14:paraId="2512FF76" w14:textId="77777777" w:rsidR="001D000E" w:rsidRPr="008A3205" w:rsidRDefault="001D000E" w:rsidP="001D000E">
      <w:pPr>
        <w:rPr>
          <w:rFonts w:ascii="Arial" w:hAnsi="Arial" w:cs="Arial"/>
          <w:sz w:val="24"/>
          <w:szCs w:val="24"/>
        </w:rPr>
      </w:pPr>
    </w:p>
    <w:p w14:paraId="64DF1C58" w14:textId="77777777" w:rsidR="001D000E" w:rsidRPr="008A3205" w:rsidRDefault="001D000E" w:rsidP="001D000E">
      <w:pPr>
        <w:rPr>
          <w:rFonts w:ascii="Arial" w:hAnsi="Arial" w:cs="Arial"/>
          <w:sz w:val="24"/>
          <w:szCs w:val="24"/>
        </w:rPr>
      </w:pPr>
    </w:p>
    <w:p w14:paraId="5E4F4AF0" w14:textId="77777777" w:rsidR="001D000E" w:rsidRPr="008A3205" w:rsidRDefault="001D000E" w:rsidP="001D000E">
      <w:pPr>
        <w:jc w:val="center"/>
        <w:rPr>
          <w:rFonts w:ascii="Arial" w:hAnsi="Arial" w:cs="Arial"/>
          <w:sz w:val="24"/>
          <w:szCs w:val="24"/>
        </w:rPr>
      </w:pPr>
    </w:p>
    <w:p w14:paraId="22FAB367" w14:textId="77777777" w:rsidR="001D000E" w:rsidRPr="008A3205" w:rsidRDefault="001D000E" w:rsidP="001D000E">
      <w:pPr>
        <w:jc w:val="center"/>
        <w:rPr>
          <w:rFonts w:ascii="Arial" w:hAnsi="Arial" w:cs="Arial"/>
          <w:sz w:val="24"/>
          <w:szCs w:val="24"/>
        </w:rPr>
      </w:pPr>
    </w:p>
    <w:p w14:paraId="45CEF4B4" w14:textId="77777777" w:rsidR="001D000E" w:rsidRPr="008A3205" w:rsidRDefault="001D000E" w:rsidP="001D000E">
      <w:pPr>
        <w:rPr>
          <w:rFonts w:ascii="Arial" w:hAnsi="Arial" w:cs="Arial"/>
          <w:b/>
          <w:sz w:val="24"/>
          <w:szCs w:val="24"/>
        </w:rPr>
      </w:pPr>
      <w:bookmarkStart w:id="0" w:name="_Toc91260353"/>
    </w:p>
    <w:p w14:paraId="2F8E6699" w14:textId="77777777" w:rsidR="001D000E" w:rsidRPr="008A3205" w:rsidRDefault="001D000E" w:rsidP="001D000E">
      <w:pPr>
        <w:rPr>
          <w:rFonts w:ascii="Arial" w:hAnsi="Arial" w:cs="Arial"/>
          <w:sz w:val="24"/>
          <w:szCs w:val="24"/>
        </w:rPr>
      </w:pPr>
    </w:p>
    <w:p w14:paraId="0502C0D2" w14:textId="77777777" w:rsidR="001D000E" w:rsidRPr="008A3205" w:rsidRDefault="001D000E" w:rsidP="001D000E">
      <w:pPr>
        <w:rPr>
          <w:rFonts w:ascii="Arial" w:hAnsi="Arial" w:cs="Arial"/>
          <w:sz w:val="24"/>
          <w:szCs w:val="24"/>
        </w:rPr>
      </w:pPr>
    </w:p>
    <w:p w14:paraId="55ABE578" w14:textId="77777777" w:rsidR="001D000E" w:rsidRPr="008A3205" w:rsidRDefault="001D000E" w:rsidP="001D000E">
      <w:pPr>
        <w:rPr>
          <w:rFonts w:ascii="Arial" w:hAnsi="Arial" w:cs="Arial"/>
          <w:sz w:val="24"/>
          <w:szCs w:val="24"/>
        </w:rPr>
      </w:pPr>
    </w:p>
    <w:p w14:paraId="3E8F1ABD" w14:textId="77777777" w:rsidR="001D000E" w:rsidRPr="008A3205" w:rsidRDefault="001D000E" w:rsidP="001D000E">
      <w:pPr>
        <w:rPr>
          <w:rFonts w:ascii="Arial" w:hAnsi="Arial" w:cs="Arial"/>
          <w:sz w:val="24"/>
          <w:szCs w:val="24"/>
        </w:rPr>
      </w:pPr>
    </w:p>
    <w:p w14:paraId="1A88618A" w14:textId="77777777" w:rsidR="001D000E" w:rsidRDefault="001D000E" w:rsidP="001D000E">
      <w:pPr>
        <w:rPr>
          <w:rFonts w:ascii="Arial" w:hAnsi="Arial" w:cs="Arial"/>
          <w:sz w:val="24"/>
          <w:szCs w:val="24"/>
        </w:rPr>
      </w:pPr>
    </w:p>
    <w:p w14:paraId="5132D7A0" w14:textId="77777777" w:rsidR="001D000E" w:rsidRDefault="001D000E" w:rsidP="001D000E">
      <w:pPr>
        <w:rPr>
          <w:rFonts w:ascii="Arial" w:hAnsi="Arial" w:cs="Arial"/>
          <w:sz w:val="24"/>
          <w:szCs w:val="24"/>
        </w:rPr>
      </w:pPr>
    </w:p>
    <w:p w14:paraId="4B44FAB8" w14:textId="32678E5D"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rPr>
        <w:lastRenderedPageBreak/>
        <w:t>Restaurant management entails the management overseeing daily business operations. The management seeks to ensure that areas like workforce, finances, planning, customer service, and marketing align with the restaurant's main objectives. One of the challenges I witnessed in a restaurant involves customers' unpleasant experiences and service system breakdowns. I noticed that the restaurant lacks information on Total Quality Management (TQM). Research attributes TQM in addressing customer satisfaction, top management support, employee personality, and commitments (Hussain, 2020, p. 5). Restaurant management must implement the TQM in comprehensively managing the quality of products and services. TQM enables organizations to win customers' hearts by delivering quality products and services (</w:t>
      </w:r>
      <w:proofErr w:type="spellStart"/>
      <w:r w:rsidRPr="008A3205">
        <w:rPr>
          <w:rFonts w:ascii="Arial" w:hAnsi="Arial" w:cs="Arial"/>
          <w:sz w:val="24"/>
          <w:szCs w:val="24"/>
          <w:shd w:val="clear" w:color="auto" w:fill="FFFFFF"/>
        </w:rPr>
        <w:t>Permana</w:t>
      </w:r>
      <w:proofErr w:type="spellEnd"/>
      <w:r w:rsidRPr="008A3205">
        <w:rPr>
          <w:rFonts w:ascii="Arial" w:hAnsi="Arial" w:cs="Arial"/>
          <w:sz w:val="24"/>
          <w:szCs w:val="24"/>
          <w:shd w:val="clear" w:color="auto" w:fill="FFFFFF"/>
        </w:rPr>
        <w:t xml:space="preserve"> et al., 2021,</w:t>
      </w:r>
      <w:r w:rsidRPr="008A3205">
        <w:rPr>
          <w:rFonts w:ascii="Arial" w:hAnsi="Arial" w:cs="Arial"/>
          <w:sz w:val="24"/>
          <w:szCs w:val="24"/>
        </w:rPr>
        <w:t xml:space="preserve"> p. 25). However, one can argue that it is challenging to implement TQM in restaurant management and service types. For instance, TQM can fail because the implementation requires time and patience, a lack of TQM supporting culture, and </w:t>
      </w:r>
      <w:r w:rsidR="005F5C3E">
        <w:rPr>
          <w:rFonts w:ascii="Arial" w:hAnsi="Arial" w:cs="Arial"/>
          <w:sz w:val="24"/>
          <w:szCs w:val="24"/>
        </w:rPr>
        <w:t xml:space="preserve">a </w:t>
      </w:r>
      <w:r w:rsidRPr="008A3205">
        <w:rPr>
          <w:rFonts w:ascii="Arial" w:hAnsi="Arial" w:cs="Arial"/>
          <w:sz w:val="24"/>
          <w:szCs w:val="24"/>
        </w:rPr>
        <w:t xml:space="preserve">lack of </w:t>
      </w:r>
      <w:r w:rsidR="005F5C3E">
        <w:rPr>
          <w:rFonts w:ascii="Arial" w:hAnsi="Arial" w:cs="Arial"/>
          <w:sz w:val="24"/>
          <w:szCs w:val="24"/>
        </w:rPr>
        <w:t>organizational</w:t>
      </w:r>
      <w:r w:rsidRPr="008A3205">
        <w:rPr>
          <w:rFonts w:ascii="Arial" w:hAnsi="Arial" w:cs="Arial"/>
          <w:sz w:val="24"/>
          <w:szCs w:val="24"/>
        </w:rPr>
        <w:t xml:space="preserve"> preference </w:t>
      </w:r>
      <w:r w:rsidR="00FF64CE">
        <w:rPr>
          <w:rFonts w:ascii="Arial" w:hAnsi="Arial" w:cs="Arial"/>
          <w:sz w:val="24"/>
          <w:szCs w:val="24"/>
        </w:rPr>
        <w:t>for</w:t>
      </w:r>
      <w:r w:rsidRPr="008A3205">
        <w:rPr>
          <w:rFonts w:ascii="Arial" w:hAnsi="Arial" w:cs="Arial"/>
          <w:sz w:val="24"/>
          <w:szCs w:val="24"/>
        </w:rPr>
        <w:t xml:space="preserve"> continual improvement (</w:t>
      </w:r>
      <w:r w:rsidRPr="008A3205">
        <w:rPr>
          <w:rFonts w:ascii="Arial" w:hAnsi="Arial" w:cs="Arial"/>
          <w:sz w:val="24"/>
          <w:szCs w:val="24"/>
          <w:shd w:val="clear" w:color="auto" w:fill="FFFFFF"/>
        </w:rPr>
        <w:t>Joshi, 2018, p. 18). Contrarily, restaurant management only requires the soft phase of TQM. TQM's soft phase focuses on customer satisfaction, training, customer focus, and quality policy (Al-</w:t>
      </w:r>
      <w:proofErr w:type="spellStart"/>
      <w:r w:rsidRPr="008A3205">
        <w:rPr>
          <w:rFonts w:ascii="Arial" w:hAnsi="Arial" w:cs="Arial"/>
          <w:sz w:val="24"/>
          <w:szCs w:val="24"/>
          <w:shd w:val="clear" w:color="auto" w:fill="FFFFFF"/>
        </w:rPr>
        <w:t>Ababneh</w:t>
      </w:r>
      <w:proofErr w:type="spellEnd"/>
      <w:r w:rsidRPr="008A3205">
        <w:rPr>
          <w:rFonts w:ascii="Arial" w:hAnsi="Arial" w:cs="Arial"/>
          <w:sz w:val="24"/>
          <w:szCs w:val="24"/>
          <w:shd w:val="clear" w:color="auto" w:fill="FFFFFF"/>
        </w:rPr>
        <w:t xml:space="preserve">, 2021, p. 26). Consequently, I never witnessed the </w:t>
      </w:r>
      <w:r w:rsidR="004E5255">
        <w:rPr>
          <w:rFonts w:ascii="Arial" w:hAnsi="Arial" w:cs="Arial"/>
          <w:sz w:val="24"/>
          <w:szCs w:val="24"/>
          <w:shd w:val="clear" w:color="auto" w:fill="FFFFFF"/>
        </w:rPr>
        <w:t>restaurant’s</w:t>
      </w:r>
      <w:r w:rsidRPr="008A3205">
        <w:rPr>
          <w:rFonts w:ascii="Arial" w:hAnsi="Arial" w:cs="Arial"/>
          <w:sz w:val="24"/>
          <w:szCs w:val="24"/>
          <w:shd w:val="clear" w:color="auto" w:fill="FFFFFF"/>
        </w:rPr>
        <w:t xml:space="preserve"> training </w:t>
      </w:r>
      <w:r w:rsidR="004E5255">
        <w:rPr>
          <w:rFonts w:ascii="Arial" w:hAnsi="Arial" w:cs="Arial"/>
          <w:sz w:val="24"/>
          <w:szCs w:val="24"/>
          <w:shd w:val="clear" w:color="auto" w:fill="FFFFFF"/>
        </w:rPr>
        <w:t>employee</w:t>
      </w:r>
      <w:r w:rsidRPr="008A3205">
        <w:rPr>
          <w:rFonts w:ascii="Arial" w:hAnsi="Arial" w:cs="Arial"/>
          <w:sz w:val="24"/>
          <w:szCs w:val="24"/>
          <w:shd w:val="clear" w:color="auto" w:fill="FFFFFF"/>
        </w:rPr>
        <w:t xml:space="preserve"> programs, which attributed to </w:t>
      </w:r>
      <w:r w:rsidR="00974775">
        <w:rPr>
          <w:rFonts w:ascii="Arial" w:hAnsi="Arial" w:cs="Arial"/>
          <w:sz w:val="24"/>
          <w:szCs w:val="24"/>
          <w:shd w:val="clear" w:color="auto" w:fill="FFFFFF"/>
        </w:rPr>
        <w:t>customer</w:t>
      </w:r>
      <w:r w:rsidRPr="008A3205">
        <w:rPr>
          <w:rFonts w:ascii="Arial" w:hAnsi="Arial" w:cs="Arial"/>
          <w:sz w:val="24"/>
          <w:szCs w:val="24"/>
          <w:shd w:val="clear" w:color="auto" w:fill="FFFFFF"/>
        </w:rPr>
        <w:t xml:space="preserve"> dissatisfaction. Therefore, restaurant industries need to adopt the soft phase of TQM, which expose restaurants to continual improvements concerning customer satisfaction, quality products, and service delivery.</w:t>
      </w:r>
    </w:p>
    <w:p w14:paraId="78C70E26" w14:textId="6C344CB2" w:rsidR="000778D7"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t xml:space="preserve">I observed the restaurant leadership approaches towards the management. I noticed that the management introduced a new type of food to the menu without consulting the staff </w:t>
      </w:r>
      <w:r w:rsidR="005F5C3E" w:rsidRPr="008A3205">
        <w:rPr>
          <w:rFonts w:ascii="Arial" w:hAnsi="Arial" w:cs="Arial"/>
          <w:sz w:val="24"/>
          <w:szCs w:val="24"/>
          <w:shd w:val="clear" w:color="auto" w:fill="FFFFFF"/>
        </w:rPr>
        <w:t>members</w:t>
      </w:r>
      <w:r w:rsidRPr="008A3205">
        <w:rPr>
          <w:rFonts w:ascii="Arial" w:hAnsi="Arial" w:cs="Arial"/>
          <w:sz w:val="24"/>
          <w:szCs w:val="24"/>
          <w:shd w:val="clear" w:color="auto" w:fill="FFFFFF"/>
        </w:rPr>
        <w:t xml:space="preserve"> like chefs and servers. For instance, one of the servers informed one of the customers' that the restaurant did not process the requested order. The management approach reflects on autocratic theory. Autocratic is a type of leadership that the management fails to recognize staff in the decision-making process (</w:t>
      </w: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2018, p. 6). The management develops organizational tasks and methods without employees' concerns. However, one can argue that the management had less time to discuss and introduce the new entrée of food type on the menu or that the restaurant management is the most knowledgeable member of the workforce (</w:t>
      </w: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xml:space="preserve">, 2018, p. 6). </w:t>
      </w:r>
    </w:p>
    <w:p w14:paraId="30533551" w14:textId="00A00BC1"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lastRenderedPageBreak/>
        <w:t>Consequently, research informs that autocratic decision-making is less creative toward organizational operations (</w:t>
      </w: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xml:space="preserve">, 2018, p. 5). As the restaurant's junior employee, I became afraid to share our grievances when the management introduced a new menu without consultation with us and became embarrassed customers when we misinformed them about the new entry, which was </w:t>
      </w:r>
      <w:r w:rsidR="00DB2938" w:rsidRPr="008A3205">
        <w:rPr>
          <w:rFonts w:ascii="Arial" w:hAnsi="Arial" w:cs="Arial"/>
          <w:sz w:val="24"/>
          <w:szCs w:val="24"/>
          <w:shd w:val="clear" w:color="auto" w:fill="FFFFFF"/>
        </w:rPr>
        <w:t>on</w:t>
      </w:r>
      <w:r w:rsidRPr="008A3205">
        <w:rPr>
          <w:rFonts w:ascii="Arial" w:hAnsi="Arial" w:cs="Arial"/>
          <w:sz w:val="24"/>
          <w:szCs w:val="24"/>
          <w:shd w:val="clear" w:color="auto" w:fill="FFFFFF"/>
        </w:rPr>
        <w:t xml:space="preserve"> the menu. Research attributes the use of transformational and transactional leadership styles in restaurants because it motivates employees to provide good service and attract more customers (</w:t>
      </w:r>
      <w:proofErr w:type="spellStart"/>
      <w:r w:rsidRPr="008A3205">
        <w:rPr>
          <w:rFonts w:ascii="Arial" w:hAnsi="Arial" w:cs="Arial"/>
          <w:sz w:val="24"/>
          <w:szCs w:val="24"/>
          <w:shd w:val="clear" w:color="auto" w:fill="FFFFFF"/>
        </w:rPr>
        <w:t>Hamonangan</w:t>
      </w:r>
      <w:proofErr w:type="spellEnd"/>
      <w:r w:rsidRPr="008A3205">
        <w:rPr>
          <w:rFonts w:ascii="Arial" w:hAnsi="Arial" w:cs="Arial"/>
          <w:sz w:val="24"/>
          <w:szCs w:val="24"/>
          <w:shd w:val="clear" w:color="auto" w:fill="FFFFFF"/>
        </w:rPr>
        <w:t xml:space="preserve"> et al., 2021, p. 107). In the case concerning new entrée to the menu, transformational leadership increases employees' level of identification of work and fosters employees' positive attitudes toward organizational contribution (</w:t>
      </w:r>
      <w:r w:rsidRPr="008A3205">
        <w:rPr>
          <w:rFonts w:ascii="Arial" w:hAnsi="Arial" w:cs="Arial"/>
          <w:sz w:val="24"/>
          <w:szCs w:val="24"/>
        </w:rPr>
        <w:t>Mostafa</w:t>
      </w:r>
      <w:r w:rsidRPr="008A3205">
        <w:rPr>
          <w:rFonts w:ascii="Arial" w:hAnsi="Arial" w:cs="Arial"/>
          <w:sz w:val="24"/>
          <w:szCs w:val="24"/>
          <w:shd w:val="clear" w:color="auto" w:fill="FFFFFF"/>
        </w:rPr>
        <w:t>, 2019, p. 6). Transformational leadership witnesses a higher frequency of information sharing, which enhances organizational cooperation and accountability (</w:t>
      </w:r>
      <w:r w:rsidRPr="008A3205">
        <w:rPr>
          <w:rFonts w:ascii="Arial" w:hAnsi="Arial" w:cs="Arial"/>
          <w:sz w:val="24"/>
          <w:szCs w:val="24"/>
        </w:rPr>
        <w:t>Mostafa</w:t>
      </w:r>
      <w:r w:rsidRPr="008A3205">
        <w:rPr>
          <w:rFonts w:ascii="Arial" w:hAnsi="Arial" w:cs="Arial"/>
          <w:sz w:val="24"/>
          <w:szCs w:val="24"/>
          <w:shd w:val="clear" w:color="auto" w:fill="FFFFFF"/>
        </w:rPr>
        <w:t xml:space="preserve">, 2019, p. 7). </w:t>
      </w:r>
      <w:proofErr w:type="gramStart"/>
      <w:r w:rsidRPr="008A3205">
        <w:rPr>
          <w:rFonts w:ascii="Arial" w:hAnsi="Arial" w:cs="Arial"/>
          <w:sz w:val="24"/>
          <w:szCs w:val="24"/>
          <w:shd w:val="clear" w:color="auto" w:fill="FFFFFF"/>
        </w:rPr>
        <w:t>I believe transactional leadership</w:t>
      </w:r>
      <w:proofErr w:type="gramEnd"/>
      <w:r w:rsidRPr="008A3205">
        <w:rPr>
          <w:rFonts w:ascii="Arial" w:hAnsi="Arial" w:cs="Arial"/>
          <w:sz w:val="24"/>
          <w:szCs w:val="24"/>
          <w:shd w:val="clear" w:color="auto" w:fill="FFFFFF"/>
        </w:rPr>
        <w:t xml:space="preserve"> motivates employees and can overcome challenges like negative work attitudes because of the inability to share grievances or consultation. For instance, restaurant managers must use management by exception in transactional leadership by intervening with employees to make corrections (p. 49). Therefore, </w:t>
      </w:r>
      <w:r w:rsidR="00DB2938" w:rsidRPr="008A3205">
        <w:rPr>
          <w:rFonts w:ascii="Arial" w:hAnsi="Arial" w:cs="Arial"/>
          <w:sz w:val="24"/>
          <w:szCs w:val="24"/>
          <w:shd w:val="clear" w:color="auto" w:fill="FFFFFF"/>
        </w:rPr>
        <w:t>transformational,</w:t>
      </w:r>
      <w:r w:rsidRPr="008A3205">
        <w:rPr>
          <w:rFonts w:ascii="Arial" w:hAnsi="Arial" w:cs="Arial"/>
          <w:sz w:val="24"/>
          <w:szCs w:val="24"/>
          <w:shd w:val="clear" w:color="auto" w:fill="FFFFFF"/>
        </w:rPr>
        <w:t xml:space="preserve"> and transactional leadership styles overcome restaurants' autocratic leadership challenges associated with poor management leading to misinformation.</w:t>
      </w:r>
    </w:p>
    <w:p w14:paraId="0331416A" w14:textId="77777777"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t xml:space="preserve">I seek to recommend that restaurants shift from full-service and adopt the quick-service approach. The quick-service approach saves time, provides cheap products, attracts more customers, and provides </w:t>
      </w:r>
      <w:proofErr w:type="gramStart"/>
      <w:r w:rsidRPr="008A3205">
        <w:rPr>
          <w:rFonts w:ascii="Arial" w:hAnsi="Arial" w:cs="Arial"/>
          <w:sz w:val="24"/>
          <w:szCs w:val="24"/>
          <w:shd w:val="clear" w:color="auto" w:fill="FFFFFF"/>
        </w:rPr>
        <w:t>many</w:t>
      </w:r>
      <w:proofErr w:type="gramEnd"/>
      <w:r w:rsidRPr="008A3205">
        <w:rPr>
          <w:rFonts w:ascii="Arial" w:hAnsi="Arial" w:cs="Arial"/>
          <w:sz w:val="24"/>
          <w:szCs w:val="24"/>
          <w:shd w:val="clear" w:color="auto" w:fill="FFFFFF"/>
        </w:rPr>
        <w:t xml:space="preserve"> choices. The study indicates that quick-service restaurants provide customers with efficiency and convenience by focusing on fair food prices, quick service, better location, and open for more hours (Chua et al., 2020, p. 7). However, one can argue that despite full-service restaurants offering costly services, the restaurant has well-trained staff to appeal to the customers' emotional value (Chua et al., 2020, p. 7). Consequently, one can introduce the target market concept to ascertain the adoption of the quick-service and the full-service restaurant. The quick-service target market involves customers aged 16-35, which include young people and experts that require consistent nourishment and testing new cooking styles (</w:t>
      </w:r>
      <w:proofErr w:type="spellStart"/>
      <w:r w:rsidRPr="008A3205">
        <w:rPr>
          <w:rFonts w:ascii="Arial" w:hAnsi="Arial" w:cs="Arial"/>
          <w:sz w:val="24"/>
          <w:szCs w:val="24"/>
          <w:shd w:val="clear" w:color="auto" w:fill="FFFFFF"/>
        </w:rPr>
        <w:t>Datrika</w:t>
      </w:r>
      <w:proofErr w:type="spellEnd"/>
      <w:r w:rsidRPr="008A3205">
        <w:rPr>
          <w:rFonts w:ascii="Arial" w:hAnsi="Arial" w:cs="Arial"/>
          <w:sz w:val="24"/>
          <w:szCs w:val="24"/>
          <w:shd w:val="clear" w:color="auto" w:fill="FFFFFF"/>
        </w:rPr>
        <w:t xml:space="preserve"> et al., 2021, p. 66). Additionally, the study positions quick service as one of the key drivers in food service market development with rising demand for food and casual dining (Deloitte, </w:t>
      </w:r>
      <w:r w:rsidRPr="008A3205">
        <w:rPr>
          <w:rFonts w:ascii="Arial" w:hAnsi="Arial" w:cs="Arial"/>
          <w:sz w:val="24"/>
          <w:szCs w:val="24"/>
          <w:shd w:val="clear" w:color="auto" w:fill="FFFFFF"/>
        </w:rPr>
        <w:lastRenderedPageBreak/>
        <w:t xml:space="preserve">2020). Furthermore, quick-service food delivery has recorded double-digit growth for the past five years (Deloitte, 2020). Therefore, the quick-service and the full-service restaurant must embrace the home delivery quality provision business model to record business success. Working in a fast-food restaurant, I have witnessed a higher percentage of customers' preferences towards food delivery. </w:t>
      </w:r>
      <w:proofErr w:type="gramStart"/>
      <w:r w:rsidRPr="008A3205">
        <w:rPr>
          <w:rFonts w:ascii="Arial" w:hAnsi="Arial" w:cs="Arial"/>
          <w:sz w:val="24"/>
          <w:szCs w:val="24"/>
          <w:shd w:val="clear" w:color="auto" w:fill="FFFFFF"/>
        </w:rPr>
        <w:t>Most of</w:t>
      </w:r>
      <w:proofErr w:type="gramEnd"/>
      <w:r w:rsidRPr="008A3205">
        <w:rPr>
          <w:rFonts w:ascii="Arial" w:hAnsi="Arial" w:cs="Arial"/>
          <w:sz w:val="24"/>
          <w:szCs w:val="24"/>
          <w:shd w:val="clear" w:color="auto" w:fill="FFFFFF"/>
        </w:rPr>
        <w:t xml:space="preserve"> the customers requested food deliveries at their homes or offices. McKinsey &amp; Company (2021) informs that the size of the restaurant food delivery market increased by two folds in the United States and fourfold in Australia. Consequently, quick-</w:t>
      </w:r>
      <w:proofErr w:type="gramStart"/>
      <w:r w:rsidRPr="008A3205">
        <w:rPr>
          <w:rFonts w:ascii="Arial" w:hAnsi="Arial" w:cs="Arial"/>
          <w:sz w:val="24"/>
          <w:szCs w:val="24"/>
          <w:shd w:val="clear" w:color="auto" w:fill="FFFFFF"/>
        </w:rPr>
        <w:t>service</w:t>
      </w:r>
      <w:proofErr w:type="gramEnd"/>
      <w:r w:rsidRPr="008A3205">
        <w:rPr>
          <w:rFonts w:ascii="Arial" w:hAnsi="Arial" w:cs="Arial"/>
          <w:sz w:val="24"/>
          <w:szCs w:val="24"/>
          <w:shd w:val="clear" w:color="auto" w:fill="FFFFFF"/>
        </w:rPr>
        <w:t xml:space="preserve"> and full-service restaurants must tap into new marketing opportunities that benefit the company by attracting more customers.    </w:t>
      </w:r>
    </w:p>
    <w:p w14:paraId="13A742F2" w14:textId="77777777" w:rsidR="001D000E" w:rsidRPr="008A3205" w:rsidRDefault="001D000E" w:rsidP="001D000E">
      <w:pPr>
        <w:rPr>
          <w:rFonts w:ascii="Arial" w:hAnsi="Arial" w:cs="Arial"/>
          <w:sz w:val="24"/>
          <w:szCs w:val="24"/>
          <w:shd w:val="clear" w:color="auto" w:fill="FFFFFF"/>
        </w:rPr>
      </w:pPr>
    </w:p>
    <w:p w14:paraId="12C003AD" w14:textId="77777777"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t xml:space="preserve">   </w:t>
      </w:r>
    </w:p>
    <w:p w14:paraId="6B59D272" w14:textId="77777777" w:rsidR="001D000E" w:rsidRPr="008A3205" w:rsidRDefault="001D000E" w:rsidP="001D000E">
      <w:pPr>
        <w:rPr>
          <w:rFonts w:ascii="Arial" w:hAnsi="Arial" w:cs="Arial"/>
          <w:sz w:val="24"/>
          <w:szCs w:val="24"/>
        </w:rPr>
      </w:pPr>
      <w:r w:rsidRPr="008A3205">
        <w:rPr>
          <w:rFonts w:ascii="Arial" w:hAnsi="Arial" w:cs="Arial"/>
          <w:sz w:val="24"/>
          <w:szCs w:val="24"/>
          <w:shd w:val="clear" w:color="auto" w:fill="FFFFFF"/>
        </w:rPr>
        <w:t xml:space="preserve">  </w:t>
      </w:r>
      <w:r w:rsidRPr="008A3205">
        <w:rPr>
          <w:rFonts w:ascii="Arial" w:hAnsi="Arial" w:cs="Arial"/>
          <w:sz w:val="24"/>
          <w:szCs w:val="24"/>
        </w:rPr>
        <w:t xml:space="preserve">  </w:t>
      </w:r>
    </w:p>
    <w:p w14:paraId="6FEB4E01" w14:textId="77777777" w:rsidR="001D000E" w:rsidRPr="008A3205" w:rsidRDefault="001D000E" w:rsidP="001D000E">
      <w:pPr>
        <w:rPr>
          <w:rFonts w:ascii="Arial" w:hAnsi="Arial" w:cs="Arial"/>
          <w:sz w:val="24"/>
          <w:szCs w:val="24"/>
        </w:rPr>
      </w:pPr>
      <w:r w:rsidRPr="008A3205">
        <w:rPr>
          <w:rFonts w:ascii="Arial" w:hAnsi="Arial" w:cs="Arial"/>
          <w:sz w:val="24"/>
          <w:szCs w:val="24"/>
        </w:rPr>
        <w:tab/>
        <w:t xml:space="preserve">     </w:t>
      </w:r>
    </w:p>
    <w:p w14:paraId="311C8077" w14:textId="77777777" w:rsidR="001D000E" w:rsidRPr="008A3205" w:rsidRDefault="001D000E" w:rsidP="001D000E">
      <w:pPr>
        <w:pStyle w:val="Heading1"/>
        <w:spacing w:before="0"/>
        <w:jc w:val="center"/>
        <w:rPr>
          <w:rFonts w:ascii="Arial" w:hAnsi="Arial" w:cs="Arial"/>
          <w:color w:val="auto"/>
          <w:sz w:val="24"/>
          <w:szCs w:val="24"/>
        </w:rPr>
      </w:pPr>
      <w:bookmarkStart w:id="1" w:name="_Toc92161536"/>
    </w:p>
    <w:p w14:paraId="2D7911B3" w14:textId="77777777" w:rsidR="001D000E" w:rsidRPr="008A3205" w:rsidRDefault="001D000E" w:rsidP="001D000E">
      <w:pPr>
        <w:pStyle w:val="Heading1"/>
        <w:spacing w:before="0"/>
        <w:jc w:val="center"/>
        <w:rPr>
          <w:rFonts w:ascii="Arial" w:hAnsi="Arial" w:cs="Arial"/>
          <w:color w:val="auto"/>
          <w:sz w:val="24"/>
          <w:szCs w:val="24"/>
        </w:rPr>
      </w:pPr>
    </w:p>
    <w:p w14:paraId="18A8C9E9" w14:textId="77777777" w:rsidR="001D000E" w:rsidRPr="008A3205" w:rsidRDefault="001D000E" w:rsidP="001D000E">
      <w:pPr>
        <w:pStyle w:val="Heading1"/>
        <w:spacing w:before="0"/>
        <w:jc w:val="center"/>
        <w:rPr>
          <w:rFonts w:ascii="Arial" w:hAnsi="Arial" w:cs="Arial"/>
          <w:color w:val="auto"/>
          <w:sz w:val="24"/>
          <w:szCs w:val="24"/>
        </w:rPr>
      </w:pPr>
    </w:p>
    <w:p w14:paraId="1E56A6DE" w14:textId="77777777" w:rsidR="001D000E" w:rsidRPr="008A3205" w:rsidRDefault="001D000E" w:rsidP="001D000E">
      <w:pPr>
        <w:pStyle w:val="Heading1"/>
        <w:spacing w:before="0"/>
        <w:jc w:val="center"/>
        <w:rPr>
          <w:rFonts w:ascii="Arial" w:hAnsi="Arial" w:cs="Arial"/>
          <w:color w:val="auto"/>
          <w:sz w:val="24"/>
          <w:szCs w:val="24"/>
        </w:rPr>
      </w:pPr>
    </w:p>
    <w:p w14:paraId="7D4C6777" w14:textId="77777777" w:rsidR="001D000E" w:rsidRPr="008A3205" w:rsidRDefault="001D000E" w:rsidP="001D000E">
      <w:pPr>
        <w:pStyle w:val="Heading1"/>
        <w:spacing w:before="0"/>
        <w:jc w:val="center"/>
        <w:rPr>
          <w:rFonts w:ascii="Arial" w:hAnsi="Arial" w:cs="Arial"/>
          <w:color w:val="auto"/>
          <w:sz w:val="24"/>
          <w:szCs w:val="24"/>
        </w:rPr>
      </w:pPr>
    </w:p>
    <w:p w14:paraId="772A31BE" w14:textId="77777777" w:rsidR="001D000E" w:rsidRPr="008A3205" w:rsidRDefault="001D000E" w:rsidP="001D000E">
      <w:pPr>
        <w:pStyle w:val="Heading1"/>
        <w:spacing w:before="0"/>
        <w:jc w:val="center"/>
        <w:rPr>
          <w:rFonts w:ascii="Arial" w:hAnsi="Arial" w:cs="Arial"/>
          <w:color w:val="auto"/>
          <w:sz w:val="24"/>
          <w:szCs w:val="24"/>
        </w:rPr>
      </w:pPr>
    </w:p>
    <w:p w14:paraId="28C34D6C" w14:textId="77777777" w:rsidR="001D000E" w:rsidRPr="008A3205" w:rsidRDefault="001D000E" w:rsidP="001D000E">
      <w:pPr>
        <w:pStyle w:val="Heading1"/>
        <w:spacing w:before="0"/>
        <w:jc w:val="center"/>
        <w:rPr>
          <w:rFonts w:ascii="Arial" w:hAnsi="Arial" w:cs="Arial"/>
          <w:color w:val="auto"/>
          <w:sz w:val="24"/>
          <w:szCs w:val="24"/>
        </w:rPr>
      </w:pPr>
    </w:p>
    <w:p w14:paraId="677DE466" w14:textId="77777777" w:rsidR="001D000E" w:rsidRPr="008A3205" w:rsidRDefault="001D000E" w:rsidP="001D000E">
      <w:pPr>
        <w:pStyle w:val="Heading1"/>
        <w:spacing w:before="0"/>
        <w:jc w:val="center"/>
        <w:rPr>
          <w:rFonts w:ascii="Arial" w:hAnsi="Arial" w:cs="Arial"/>
          <w:color w:val="auto"/>
          <w:sz w:val="24"/>
          <w:szCs w:val="24"/>
        </w:rPr>
      </w:pPr>
    </w:p>
    <w:p w14:paraId="63B017C9" w14:textId="77777777" w:rsidR="001D000E" w:rsidRPr="008A3205" w:rsidRDefault="001D000E" w:rsidP="001D000E">
      <w:pPr>
        <w:pStyle w:val="Heading1"/>
        <w:spacing w:before="0"/>
        <w:jc w:val="center"/>
        <w:rPr>
          <w:rFonts w:ascii="Arial" w:hAnsi="Arial" w:cs="Arial"/>
          <w:color w:val="auto"/>
          <w:sz w:val="24"/>
          <w:szCs w:val="24"/>
        </w:rPr>
      </w:pPr>
    </w:p>
    <w:p w14:paraId="758D6816" w14:textId="77777777" w:rsidR="001D000E" w:rsidRPr="008A3205" w:rsidRDefault="001D000E" w:rsidP="001D000E">
      <w:pPr>
        <w:pStyle w:val="Heading1"/>
        <w:spacing w:before="0"/>
        <w:jc w:val="center"/>
        <w:rPr>
          <w:rFonts w:ascii="Arial" w:eastAsiaTheme="minorHAnsi" w:hAnsi="Arial" w:cs="Arial"/>
          <w:color w:val="auto"/>
          <w:sz w:val="24"/>
          <w:szCs w:val="24"/>
        </w:rPr>
      </w:pPr>
    </w:p>
    <w:p w14:paraId="4CDF0DAD" w14:textId="77777777" w:rsidR="001D000E" w:rsidRPr="008A3205" w:rsidRDefault="001D000E" w:rsidP="001D000E">
      <w:pPr>
        <w:rPr>
          <w:rFonts w:ascii="Arial" w:hAnsi="Arial" w:cs="Arial"/>
          <w:sz w:val="24"/>
          <w:szCs w:val="24"/>
        </w:rPr>
      </w:pPr>
    </w:p>
    <w:p w14:paraId="241C7F17" w14:textId="77777777" w:rsidR="001D000E" w:rsidRPr="008A3205" w:rsidRDefault="001D000E" w:rsidP="001D000E">
      <w:pPr>
        <w:pStyle w:val="Heading1"/>
        <w:spacing w:before="0"/>
        <w:rPr>
          <w:rFonts w:ascii="Arial" w:hAnsi="Arial" w:cs="Arial"/>
          <w:color w:val="auto"/>
          <w:sz w:val="24"/>
          <w:szCs w:val="24"/>
        </w:rPr>
      </w:pPr>
    </w:p>
    <w:p w14:paraId="179DED29" w14:textId="77777777" w:rsidR="00B11C4D" w:rsidRDefault="00B11C4D" w:rsidP="00C75E83">
      <w:pPr>
        <w:pStyle w:val="Heading1"/>
        <w:spacing w:before="0"/>
        <w:ind w:firstLine="0"/>
        <w:rPr>
          <w:rFonts w:ascii="Arial" w:hAnsi="Arial" w:cs="Arial"/>
          <w:color w:val="auto"/>
          <w:sz w:val="24"/>
          <w:szCs w:val="24"/>
        </w:rPr>
      </w:pPr>
    </w:p>
    <w:p w14:paraId="237C3C61" w14:textId="77777777" w:rsidR="00C75E83" w:rsidRPr="00C75E83" w:rsidRDefault="00C75E83" w:rsidP="00C75E83"/>
    <w:bookmarkEnd w:id="0"/>
    <w:bookmarkEnd w:id="1"/>
    <w:p w14:paraId="62A73F43" w14:textId="77777777" w:rsidR="0095444E" w:rsidRDefault="0095444E" w:rsidP="0095444E"/>
    <w:p w14:paraId="4B8DF929" w14:textId="77777777" w:rsidR="0095444E" w:rsidRDefault="0095444E" w:rsidP="0095444E"/>
    <w:p w14:paraId="3B236A7F" w14:textId="77777777" w:rsidR="0095444E" w:rsidRDefault="0095444E" w:rsidP="0095444E">
      <w:pPr>
        <w:pStyle w:val="Heading1"/>
        <w:spacing w:before="0"/>
        <w:jc w:val="center"/>
        <w:rPr>
          <w:rFonts w:ascii="Arial" w:hAnsi="Arial" w:cs="Arial"/>
          <w:b/>
          <w:bCs/>
          <w:color w:val="auto"/>
          <w:sz w:val="24"/>
          <w:szCs w:val="24"/>
        </w:rPr>
      </w:pPr>
      <w:r w:rsidRPr="00C75E83">
        <w:rPr>
          <w:rFonts w:ascii="Arial" w:hAnsi="Arial" w:cs="Arial"/>
          <w:b/>
          <w:bCs/>
          <w:color w:val="auto"/>
          <w:sz w:val="24"/>
          <w:szCs w:val="24"/>
        </w:rPr>
        <w:lastRenderedPageBreak/>
        <w:t>References List</w:t>
      </w:r>
    </w:p>
    <w:p w14:paraId="30667E8F" w14:textId="77777777" w:rsidR="0095444E" w:rsidRPr="0095444E" w:rsidRDefault="0095444E" w:rsidP="0095444E"/>
    <w:p w14:paraId="322AB87E" w14:textId="69C90C2C" w:rsidR="001D000E" w:rsidRPr="008A3205" w:rsidRDefault="001D000E" w:rsidP="001D000E">
      <w:pPr>
        <w:ind w:left="720" w:hanging="720"/>
        <w:rPr>
          <w:rFonts w:ascii="Arial" w:hAnsi="Arial" w:cs="Arial"/>
          <w:sz w:val="24"/>
          <w:szCs w:val="24"/>
        </w:rPr>
      </w:pPr>
      <w:r w:rsidRPr="008A3205">
        <w:rPr>
          <w:rFonts w:ascii="Arial" w:hAnsi="Arial" w:cs="Arial"/>
          <w:sz w:val="24"/>
          <w:szCs w:val="24"/>
          <w:shd w:val="clear" w:color="auto" w:fill="FFFFFF"/>
        </w:rPr>
        <w:t>Al-</w:t>
      </w:r>
      <w:proofErr w:type="spellStart"/>
      <w:r w:rsidRPr="008A3205">
        <w:rPr>
          <w:rFonts w:ascii="Arial" w:hAnsi="Arial" w:cs="Arial"/>
          <w:sz w:val="24"/>
          <w:szCs w:val="24"/>
          <w:shd w:val="clear" w:color="auto" w:fill="FFFFFF"/>
        </w:rPr>
        <w:t>Ababneh</w:t>
      </w:r>
      <w:proofErr w:type="spellEnd"/>
      <w:r w:rsidRPr="008A3205">
        <w:rPr>
          <w:rFonts w:ascii="Arial" w:hAnsi="Arial" w:cs="Arial"/>
          <w:sz w:val="24"/>
          <w:szCs w:val="24"/>
          <w:shd w:val="clear" w:color="auto" w:fill="FFFFFF"/>
        </w:rPr>
        <w:t>, M.M. (2021</w:t>
      </w:r>
      <w:r w:rsidR="00CB124B" w:rsidRPr="008A3205">
        <w:rPr>
          <w:rFonts w:ascii="Arial" w:hAnsi="Arial" w:cs="Arial"/>
          <w:sz w:val="24"/>
          <w:szCs w:val="24"/>
          <w:shd w:val="clear" w:color="auto" w:fill="FFFFFF"/>
        </w:rPr>
        <w:t>). The</w:t>
      </w:r>
      <w:r w:rsidRPr="008A3205">
        <w:rPr>
          <w:rFonts w:ascii="Arial" w:hAnsi="Arial" w:cs="Arial"/>
          <w:sz w:val="24"/>
          <w:szCs w:val="24"/>
          <w:shd w:val="clear" w:color="auto" w:fill="FFFFFF"/>
        </w:rPr>
        <w:t xml:space="preserve"> implementation of </w:t>
      </w:r>
      <w:r w:rsidR="006F031C">
        <w:rPr>
          <w:rFonts w:ascii="Arial" w:hAnsi="Arial" w:cs="Arial"/>
          <w:sz w:val="24"/>
          <w:szCs w:val="24"/>
          <w:shd w:val="clear" w:color="auto" w:fill="FFFFFF"/>
        </w:rPr>
        <w:t>t</w:t>
      </w:r>
      <w:r w:rsidRPr="008A3205">
        <w:rPr>
          <w:rFonts w:ascii="Arial" w:hAnsi="Arial" w:cs="Arial"/>
          <w:sz w:val="24"/>
          <w:szCs w:val="24"/>
          <w:shd w:val="clear" w:color="auto" w:fill="FFFFFF"/>
        </w:rPr>
        <w:t xml:space="preserve">otal </w:t>
      </w:r>
      <w:r w:rsidR="006F031C">
        <w:rPr>
          <w:rFonts w:ascii="Arial" w:hAnsi="Arial" w:cs="Arial"/>
          <w:sz w:val="24"/>
          <w:szCs w:val="24"/>
          <w:shd w:val="clear" w:color="auto" w:fill="FFFFFF"/>
        </w:rPr>
        <w:t>q</w:t>
      </w:r>
      <w:r w:rsidRPr="008A3205">
        <w:rPr>
          <w:rFonts w:ascii="Arial" w:hAnsi="Arial" w:cs="Arial"/>
          <w:sz w:val="24"/>
          <w:szCs w:val="24"/>
          <w:shd w:val="clear" w:color="auto" w:fill="FFFFFF"/>
        </w:rPr>
        <w:t xml:space="preserve">uality </w:t>
      </w:r>
      <w:r w:rsidR="00037B33">
        <w:rPr>
          <w:rFonts w:ascii="Arial" w:hAnsi="Arial" w:cs="Arial"/>
          <w:sz w:val="24"/>
          <w:szCs w:val="24"/>
          <w:shd w:val="clear" w:color="auto" w:fill="FFFFFF"/>
        </w:rPr>
        <w:t>m</w:t>
      </w:r>
      <w:r w:rsidRPr="008A3205">
        <w:rPr>
          <w:rFonts w:ascii="Arial" w:hAnsi="Arial" w:cs="Arial"/>
          <w:sz w:val="24"/>
          <w:szCs w:val="24"/>
          <w:shd w:val="clear" w:color="auto" w:fill="FFFFFF"/>
        </w:rPr>
        <w:t>anagement</w:t>
      </w:r>
      <w:r w:rsidR="00E66EFD">
        <w:rPr>
          <w:rFonts w:ascii="Arial" w:hAnsi="Arial" w:cs="Arial"/>
          <w:sz w:val="24"/>
          <w:szCs w:val="24"/>
          <w:shd w:val="clear" w:color="auto" w:fill="FFFFFF"/>
        </w:rPr>
        <w:t xml:space="preserve"> </w:t>
      </w:r>
      <w:r w:rsidRPr="008A3205">
        <w:rPr>
          <w:rFonts w:ascii="Arial" w:hAnsi="Arial" w:cs="Arial"/>
          <w:sz w:val="24"/>
          <w:szCs w:val="24"/>
          <w:shd w:val="clear" w:color="auto" w:fill="FFFFFF"/>
        </w:rPr>
        <w:t xml:space="preserve">in the hotel industry, </w:t>
      </w:r>
      <w:r w:rsidRPr="008A3205">
        <w:rPr>
          <w:rFonts w:ascii="Arial" w:hAnsi="Arial" w:cs="Arial"/>
          <w:i/>
          <w:iCs/>
          <w:sz w:val="24"/>
          <w:szCs w:val="24"/>
          <w:shd w:val="clear" w:color="auto" w:fill="FFFFFF"/>
        </w:rPr>
        <w:t>International Journal of Tourism and Hospitality</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1</w:t>
      </w:r>
      <w:r w:rsidRPr="008A3205">
        <w:rPr>
          <w:rFonts w:ascii="Arial" w:hAnsi="Arial" w:cs="Arial"/>
          <w:sz w:val="24"/>
          <w:szCs w:val="24"/>
          <w:shd w:val="clear" w:color="auto" w:fill="FFFFFF"/>
        </w:rPr>
        <w:t>(1), pp. 25-34. DOI:</w:t>
      </w:r>
      <w:hyperlink r:id="rId6" w:tgtFrame="_blank" w:history="1">
        <w:r w:rsidRPr="008A3205">
          <w:rPr>
            <w:rStyle w:val="Hyperlink"/>
            <w:rFonts w:ascii="Arial" w:hAnsi="Arial" w:cs="Arial"/>
            <w:sz w:val="24"/>
            <w:szCs w:val="24"/>
            <w:bdr w:val="none" w:sz="0" w:space="0" w:color="auto" w:frame="1"/>
            <w:shd w:val="clear" w:color="auto" w:fill="FFFFFF"/>
          </w:rPr>
          <w:t>10.51483/IJTH.1.1.2021.25-34</w:t>
        </w:r>
      </w:hyperlink>
    </w:p>
    <w:p w14:paraId="2BF48261" w14:textId="77F4BA05" w:rsidR="001D000E" w:rsidRPr="008A3205" w:rsidRDefault="001D000E" w:rsidP="001D000E">
      <w:pPr>
        <w:ind w:left="720" w:hanging="720"/>
        <w:rPr>
          <w:rFonts w:ascii="Arial" w:hAnsi="Arial" w:cs="Arial"/>
          <w:sz w:val="24"/>
          <w:szCs w:val="24"/>
        </w:rPr>
      </w:pPr>
      <w:r w:rsidRPr="008A3205">
        <w:rPr>
          <w:rFonts w:ascii="Arial" w:hAnsi="Arial" w:cs="Arial"/>
          <w:sz w:val="24"/>
          <w:szCs w:val="24"/>
        </w:rPr>
        <w:t>Chua, L. B., Karim, S., Lee, S., &amp; Han, H. (2020)</w:t>
      </w:r>
      <w:r w:rsidR="00CB124B">
        <w:rPr>
          <w:rFonts w:ascii="Arial" w:hAnsi="Arial" w:cs="Arial"/>
          <w:sz w:val="24"/>
          <w:szCs w:val="24"/>
        </w:rPr>
        <w:t xml:space="preserve">. </w:t>
      </w:r>
      <w:r w:rsidRPr="008A3205">
        <w:rPr>
          <w:rFonts w:ascii="Arial" w:hAnsi="Arial" w:cs="Arial"/>
          <w:sz w:val="24"/>
          <w:szCs w:val="24"/>
        </w:rPr>
        <w:t xml:space="preserve">Customer </w:t>
      </w:r>
      <w:r w:rsidR="00037B33">
        <w:rPr>
          <w:rFonts w:ascii="Arial" w:hAnsi="Arial" w:cs="Arial"/>
          <w:sz w:val="24"/>
          <w:szCs w:val="24"/>
        </w:rPr>
        <w:t>r</w:t>
      </w:r>
      <w:r w:rsidRPr="008A3205">
        <w:rPr>
          <w:rFonts w:ascii="Arial" w:hAnsi="Arial" w:cs="Arial"/>
          <w:sz w:val="24"/>
          <w:szCs w:val="24"/>
        </w:rPr>
        <w:t xml:space="preserve">estaurant </w:t>
      </w:r>
      <w:r w:rsidR="00037B33">
        <w:rPr>
          <w:rFonts w:ascii="Arial" w:hAnsi="Arial" w:cs="Arial"/>
          <w:sz w:val="24"/>
          <w:szCs w:val="24"/>
        </w:rPr>
        <w:t>c</w:t>
      </w:r>
      <w:r w:rsidRPr="008A3205">
        <w:rPr>
          <w:rFonts w:ascii="Arial" w:hAnsi="Arial" w:cs="Arial"/>
          <w:sz w:val="24"/>
          <w:szCs w:val="24"/>
        </w:rPr>
        <w:t xml:space="preserve">hoice: An </w:t>
      </w:r>
      <w:r w:rsidR="00C642CD">
        <w:rPr>
          <w:rFonts w:ascii="Arial" w:hAnsi="Arial" w:cs="Arial"/>
          <w:sz w:val="24"/>
          <w:szCs w:val="24"/>
        </w:rPr>
        <w:t>e</w:t>
      </w:r>
      <w:r w:rsidRPr="008A3205">
        <w:rPr>
          <w:rFonts w:ascii="Arial" w:hAnsi="Arial" w:cs="Arial"/>
          <w:sz w:val="24"/>
          <w:szCs w:val="24"/>
        </w:rPr>
        <w:t xml:space="preserve">mpirical </w:t>
      </w:r>
      <w:r w:rsidR="00C642CD">
        <w:rPr>
          <w:rFonts w:ascii="Arial" w:hAnsi="Arial" w:cs="Arial"/>
          <w:sz w:val="24"/>
          <w:szCs w:val="24"/>
        </w:rPr>
        <w:t>a</w:t>
      </w:r>
      <w:r w:rsidRPr="008A3205">
        <w:rPr>
          <w:rFonts w:ascii="Arial" w:hAnsi="Arial" w:cs="Arial"/>
          <w:sz w:val="24"/>
          <w:szCs w:val="24"/>
        </w:rPr>
        <w:t xml:space="preserve">nalysis of </w:t>
      </w:r>
      <w:r w:rsidR="00C642CD">
        <w:rPr>
          <w:rFonts w:ascii="Arial" w:hAnsi="Arial" w:cs="Arial"/>
          <w:sz w:val="24"/>
          <w:szCs w:val="24"/>
        </w:rPr>
        <w:t>r</w:t>
      </w:r>
      <w:r w:rsidRPr="008A3205">
        <w:rPr>
          <w:rFonts w:ascii="Arial" w:hAnsi="Arial" w:cs="Arial"/>
          <w:sz w:val="24"/>
          <w:szCs w:val="24"/>
        </w:rPr>
        <w:t xml:space="preserve">estaurant </w:t>
      </w:r>
      <w:r w:rsidR="00C642CD">
        <w:rPr>
          <w:rFonts w:ascii="Arial" w:hAnsi="Arial" w:cs="Arial"/>
          <w:sz w:val="24"/>
          <w:szCs w:val="24"/>
        </w:rPr>
        <w:t>t</w:t>
      </w:r>
      <w:r w:rsidRPr="008A3205">
        <w:rPr>
          <w:rFonts w:ascii="Arial" w:hAnsi="Arial" w:cs="Arial"/>
          <w:sz w:val="24"/>
          <w:szCs w:val="24"/>
        </w:rPr>
        <w:t xml:space="preserve">ypes and </w:t>
      </w:r>
      <w:r w:rsidR="00C642CD">
        <w:rPr>
          <w:rFonts w:ascii="Arial" w:hAnsi="Arial" w:cs="Arial"/>
          <w:sz w:val="24"/>
          <w:szCs w:val="24"/>
        </w:rPr>
        <w:t>e</w:t>
      </w:r>
      <w:r w:rsidRPr="008A3205">
        <w:rPr>
          <w:rFonts w:ascii="Arial" w:hAnsi="Arial" w:cs="Arial"/>
          <w:sz w:val="24"/>
          <w:szCs w:val="24"/>
        </w:rPr>
        <w:t>ating-</w:t>
      </w:r>
      <w:r w:rsidR="00C642CD">
        <w:rPr>
          <w:rFonts w:ascii="Arial" w:hAnsi="Arial" w:cs="Arial"/>
          <w:sz w:val="24"/>
          <w:szCs w:val="24"/>
        </w:rPr>
        <w:t>o</w:t>
      </w:r>
      <w:r w:rsidRPr="008A3205">
        <w:rPr>
          <w:rFonts w:ascii="Arial" w:hAnsi="Arial" w:cs="Arial"/>
          <w:sz w:val="24"/>
          <w:szCs w:val="24"/>
        </w:rPr>
        <w:t xml:space="preserve">ut </w:t>
      </w:r>
      <w:r w:rsidR="00C642CD">
        <w:rPr>
          <w:rFonts w:ascii="Arial" w:hAnsi="Arial" w:cs="Arial"/>
          <w:sz w:val="24"/>
          <w:szCs w:val="24"/>
        </w:rPr>
        <w:t>o</w:t>
      </w:r>
      <w:r w:rsidRPr="008A3205">
        <w:rPr>
          <w:rFonts w:ascii="Arial" w:hAnsi="Arial" w:cs="Arial"/>
          <w:sz w:val="24"/>
          <w:szCs w:val="24"/>
        </w:rPr>
        <w:t xml:space="preserve">ccasion, </w:t>
      </w:r>
      <w:r w:rsidRPr="008A3205">
        <w:rPr>
          <w:rFonts w:ascii="Arial" w:hAnsi="Arial" w:cs="Arial"/>
          <w:i/>
          <w:sz w:val="24"/>
          <w:szCs w:val="24"/>
        </w:rPr>
        <w:t>International Journal of Environmental Research and Public Health</w:t>
      </w:r>
      <w:r w:rsidRPr="008A3205">
        <w:rPr>
          <w:rFonts w:ascii="Arial" w:hAnsi="Arial" w:cs="Arial"/>
          <w:sz w:val="24"/>
          <w:szCs w:val="24"/>
        </w:rPr>
        <w:t xml:space="preserve">, 17(6276), pp. 2-23. </w:t>
      </w:r>
    </w:p>
    <w:p w14:paraId="5E3A9D73" w14:textId="77777777" w:rsidR="001D000E" w:rsidRPr="008A3205" w:rsidRDefault="001D000E" w:rsidP="001D000E">
      <w:pPr>
        <w:ind w:left="720" w:hanging="720"/>
        <w:rPr>
          <w:rFonts w:ascii="Arial" w:hAnsi="Arial" w:cs="Arial"/>
          <w:sz w:val="24"/>
          <w:szCs w:val="24"/>
          <w:shd w:val="clear" w:color="auto" w:fill="FFFFFF"/>
        </w:rPr>
      </w:pP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xml:space="preserve">, J. (2018). </w:t>
      </w:r>
      <w:r w:rsidRPr="008A3205">
        <w:rPr>
          <w:rFonts w:ascii="Arial" w:hAnsi="Arial" w:cs="Arial"/>
          <w:i/>
          <w:sz w:val="24"/>
          <w:szCs w:val="24"/>
          <w:shd w:val="clear" w:color="auto" w:fill="FFFFFF"/>
        </w:rPr>
        <w:t>Autocratic leadership style: Obstacle to success in academic libraries.</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Library Philosophy and Practice</w:t>
      </w:r>
      <w:r w:rsidRPr="008A3205">
        <w:rPr>
          <w:rFonts w:ascii="Arial" w:hAnsi="Arial" w:cs="Arial"/>
          <w:sz w:val="24"/>
          <w:szCs w:val="24"/>
          <w:shd w:val="clear" w:color="auto" w:fill="FFFFFF"/>
        </w:rPr>
        <w:t xml:space="preserve">. Unpublished Thesis. University of Nebraska-Lincoln. </w:t>
      </w:r>
    </w:p>
    <w:p w14:paraId="09B7394B" w14:textId="6B50F011" w:rsidR="001D000E" w:rsidRPr="008A3205" w:rsidRDefault="001D000E" w:rsidP="001D000E">
      <w:pPr>
        <w:ind w:left="720" w:hanging="720"/>
        <w:rPr>
          <w:rFonts w:ascii="Arial" w:hAnsi="Arial" w:cs="Arial"/>
          <w:sz w:val="24"/>
          <w:szCs w:val="24"/>
        </w:rPr>
      </w:pPr>
      <w:proofErr w:type="spellStart"/>
      <w:r w:rsidRPr="008A3205">
        <w:rPr>
          <w:rFonts w:ascii="Arial" w:hAnsi="Arial" w:cs="Arial"/>
          <w:sz w:val="24"/>
          <w:szCs w:val="24"/>
          <w:shd w:val="clear" w:color="auto" w:fill="FFFFFF"/>
        </w:rPr>
        <w:t>Datrika</w:t>
      </w:r>
      <w:proofErr w:type="spellEnd"/>
      <w:r w:rsidRPr="008A3205">
        <w:rPr>
          <w:rFonts w:ascii="Arial" w:hAnsi="Arial" w:cs="Arial"/>
          <w:sz w:val="24"/>
          <w:szCs w:val="24"/>
          <w:shd w:val="clear" w:color="auto" w:fill="FFFFFF"/>
        </w:rPr>
        <w:t xml:space="preserve">, R. M. V., </w:t>
      </w:r>
      <w:proofErr w:type="spellStart"/>
      <w:r w:rsidR="008A7239" w:rsidRPr="008A3205">
        <w:rPr>
          <w:rFonts w:ascii="Arial" w:hAnsi="Arial" w:cs="Arial"/>
          <w:sz w:val="24"/>
          <w:szCs w:val="24"/>
          <w:shd w:val="clear" w:color="auto" w:fill="FFFFFF"/>
        </w:rPr>
        <w:t>Kalgi</w:t>
      </w:r>
      <w:proofErr w:type="spellEnd"/>
      <w:r w:rsidR="008A7239" w:rsidRPr="008A3205">
        <w:rPr>
          <w:rFonts w:ascii="Arial" w:hAnsi="Arial" w:cs="Arial"/>
          <w:sz w:val="24"/>
          <w:szCs w:val="24"/>
          <w:shd w:val="clear" w:color="auto" w:fill="FFFFFF"/>
        </w:rPr>
        <w:t>, N.</w:t>
      </w:r>
      <w:r w:rsidRPr="008A3205">
        <w:rPr>
          <w:rFonts w:ascii="Arial" w:hAnsi="Arial" w:cs="Arial"/>
          <w:sz w:val="24"/>
          <w:szCs w:val="24"/>
          <w:shd w:val="clear" w:color="auto" w:fill="FFFFFF"/>
        </w:rPr>
        <w:t xml:space="preserve">, &amp; </w:t>
      </w:r>
      <w:proofErr w:type="spellStart"/>
      <w:r w:rsidR="008A7239" w:rsidRPr="008A3205">
        <w:rPr>
          <w:rFonts w:ascii="Arial" w:hAnsi="Arial" w:cs="Arial"/>
          <w:sz w:val="24"/>
          <w:szCs w:val="24"/>
          <w:shd w:val="clear" w:color="auto" w:fill="FFFFFF"/>
        </w:rPr>
        <w:t>Choudry</w:t>
      </w:r>
      <w:proofErr w:type="spellEnd"/>
      <w:r w:rsidR="008A7239" w:rsidRPr="008A3205">
        <w:rPr>
          <w:rFonts w:ascii="Arial" w:hAnsi="Arial" w:cs="Arial"/>
          <w:sz w:val="24"/>
          <w:szCs w:val="24"/>
          <w:shd w:val="clear" w:color="auto" w:fill="FFFFFF"/>
        </w:rPr>
        <w:t>, N.</w:t>
      </w:r>
      <w:r w:rsidRPr="008A3205">
        <w:rPr>
          <w:rFonts w:ascii="Arial" w:hAnsi="Arial" w:cs="Arial"/>
          <w:sz w:val="24"/>
          <w:szCs w:val="24"/>
          <w:shd w:val="clear" w:color="auto" w:fill="FFFFFF"/>
        </w:rPr>
        <w:t xml:space="preserve"> (2021</w:t>
      </w:r>
      <w:r w:rsidR="00CB124B" w:rsidRPr="008A3205">
        <w:rPr>
          <w:rFonts w:ascii="Arial" w:hAnsi="Arial" w:cs="Arial"/>
          <w:sz w:val="24"/>
          <w:szCs w:val="24"/>
          <w:shd w:val="clear" w:color="auto" w:fill="FFFFFF"/>
        </w:rPr>
        <w:t>)</w:t>
      </w:r>
      <w:r w:rsidR="00CB124B">
        <w:rPr>
          <w:rFonts w:ascii="Arial" w:hAnsi="Arial" w:cs="Arial"/>
          <w:sz w:val="24"/>
          <w:szCs w:val="24"/>
          <w:shd w:val="clear" w:color="auto" w:fill="FFFFFF"/>
        </w:rPr>
        <w:t>.</w:t>
      </w:r>
      <w:r w:rsidR="00CB124B" w:rsidRPr="008A3205">
        <w:rPr>
          <w:rFonts w:ascii="Arial" w:hAnsi="Arial" w:cs="Arial"/>
          <w:sz w:val="24"/>
          <w:szCs w:val="24"/>
          <w:shd w:val="clear" w:color="auto" w:fill="FFFFFF"/>
        </w:rPr>
        <w:t xml:space="preserve"> Consumers</w:t>
      </w:r>
      <w:r w:rsidRPr="008A3205">
        <w:rPr>
          <w:rFonts w:ascii="Arial" w:hAnsi="Arial" w:cs="Arial"/>
          <w:sz w:val="24"/>
          <w:szCs w:val="24"/>
          <w:shd w:val="clear" w:color="auto" w:fill="FFFFFF"/>
        </w:rPr>
        <w:t xml:space="preserve"> Perception on Quick Service Restaurants, </w:t>
      </w:r>
      <w:r w:rsidRPr="008A3205">
        <w:rPr>
          <w:rFonts w:ascii="Arial" w:hAnsi="Arial" w:cs="Arial"/>
          <w:i/>
          <w:sz w:val="24"/>
          <w:szCs w:val="24"/>
          <w:shd w:val="clear" w:color="auto" w:fill="FFFFFF"/>
        </w:rPr>
        <w:t>International Journals of Management and Humanities</w:t>
      </w:r>
      <w:r w:rsidRPr="008A3205">
        <w:rPr>
          <w:rFonts w:ascii="Arial" w:hAnsi="Arial" w:cs="Arial"/>
          <w:sz w:val="24"/>
          <w:szCs w:val="24"/>
          <w:shd w:val="clear" w:color="auto" w:fill="FFFFFF"/>
        </w:rPr>
        <w:t>, 5(7), pp. 66-70. DOI:</w:t>
      </w:r>
      <w:hyperlink r:id="rId7" w:tgtFrame="_blank" w:history="1">
        <w:r w:rsidRPr="008A3205">
          <w:rPr>
            <w:rStyle w:val="Hyperlink"/>
            <w:rFonts w:ascii="Arial" w:hAnsi="Arial" w:cs="Arial"/>
            <w:sz w:val="24"/>
            <w:szCs w:val="24"/>
            <w:bdr w:val="none" w:sz="0" w:space="0" w:color="auto" w:frame="1"/>
            <w:shd w:val="clear" w:color="auto" w:fill="FFFFFF"/>
          </w:rPr>
          <w:t>10.35940/</w:t>
        </w:r>
        <w:proofErr w:type="gramStart"/>
        <w:r w:rsidRPr="008A3205">
          <w:rPr>
            <w:rStyle w:val="Hyperlink"/>
            <w:rFonts w:ascii="Arial" w:hAnsi="Arial" w:cs="Arial"/>
            <w:sz w:val="24"/>
            <w:szCs w:val="24"/>
            <w:bdr w:val="none" w:sz="0" w:space="0" w:color="auto" w:frame="1"/>
            <w:shd w:val="clear" w:color="auto" w:fill="FFFFFF"/>
          </w:rPr>
          <w:t>ijmh.G</w:t>
        </w:r>
        <w:proofErr w:type="gramEnd"/>
        <w:r w:rsidRPr="008A3205">
          <w:rPr>
            <w:rStyle w:val="Hyperlink"/>
            <w:rFonts w:ascii="Arial" w:hAnsi="Arial" w:cs="Arial"/>
            <w:sz w:val="24"/>
            <w:szCs w:val="24"/>
            <w:bdr w:val="none" w:sz="0" w:space="0" w:color="auto" w:frame="1"/>
            <w:shd w:val="clear" w:color="auto" w:fill="FFFFFF"/>
          </w:rPr>
          <w:t>1268.035721</w:t>
        </w:r>
      </w:hyperlink>
    </w:p>
    <w:p w14:paraId="551DB708" w14:textId="6752518D" w:rsidR="001D000E" w:rsidRPr="008A3205" w:rsidRDefault="001D000E" w:rsidP="001D000E">
      <w:pPr>
        <w:ind w:left="720" w:hanging="720"/>
        <w:rPr>
          <w:rFonts w:ascii="Arial" w:hAnsi="Arial" w:cs="Arial"/>
          <w:sz w:val="24"/>
          <w:szCs w:val="24"/>
        </w:rPr>
      </w:pPr>
      <w:r w:rsidRPr="008A3205">
        <w:rPr>
          <w:rFonts w:ascii="Arial" w:hAnsi="Arial" w:cs="Arial"/>
          <w:sz w:val="24"/>
          <w:szCs w:val="24"/>
        </w:rPr>
        <w:t xml:space="preserve">Deloitte. (2020) </w:t>
      </w:r>
      <w:r w:rsidR="00B15168">
        <w:rPr>
          <w:rFonts w:ascii="Arial" w:hAnsi="Arial" w:cs="Arial"/>
          <w:i/>
          <w:sz w:val="24"/>
          <w:szCs w:val="24"/>
        </w:rPr>
        <w:t>Food</w:t>
      </w:r>
      <w:r w:rsidR="001702E5">
        <w:rPr>
          <w:rFonts w:ascii="Arial" w:hAnsi="Arial" w:cs="Arial"/>
          <w:i/>
          <w:sz w:val="24"/>
          <w:szCs w:val="24"/>
        </w:rPr>
        <w:t xml:space="preserve"> </w:t>
      </w:r>
      <w:r w:rsidR="00B15168">
        <w:rPr>
          <w:rFonts w:ascii="Arial" w:hAnsi="Arial" w:cs="Arial"/>
          <w:i/>
          <w:sz w:val="24"/>
          <w:szCs w:val="24"/>
        </w:rPr>
        <w:t>service</w:t>
      </w:r>
      <w:r w:rsidRPr="008A3205">
        <w:rPr>
          <w:rFonts w:ascii="Arial" w:hAnsi="Arial" w:cs="Arial"/>
          <w:i/>
          <w:sz w:val="24"/>
          <w:szCs w:val="24"/>
        </w:rPr>
        <w:t xml:space="preserve"> market monitor. New frontiers for the </w:t>
      </w:r>
      <w:r w:rsidR="008A7239">
        <w:rPr>
          <w:rFonts w:ascii="Arial" w:hAnsi="Arial" w:cs="Arial"/>
          <w:i/>
          <w:sz w:val="24"/>
          <w:szCs w:val="24"/>
        </w:rPr>
        <w:t>Italian</w:t>
      </w:r>
      <w:r w:rsidRPr="008A3205">
        <w:rPr>
          <w:rFonts w:ascii="Arial" w:hAnsi="Arial" w:cs="Arial"/>
          <w:i/>
          <w:sz w:val="24"/>
          <w:szCs w:val="24"/>
        </w:rPr>
        <w:t xml:space="preserve"> food</w:t>
      </w:r>
      <w:r w:rsidR="00B15168">
        <w:rPr>
          <w:rFonts w:ascii="Arial" w:hAnsi="Arial" w:cs="Arial"/>
          <w:i/>
          <w:sz w:val="24"/>
          <w:szCs w:val="24"/>
        </w:rPr>
        <w:t xml:space="preserve"> </w:t>
      </w:r>
      <w:r w:rsidRPr="008A3205">
        <w:rPr>
          <w:rFonts w:ascii="Arial" w:hAnsi="Arial" w:cs="Arial"/>
          <w:i/>
          <w:sz w:val="24"/>
          <w:szCs w:val="24"/>
        </w:rPr>
        <w:t>service considering</w:t>
      </w:r>
      <w:r w:rsidR="001702E5">
        <w:rPr>
          <w:rFonts w:ascii="Arial" w:hAnsi="Arial" w:cs="Arial"/>
          <w:i/>
          <w:sz w:val="24"/>
          <w:szCs w:val="24"/>
        </w:rPr>
        <w:t xml:space="preserve"> </w:t>
      </w:r>
      <w:r w:rsidRPr="008A3205">
        <w:rPr>
          <w:rFonts w:ascii="Arial" w:hAnsi="Arial" w:cs="Arial"/>
          <w:i/>
          <w:sz w:val="24"/>
          <w:szCs w:val="24"/>
        </w:rPr>
        <w:t>the impact of covid-19</w:t>
      </w:r>
      <w:r w:rsidRPr="008A3205">
        <w:rPr>
          <w:rFonts w:ascii="Arial" w:hAnsi="Arial" w:cs="Arial"/>
          <w:sz w:val="24"/>
          <w:szCs w:val="24"/>
        </w:rPr>
        <w:t xml:space="preserve">. Available at: </w:t>
      </w:r>
      <w:hyperlink r:id="rId8" w:history="1">
        <w:r w:rsidRPr="008A3205">
          <w:rPr>
            <w:rStyle w:val="Hyperlink"/>
            <w:rFonts w:ascii="Arial" w:hAnsi="Arial" w:cs="Arial"/>
            <w:sz w:val="24"/>
            <w:szCs w:val="24"/>
          </w:rPr>
          <w:t>https://www2.deloitte.com/content/dam/Deloitte/it/Documents/consumer-business/Deloitte_FoodserviceMarketMonitor.pdf</w:t>
        </w:r>
      </w:hyperlink>
      <w:r w:rsidRPr="008A3205">
        <w:rPr>
          <w:rFonts w:ascii="Arial" w:hAnsi="Arial" w:cs="Arial"/>
          <w:sz w:val="24"/>
          <w:szCs w:val="24"/>
        </w:rPr>
        <w:t xml:space="preserve"> (Accessed: 26 October 2022). </w:t>
      </w:r>
    </w:p>
    <w:p w14:paraId="70037E01" w14:textId="710217FF" w:rsidR="001D000E" w:rsidRPr="008A3205" w:rsidRDefault="001D000E" w:rsidP="001D000E">
      <w:pPr>
        <w:ind w:left="720" w:hanging="720"/>
        <w:rPr>
          <w:rFonts w:ascii="Arial" w:hAnsi="Arial" w:cs="Arial"/>
          <w:sz w:val="24"/>
          <w:szCs w:val="24"/>
          <w:shd w:val="clear" w:color="auto" w:fill="FFFFFF"/>
        </w:rPr>
      </w:pPr>
      <w:proofErr w:type="spellStart"/>
      <w:r w:rsidRPr="008A3205">
        <w:rPr>
          <w:rFonts w:ascii="Arial" w:hAnsi="Arial" w:cs="Arial"/>
          <w:sz w:val="24"/>
          <w:szCs w:val="24"/>
          <w:shd w:val="clear" w:color="auto" w:fill="FFFFFF"/>
        </w:rPr>
        <w:t>Hamonangan</w:t>
      </w:r>
      <w:proofErr w:type="spellEnd"/>
      <w:r w:rsidRPr="008A3205">
        <w:rPr>
          <w:rFonts w:ascii="Arial" w:hAnsi="Arial" w:cs="Arial"/>
          <w:sz w:val="24"/>
          <w:szCs w:val="24"/>
          <w:shd w:val="clear" w:color="auto" w:fill="FFFFFF"/>
        </w:rPr>
        <w:t xml:space="preserve">, S., Karo, K, P., &amp; </w:t>
      </w:r>
      <w:proofErr w:type="spellStart"/>
      <w:r w:rsidRPr="008A3205">
        <w:rPr>
          <w:rFonts w:ascii="Arial" w:hAnsi="Arial" w:cs="Arial"/>
          <w:sz w:val="24"/>
          <w:szCs w:val="24"/>
          <w:shd w:val="clear" w:color="auto" w:fill="FFFFFF"/>
        </w:rPr>
        <w:t>Harahap</w:t>
      </w:r>
      <w:proofErr w:type="spellEnd"/>
      <w:r w:rsidRPr="008A3205">
        <w:rPr>
          <w:rFonts w:ascii="Arial" w:hAnsi="Arial" w:cs="Arial"/>
          <w:sz w:val="24"/>
          <w:szCs w:val="24"/>
          <w:shd w:val="clear" w:color="auto" w:fill="FFFFFF"/>
        </w:rPr>
        <w:t>, Z. (2021</w:t>
      </w:r>
      <w:r w:rsidR="002245AE" w:rsidRPr="008A3205">
        <w:rPr>
          <w:rFonts w:ascii="Arial" w:hAnsi="Arial" w:cs="Arial"/>
          <w:sz w:val="24"/>
          <w:szCs w:val="24"/>
          <w:shd w:val="clear" w:color="auto" w:fill="FFFFFF"/>
        </w:rPr>
        <w:t>)</w:t>
      </w:r>
      <w:r w:rsidR="002245AE">
        <w:rPr>
          <w:rFonts w:ascii="Arial" w:hAnsi="Arial" w:cs="Arial"/>
          <w:sz w:val="24"/>
          <w:szCs w:val="24"/>
          <w:shd w:val="clear" w:color="auto" w:fill="FFFFFF"/>
        </w:rPr>
        <w:t>.</w:t>
      </w:r>
      <w:r w:rsidR="002245AE" w:rsidRPr="008A3205">
        <w:rPr>
          <w:rFonts w:ascii="Arial" w:hAnsi="Arial" w:cs="Arial"/>
          <w:sz w:val="24"/>
          <w:szCs w:val="24"/>
          <w:shd w:val="clear" w:color="auto" w:fill="FFFFFF"/>
        </w:rPr>
        <w:t xml:space="preserve"> Relationship</w:t>
      </w:r>
      <w:r w:rsidRPr="008A3205">
        <w:rPr>
          <w:rFonts w:ascii="Arial" w:hAnsi="Arial" w:cs="Arial"/>
          <w:sz w:val="24"/>
          <w:szCs w:val="24"/>
          <w:shd w:val="clear" w:color="auto" w:fill="FFFFFF"/>
        </w:rPr>
        <w:t xml:space="preserve"> between </w:t>
      </w:r>
      <w:r w:rsidR="0029373D">
        <w:rPr>
          <w:rFonts w:ascii="Arial" w:hAnsi="Arial" w:cs="Arial"/>
          <w:sz w:val="24"/>
          <w:szCs w:val="24"/>
          <w:shd w:val="clear" w:color="auto" w:fill="FFFFFF"/>
        </w:rPr>
        <w:t>l</w:t>
      </w:r>
      <w:r w:rsidRPr="008A3205">
        <w:rPr>
          <w:rFonts w:ascii="Arial" w:hAnsi="Arial" w:cs="Arial"/>
          <w:sz w:val="24"/>
          <w:szCs w:val="24"/>
          <w:shd w:val="clear" w:color="auto" w:fill="FFFFFF"/>
        </w:rPr>
        <w:t xml:space="preserve">eadership </w:t>
      </w:r>
      <w:r w:rsidR="0029373D">
        <w:rPr>
          <w:rFonts w:ascii="Arial" w:hAnsi="Arial" w:cs="Arial"/>
          <w:sz w:val="24"/>
          <w:szCs w:val="24"/>
          <w:shd w:val="clear" w:color="auto" w:fill="FFFFFF"/>
        </w:rPr>
        <w:t>s</w:t>
      </w:r>
      <w:r w:rsidRPr="008A3205">
        <w:rPr>
          <w:rFonts w:ascii="Arial" w:hAnsi="Arial" w:cs="Arial"/>
          <w:sz w:val="24"/>
          <w:szCs w:val="24"/>
          <w:shd w:val="clear" w:color="auto" w:fill="FFFFFF"/>
        </w:rPr>
        <w:t xml:space="preserve">tyle with </w:t>
      </w:r>
      <w:r w:rsidR="00EA5159">
        <w:rPr>
          <w:rFonts w:ascii="Arial" w:hAnsi="Arial" w:cs="Arial"/>
          <w:sz w:val="24"/>
          <w:szCs w:val="24"/>
          <w:shd w:val="clear" w:color="auto" w:fill="FFFFFF"/>
        </w:rPr>
        <w:t>s</w:t>
      </w:r>
      <w:r w:rsidRPr="008A3205">
        <w:rPr>
          <w:rFonts w:ascii="Arial" w:hAnsi="Arial" w:cs="Arial"/>
          <w:sz w:val="24"/>
          <w:szCs w:val="24"/>
          <w:shd w:val="clear" w:color="auto" w:fill="FFFFFF"/>
        </w:rPr>
        <w:t xml:space="preserve">ervice </w:t>
      </w:r>
      <w:r w:rsidR="00EA5159">
        <w:rPr>
          <w:rFonts w:ascii="Arial" w:hAnsi="Arial" w:cs="Arial"/>
          <w:sz w:val="24"/>
          <w:szCs w:val="24"/>
          <w:shd w:val="clear" w:color="auto" w:fill="FFFFFF"/>
        </w:rPr>
        <w:t>q</w:t>
      </w:r>
      <w:r w:rsidRPr="008A3205">
        <w:rPr>
          <w:rFonts w:ascii="Arial" w:hAnsi="Arial" w:cs="Arial"/>
          <w:sz w:val="24"/>
          <w:szCs w:val="24"/>
          <w:shd w:val="clear" w:color="auto" w:fill="FFFFFF"/>
        </w:rPr>
        <w:t xml:space="preserve">uality. Case Study: Food and Beverages Service Industry in </w:t>
      </w:r>
      <w:proofErr w:type="spellStart"/>
      <w:r w:rsidRPr="008A3205">
        <w:rPr>
          <w:rFonts w:ascii="Arial" w:hAnsi="Arial" w:cs="Arial"/>
          <w:sz w:val="24"/>
          <w:szCs w:val="24"/>
          <w:shd w:val="clear" w:color="auto" w:fill="FFFFFF"/>
        </w:rPr>
        <w:t>Pagar</w:t>
      </w:r>
      <w:proofErr w:type="spellEnd"/>
      <w:r w:rsidRPr="008A3205">
        <w:rPr>
          <w:rFonts w:ascii="Arial" w:hAnsi="Arial" w:cs="Arial"/>
          <w:sz w:val="24"/>
          <w:szCs w:val="24"/>
          <w:shd w:val="clear" w:color="auto" w:fill="FFFFFF"/>
        </w:rPr>
        <w:t xml:space="preserve"> </w:t>
      </w:r>
      <w:proofErr w:type="spellStart"/>
      <w:r w:rsidRPr="008A3205">
        <w:rPr>
          <w:rFonts w:ascii="Arial" w:hAnsi="Arial" w:cs="Arial"/>
          <w:sz w:val="24"/>
          <w:szCs w:val="24"/>
          <w:shd w:val="clear" w:color="auto" w:fill="FFFFFF"/>
        </w:rPr>
        <w:t>Alam</w:t>
      </w:r>
      <w:proofErr w:type="spellEnd"/>
      <w:r w:rsidRPr="008A3205">
        <w:rPr>
          <w:rFonts w:ascii="Arial" w:hAnsi="Arial" w:cs="Arial"/>
          <w:sz w:val="24"/>
          <w:szCs w:val="24"/>
          <w:shd w:val="clear" w:color="auto" w:fill="FFFFFF"/>
        </w:rPr>
        <w:t xml:space="preserve"> City, A</w:t>
      </w:r>
      <w:r w:rsidRPr="008A3205">
        <w:rPr>
          <w:rFonts w:ascii="Arial" w:hAnsi="Arial" w:cs="Arial"/>
          <w:i/>
          <w:sz w:val="24"/>
          <w:szCs w:val="24"/>
          <w:shd w:val="clear" w:color="auto" w:fill="FFFFFF"/>
        </w:rPr>
        <w:t>dvances in Economics, Business and Management Research</w:t>
      </w:r>
      <w:r w:rsidRPr="008A3205">
        <w:rPr>
          <w:rFonts w:ascii="Arial" w:hAnsi="Arial" w:cs="Arial"/>
          <w:sz w:val="24"/>
          <w:szCs w:val="24"/>
          <w:shd w:val="clear" w:color="auto" w:fill="FFFFFF"/>
        </w:rPr>
        <w:t xml:space="preserve">, 200, pp. 107-113. </w:t>
      </w:r>
    </w:p>
    <w:p w14:paraId="5105CCDF" w14:textId="0D7EC1B0" w:rsidR="001D000E" w:rsidRPr="008A3205" w:rsidRDefault="001D000E" w:rsidP="001D000E">
      <w:pPr>
        <w:ind w:left="720" w:hanging="720"/>
        <w:rPr>
          <w:rFonts w:ascii="Arial" w:hAnsi="Arial" w:cs="Arial"/>
          <w:sz w:val="24"/>
          <w:szCs w:val="24"/>
        </w:rPr>
      </w:pPr>
      <w:r w:rsidRPr="008A3205">
        <w:rPr>
          <w:rFonts w:ascii="Arial" w:hAnsi="Arial" w:cs="Arial"/>
          <w:sz w:val="24"/>
          <w:szCs w:val="24"/>
        </w:rPr>
        <w:t>Hussain, M. (2020)</w:t>
      </w:r>
      <w:r w:rsidR="002245AE">
        <w:rPr>
          <w:rFonts w:ascii="Arial" w:hAnsi="Arial" w:cs="Arial"/>
          <w:sz w:val="24"/>
          <w:szCs w:val="24"/>
        </w:rPr>
        <w:t xml:space="preserve">. </w:t>
      </w:r>
      <w:r w:rsidRPr="008A3205">
        <w:rPr>
          <w:rFonts w:ascii="Arial" w:hAnsi="Arial" w:cs="Arial"/>
          <w:sz w:val="24"/>
          <w:szCs w:val="24"/>
        </w:rPr>
        <w:t>Key success factors of total quality management</w:t>
      </w:r>
      <w:r w:rsidR="00230C98">
        <w:rPr>
          <w:rFonts w:ascii="Arial" w:hAnsi="Arial" w:cs="Arial"/>
          <w:sz w:val="24"/>
          <w:szCs w:val="24"/>
        </w:rPr>
        <w:t xml:space="preserve"> </w:t>
      </w:r>
      <w:r w:rsidRPr="008A3205">
        <w:rPr>
          <w:rFonts w:ascii="Arial" w:hAnsi="Arial" w:cs="Arial"/>
          <w:sz w:val="24"/>
          <w:szCs w:val="24"/>
        </w:rPr>
        <w:t xml:space="preserve">for the hospitality sector: A critical review of </w:t>
      </w:r>
      <w:r w:rsidR="005E54F0">
        <w:rPr>
          <w:rFonts w:ascii="Arial" w:hAnsi="Arial" w:cs="Arial"/>
          <w:sz w:val="24"/>
          <w:szCs w:val="24"/>
        </w:rPr>
        <w:t>literature</w:t>
      </w:r>
      <w:r w:rsidRPr="008A3205">
        <w:rPr>
          <w:rFonts w:ascii="Arial" w:hAnsi="Arial" w:cs="Arial"/>
          <w:sz w:val="24"/>
          <w:szCs w:val="24"/>
        </w:rPr>
        <w:t xml:space="preserve">, </w:t>
      </w:r>
      <w:r w:rsidRPr="008A3205">
        <w:rPr>
          <w:rFonts w:ascii="Arial" w:hAnsi="Arial" w:cs="Arial"/>
          <w:i/>
          <w:sz w:val="24"/>
          <w:szCs w:val="24"/>
        </w:rPr>
        <w:t>Arabian Journal of Business and Management Review</w:t>
      </w:r>
      <w:r w:rsidRPr="008A3205">
        <w:rPr>
          <w:rFonts w:ascii="Arial" w:hAnsi="Arial" w:cs="Arial"/>
          <w:sz w:val="24"/>
          <w:szCs w:val="24"/>
        </w:rPr>
        <w:t xml:space="preserve">, 10(4), pp. 2-7. </w:t>
      </w:r>
    </w:p>
    <w:p w14:paraId="66915F0D" w14:textId="12C5505C" w:rsidR="001D000E" w:rsidRPr="008A3205" w:rsidRDefault="001D000E" w:rsidP="001D000E">
      <w:pPr>
        <w:ind w:left="720" w:hanging="720"/>
        <w:rPr>
          <w:rFonts w:ascii="Arial" w:hAnsi="Arial" w:cs="Arial"/>
          <w:sz w:val="24"/>
          <w:szCs w:val="24"/>
        </w:rPr>
      </w:pPr>
      <w:r w:rsidRPr="008A3205">
        <w:rPr>
          <w:rFonts w:ascii="Arial" w:hAnsi="Arial" w:cs="Arial"/>
          <w:sz w:val="24"/>
          <w:szCs w:val="24"/>
          <w:shd w:val="clear" w:color="auto" w:fill="FFFFFF"/>
        </w:rPr>
        <w:t>Hoxha, A. (2019)</w:t>
      </w:r>
      <w:r w:rsidR="002245AE">
        <w:rPr>
          <w:rFonts w:ascii="Arial" w:hAnsi="Arial" w:cs="Arial"/>
          <w:sz w:val="24"/>
          <w:szCs w:val="24"/>
          <w:shd w:val="clear" w:color="auto" w:fill="FFFFFF"/>
        </w:rPr>
        <w:t xml:space="preserve">. </w:t>
      </w:r>
      <w:r w:rsidRPr="008A3205">
        <w:rPr>
          <w:rFonts w:ascii="Arial" w:hAnsi="Arial" w:cs="Arial"/>
          <w:sz w:val="24"/>
          <w:szCs w:val="24"/>
          <w:shd w:val="clear" w:color="auto" w:fill="FFFFFF"/>
        </w:rPr>
        <w:t xml:space="preserve">Transformational and transactional leadership styles on employee </w:t>
      </w:r>
      <w:r w:rsidR="005E4D83">
        <w:rPr>
          <w:rFonts w:ascii="Arial" w:hAnsi="Arial" w:cs="Arial"/>
          <w:sz w:val="24"/>
          <w:szCs w:val="24"/>
          <w:shd w:val="clear" w:color="auto" w:fill="FFFFFF"/>
        </w:rPr>
        <w:t>performance</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International Journal of Humanities and Social Science Invention</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 xml:space="preserve">8 </w:t>
      </w:r>
      <w:r w:rsidRPr="008A3205">
        <w:rPr>
          <w:rFonts w:ascii="Arial" w:hAnsi="Arial" w:cs="Arial"/>
          <w:sz w:val="24"/>
          <w:szCs w:val="24"/>
          <w:shd w:val="clear" w:color="auto" w:fill="FFFFFF"/>
        </w:rPr>
        <w:t>(11), pp.46-58.</w:t>
      </w:r>
    </w:p>
    <w:p w14:paraId="71F85FF8" w14:textId="5BD4DD66" w:rsidR="001D000E" w:rsidRPr="008A3205" w:rsidRDefault="001D000E" w:rsidP="001D000E">
      <w:pPr>
        <w:ind w:left="720" w:hanging="720"/>
        <w:rPr>
          <w:rFonts w:ascii="Arial" w:hAnsi="Arial" w:cs="Arial"/>
          <w:sz w:val="24"/>
          <w:szCs w:val="24"/>
        </w:rPr>
      </w:pPr>
      <w:r w:rsidRPr="008A3205">
        <w:rPr>
          <w:rFonts w:ascii="Arial" w:hAnsi="Arial" w:cs="Arial"/>
          <w:sz w:val="24"/>
          <w:szCs w:val="24"/>
        </w:rPr>
        <w:t>Joshi, A. A. (2018)</w:t>
      </w:r>
      <w:r w:rsidR="002245AE">
        <w:rPr>
          <w:rFonts w:ascii="Arial" w:hAnsi="Arial" w:cs="Arial"/>
          <w:sz w:val="24"/>
          <w:szCs w:val="24"/>
        </w:rPr>
        <w:t>.</w:t>
      </w:r>
      <w:r w:rsidRPr="008A3205">
        <w:rPr>
          <w:rFonts w:ascii="Arial" w:hAnsi="Arial" w:cs="Arial"/>
          <w:sz w:val="24"/>
          <w:szCs w:val="24"/>
        </w:rPr>
        <w:t xml:space="preserve"> </w:t>
      </w:r>
      <w:r w:rsidRPr="008A3205">
        <w:rPr>
          <w:rFonts w:ascii="Arial" w:hAnsi="Arial" w:cs="Arial"/>
          <w:i/>
          <w:sz w:val="24"/>
          <w:szCs w:val="24"/>
        </w:rPr>
        <w:t xml:space="preserve">Impacts of </w:t>
      </w:r>
      <w:r w:rsidR="008A7239">
        <w:rPr>
          <w:rFonts w:ascii="Arial" w:hAnsi="Arial" w:cs="Arial"/>
          <w:i/>
          <w:sz w:val="24"/>
          <w:szCs w:val="24"/>
        </w:rPr>
        <w:t>l</w:t>
      </w:r>
      <w:r w:rsidRPr="008A3205">
        <w:rPr>
          <w:rFonts w:ascii="Arial" w:hAnsi="Arial" w:cs="Arial"/>
          <w:i/>
          <w:sz w:val="24"/>
          <w:szCs w:val="24"/>
        </w:rPr>
        <w:t xml:space="preserve">eadership on TQM in </w:t>
      </w:r>
      <w:r w:rsidR="005E54F0">
        <w:rPr>
          <w:rFonts w:ascii="Arial" w:hAnsi="Arial" w:cs="Arial"/>
          <w:i/>
          <w:sz w:val="24"/>
          <w:szCs w:val="24"/>
        </w:rPr>
        <w:t xml:space="preserve">the </w:t>
      </w:r>
      <w:r w:rsidRPr="008A3205">
        <w:rPr>
          <w:rFonts w:ascii="Arial" w:hAnsi="Arial" w:cs="Arial"/>
          <w:i/>
          <w:sz w:val="24"/>
          <w:szCs w:val="24"/>
        </w:rPr>
        <w:t>Food Industry in India.</w:t>
      </w:r>
      <w:r w:rsidRPr="008A3205">
        <w:rPr>
          <w:rFonts w:ascii="Arial" w:hAnsi="Arial" w:cs="Arial"/>
          <w:sz w:val="24"/>
          <w:szCs w:val="24"/>
        </w:rPr>
        <w:t xml:space="preserve"> Published Thesis.</w:t>
      </w:r>
      <w:r w:rsidRPr="008A3205">
        <w:rPr>
          <w:rFonts w:ascii="Arial" w:hAnsi="Arial" w:cs="Arial"/>
          <w:i/>
          <w:sz w:val="24"/>
          <w:szCs w:val="24"/>
        </w:rPr>
        <w:t xml:space="preserve"> </w:t>
      </w:r>
      <w:r w:rsidRPr="008A3205">
        <w:rPr>
          <w:rFonts w:ascii="Arial" w:hAnsi="Arial" w:cs="Arial"/>
          <w:sz w:val="24"/>
          <w:szCs w:val="24"/>
        </w:rPr>
        <w:t>Western Kentucky University.</w:t>
      </w:r>
    </w:p>
    <w:p w14:paraId="60869CA9" w14:textId="091FBED9" w:rsidR="001D000E" w:rsidRPr="008A3205" w:rsidRDefault="001D000E" w:rsidP="001D000E">
      <w:pPr>
        <w:ind w:left="720" w:hanging="720"/>
        <w:rPr>
          <w:rFonts w:ascii="Arial" w:hAnsi="Arial" w:cs="Arial"/>
          <w:sz w:val="24"/>
          <w:szCs w:val="24"/>
        </w:rPr>
      </w:pPr>
      <w:r w:rsidRPr="008A3205">
        <w:rPr>
          <w:rFonts w:ascii="Arial" w:hAnsi="Arial" w:cs="Arial"/>
          <w:sz w:val="24"/>
          <w:szCs w:val="24"/>
        </w:rPr>
        <w:lastRenderedPageBreak/>
        <w:t>McKinsey &amp; Company (2021)</w:t>
      </w:r>
      <w:r w:rsidR="00B06102">
        <w:rPr>
          <w:rFonts w:ascii="Arial" w:hAnsi="Arial" w:cs="Arial"/>
          <w:sz w:val="24"/>
          <w:szCs w:val="24"/>
        </w:rPr>
        <w:t>.</w:t>
      </w:r>
      <w:r w:rsidRPr="008A3205">
        <w:rPr>
          <w:rFonts w:ascii="Arial" w:hAnsi="Arial" w:cs="Arial"/>
          <w:sz w:val="24"/>
          <w:szCs w:val="24"/>
        </w:rPr>
        <w:t xml:space="preserve"> Ordering in the rapid evolution of food delivery. Available at:</w:t>
      </w:r>
      <w:hyperlink r:id="rId9" w:history="1">
        <w:r w:rsidR="00C32A38" w:rsidRPr="000746D2">
          <w:rPr>
            <w:rStyle w:val="Hyperlink"/>
            <w:rFonts w:ascii="Arial" w:hAnsi="Arial" w:cs="Arial"/>
            <w:sz w:val="24"/>
            <w:szCs w:val="24"/>
          </w:rPr>
          <w:t>https://www.mckinsey.com/industries/technology-media-and-telecommunications/our-insights/ordering-in-the-rapid-evolution-of-food-delivery</w:t>
        </w:r>
      </w:hyperlink>
      <w:r w:rsidRPr="008A3205">
        <w:rPr>
          <w:rFonts w:ascii="Arial" w:hAnsi="Arial" w:cs="Arial"/>
          <w:sz w:val="24"/>
          <w:szCs w:val="24"/>
        </w:rPr>
        <w:t xml:space="preserve"> (Accessed: 26 October 2022). </w:t>
      </w:r>
    </w:p>
    <w:p w14:paraId="2734EB11" w14:textId="19A54FAF" w:rsidR="001D000E" w:rsidRPr="008A3205" w:rsidRDefault="001D000E" w:rsidP="001D000E">
      <w:pPr>
        <w:ind w:left="720" w:hanging="720"/>
        <w:rPr>
          <w:rFonts w:ascii="Arial" w:hAnsi="Arial" w:cs="Arial"/>
          <w:sz w:val="24"/>
          <w:szCs w:val="24"/>
        </w:rPr>
      </w:pPr>
      <w:r w:rsidRPr="008A3205">
        <w:rPr>
          <w:rFonts w:ascii="Arial" w:hAnsi="Arial" w:cs="Arial"/>
          <w:sz w:val="24"/>
          <w:szCs w:val="24"/>
        </w:rPr>
        <w:t>Mostafa, AMS (2019)</w:t>
      </w:r>
      <w:r w:rsidR="00B06102">
        <w:rPr>
          <w:rFonts w:ascii="Arial" w:hAnsi="Arial" w:cs="Arial"/>
          <w:sz w:val="24"/>
          <w:szCs w:val="24"/>
        </w:rPr>
        <w:t xml:space="preserve">. </w:t>
      </w:r>
      <w:r w:rsidRPr="008A3205">
        <w:rPr>
          <w:rFonts w:ascii="Arial" w:hAnsi="Arial" w:cs="Arial"/>
          <w:sz w:val="24"/>
          <w:szCs w:val="24"/>
        </w:rPr>
        <w:t xml:space="preserve">Transformational Leadership and Restaurant Employees Customer-Oriented Behaviours: The Mediating Role of Organizational Social Capital and Work Engagement, </w:t>
      </w:r>
      <w:r w:rsidRPr="008A3205">
        <w:rPr>
          <w:rFonts w:ascii="Arial" w:hAnsi="Arial" w:cs="Arial"/>
          <w:i/>
          <w:sz w:val="24"/>
          <w:szCs w:val="24"/>
        </w:rPr>
        <w:t>International Journal of Contemporary Hospitality Management</w:t>
      </w:r>
      <w:r w:rsidRPr="008A3205">
        <w:rPr>
          <w:rFonts w:ascii="Arial" w:hAnsi="Arial" w:cs="Arial"/>
          <w:sz w:val="24"/>
          <w:szCs w:val="24"/>
        </w:rPr>
        <w:t>, 31 (3). pp. 1166-1182. https://doi.org/10.1108/IJCHM-02-2018-0123</w:t>
      </w:r>
    </w:p>
    <w:p w14:paraId="342AC5B1" w14:textId="386DD885" w:rsidR="001D000E" w:rsidRPr="008A3205" w:rsidRDefault="001D000E" w:rsidP="001D000E">
      <w:pPr>
        <w:ind w:left="720" w:hanging="720"/>
        <w:rPr>
          <w:rFonts w:ascii="Arial" w:hAnsi="Arial" w:cs="Arial"/>
          <w:sz w:val="24"/>
          <w:szCs w:val="24"/>
          <w:shd w:val="clear" w:color="auto" w:fill="FFFFFF"/>
        </w:rPr>
      </w:pPr>
      <w:proofErr w:type="spellStart"/>
      <w:r w:rsidRPr="008A3205">
        <w:rPr>
          <w:rFonts w:ascii="Arial" w:hAnsi="Arial" w:cs="Arial"/>
          <w:sz w:val="24"/>
          <w:szCs w:val="24"/>
          <w:shd w:val="clear" w:color="auto" w:fill="FFFFFF"/>
        </w:rPr>
        <w:t>Permana</w:t>
      </w:r>
      <w:proofErr w:type="spellEnd"/>
      <w:r w:rsidRPr="008A3205">
        <w:rPr>
          <w:rFonts w:ascii="Arial" w:hAnsi="Arial" w:cs="Arial"/>
          <w:sz w:val="24"/>
          <w:szCs w:val="24"/>
          <w:shd w:val="clear" w:color="auto" w:fill="FFFFFF"/>
        </w:rPr>
        <w:t xml:space="preserve">, A., </w:t>
      </w:r>
      <w:proofErr w:type="spellStart"/>
      <w:r w:rsidRPr="008A3205">
        <w:rPr>
          <w:rFonts w:ascii="Arial" w:hAnsi="Arial" w:cs="Arial"/>
          <w:sz w:val="24"/>
          <w:szCs w:val="24"/>
          <w:shd w:val="clear" w:color="auto" w:fill="FFFFFF"/>
        </w:rPr>
        <w:t>Purba</w:t>
      </w:r>
      <w:proofErr w:type="spellEnd"/>
      <w:r w:rsidRPr="008A3205">
        <w:rPr>
          <w:rFonts w:ascii="Arial" w:hAnsi="Arial" w:cs="Arial"/>
          <w:sz w:val="24"/>
          <w:szCs w:val="24"/>
          <w:shd w:val="clear" w:color="auto" w:fill="FFFFFF"/>
        </w:rPr>
        <w:t xml:space="preserve">, H.H. and </w:t>
      </w:r>
      <w:proofErr w:type="spellStart"/>
      <w:r w:rsidRPr="008A3205">
        <w:rPr>
          <w:rFonts w:ascii="Arial" w:hAnsi="Arial" w:cs="Arial"/>
          <w:sz w:val="24"/>
          <w:szCs w:val="24"/>
          <w:shd w:val="clear" w:color="auto" w:fill="FFFFFF"/>
        </w:rPr>
        <w:t>Rizkiyah</w:t>
      </w:r>
      <w:proofErr w:type="spellEnd"/>
      <w:r w:rsidRPr="008A3205">
        <w:rPr>
          <w:rFonts w:ascii="Arial" w:hAnsi="Arial" w:cs="Arial"/>
          <w:sz w:val="24"/>
          <w:szCs w:val="24"/>
          <w:shd w:val="clear" w:color="auto" w:fill="FFFFFF"/>
        </w:rPr>
        <w:t>, N.D. (2021)</w:t>
      </w:r>
      <w:r w:rsidR="005F7216">
        <w:rPr>
          <w:rFonts w:ascii="Arial" w:hAnsi="Arial" w:cs="Arial"/>
          <w:sz w:val="24"/>
          <w:szCs w:val="24"/>
          <w:shd w:val="clear" w:color="auto" w:fill="FFFFFF"/>
        </w:rPr>
        <w:t xml:space="preserve">. </w:t>
      </w:r>
      <w:r w:rsidRPr="008A3205">
        <w:rPr>
          <w:rFonts w:ascii="Arial" w:hAnsi="Arial" w:cs="Arial"/>
          <w:sz w:val="24"/>
          <w:szCs w:val="24"/>
          <w:shd w:val="clear" w:color="auto" w:fill="FFFFFF"/>
        </w:rPr>
        <w:t xml:space="preserve">A systematic literature review of </w:t>
      </w:r>
      <w:r w:rsidR="008F681C">
        <w:rPr>
          <w:rFonts w:ascii="Arial" w:hAnsi="Arial" w:cs="Arial"/>
          <w:sz w:val="24"/>
          <w:szCs w:val="24"/>
          <w:shd w:val="clear" w:color="auto" w:fill="FFFFFF"/>
        </w:rPr>
        <w:t>t</w:t>
      </w:r>
      <w:r w:rsidRPr="008A3205">
        <w:rPr>
          <w:rFonts w:ascii="Arial" w:hAnsi="Arial" w:cs="Arial"/>
          <w:sz w:val="24"/>
          <w:szCs w:val="24"/>
          <w:shd w:val="clear" w:color="auto" w:fill="FFFFFF"/>
        </w:rPr>
        <w:t xml:space="preserve">otal </w:t>
      </w:r>
      <w:r w:rsidR="008F681C">
        <w:rPr>
          <w:rFonts w:ascii="Arial" w:hAnsi="Arial" w:cs="Arial"/>
          <w:sz w:val="24"/>
          <w:szCs w:val="24"/>
          <w:shd w:val="clear" w:color="auto" w:fill="FFFFFF"/>
        </w:rPr>
        <w:t>q</w:t>
      </w:r>
      <w:r w:rsidRPr="008A3205">
        <w:rPr>
          <w:rFonts w:ascii="Arial" w:hAnsi="Arial" w:cs="Arial"/>
          <w:sz w:val="24"/>
          <w:szCs w:val="24"/>
          <w:shd w:val="clear" w:color="auto" w:fill="FFFFFF"/>
        </w:rPr>
        <w:t xml:space="preserve">uality </w:t>
      </w:r>
      <w:r w:rsidR="008F681C">
        <w:rPr>
          <w:rFonts w:ascii="Arial" w:hAnsi="Arial" w:cs="Arial"/>
          <w:sz w:val="24"/>
          <w:szCs w:val="24"/>
          <w:shd w:val="clear" w:color="auto" w:fill="FFFFFF"/>
        </w:rPr>
        <w:t>m</w:t>
      </w:r>
      <w:r w:rsidRPr="008A3205">
        <w:rPr>
          <w:rFonts w:ascii="Arial" w:hAnsi="Arial" w:cs="Arial"/>
          <w:sz w:val="24"/>
          <w:szCs w:val="24"/>
          <w:shd w:val="clear" w:color="auto" w:fill="FFFFFF"/>
        </w:rPr>
        <w:t>anagement</w:t>
      </w:r>
      <w:r w:rsidR="008F681C">
        <w:rPr>
          <w:rFonts w:ascii="Arial" w:hAnsi="Arial" w:cs="Arial"/>
          <w:sz w:val="24"/>
          <w:szCs w:val="24"/>
          <w:shd w:val="clear" w:color="auto" w:fill="FFFFFF"/>
        </w:rPr>
        <w:t xml:space="preserve"> </w:t>
      </w:r>
      <w:r w:rsidRPr="008A3205">
        <w:rPr>
          <w:rFonts w:ascii="Arial" w:hAnsi="Arial" w:cs="Arial"/>
          <w:sz w:val="24"/>
          <w:szCs w:val="24"/>
          <w:shd w:val="clear" w:color="auto" w:fill="FFFFFF"/>
        </w:rPr>
        <w:t>implementation in the organization, </w:t>
      </w:r>
      <w:r w:rsidRPr="008A3205">
        <w:rPr>
          <w:rFonts w:ascii="Arial" w:hAnsi="Arial" w:cs="Arial"/>
          <w:i/>
          <w:iCs/>
          <w:sz w:val="24"/>
          <w:szCs w:val="24"/>
          <w:shd w:val="clear" w:color="auto" w:fill="FFFFFF"/>
        </w:rPr>
        <w:t>International Journal of Production Management and Engineering</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9</w:t>
      </w:r>
      <w:r w:rsidRPr="008A3205">
        <w:rPr>
          <w:rFonts w:ascii="Arial" w:hAnsi="Arial" w:cs="Arial"/>
          <w:sz w:val="24"/>
          <w:szCs w:val="24"/>
          <w:shd w:val="clear" w:color="auto" w:fill="FFFFFF"/>
        </w:rPr>
        <w:t xml:space="preserve">(1), pp.25-36. </w:t>
      </w:r>
    </w:p>
    <w:p w14:paraId="67EEDAF5" w14:textId="77777777"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t>https://doi.org/10.4995/ijpme.2021. 13765</w:t>
      </w:r>
    </w:p>
    <w:p w14:paraId="46D6742D" w14:textId="77777777" w:rsidR="006A3F20" w:rsidRDefault="006A3F20"/>
    <w:sectPr w:rsidR="006A3F20" w:rsidSect="007964C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3F411" w14:textId="77777777" w:rsidR="009C149A" w:rsidRDefault="009C149A">
      <w:pPr>
        <w:spacing w:line="240" w:lineRule="auto"/>
      </w:pPr>
      <w:r>
        <w:separator/>
      </w:r>
    </w:p>
  </w:endnote>
  <w:endnote w:type="continuationSeparator" w:id="0">
    <w:p w14:paraId="105202AB" w14:textId="77777777" w:rsidR="009C149A" w:rsidRDefault="009C14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7692E" w14:textId="77777777" w:rsidR="009C149A" w:rsidRDefault="009C149A">
      <w:pPr>
        <w:spacing w:line="240" w:lineRule="auto"/>
      </w:pPr>
      <w:r>
        <w:separator/>
      </w:r>
    </w:p>
  </w:footnote>
  <w:footnote w:type="continuationSeparator" w:id="0">
    <w:p w14:paraId="37BAD38A" w14:textId="77777777" w:rsidR="009C149A" w:rsidRDefault="009C14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2EA08" w14:textId="77777777" w:rsidR="007F7152" w:rsidRPr="003D1D6F" w:rsidRDefault="00CB124B">
    <w:pPr>
      <w:pStyle w:val="Header"/>
      <w:jc w:val="right"/>
      <w:rPr>
        <w:rFonts w:ascii="Times New Roman" w:hAnsi="Times New Roman" w:cs="Times New Roman"/>
        <w:sz w:val="24"/>
        <w:szCs w:val="24"/>
      </w:rPr>
    </w:pPr>
    <w:r>
      <w:rPr>
        <w:rFonts w:ascii="Times New Roman" w:eastAsia="Calibri" w:hAnsi="Times New Roman" w:cs="Times New Roman"/>
        <w:sz w:val="24"/>
        <w:szCs w:val="24"/>
      </w:rPr>
      <w:t xml:space="preserve">                </w:t>
    </w:r>
    <w:r w:rsidRPr="003D1D6F">
      <w:rPr>
        <w:rFonts w:ascii="Times New Roman" w:hAnsi="Times New Roman" w:cs="Times New Roman"/>
        <w:sz w:val="24"/>
        <w:szCs w:val="24"/>
      </w:rPr>
      <w:t xml:space="preserve"> </w:t>
    </w:r>
    <w:sdt>
      <w:sdtPr>
        <w:rPr>
          <w:rFonts w:ascii="Times New Roman" w:hAnsi="Times New Roman" w:cs="Times New Roman"/>
          <w:sz w:val="24"/>
          <w:szCs w:val="24"/>
        </w:rPr>
        <w:id w:val="20905024"/>
        <w:docPartObj>
          <w:docPartGallery w:val="Page Numbers (Top of Page)"/>
          <w:docPartUnique/>
        </w:docPartObj>
      </w:sdtPr>
      <w:sdtContent/>
    </w:sdt>
  </w:p>
  <w:p w14:paraId="74E90680" w14:textId="77777777" w:rsidR="007F7152"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919"/>
    <w:rsid w:val="00007983"/>
    <w:rsid w:val="00037B33"/>
    <w:rsid w:val="000778D7"/>
    <w:rsid w:val="001702E5"/>
    <w:rsid w:val="001D000E"/>
    <w:rsid w:val="002245AE"/>
    <w:rsid w:val="00230C98"/>
    <w:rsid w:val="0029373D"/>
    <w:rsid w:val="00335919"/>
    <w:rsid w:val="004E5255"/>
    <w:rsid w:val="0055671F"/>
    <w:rsid w:val="005E4D83"/>
    <w:rsid w:val="005E54F0"/>
    <w:rsid w:val="005F5C3E"/>
    <w:rsid w:val="005F7216"/>
    <w:rsid w:val="006A3F20"/>
    <w:rsid w:val="006F031C"/>
    <w:rsid w:val="008A363A"/>
    <w:rsid w:val="008A7239"/>
    <w:rsid w:val="008B011A"/>
    <w:rsid w:val="008F681C"/>
    <w:rsid w:val="0095444E"/>
    <w:rsid w:val="00974775"/>
    <w:rsid w:val="009B431D"/>
    <w:rsid w:val="009C149A"/>
    <w:rsid w:val="00A0096E"/>
    <w:rsid w:val="00A1400E"/>
    <w:rsid w:val="00A67EF1"/>
    <w:rsid w:val="00A97FB0"/>
    <w:rsid w:val="00AA6EF8"/>
    <w:rsid w:val="00B06102"/>
    <w:rsid w:val="00B11C4D"/>
    <w:rsid w:val="00B15168"/>
    <w:rsid w:val="00B6374C"/>
    <w:rsid w:val="00C32A38"/>
    <w:rsid w:val="00C642CD"/>
    <w:rsid w:val="00C75E83"/>
    <w:rsid w:val="00C762B7"/>
    <w:rsid w:val="00CB124B"/>
    <w:rsid w:val="00DB2938"/>
    <w:rsid w:val="00E66EFD"/>
    <w:rsid w:val="00EA5159"/>
    <w:rsid w:val="00EC3B34"/>
    <w:rsid w:val="00FF6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B876E"/>
  <w15:chartTrackingRefBased/>
  <w15:docId w15:val="{654031B4-84B2-4332-89C4-BB105C599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00E"/>
    <w:pPr>
      <w:spacing w:after="0" w:line="360" w:lineRule="auto"/>
      <w:ind w:firstLine="720"/>
      <w:jc w:val="both"/>
    </w:pPr>
  </w:style>
  <w:style w:type="paragraph" w:styleId="Heading1">
    <w:name w:val="heading 1"/>
    <w:basedOn w:val="Normal"/>
    <w:next w:val="Normal"/>
    <w:link w:val="Heading1Char"/>
    <w:uiPriority w:val="9"/>
    <w:qFormat/>
    <w:rsid w:val="001D00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00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D000E"/>
    <w:pPr>
      <w:tabs>
        <w:tab w:val="center" w:pos="4680"/>
        <w:tab w:val="right" w:pos="9360"/>
      </w:tabs>
      <w:spacing w:line="240" w:lineRule="auto"/>
    </w:pPr>
  </w:style>
  <w:style w:type="character" w:customStyle="1" w:styleId="HeaderChar">
    <w:name w:val="Header Char"/>
    <w:basedOn w:val="DefaultParagraphFont"/>
    <w:link w:val="Header"/>
    <w:uiPriority w:val="99"/>
    <w:rsid w:val="001D000E"/>
  </w:style>
  <w:style w:type="character" w:styleId="Hyperlink">
    <w:name w:val="Hyperlink"/>
    <w:basedOn w:val="DefaultParagraphFont"/>
    <w:uiPriority w:val="99"/>
    <w:unhideWhenUsed/>
    <w:rsid w:val="001D000E"/>
    <w:rPr>
      <w:color w:val="0000FF"/>
      <w:u w:val="single"/>
    </w:rPr>
  </w:style>
  <w:style w:type="character" w:styleId="UnresolvedMention">
    <w:name w:val="Unresolved Mention"/>
    <w:basedOn w:val="DefaultParagraphFont"/>
    <w:uiPriority w:val="99"/>
    <w:semiHidden/>
    <w:unhideWhenUsed/>
    <w:rsid w:val="00C32A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content/dam/Deloitte/it/Documents/consumer-business/Deloitte_FoodserviceMarketMonitor.pdf" TargetMode="External"/><Relationship Id="rId3" Type="http://schemas.openxmlformats.org/officeDocument/2006/relationships/webSettings" Target="webSettings.xml"/><Relationship Id="rId7" Type="http://schemas.openxmlformats.org/officeDocument/2006/relationships/hyperlink" Target="http://dx.doi.org/10.35940/ijmh.G1268.03572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51483/IJTH.1.1.2021.25-34"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mckinsey.com/industries/technology-media-and-telecommunications/our-insights/ordering-in-the-rapid-evolution-of-food-deli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6</Pages>
  <Words>1385</Words>
  <Characters>7899</Characters>
  <Application>Microsoft Office Word</Application>
  <DocSecurity>0</DocSecurity>
  <Lines>65</Lines>
  <Paragraphs>18</Paragraphs>
  <ScaleCrop>false</ScaleCrop>
  <Company/>
  <LinksUpToDate>false</LinksUpToDate>
  <CharactersWithSpaces>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Vladu</dc:creator>
  <cp:keywords/>
  <dc:description/>
  <cp:lastModifiedBy>Andrei Vladu</cp:lastModifiedBy>
  <cp:revision>40</cp:revision>
  <dcterms:created xsi:type="dcterms:W3CDTF">2022-10-28T10:36:00Z</dcterms:created>
  <dcterms:modified xsi:type="dcterms:W3CDTF">2022-10-28T11:45:00Z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c0d4d1746765f7bab705c8fee2cb10370474558f02383996d060fc964e6ffdd5</vt:lpwstr>
  </property>
</Properties>
</file>