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CB24E" w14:textId="75DF61DF" w:rsidR="00E909CF" w:rsidRDefault="00E909CF" w:rsidP="00E909CF">
      <w:pPr>
        <w:spacing w:before="240" w:after="240" w:line="480" w:lineRule="auto"/>
        <w:rPr>
          <w:sz w:val="24"/>
          <w:szCs w:val="24"/>
        </w:rPr>
      </w:pPr>
      <w:r>
        <w:rPr>
          <w:noProof/>
        </w:rPr>
        <w:drawing>
          <wp:inline distT="0" distB="0" distL="0" distR="0" wp14:anchorId="15BA8D18" wp14:editId="30C3868B">
            <wp:extent cx="3209925" cy="1428750"/>
            <wp:effectExtent l="0" t="0" r="9525" b="0"/>
            <wp:docPr id="5"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5F474E4C" w14:textId="77777777" w:rsidR="00E909CF" w:rsidRPr="00E45C1F" w:rsidRDefault="00E909CF" w:rsidP="00ED00DF">
      <w:pPr>
        <w:spacing w:before="240" w:after="240" w:line="360" w:lineRule="auto"/>
      </w:pPr>
    </w:p>
    <w:p w14:paraId="625A452B" w14:textId="172771D9" w:rsidR="00E909CF" w:rsidRPr="00647D92" w:rsidRDefault="00E909CF" w:rsidP="00ED00DF">
      <w:pPr>
        <w:spacing w:before="240" w:after="240" w:line="360" w:lineRule="auto"/>
        <w:rPr>
          <w:b/>
          <w:bCs/>
        </w:rPr>
      </w:pPr>
      <w:r w:rsidRPr="00E909CF">
        <w:rPr>
          <w:b/>
          <w:bCs/>
        </w:rPr>
        <w:t>Module name: Community Care and Development</w:t>
      </w:r>
    </w:p>
    <w:p w14:paraId="5166D865" w14:textId="77777777" w:rsidR="00647D92" w:rsidRPr="00E909CF" w:rsidRDefault="00647D92" w:rsidP="00ED00DF">
      <w:pPr>
        <w:spacing w:before="240" w:after="240" w:line="360" w:lineRule="auto"/>
        <w:rPr>
          <w:b/>
          <w:bCs/>
        </w:rPr>
      </w:pPr>
    </w:p>
    <w:p w14:paraId="295E5229" w14:textId="2BC52D18" w:rsidR="00E909CF" w:rsidRPr="00647D92" w:rsidRDefault="00E909CF" w:rsidP="00ED00DF">
      <w:pPr>
        <w:spacing w:before="240" w:after="240" w:line="360" w:lineRule="auto"/>
        <w:rPr>
          <w:b/>
          <w:bCs/>
        </w:rPr>
      </w:pPr>
      <w:r w:rsidRPr="00E909CF">
        <w:rPr>
          <w:b/>
          <w:bCs/>
        </w:rPr>
        <w:t xml:space="preserve">Assessment Component </w:t>
      </w:r>
      <w:r w:rsidRPr="00647D92">
        <w:rPr>
          <w:b/>
          <w:bCs/>
        </w:rPr>
        <w:t>2</w:t>
      </w:r>
      <w:r w:rsidR="00E45C1F" w:rsidRPr="00647D92">
        <w:rPr>
          <w:b/>
          <w:bCs/>
        </w:rPr>
        <w:t>: Written Assignment Report</w:t>
      </w:r>
      <w:r w:rsidRPr="00E909CF">
        <w:rPr>
          <w:b/>
          <w:bCs/>
        </w:rPr>
        <w:t xml:space="preserve">  </w:t>
      </w:r>
    </w:p>
    <w:p w14:paraId="1CDCA0B5" w14:textId="77777777" w:rsidR="00647D92" w:rsidRPr="00647D92" w:rsidRDefault="00647D92" w:rsidP="00ED00DF">
      <w:pPr>
        <w:spacing w:before="240" w:after="240" w:line="360" w:lineRule="auto"/>
        <w:rPr>
          <w:b/>
          <w:bCs/>
        </w:rPr>
      </w:pPr>
    </w:p>
    <w:p w14:paraId="1D9E864D" w14:textId="7DC02290" w:rsidR="00647D92" w:rsidRPr="00E909CF" w:rsidRDefault="00647D92" w:rsidP="00ED00DF">
      <w:pPr>
        <w:spacing w:before="240" w:after="240" w:line="360" w:lineRule="auto"/>
        <w:rPr>
          <w:b/>
          <w:bCs/>
        </w:rPr>
      </w:pPr>
      <w:r w:rsidRPr="00647D92">
        <w:rPr>
          <w:b/>
          <w:bCs/>
        </w:rPr>
        <w:t>Topic:  The Health Inequalities Among Working-Age People in the London Borough of Croydon</w:t>
      </w:r>
    </w:p>
    <w:p w14:paraId="2282A538" w14:textId="77777777" w:rsidR="00E909CF" w:rsidRPr="00E909CF" w:rsidRDefault="00E909CF" w:rsidP="00ED00DF">
      <w:pPr>
        <w:spacing w:before="240" w:after="240" w:line="360" w:lineRule="auto"/>
        <w:rPr>
          <w:b/>
          <w:bCs/>
        </w:rPr>
      </w:pPr>
    </w:p>
    <w:p w14:paraId="09092346" w14:textId="77777777" w:rsidR="00E909CF" w:rsidRPr="00E909CF" w:rsidRDefault="00E909CF" w:rsidP="00ED00DF">
      <w:pPr>
        <w:spacing w:before="240" w:after="240" w:line="360" w:lineRule="auto"/>
        <w:rPr>
          <w:b/>
          <w:bCs/>
        </w:rPr>
      </w:pPr>
      <w:r w:rsidRPr="00E909CF">
        <w:rPr>
          <w:b/>
          <w:bCs/>
        </w:rPr>
        <w:t xml:space="preserve">Student name: Richard Oji </w:t>
      </w:r>
    </w:p>
    <w:p w14:paraId="3E9AE44F" w14:textId="77777777" w:rsidR="00E909CF" w:rsidRPr="00E909CF" w:rsidRDefault="00E909CF" w:rsidP="00ED00DF">
      <w:pPr>
        <w:spacing w:before="240" w:after="240" w:line="360" w:lineRule="auto"/>
        <w:rPr>
          <w:b/>
          <w:bCs/>
        </w:rPr>
      </w:pPr>
      <w:r w:rsidRPr="00E909CF">
        <w:rPr>
          <w:b/>
          <w:bCs/>
        </w:rPr>
        <w:t xml:space="preserve"> </w:t>
      </w:r>
    </w:p>
    <w:p w14:paraId="57358729" w14:textId="77777777" w:rsidR="00E909CF" w:rsidRPr="00E909CF" w:rsidRDefault="00E909CF" w:rsidP="00ED00DF">
      <w:pPr>
        <w:spacing w:before="240" w:after="240" w:line="360" w:lineRule="auto"/>
        <w:rPr>
          <w:b/>
          <w:bCs/>
        </w:rPr>
      </w:pPr>
      <w:r w:rsidRPr="00E909CF">
        <w:rPr>
          <w:b/>
          <w:bCs/>
        </w:rPr>
        <w:t>Student ID:  2013435</w:t>
      </w:r>
    </w:p>
    <w:p w14:paraId="3B8F0F47" w14:textId="77777777" w:rsidR="00E909CF" w:rsidRPr="00E909CF" w:rsidRDefault="00E909CF" w:rsidP="00ED00DF">
      <w:pPr>
        <w:spacing w:before="240" w:after="240" w:line="360" w:lineRule="auto"/>
        <w:rPr>
          <w:b/>
          <w:bCs/>
        </w:rPr>
      </w:pPr>
    </w:p>
    <w:p w14:paraId="7A49F965" w14:textId="77777777" w:rsidR="00E909CF" w:rsidRPr="00E909CF" w:rsidRDefault="00E909CF" w:rsidP="00ED00DF">
      <w:pPr>
        <w:spacing w:before="240" w:after="240" w:line="360" w:lineRule="auto"/>
        <w:rPr>
          <w:b/>
          <w:bCs/>
        </w:rPr>
      </w:pPr>
      <w:r w:rsidRPr="00E909CF">
        <w:rPr>
          <w:b/>
          <w:bCs/>
        </w:rPr>
        <w:t>Module code: (BMHP6022 _LON)</w:t>
      </w:r>
    </w:p>
    <w:p w14:paraId="02F19965" w14:textId="77777777" w:rsidR="00E909CF" w:rsidRPr="00E909CF" w:rsidRDefault="00E909CF" w:rsidP="00ED00DF">
      <w:pPr>
        <w:spacing w:before="240" w:after="240" w:line="360" w:lineRule="auto"/>
        <w:rPr>
          <w:b/>
          <w:bCs/>
        </w:rPr>
      </w:pPr>
    </w:p>
    <w:p w14:paraId="66645855" w14:textId="09967B5B" w:rsidR="00300CD2" w:rsidRPr="00647D92" w:rsidRDefault="00E909CF" w:rsidP="00ED00DF">
      <w:pPr>
        <w:spacing w:before="240" w:after="240" w:line="360" w:lineRule="auto"/>
        <w:rPr>
          <w:b/>
          <w:bCs/>
        </w:rPr>
      </w:pPr>
      <w:r w:rsidRPr="00647D92">
        <w:rPr>
          <w:b/>
          <w:bCs/>
        </w:rPr>
        <w:t>Lecturer: Jolly Nwankwo</w:t>
      </w:r>
    </w:p>
    <w:p w14:paraId="62143388" w14:textId="77777777" w:rsidR="00300CD2" w:rsidRPr="00E45C1F" w:rsidRDefault="00300CD2" w:rsidP="00ED00DF">
      <w:pPr>
        <w:spacing w:before="240" w:after="240" w:line="360" w:lineRule="auto"/>
      </w:pPr>
    </w:p>
    <w:p w14:paraId="5E81B024" w14:textId="77777777" w:rsidR="00300CD2" w:rsidRPr="00E45C1F" w:rsidRDefault="00300CD2" w:rsidP="00ED00DF">
      <w:pPr>
        <w:spacing w:before="240" w:after="240" w:line="360" w:lineRule="auto"/>
      </w:pPr>
    </w:p>
    <w:p w14:paraId="167B1D58" w14:textId="77777777" w:rsidR="00E909CF" w:rsidRPr="00E45C1F" w:rsidRDefault="00E909CF" w:rsidP="00ED00DF">
      <w:pPr>
        <w:spacing w:before="240" w:after="240" w:line="360" w:lineRule="auto"/>
      </w:pPr>
    </w:p>
    <w:p w14:paraId="7DA850C6" w14:textId="77777777" w:rsidR="00E909CF" w:rsidRPr="00E45C1F" w:rsidRDefault="00E909CF" w:rsidP="00ED00DF">
      <w:pPr>
        <w:spacing w:before="240" w:after="240" w:line="360" w:lineRule="auto"/>
      </w:pPr>
    </w:p>
    <w:p w14:paraId="6C7948DA" w14:textId="77777777" w:rsidR="00E909CF" w:rsidRPr="00E45C1F" w:rsidRDefault="00E909CF" w:rsidP="00ED00DF">
      <w:pPr>
        <w:spacing w:before="240" w:after="240" w:line="360" w:lineRule="auto"/>
      </w:pPr>
    </w:p>
    <w:p w14:paraId="2B5D9115" w14:textId="77777777" w:rsidR="00E909CF" w:rsidRPr="00E45C1F" w:rsidRDefault="00E909CF" w:rsidP="00ED00DF">
      <w:pPr>
        <w:spacing w:before="240" w:after="240" w:line="360" w:lineRule="auto"/>
      </w:pPr>
    </w:p>
    <w:p w14:paraId="21A558AC" w14:textId="77777777" w:rsidR="00647D92" w:rsidRPr="00647D92" w:rsidRDefault="00647D92" w:rsidP="00647D92">
      <w:pPr>
        <w:spacing w:before="240" w:after="240" w:line="360" w:lineRule="auto"/>
        <w:rPr>
          <w:b/>
          <w:bCs/>
          <w:lang w:val="en-US"/>
        </w:rPr>
      </w:pPr>
      <w:r w:rsidRPr="00647D92">
        <w:rPr>
          <w:b/>
          <w:bCs/>
          <w:lang w:val="en-US"/>
        </w:rPr>
        <w:t>TABLE OF CONTENTS</w:t>
      </w:r>
    </w:p>
    <w:p w14:paraId="5F477661" w14:textId="77777777" w:rsidR="00647D92" w:rsidRPr="00647D92" w:rsidRDefault="00647D92" w:rsidP="00647D92">
      <w:pPr>
        <w:spacing w:before="240" w:after="240" w:line="360" w:lineRule="auto"/>
        <w:rPr>
          <w:b/>
          <w:bCs/>
          <w:lang w:val="en-US"/>
        </w:rPr>
      </w:pPr>
    </w:p>
    <w:p w14:paraId="53955468" w14:textId="77777777" w:rsidR="00647D92" w:rsidRPr="00647D92" w:rsidRDefault="00647D92" w:rsidP="00647D92">
      <w:pPr>
        <w:spacing w:before="240" w:after="240" w:line="360" w:lineRule="auto"/>
        <w:rPr>
          <w:b/>
          <w:bCs/>
          <w:lang w:val="en-US"/>
        </w:rPr>
      </w:pPr>
      <w:r w:rsidRPr="00647D92">
        <w:rPr>
          <w:b/>
          <w:bCs/>
          <w:lang w:val="en-US"/>
        </w:rPr>
        <w:t>Introduction……………………………………………..........................................................3 - 4</w:t>
      </w:r>
    </w:p>
    <w:p w14:paraId="22D40C93" w14:textId="0F8579AF" w:rsidR="00647D92" w:rsidRPr="00647D92" w:rsidRDefault="00647D92" w:rsidP="00647D92">
      <w:pPr>
        <w:spacing w:before="240" w:after="240" w:line="360" w:lineRule="auto"/>
        <w:rPr>
          <w:b/>
          <w:bCs/>
        </w:rPr>
      </w:pPr>
      <w:r w:rsidRPr="00647D92">
        <w:rPr>
          <w:b/>
        </w:rPr>
        <w:t xml:space="preserve"> </w:t>
      </w:r>
      <w:r w:rsidR="00B66684">
        <w:rPr>
          <w:b/>
        </w:rPr>
        <w:t>Legislations and Policies…………</w:t>
      </w:r>
      <w:r w:rsidRPr="00647D92">
        <w:rPr>
          <w:b/>
          <w:bCs/>
        </w:rPr>
        <w:t>………………………………………………………………</w:t>
      </w:r>
      <w:r w:rsidR="00B66684">
        <w:rPr>
          <w:b/>
          <w:bCs/>
        </w:rPr>
        <w:t>...</w:t>
      </w:r>
      <w:r w:rsidRPr="00647D92">
        <w:rPr>
          <w:b/>
          <w:bCs/>
        </w:rPr>
        <w:t>……………….</w:t>
      </w:r>
      <w:r w:rsidR="00B66684">
        <w:rPr>
          <w:b/>
          <w:bCs/>
        </w:rPr>
        <w:t>4</w:t>
      </w:r>
      <w:r w:rsidRPr="00647D92">
        <w:rPr>
          <w:b/>
          <w:bCs/>
        </w:rPr>
        <w:t xml:space="preserve"> - </w:t>
      </w:r>
      <w:r w:rsidR="00321A20">
        <w:rPr>
          <w:b/>
          <w:bCs/>
        </w:rPr>
        <w:t>6</w:t>
      </w:r>
    </w:p>
    <w:p w14:paraId="3BF3215E" w14:textId="77777777" w:rsidR="00647D92" w:rsidRPr="00647D92" w:rsidRDefault="00647D92" w:rsidP="00647D92">
      <w:pPr>
        <w:spacing w:before="240" w:after="240" w:line="360" w:lineRule="auto"/>
        <w:rPr>
          <w:b/>
        </w:rPr>
      </w:pPr>
    </w:p>
    <w:p w14:paraId="7953F54D" w14:textId="5C9A38F0" w:rsidR="00647D92" w:rsidRDefault="00B66684" w:rsidP="00647D92">
      <w:pPr>
        <w:spacing w:before="240" w:after="240" w:line="360" w:lineRule="auto"/>
        <w:rPr>
          <w:b/>
          <w:bCs/>
        </w:rPr>
      </w:pPr>
      <w:r>
        <w:rPr>
          <w:b/>
        </w:rPr>
        <w:t>Recommendations</w:t>
      </w:r>
      <w:r w:rsidR="00647D92" w:rsidRPr="00647D92">
        <w:rPr>
          <w:b/>
        </w:rPr>
        <w:t>……………………</w:t>
      </w:r>
      <w:r>
        <w:rPr>
          <w:b/>
          <w:bCs/>
        </w:rPr>
        <w:t>….</w:t>
      </w:r>
      <w:r w:rsidR="00647D92" w:rsidRPr="00647D92">
        <w:rPr>
          <w:b/>
          <w:bCs/>
        </w:rPr>
        <w:t>………...............................................................</w:t>
      </w:r>
      <w:r w:rsidR="004A0FBF">
        <w:rPr>
          <w:b/>
          <w:bCs/>
        </w:rPr>
        <w:t>6 –</w:t>
      </w:r>
      <w:r w:rsidR="00647D92" w:rsidRPr="00647D92">
        <w:rPr>
          <w:b/>
          <w:bCs/>
        </w:rPr>
        <w:t xml:space="preserve"> </w:t>
      </w:r>
      <w:r w:rsidR="004A0FBF">
        <w:rPr>
          <w:b/>
          <w:bCs/>
        </w:rPr>
        <w:t>7</w:t>
      </w:r>
      <w:bookmarkStart w:id="0" w:name="_Hlk101639271"/>
    </w:p>
    <w:p w14:paraId="4D45B00F" w14:textId="77777777" w:rsidR="004A0FBF" w:rsidRDefault="004A0FBF" w:rsidP="00647D92">
      <w:pPr>
        <w:spacing w:before="240" w:after="240" w:line="360" w:lineRule="auto"/>
        <w:rPr>
          <w:b/>
          <w:bCs/>
        </w:rPr>
      </w:pPr>
    </w:p>
    <w:p w14:paraId="12CDA843" w14:textId="79ADF46A" w:rsidR="004A0FBF" w:rsidRPr="00647D92" w:rsidRDefault="004A0FBF" w:rsidP="00647D92">
      <w:pPr>
        <w:spacing w:before="240" w:after="240" w:line="360" w:lineRule="auto"/>
        <w:rPr>
          <w:b/>
          <w:bCs/>
        </w:rPr>
      </w:pPr>
      <w:r>
        <w:rPr>
          <w:b/>
          <w:bCs/>
        </w:rPr>
        <w:t>Conclusion……………………………………………………………………………………………</w:t>
      </w:r>
      <w:r w:rsidR="00C434F0">
        <w:rPr>
          <w:b/>
          <w:bCs/>
        </w:rPr>
        <w:t>7</w:t>
      </w:r>
    </w:p>
    <w:p w14:paraId="24F6893B" w14:textId="77777777" w:rsidR="00647D92" w:rsidRPr="00647D92" w:rsidRDefault="00647D92" w:rsidP="00647D92">
      <w:pPr>
        <w:spacing w:before="240" w:after="240" w:line="360" w:lineRule="auto"/>
        <w:rPr>
          <w:b/>
          <w:bCs/>
        </w:rPr>
      </w:pPr>
    </w:p>
    <w:bookmarkEnd w:id="0"/>
    <w:p w14:paraId="20FB5276" w14:textId="520D9F59" w:rsidR="00647D92" w:rsidRPr="00647D92" w:rsidRDefault="00647D92" w:rsidP="00647D92">
      <w:pPr>
        <w:spacing w:before="240" w:after="240" w:line="360" w:lineRule="auto"/>
        <w:rPr>
          <w:b/>
          <w:bCs/>
          <w:lang w:val="en-US"/>
        </w:rPr>
      </w:pPr>
      <w:r w:rsidRPr="00647D92">
        <w:rPr>
          <w:b/>
          <w:bCs/>
          <w:lang w:val="en-US"/>
        </w:rPr>
        <w:t>Reference List.……………………………………………………………………….…</w:t>
      </w:r>
      <w:r w:rsidR="003B07C7">
        <w:rPr>
          <w:b/>
          <w:bCs/>
          <w:lang w:val="en-US"/>
        </w:rPr>
        <w:t>.</w:t>
      </w:r>
      <w:r w:rsidRPr="00647D92">
        <w:rPr>
          <w:b/>
          <w:bCs/>
          <w:lang w:val="en-US"/>
        </w:rPr>
        <w:t>……...</w:t>
      </w:r>
      <w:r w:rsidR="003B07C7">
        <w:rPr>
          <w:b/>
          <w:bCs/>
          <w:lang w:val="en-US"/>
        </w:rPr>
        <w:t>.8</w:t>
      </w:r>
      <w:r w:rsidRPr="00647D92">
        <w:rPr>
          <w:b/>
          <w:bCs/>
          <w:lang w:val="en-US"/>
        </w:rPr>
        <w:t>-1</w:t>
      </w:r>
      <w:r w:rsidR="003B07C7">
        <w:rPr>
          <w:b/>
          <w:bCs/>
          <w:lang w:val="en-US"/>
        </w:rPr>
        <w:t>0</w:t>
      </w:r>
    </w:p>
    <w:p w14:paraId="64972AEB" w14:textId="77777777" w:rsidR="00647D92" w:rsidRPr="00647D92" w:rsidRDefault="00647D92" w:rsidP="00647D92">
      <w:pPr>
        <w:spacing w:before="240" w:after="240" w:line="360" w:lineRule="auto"/>
        <w:rPr>
          <w:b/>
          <w:bCs/>
          <w:lang w:val="en-US"/>
        </w:rPr>
      </w:pPr>
    </w:p>
    <w:p w14:paraId="1656601A" w14:textId="77777777" w:rsidR="00647D92" w:rsidRPr="00647D92" w:rsidRDefault="00647D92" w:rsidP="00647D92">
      <w:pPr>
        <w:spacing w:before="240" w:after="240" w:line="360" w:lineRule="auto"/>
        <w:rPr>
          <w:b/>
          <w:bCs/>
          <w:lang w:val="en-US"/>
        </w:rPr>
      </w:pPr>
    </w:p>
    <w:p w14:paraId="0AB17A0C" w14:textId="77777777" w:rsidR="00647D92" w:rsidRPr="00647D92" w:rsidRDefault="00647D92" w:rsidP="00647D92">
      <w:pPr>
        <w:spacing w:before="240" w:after="240" w:line="360" w:lineRule="auto"/>
        <w:rPr>
          <w:b/>
          <w:bCs/>
        </w:rPr>
      </w:pPr>
    </w:p>
    <w:p w14:paraId="55A3E577" w14:textId="77777777" w:rsidR="00647D92" w:rsidRPr="00647D92" w:rsidRDefault="00647D92" w:rsidP="00647D92">
      <w:pPr>
        <w:spacing w:before="240" w:after="240" w:line="360" w:lineRule="auto"/>
        <w:rPr>
          <w:b/>
          <w:bCs/>
        </w:rPr>
      </w:pPr>
    </w:p>
    <w:p w14:paraId="1CC5865E" w14:textId="77777777" w:rsidR="00E909CF" w:rsidRPr="00E45C1F" w:rsidRDefault="00E909CF" w:rsidP="00ED00DF">
      <w:pPr>
        <w:spacing w:before="240" w:after="240" w:line="360" w:lineRule="auto"/>
      </w:pPr>
    </w:p>
    <w:p w14:paraId="53A2DC52" w14:textId="77777777" w:rsidR="00E909CF" w:rsidRPr="00E45C1F" w:rsidRDefault="00E909CF" w:rsidP="00ED00DF">
      <w:pPr>
        <w:spacing w:before="240" w:after="240" w:line="360" w:lineRule="auto"/>
      </w:pPr>
    </w:p>
    <w:p w14:paraId="3B69F226" w14:textId="77777777" w:rsidR="00E909CF" w:rsidRPr="00E45C1F" w:rsidRDefault="00E909CF" w:rsidP="00ED00DF">
      <w:pPr>
        <w:spacing w:before="240" w:after="240" w:line="360" w:lineRule="auto"/>
      </w:pPr>
    </w:p>
    <w:p w14:paraId="1E7F5F8E" w14:textId="77777777" w:rsidR="00E909CF" w:rsidRPr="00E45C1F" w:rsidRDefault="00E909CF" w:rsidP="00ED00DF">
      <w:pPr>
        <w:spacing w:before="240" w:after="240" w:line="360" w:lineRule="auto"/>
      </w:pPr>
    </w:p>
    <w:p w14:paraId="5E9A144D" w14:textId="77777777" w:rsidR="00E909CF" w:rsidRPr="00E45C1F" w:rsidRDefault="00E909CF" w:rsidP="00ED00DF">
      <w:pPr>
        <w:spacing w:before="240" w:after="240" w:line="360" w:lineRule="auto"/>
      </w:pPr>
    </w:p>
    <w:p w14:paraId="30C8FA37" w14:textId="77777777" w:rsidR="00647D92" w:rsidRDefault="00647D92" w:rsidP="00647D92"/>
    <w:p w14:paraId="6DE6088B" w14:textId="0E8D0F50" w:rsidR="008E060F" w:rsidRPr="00FF7FC3" w:rsidRDefault="000738F3" w:rsidP="00FF7FC3">
      <w:pPr>
        <w:spacing w:line="360" w:lineRule="auto"/>
      </w:pPr>
      <w:r w:rsidRPr="00FF7FC3">
        <w:t>Health inequalities are the unfair, avoidable</w:t>
      </w:r>
      <w:r w:rsidR="00ED00DF" w:rsidRPr="00FF7FC3">
        <w:t>,</w:t>
      </w:r>
      <w:r w:rsidRPr="00FF7FC3">
        <w:t xml:space="preserve"> and systematic disparities in health between different groups of individuals </w:t>
      </w:r>
      <w:r w:rsidR="009410A0" w:rsidRPr="00FF7FC3">
        <w:t>(Williams et al. 2022)</w:t>
      </w:r>
      <w:r w:rsidRPr="00FF7FC3">
        <w:t>. Health patterns vary significantly between the white population and the various ethnic minorities, reflecting the diversity of socio-economic, demographic, cultural, behavioural</w:t>
      </w:r>
      <w:r w:rsidR="00ED00DF" w:rsidRPr="00FF7FC3">
        <w:t>,</w:t>
      </w:r>
      <w:r w:rsidRPr="00FF7FC3">
        <w:t xml:space="preserve"> and other attributes intrinsic to these groups.</w:t>
      </w:r>
      <w:r w:rsidR="00A66C71" w:rsidRPr="00FF7FC3">
        <w:t xml:space="preserve"> </w:t>
      </w:r>
      <w:r w:rsidRPr="00FF7FC3">
        <w:t>Health inequalities can be understood by assessing social determinants of health</w:t>
      </w:r>
      <w:r w:rsidR="00A66C71" w:rsidRPr="00FF7FC3">
        <w:t>, which refer to</w:t>
      </w:r>
      <w:r w:rsidRPr="00FF7FC3">
        <w:t xml:space="preserve"> the circumstances surrounding individuals’ birth, upbringing, daily life, employment</w:t>
      </w:r>
      <w:r w:rsidR="00ED00DF" w:rsidRPr="00FF7FC3">
        <w:t>,</w:t>
      </w:r>
      <w:r w:rsidRPr="00FF7FC3">
        <w:t xml:space="preserve"> and ability to access resources (World Health Organization, 2021). Within the London Borough of Croydon, there </w:t>
      </w:r>
      <w:r w:rsidR="00A66C71" w:rsidRPr="00FF7FC3">
        <w:t>exist</w:t>
      </w:r>
      <w:r w:rsidRPr="00FF7FC3">
        <w:t xml:space="preserve"> several factors contributing to health inequality among </w:t>
      </w:r>
      <w:r w:rsidR="00A66C71" w:rsidRPr="00FF7FC3">
        <w:t>working-age</w:t>
      </w:r>
      <w:r w:rsidRPr="00FF7FC3">
        <w:t xml:space="preserve"> residents.</w:t>
      </w:r>
      <w:r w:rsidR="00785688" w:rsidRPr="00FF7FC3">
        <w:t xml:space="preserve"> Croydon is a London borough in south London, formed on 1st April 1965, by merging the counties of Croydon, Coulsdon, and purely district within Surrey which comprises 3 constituencies with a population of 390,506, Covering an area of 33.6sq miles</w:t>
      </w:r>
      <w:r w:rsidR="008E060F" w:rsidRPr="00FF7FC3">
        <w:t xml:space="preserve"> with large</w:t>
      </w:r>
      <w:r w:rsidR="008E060F" w:rsidRPr="00FF7FC3">
        <w:rPr>
          <w:lang w:val="en-US"/>
        </w:rPr>
        <w:t xml:space="preserve"> minority groups from foreign heritage on an increase, about 22.6% (Campbell 2022). </w:t>
      </w:r>
    </w:p>
    <w:p w14:paraId="4EC162BA" w14:textId="77777777" w:rsidR="00FF7FC3" w:rsidRPr="00FF7FC3" w:rsidRDefault="005151B0" w:rsidP="00FF7FC3">
      <w:pPr>
        <w:spacing w:before="240" w:after="240" w:line="360" w:lineRule="auto"/>
      </w:pPr>
      <w:r w:rsidRPr="00FF7FC3">
        <w:t xml:space="preserve">Those living with a disability, women, and members of black minority ethnic communities are more likely to be disproportionately impacted by cost-of-living challenges </w:t>
      </w:r>
      <w:r w:rsidR="00567ED9" w:rsidRPr="00FF7FC3">
        <w:t>and</w:t>
      </w:r>
      <w:r w:rsidRPr="00FF7FC3">
        <w:t xml:space="preserve"> an inability to access fair employment in a good working environment. </w:t>
      </w:r>
      <w:r w:rsidR="00567ED9" w:rsidRPr="00FF7FC3">
        <w:t>The</w:t>
      </w:r>
      <w:r w:rsidRPr="00FF7FC3">
        <w:t xml:space="preserve"> employment rate gap between the minority ethnic groups and the white population stands at </w:t>
      </w:r>
      <w:r w:rsidR="006A63B4" w:rsidRPr="00FF7FC3">
        <w:t>9</w:t>
      </w:r>
      <w:r w:rsidRPr="00FF7FC3">
        <w:t xml:space="preserve">% </w:t>
      </w:r>
      <w:r w:rsidR="006A63B4" w:rsidRPr="00FF7FC3">
        <w:t>in 2021 (Office for National Statistics 2022)</w:t>
      </w:r>
      <w:r w:rsidRPr="00FF7FC3">
        <w:t>. All this leads to poorer physical and mental health</w:t>
      </w:r>
      <w:r w:rsidR="00567ED9" w:rsidRPr="00FF7FC3">
        <w:t xml:space="preserve"> due to the reduced quality of life, social exclusion, and </w:t>
      </w:r>
      <w:r w:rsidR="001E52EC" w:rsidRPr="00FF7FC3">
        <w:t xml:space="preserve">increased risk of </w:t>
      </w:r>
      <w:r w:rsidR="00567ED9" w:rsidRPr="00FF7FC3">
        <w:t xml:space="preserve">morbidity </w:t>
      </w:r>
      <w:r w:rsidR="001E52EC" w:rsidRPr="00FF7FC3">
        <w:t>associated with unemployment</w:t>
      </w:r>
      <w:r w:rsidRPr="00FF7FC3">
        <w:t xml:space="preserve"> </w:t>
      </w:r>
      <w:r w:rsidR="006A63B4" w:rsidRPr="00FF7FC3">
        <w:t>(Griffiths et al. 2021</w:t>
      </w:r>
      <w:r w:rsidRPr="00FF7FC3">
        <w:t>).</w:t>
      </w:r>
    </w:p>
    <w:p w14:paraId="5F53E77B" w14:textId="0483C8F7" w:rsidR="00300CD2" w:rsidRPr="00FF7FC3" w:rsidRDefault="00300CD2" w:rsidP="00FF7FC3">
      <w:pPr>
        <w:spacing w:before="240" w:after="240" w:line="360" w:lineRule="auto"/>
      </w:pPr>
      <w:r w:rsidRPr="00FF7FC3">
        <w:t xml:space="preserve"> </w:t>
      </w:r>
      <w:r w:rsidR="00F843C6" w:rsidRPr="00FF7FC3">
        <w:t>According to Abraham Maslow</w:t>
      </w:r>
      <w:r w:rsidR="00873FC7" w:rsidRPr="00FF7FC3">
        <w:t xml:space="preserve">, belongingness plays a major role in human behaviour, with </w:t>
      </w:r>
      <w:r w:rsidR="00682F1D" w:rsidRPr="00FF7FC3">
        <w:t xml:space="preserve">a </w:t>
      </w:r>
      <w:r w:rsidR="00873FC7" w:rsidRPr="00FF7FC3">
        <w:t>priority on psychological and safety needs</w:t>
      </w:r>
      <w:r w:rsidR="00682F1D" w:rsidRPr="00FF7FC3">
        <w:t xml:space="preserve"> </w:t>
      </w:r>
      <w:r w:rsidR="00FF7FC3" w:rsidRPr="00FF7FC3">
        <w:t xml:space="preserve">before one can progress to another level </w:t>
      </w:r>
      <w:r w:rsidR="00682F1D" w:rsidRPr="00FF7FC3">
        <w:t>(McLeod, 2023).</w:t>
      </w:r>
      <w:r w:rsidR="00FF7FC3" w:rsidRPr="00FF7FC3">
        <w:t xml:space="preserve"> </w:t>
      </w:r>
    </w:p>
    <w:p w14:paraId="64C5722A" w14:textId="400E6D4C" w:rsidR="00AE14C8" w:rsidRPr="00FF7FC3" w:rsidRDefault="000738F3" w:rsidP="00FF7FC3">
      <w:pPr>
        <w:spacing w:before="240" w:after="240" w:line="360" w:lineRule="auto"/>
      </w:pPr>
      <w:r w:rsidRPr="00FF7FC3">
        <w:t xml:space="preserve">Lifestyle differences also contribute to health inequalities among working-age individuals, </w:t>
      </w:r>
      <w:proofErr w:type="gramStart"/>
      <w:r w:rsidRPr="00FF7FC3">
        <w:t>in particular</w:t>
      </w:r>
      <w:proofErr w:type="gramEnd"/>
      <w:r w:rsidRPr="00FF7FC3">
        <w:t xml:space="preserve"> the exposure to long-term conditions. These risk factors include excessive alcohol consumption, smoking, low exercise levels</w:t>
      </w:r>
      <w:r w:rsidR="00B256E2" w:rsidRPr="00FF7FC3">
        <w:t>,</w:t>
      </w:r>
      <w:r w:rsidRPr="00FF7FC3">
        <w:t xml:space="preserve"> and poor diet contribute to how long individuals live and specifically live in good health. Among adults, there are inequalities in </w:t>
      </w:r>
      <w:proofErr w:type="spellStart"/>
      <w:r w:rsidR="00FF7FC3" w:rsidRPr="00FF7FC3">
        <w:t>behavioral</w:t>
      </w:r>
      <w:proofErr w:type="spellEnd"/>
      <w:r w:rsidRPr="00FF7FC3">
        <w:t xml:space="preserve"> risk factors with individuals in manual and routine occupations more likely to smoke when compared to those in professional and managerial occupations </w:t>
      </w:r>
      <w:r w:rsidR="009410A0" w:rsidRPr="00FF7FC3">
        <w:t>(Director of Public Health 2022)</w:t>
      </w:r>
      <w:r w:rsidRPr="00FF7FC3">
        <w:t xml:space="preserve">. </w:t>
      </w:r>
    </w:p>
    <w:p w14:paraId="0CF956B6" w14:textId="77777777" w:rsidR="004A0FBF" w:rsidRDefault="000738F3" w:rsidP="00FF7FC3">
      <w:pPr>
        <w:spacing w:before="240" w:after="240" w:line="360" w:lineRule="auto"/>
      </w:pPr>
      <w:r w:rsidRPr="00FF7FC3">
        <w:t xml:space="preserve">Vulnerable </w:t>
      </w:r>
      <w:r w:rsidR="00A66C71" w:rsidRPr="00FF7FC3">
        <w:t>people</w:t>
      </w:r>
      <w:r w:rsidRPr="00FF7FC3">
        <w:t xml:space="preserve"> in society have a greater risk of having poorer mental health (Centre for Mental Health, 2020). Individuals who identify as LGBTI+ experience a higher prevalence of mental health issues, self-harm</w:t>
      </w:r>
      <w:r w:rsidR="008336EF" w:rsidRPr="00FF7FC3">
        <w:t>,</w:t>
      </w:r>
      <w:r w:rsidRPr="00FF7FC3">
        <w:t xml:space="preserve"> and suicidal behaviour when compared to heterosexual </w:t>
      </w:r>
      <w:r w:rsidRPr="00FF7FC3">
        <w:lastRenderedPageBreak/>
        <w:t xml:space="preserve">people </w:t>
      </w:r>
      <w:r w:rsidR="00816465" w:rsidRPr="00FF7FC3">
        <w:t>(LGBTIQ+ no date)</w:t>
      </w:r>
      <w:r w:rsidRPr="00FF7FC3">
        <w:t>. While their orientation doesn’t cause these problems, the rejection, isolation</w:t>
      </w:r>
      <w:r w:rsidR="008336EF" w:rsidRPr="00FF7FC3">
        <w:t>,</w:t>
      </w:r>
      <w:r w:rsidRPr="00FF7FC3">
        <w:t xml:space="preserve"> and discrimination they sometimes face may contribute to these issues. </w:t>
      </w:r>
    </w:p>
    <w:p w14:paraId="0000000F" w14:textId="54804527" w:rsidR="00043459" w:rsidRPr="00FF7FC3" w:rsidRDefault="000738F3" w:rsidP="00FF7FC3">
      <w:pPr>
        <w:spacing w:before="240" w:after="240" w:line="360" w:lineRule="auto"/>
      </w:pPr>
      <w:r w:rsidRPr="00FF7FC3">
        <w:t xml:space="preserve">Mental health challenges and substance misuse may occur together with the latter causing or exacerbating symptoms </w:t>
      </w:r>
      <w:r w:rsidR="00A66C71" w:rsidRPr="00FF7FC3">
        <w:t xml:space="preserve">and </w:t>
      </w:r>
      <w:r w:rsidRPr="00FF7FC3">
        <w:t xml:space="preserve">deteriorating mental health further.  </w:t>
      </w:r>
    </w:p>
    <w:p w14:paraId="00000014" w14:textId="6B6B2427" w:rsidR="00043459" w:rsidRPr="00FF7FC3" w:rsidRDefault="00A66C71" w:rsidP="00FF7FC3">
      <w:pPr>
        <w:spacing w:before="240" w:after="240" w:line="360" w:lineRule="auto"/>
      </w:pPr>
      <w:r w:rsidRPr="00FF7FC3">
        <w:t xml:space="preserve">To address these health inequalities in Croydon, interventions should be made to target the societal groups most at risk. This can include </w:t>
      </w:r>
      <w:r w:rsidR="00682F1D" w:rsidRPr="00FF7FC3">
        <w:t xml:space="preserve">government </w:t>
      </w:r>
      <w:r w:rsidR="00A15C99" w:rsidRPr="00FF7FC3">
        <w:t>intervention</w:t>
      </w:r>
      <w:r w:rsidR="00682F1D" w:rsidRPr="00FF7FC3">
        <w:t>, implementing legislations and policies</w:t>
      </w:r>
      <w:r w:rsidR="00A15C99" w:rsidRPr="00FF7FC3">
        <w:t xml:space="preserve"> such as </w:t>
      </w:r>
      <w:r w:rsidR="004A0FBF">
        <w:t xml:space="preserve">the Care Act 2014, </w:t>
      </w:r>
      <w:r w:rsidR="00A15C99" w:rsidRPr="00FF7FC3">
        <w:t>the Human Rights Act 1998</w:t>
      </w:r>
      <w:r w:rsidR="004A0FBF">
        <w:t>,</w:t>
      </w:r>
      <w:r w:rsidR="00A15C99" w:rsidRPr="00FF7FC3">
        <w:t xml:space="preserve"> </w:t>
      </w:r>
      <w:r w:rsidR="004A0FBF" w:rsidRPr="00FF7FC3">
        <w:t>and</w:t>
      </w:r>
      <w:r w:rsidR="00A15C99" w:rsidRPr="00FF7FC3">
        <w:t xml:space="preserve"> the Equality Act</w:t>
      </w:r>
      <w:r w:rsidR="00682F1D" w:rsidRPr="00FF7FC3">
        <w:t xml:space="preserve"> to support and grow the community by </w:t>
      </w:r>
      <w:r w:rsidRPr="00FF7FC3">
        <w:t>diagnosing long-term conditions early, retraining to increase employability</w:t>
      </w:r>
      <w:r w:rsidR="008336EF" w:rsidRPr="00FF7FC3">
        <w:t>,</w:t>
      </w:r>
      <w:r w:rsidRPr="00FF7FC3">
        <w:t xml:space="preserve"> and access to quality health care that addresses both physical and mental health. Physical activity comprises activities such as walking, cycling, wheeling, sports</w:t>
      </w:r>
      <w:r w:rsidR="008336EF" w:rsidRPr="00FF7FC3">
        <w:t>,</w:t>
      </w:r>
      <w:r w:rsidRPr="00FF7FC3">
        <w:t xml:space="preserve"> and active recreation. Regular exercise is known to help prevent non-communicable diseases like stroke, diabetes</w:t>
      </w:r>
      <w:r w:rsidR="008336EF" w:rsidRPr="00FF7FC3">
        <w:t>,</w:t>
      </w:r>
      <w:r w:rsidRPr="00FF7FC3">
        <w:t xml:space="preserve"> and heart disease, as well as managing healthy weight and improving mental health</w:t>
      </w:r>
      <w:r w:rsidR="00300CD2" w:rsidRPr="00FF7FC3">
        <w:t xml:space="preserve"> (Director of Public Health 2022)</w:t>
      </w:r>
      <w:r w:rsidRPr="00FF7FC3">
        <w:t xml:space="preserve">. In Croydon, the percentage of physically active adults is 63.4% </w:t>
      </w:r>
      <w:bookmarkStart w:id="1" w:name="_Hlk149064868"/>
      <w:r w:rsidR="00816465" w:rsidRPr="00FF7FC3">
        <w:t>(Director of Public Health 2022</w:t>
      </w:r>
      <w:bookmarkEnd w:id="1"/>
      <w:r w:rsidR="00816465" w:rsidRPr="00FF7FC3">
        <w:t>)</w:t>
      </w:r>
      <w:r w:rsidRPr="00FF7FC3">
        <w:t xml:space="preserve">.   </w:t>
      </w:r>
    </w:p>
    <w:p w14:paraId="16D7BC3D" w14:textId="77777777" w:rsidR="00300CD2" w:rsidRPr="00FF7FC3" w:rsidRDefault="000738F3" w:rsidP="00FF7FC3">
      <w:pPr>
        <w:spacing w:before="240" w:after="240" w:line="360" w:lineRule="auto"/>
      </w:pPr>
      <w:r w:rsidRPr="00FF7FC3">
        <w:t>Tobacco kills approximately 8.7 million people per year; this includes about 1.3 million non-smokers exposed to second-hand smoke (World Health Organization, 2023). From the Annual Population Survey (APS) data, the percentage of adults (18+ years) who currently smoke stands at 11.6%</w:t>
      </w:r>
      <w:r w:rsidR="00300CD2" w:rsidRPr="00FF7FC3">
        <w:t xml:space="preserve"> (Woodley 2019)</w:t>
      </w:r>
      <w:r w:rsidRPr="00FF7FC3">
        <w:t xml:space="preserve">. Among adults aged 18-64, the prevalence of smokers among those in manual and routine occupations is 7.8%. Alcohol is another legal drug whose prolonged excessive use can lead to future health challenges. In Croydon, about 15.8% of adults drink over 14 units of alcohol per week; the recommended maximum alcohol intake in a week is at most 14 units </w:t>
      </w:r>
      <w:r w:rsidR="00816465" w:rsidRPr="00FF7FC3">
        <w:t>(NHS website no date)</w:t>
      </w:r>
      <w:r w:rsidRPr="00FF7FC3">
        <w:t>. The above behavioural risk factors are likely contributing factors to the 23% proportion of residents living with 2 or more long-term conditions, a figure that’s predicted to rise significantly in the next couple of years</w:t>
      </w:r>
      <w:r w:rsidR="00816465" w:rsidRPr="00FF7FC3">
        <w:t>.</w:t>
      </w:r>
    </w:p>
    <w:p w14:paraId="00000017" w14:textId="12D79C8E" w:rsidR="00043459" w:rsidRPr="00FF7FC3" w:rsidRDefault="000738F3" w:rsidP="00FF7FC3">
      <w:pPr>
        <w:spacing w:before="240" w:after="240" w:line="360" w:lineRule="auto"/>
      </w:pPr>
      <w:r w:rsidRPr="00FF7FC3">
        <w:t xml:space="preserve">There is </w:t>
      </w:r>
      <w:r w:rsidR="00300CD2" w:rsidRPr="00FF7FC3">
        <w:t>also a</w:t>
      </w:r>
      <w:r w:rsidRPr="00FF7FC3">
        <w:t xml:space="preserve"> significant inequality in suicide rates between males and females both nationally and locally in Croydon. Middle-aged men have the highest risk of committing suicide. In the London Borough of Croydon, the suicide </w:t>
      </w:r>
      <w:r w:rsidR="00A66C71" w:rsidRPr="00FF7FC3">
        <w:t>rate</w:t>
      </w:r>
      <w:r w:rsidRPr="00FF7FC3">
        <w:t xml:space="preserve"> among females per 100,000 individuals is 2.9, while that of males </w:t>
      </w:r>
      <w:r w:rsidR="00A66C71" w:rsidRPr="00FF7FC3">
        <w:t>is</w:t>
      </w:r>
      <w:r w:rsidRPr="00FF7FC3">
        <w:t xml:space="preserve"> 10.0 per 100,000 </w:t>
      </w:r>
      <w:r w:rsidR="00816465" w:rsidRPr="00FF7FC3">
        <w:t>(Director of Public Health 2022)</w:t>
      </w:r>
      <w:r w:rsidRPr="00FF7FC3">
        <w:t xml:space="preserve">. There’s currently </w:t>
      </w:r>
      <w:r w:rsidR="00A66C71" w:rsidRPr="00FF7FC3">
        <w:t xml:space="preserve">a </w:t>
      </w:r>
      <w:r w:rsidRPr="00FF7FC3">
        <w:t>lack of strong evidence suggesting a change in these rates due to the COVID-19 pandemic. However, the economic drivers behind suicide were negatively affected leading to concerns about the related long-term financial impact such as loss of income or unemployment, given the recognised relationship between economic hardship and suicidal behaviours.</w:t>
      </w:r>
    </w:p>
    <w:p w14:paraId="0BB9A54A" w14:textId="77777777" w:rsidR="00B647CE" w:rsidRPr="00FF7FC3" w:rsidRDefault="00072477" w:rsidP="00FF7FC3">
      <w:pPr>
        <w:spacing w:before="240" w:after="240" w:line="360" w:lineRule="auto"/>
      </w:pPr>
      <w:r w:rsidRPr="00FF7FC3">
        <w:lastRenderedPageBreak/>
        <w:t xml:space="preserve">During the pandemic, and in particular the financial year 2021/22, Croydon’s unemployment percentage fell behind the national average with approximately 6.4% of people unemployed (13,300) compared to 5.4% in London </w:t>
      </w:r>
      <w:r w:rsidR="00FF0F23" w:rsidRPr="00FF7FC3">
        <w:t>(Office for National Statistics no date)</w:t>
      </w:r>
      <w:r w:rsidRPr="00FF7FC3">
        <w:t xml:space="preserve">. For the employed, there’s still the matter of an ethnicity, gender and disability pay gap that needs addressing. In 2019, the disability pay gap was 16.6% in London, and in 2016 Croydon had a larger percentage of benefits claimants compared to England and London </w:t>
      </w:r>
      <w:r w:rsidR="009410A0" w:rsidRPr="00FF7FC3">
        <w:t>(Director of Public Health 2022).</w:t>
      </w:r>
    </w:p>
    <w:p w14:paraId="0000001B" w14:textId="02F18EA7" w:rsidR="00043459" w:rsidRPr="00FF7FC3" w:rsidRDefault="000738F3" w:rsidP="00FF7FC3">
      <w:pPr>
        <w:spacing w:before="240" w:after="240" w:line="360" w:lineRule="auto"/>
      </w:pPr>
      <w:r w:rsidRPr="00FF7FC3">
        <w:t>The utilisation of the community-based approach will help alleviate health inequalities in the London borough of Croydon. A community-based approach is a method of working in collaboration with persons of concern within the community to address social and health issues, by developing and implementing targeted, viable solutions</w:t>
      </w:r>
      <w:r w:rsidR="00300CD2" w:rsidRPr="00FF7FC3">
        <w:t xml:space="preserve"> (Nickel and von </w:t>
      </w:r>
      <w:proofErr w:type="spellStart"/>
      <w:r w:rsidR="00300CD2" w:rsidRPr="00FF7FC3">
        <w:t>dem</w:t>
      </w:r>
      <w:proofErr w:type="spellEnd"/>
      <w:r w:rsidR="00300CD2" w:rsidRPr="00FF7FC3">
        <w:t xml:space="preserve"> </w:t>
      </w:r>
      <w:proofErr w:type="spellStart"/>
      <w:r w:rsidR="00300CD2" w:rsidRPr="00FF7FC3">
        <w:t>Knesebeck</w:t>
      </w:r>
      <w:proofErr w:type="spellEnd"/>
      <w:r w:rsidR="00300CD2" w:rsidRPr="00FF7FC3">
        <w:t xml:space="preserve"> 2019)</w:t>
      </w:r>
      <w:r w:rsidRPr="00FF7FC3">
        <w:t>. It requires the appreciation and understanding of societal aspects like gender roles, community dynamics, the political context, the receiving populations</w:t>
      </w:r>
      <w:r w:rsidR="00ED00DF" w:rsidRPr="00FF7FC3">
        <w:t>,</w:t>
      </w:r>
      <w:r w:rsidRPr="00FF7FC3">
        <w:t xml:space="preserve"> and protection concerns, risks</w:t>
      </w:r>
      <w:r w:rsidR="00ED00DF" w:rsidRPr="00FF7FC3">
        <w:t>,</w:t>
      </w:r>
      <w:r w:rsidRPr="00FF7FC3">
        <w:t xml:space="preserve"> and priorities.</w:t>
      </w:r>
      <w:r w:rsidR="00B647CE" w:rsidRPr="00FF7FC3">
        <w:t xml:space="preserve"> </w:t>
      </w:r>
      <w:r w:rsidR="00A66C71" w:rsidRPr="00FF7FC3">
        <w:t>Besides this, the facilitators need to understand their role, limitations in terms of resources and capacity, and the long-term effects of their intervention within the Croydon community.</w:t>
      </w:r>
    </w:p>
    <w:p w14:paraId="0000001F" w14:textId="71F2BF20" w:rsidR="00043459" w:rsidRPr="00FF7FC3" w:rsidRDefault="000738F3" w:rsidP="00FF7FC3">
      <w:pPr>
        <w:spacing w:before="240" w:after="240" w:line="360" w:lineRule="auto"/>
      </w:pPr>
      <w:r w:rsidRPr="00FF7FC3">
        <w:t>This approach prevents the social problems that arise</w:t>
      </w:r>
      <w:r w:rsidR="00ED00DF" w:rsidRPr="00FF7FC3">
        <w:t xml:space="preserve"> </w:t>
      </w:r>
      <w:r w:rsidRPr="00FF7FC3">
        <w:t xml:space="preserve">or </w:t>
      </w:r>
      <w:r w:rsidR="00A66C71" w:rsidRPr="00FF7FC3">
        <w:t>manages</w:t>
      </w:r>
      <w:r w:rsidRPr="00FF7FC3">
        <w:t xml:space="preserve"> in a direct manner those that do arise, without having to rely on actors external to the community to take on these liabilities</w:t>
      </w:r>
      <w:r w:rsidR="00300CD2" w:rsidRPr="00FF7FC3">
        <w:t xml:space="preserve"> (Nickel and von </w:t>
      </w:r>
      <w:proofErr w:type="spellStart"/>
      <w:r w:rsidR="00300CD2" w:rsidRPr="00FF7FC3">
        <w:t>dem</w:t>
      </w:r>
      <w:proofErr w:type="spellEnd"/>
      <w:r w:rsidR="00300CD2" w:rsidRPr="00FF7FC3">
        <w:t xml:space="preserve"> </w:t>
      </w:r>
      <w:proofErr w:type="spellStart"/>
      <w:r w:rsidR="00300CD2" w:rsidRPr="00FF7FC3">
        <w:t>Knesebeck</w:t>
      </w:r>
      <w:proofErr w:type="spellEnd"/>
      <w:r w:rsidR="00300CD2" w:rsidRPr="00FF7FC3">
        <w:t xml:space="preserve"> 2019)</w:t>
      </w:r>
      <w:r w:rsidRPr="00FF7FC3">
        <w:t xml:space="preserve">. It supports these working-age residents in re-establishing support structures and fostering the development of </w:t>
      </w:r>
      <w:r w:rsidR="00A66C71" w:rsidRPr="00FF7FC3">
        <w:t>remediation</w:t>
      </w:r>
      <w:r w:rsidRPr="00FF7FC3">
        <w:t xml:space="preserve"> cultural patterns.</w:t>
      </w:r>
      <w:r w:rsidR="00300CD2" w:rsidRPr="00FF7FC3">
        <w:t xml:space="preserve"> </w:t>
      </w:r>
      <w:r w:rsidRPr="00FF7FC3">
        <w:t xml:space="preserve">Additionally, the community-based approach will address the </w:t>
      </w:r>
      <w:r w:rsidR="00A66C71" w:rsidRPr="00FF7FC3">
        <w:t>helplessness</w:t>
      </w:r>
      <w:r w:rsidRPr="00FF7FC3">
        <w:t xml:space="preserve"> the vulnerable groups feel vis-a-vis health inequalities by reinforcing their self-esteem and dignity and empowering </w:t>
      </w:r>
      <w:r w:rsidR="00B66684" w:rsidRPr="00B66684">
        <w:t>Safeguarding Vulnerable Group Act 2006</w:t>
      </w:r>
      <w:r w:rsidR="00B66684">
        <w:t xml:space="preserve"> for </w:t>
      </w:r>
      <w:r w:rsidRPr="00FF7FC3">
        <w:t xml:space="preserve">all actors involved to work in tandem with adult Croydon residents in enjoying and exercising their health and social care rights.   </w:t>
      </w:r>
    </w:p>
    <w:p w14:paraId="00000022" w14:textId="01D40BAF" w:rsidR="00043459" w:rsidRPr="00FF7FC3" w:rsidRDefault="000738F3" w:rsidP="00FF7FC3">
      <w:pPr>
        <w:spacing w:before="240" w:after="240" w:line="360" w:lineRule="auto"/>
      </w:pPr>
      <w:r w:rsidRPr="00FF7FC3">
        <w:t>For the thousands of working-age individuals living in Croydon, and especially in vulnerable urban and rural communities, hospitals and clinics remain their only source of health care</w:t>
      </w:r>
      <w:r w:rsidR="00300CD2" w:rsidRPr="00FF7FC3">
        <w:t xml:space="preserve"> (Director of Public Health 2022)</w:t>
      </w:r>
      <w:r w:rsidRPr="00FF7FC3">
        <w:t xml:space="preserve">. As </w:t>
      </w:r>
      <w:r w:rsidR="00A66C71" w:rsidRPr="00FF7FC3">
        <w:t xml:space="preserve">the </w:t>
      </w:r>
      <w:r w:rsidRPr="00FF7FC3">
        <w:t xml:space="preserve">transformation in these institutions continues, some groups may encounter the risk of losing their access to </w:t>
      </w:r>
      <w:r w:rsidR="00ED1566" w:rsidRPr="00FF7FC3">
        <w:t>healthcare</w:t>
      </w:r>
      <w:r w:rsidRPr="00FF7FC3">
        <w:t xml:space="preserve"> opportunities and services plus the resources needed to maintain and improve their health</w:t>
      </w:r>
      <w:r w:rsidR="008228F4">
        <w:t xml:space="preserve">, </w:t>
      </w:r>
      <w:r w:rsidR="00B66684">
        <w:t xml:space="preserve">the </w:t>
      </w:r>
      <w:r w:rsidR="008228F4">
        <w:t xml:space="preserve">government should ensure </w:t>
      </w:r>
      <w:r w:rsidR="00B66684">
        <w:t>Mental Health Act 1983</w:t>
      </w:r>
      <w:r w:rsidR="008228F4">
        <w:t>,</w:t>
      </w:r>
      <w:r w:rsidR="00B66684">
        <w:t xml:space="preserve"> </w:t>
      </w:r>
      <w:r w:rsidR="008228F4">
        <w:t>and Health Care Act 2022</w:t>
      </w:r>
      <w:r w:rsidR="00B66684">
        <w:t>,</w:t>
      </w:r>
      <w:r w:rsidR="008228F4">
        <w:t xml:space="preserve"> and 2012 are</w:t>
      </w:r>
      <w:r w:rsidRPr="00FF7FC3">
        <w:t xml:space="preserve"> integrated and comprehensive strategy that works to optimise health care delivery and the financial stability of vulnerable people in Croydon to complement the Croydon Health and Wellbeing Strategy</w:t>
      </w:r>
      <w:r w:rsidR="00C35459" w:rsidRPr="00FF7FC3">
        <w:rPr>
          <w:color w:val="000000"/>
        </w:rPr>
        <w:t xml:space="preserve"> </w:t>
      </w:r>
      <w:r w:rsidR="00C35459" w:rsidRPr="00FF7FC3">
        <w:t>(Woodley 2019)</w:t>
      </w:r>
      <w:r w:rsidRPr="00FF7FC3">
        <w:t xml:space="preserve">. This will </w:t>
      </w:r>
      <w:r w:rsidR="00ED00DF" w:rsidRPr="00FF7FC3">
        <w:t>encourage</w:t>
      </w:r>
      <w:r w:rsidRPr="00FF7FC3">
        <w:t xml:space="preserve"> working-age residents to make individual choices based on their needs, preferences</w:t>
      </w:r>
      <w:r w:rsidR="00ED00DF" w:rsidRPr="00FF7FC3">
        <w:t>,</w:t>
      </w:r>
      <w:r w:rsidRPr="00FF7FC3">
        <w:t xml:space="preserve"> and support structure.</w:t>
      </w:r>
    </w:p>
    <w:p w14:paraId="4DB1DABD" w14:textId="77777777" w:rsidR="00B66684" w:rsidRDefault="00B66684" w:rsidP="00FF7FC3">
      <w:pPr>
        <w:spacing w:before="240" w:after="240" w:line="360" w:lineRule="auto"/>
      </w:pPr>
    </w:p>
    <w:p w14:paraId="288768C4" w14:textId="77777777" w:rsidR="00321A20" w:rsidRDefault="000738F3" w:rsidP="00FF7FC3">
      <w:pPr>
        <w:spacing w:before="240" w:after="240" w:line="360" w:lineRule="auto"/>
      </w:pPr>
      <w:r w:rsidRPr="00FF7FC3">
        <w:t>To this effect</w:t>
      </w:r>
      <w:r w:rsidR="00A66C71" w:rsidRPr="00FF7FC3">
        <w:t>,</w:t>
      </w:r>
      <w:r w:rsidRPr="00FF7FC3">
        <w:t xml:space="preserve"> there is </w:t>
      </w:r>
      <w:r w:rsidR="00A66C71" w:rsidRPr="00FF7FC3">
        <w:t>a</w:t>
      </w:r>
      <w:r w:rsidRPr="00FF7FC3">
        <w:t xml:space="preserve"> need for a community health clinic strat</w:t>
      </w:r>
      <w:r w:rsidR="00A66C71" w:rsidRPr="00FF7FC3">
        <w:t>egy</w:t>
      </w:r>
      <w:r w:rsidRPr="00FF7FC3">
        <w:t xml:space="preserve"> that addresses the social determinants of health to reduce the health inequality gap in these individuals</w:t>
      </w:r>
      <w:r w:rsidR="00722A91" w:rsidRPr="00FF7FC3">
        <w:t xml:space="preserve"> to avoid conflict theory</w:t>
      </w:r>
      <w:r w:rsidR="00F843C6" w:rsidRPr="00FF7FC3">
        <w:t xml:space="preserve"> (Gaertner, 2010).</w:t>
      </w:r>
      <w:r w:rsidR="00722A91" w:rsidRPr="00FF7FC3">
        <w:t xml:space="preserve"> between economic classes, ethnic groups,</w:t>
      </w:r>
      <w:r w:rsidRPr="00FF7FC3">
        <w:t xml:space="preserve"> </w:t>
      </w:r>
      <w:r w:rsidR="00722A91" w:rsidRPr="00FF7FC3">
        <w:t xml:space="preserve">young and old people protecting their </w:t>
      </w:r>
      <w:r w:rsidR="00F843C6" w:rsidRPr="00FF7FC3">
        <w:t>interests</w:t>
      </w:r>
      <w:r w:rsidR="00722A91" w:rsidRPr="00FF7FC3">
        <w:t xml:space="preserve"> </w:t>
      </w:r>
      <w:r w:rsidR="00F843C6" w:rsidRPr="00FF7FC3">
        <w:t>at</w:t>
      </w:r>
      <w:r w:rsidR="00722A91" w:rsidRPr="00FF7FC3">
        <w:t xml:space="preserve"> the expense of others.</w:t>
      </w:r>
      <w:r w:rsidRPr="00FF7FC3">
        <w:t xml:space="preserve"> </w:t>
      </w:r>
      <w:r w:rsidR="00572406" w:rsidRPr="00FF7FC3">
        <w:t>However,</w:t>
      </w:r>
      <w:r w:rsidRPr="00FF7FC3">
        <w:t xml:space="preserve"> even in the optimal case where quality </w:t>
      </w:r>
      <w:r w:rsidR="00A66C71" w:rsidRPr="00FF7FC3">
        <w:t>healthcare</w:t>
      </w:r>
      <w:r w:rsidRPr="00FF7FC3">
        <w:t xml:space="preserve"> services are available, social determinants of health may prevent people from achieving their health goals</w:t>
      </w:r>
      <w:r w:rsidR="00300CD2" w:rsidRPr="00FF7FC3">
        <w:t xml:space="preserve"> (Williams et al. 2022)</w:t>
      </w:r>
      <w:r w:rsidRPr="00FF7FC3">
        <w:t xml:space="preserve">. These determinants include economic stability, education, </w:t>
      </w:r>
      <w:r w:rsidR="00572406" w:rsidRPr="00FF7FC3">
        <w:t>neighbourhood</w:t>
      </w:r>
      <w:r w:rsidRPr="00FF7FC3">
        <w:t xml:space="preserve"> and built environment, biology, health </w:t>
      </w:r>
      <w:r w:rsidR="00572406" w:rsidRPr="00FF7FC3">
        <w:t>behaviour</w:t>
      </w:r>
      <w:r w:rsidRPr="00FF7FC3">
        <w:t>, health care access</w:t>
      </w:r>
      <w:r w:rsidR="00ED00DF" w:rsidRPr="00FF7FC3">
        <w:t>,</w:t>
      </w:r>
      <w:r w:rsidRPr="00FF7FC3">
        <w:t xml:space="preserve"> and the social/community context. </w:t>
      </w:r>
    </w:p>
    <w:p w14:paraId="00000026" w14:textId="3B294613" w:rsidR="00043459" w:rsidRPr="00FF7FC3" w:rsidRDefault="00321A20" w:rsidP="00FF7FC3">
      <w:pPr>
        <w:spacing w:before="240" w:after="240" w:line="360" w:lineRule="auto"/>
      </w:pPr>
      <w:r>
        <w:t>R</w:t>
      </w:r>
      <w:r w:rsidR="000738F3" w:rsidRPr="00FF7FC3">
        <w:t>ecommend</w:t>
      </w:r>
      <w:r>
        <w:t>ations</w:t>
      </w:r>
      <w:r w:rsidR="000738F3" w:rsidRPr="00FF7FC3">
        <w:t xml:space="preserve"> to manage the underlying social conditions </w:t>
      </w:r>
      <w:r>
        <w:t>include</w:t>
      </w:r>
      <w:r w:rsidR="000738F3" w:rsidRPr="00FF7FC3">
        <w:t xml:space="preserve"> systematically screening patients for social needs that are health-related and discussing the effect these challenges</w:t>
      </w:r>
      <w:r w:rsidR="007D32A7">
        <w:t>,</w:t>
      </w:r>
      <w:r w:rsidR="000738F3" w:rsidRPr="00FF7FC3">
        <w:t xml:space="preserve"> </w:t>
      </w:r>
      <w:r w:rsidR="007D32A7">
        <w:t xml:space="preserve">have </w:t>
      </w:r>
      <w:r w:rsidR="000738F3" w:rsidRPr="00FF7FC3">
        <w:t>on their well-being when they’re accessing medical services</w:t>
      </w:r>
      <w:r w:rsidR="00300CD2" w:rsidRPr="00FF7FC3">
        <w:t xml:space="preserve"> (Williams et al. 2022)</w:t>
      </w:r>
      <w:r w:rsidR="000738F3" w:rsidRPr="00FF7FC3">
        <w:t>. Vulnerable working-age populations are likely to take advantage of free programs such as the free NHS</w:t>
      </w:r>
      <w:r w:rsidR="00300CD2" w:rsidRPr="00FF7FC3">
        <w:t xml:space="preserve"> </w:t>
      </w:r>
      <w:r w:rsidR="000738F3" w:rsidRPr="00FF7FC3">
        <w:t xml:space="preserve">health check program, which has been running in Croydon since 2011 to identify diseases like </w:t>
      </w:r>
      <w:r w:rsidR="00300CD2" w:rsidRPr="00FF7FC3">
        <w:t>d</w:t>
      </w:r>
      <w:r w:rsidR="000738F3" w:rsidRPr="00FF7FC3">
        <w:t>iabetes, kidney disease, certain types of dementia, and stroke for people between the ages of 40 and 74.</w:t>
      </w:r>
    </w:p>
    <w:p w14:paraId="00000029" w14:textId="39720D1C" w:rsidR="00043459" w:rsidRPr="00FF7FC3" w:rsidRDefault="000738F3" w:rsidP="00FF7FC3">
      <w:pPr>
        <w:spacing w:before="240" w:after="240" w:line="360" w:lineRule="auto"/>
      </w:pPr>
      <w:r w:rsidRPr="00FF7FC3">
        <w:t>Secondly, community health clinics should be able to partner with stakeholders, including service users, service providers</w:t>
      </w:r>
      <w:r w:rsidR="008336EF" w:rsidRPr="00FF7FC3">
        <w:t>,</w:t>
      </w:r>
      <w:r w:rsidRPr="00FF7FC3">
        <w:t xml:space="preserve"> and the wider community, to closely align local services with patient needs. The case of improving mental health, for instance, isn’t an issue affecting only one or two vulnerable working-age groups; community health clinics partnering with organisations like the Mental Health First Aid (MHFA) training programme in Croydon will orient all activities done or received by the relevant actors</w:t>
      </w:r>
      <w:r w:rsidR="00300CD2" w:rsidRPr="00FF7FC3">
        <w:t xml:space="preserve"> (Croydon Council no date)</w:t>
      </w:r>
      <w:r w:rsidRPr="00FF7FC3">
        <w:t>. Having the MHFA instructors in these clinics coming from within the Croydon community will break down barriers between institutions and residents, as they’re neighbours, relatives, colleagues</w:t>
      </w:r>
      <w:r w:rsidR="007D32A7">
        <w:t>,</w:t>
      </w:r>
      <w:r w:rsidRPr="00FF7FC3">
        <w:t xml:space="preserve"> and friends to people undergoing these challenges.</w:t>
      </w:r>
    </w:p>
    <w:p w14:paraId="00000031" w14:textId="3AD616C4" w:rsidR="00043459" w:rsidRPr="00FF7FC3" w:rsidRDefault="000738F3" w:rsidP="002B06A6">
      <w:pPr>
        <w:spacing w:before="240" w:after="240" w:line="360" w:lineRule="auto"/>
      </w:pPr>
      <w:r w:rsidRPr="00FF7FC3">
        <w:t>Communication is an incredibly powerful tool for addressing the growing and complex issue of health inequalities and using community health clinic services to tackle this challenge. It not only informs and educates but when used effectively, can also empower people and change their attitudes and behaviour to narrow the health inequality gap</w:t>
      </w:r>
      <w:r w:rsidR="00300CD2" w:rsidRPr="00FF7FC3">
        <w:t xml:space="preserve"> (Nickel and von </w:t>
      </w:r>
      <w:proofErr w:type="spellStart"/>
      <w:r w:rsidR="00300CD2" w:rsidRPr="00FF7FC3">
        <w:t>dem</w:t>
      </w:r>
      <w:proofErr w:type="spellEnd"/>
      <w:r w:rsidR="00300CD2" w:rsidRPr="00FF7FC3">
        <w:t xml:space="preserve"> </w:t>
      </w:r>
      <w:proofErr w:type="spellStart"/>
      <w:r w:rsidR="00300CD2" w:rsidRPr="00FF7FC3">
        <w:t>Knesebeck</w:t>
      </w:r>
      <w:proofErr w:type="spellEnd"/>
      <w:r w:rsidR="00300CD2" w:rsidRPr="00FF7FC3">
        <w:t xml:space="preserve"> 2019)</w:t>
      </w:r>
      <w:r w:rsidRPr="00FF7FC3">
        <w:t xml:space="preserve">. Communication for health must </w:t>
      </w:r>
      <w:r w:rsidR="004A0FBF" w:rsidRPr="00FF7FC3">
        <w:t>be</w:t>
      </w:r>
      <w:r w:rsidRPr="00FF7FC3">
        <w:t xml:space="preserve"> informed by theory and data, should be measurable, ought to be planned, must be </w:t>
      </w:r>
      <w:r w:rsidR="00302669">
        <w:t>people-</w:t>
      </w:r>
      <w:proofErr w:type="spellStart"/>
      <w:r w:rsidR="00302669">
        <w:t>centered</w:t>
      </w:r>
      <w:proofErr w:type="spellEnd"/>
      <w:r w:rsidRPr="00FF7FC3">
        <w:t xml:space="preserve">, </w:t>
      </w:r>
      <w:r w:rsidR="00A66C71" w:rsidRPr="00FF7FC3">
        <w:t xml:space="preserve">and </w:t>
      </w:r>
      <w:r w:rsidRPr="00FF7FC3">
        <w:t>needs to be collaborative and targeted (World Health Organization (WHO) no date). Media strategies that can communicate this health message within the London Borough of Croydon community include</w:t>
      </w:r>
      <w:r w:rsidR="007D32A7">
        <w:t xml:space="preserve"> </w:t>
      </w:r>
      <w:r w:rsidRPr="00FF7FC3">
        <w:rPr>
          <w:b/>
        </w:rPr>
        <w:t>Radio</w:t>
      </w:r>
      <w:r w:rsidR="007D32A7">
        <w:rPr>
          <w:b/>
        </w:rPr>
        <w:t>, television, print</w:t>
      </w:r>
      <w:r w:rsidR="00302669">
        <w:rPr>
          <w:b/>
        </w:rPr>
        <w:t>,</w:t>
      </w:r>
      <w:r w:rsidR="007D32A7">
        <w:rPr>
          <w:b/>
        </w:rPr>
        <w:t xml:space="preserve"> and social m</w:t>
      </w:r>
      <w:r w:rsidR="00302669">
        <w:rPr>
          <w:b/>
        </w:rPr>
        <w:t>edia tools</w:t>
      </w:r>
      <w:r w:rsidRPr="00FF7FC3">
        <w:rPr>
          <w:b/>
        </w:rPr>
        <w:t>-</w:t>
      </w:r>
      <w:r w:rsidR="00411FAE" w:rsidRPr="00FF7FC3">
        <w:t xml:space="preserve"> T</w:t>
      </w:r>
      <w:r w:rsidRPr="00FF7FC3">
        <w:t xml:space="preserve">he London Borough of </w:t>
      </w:r>
      <w:r w:rsidR="00EF2D74">
        <w:t>Croydon</w:t>
      </w:r>
      <w:r w:rsidRPr="00FF7FC3">
        <w:t xml:space="preserve"> </w:t>
      </w:r>
      <w:r w:rsidR="00EF2D74">
        <w:lastRenderedPageBreak/>
        <w:t>can use these</w:t>
      </w:r>
      <w:r w:rsidRPr="00FF7FC3">
        <w:t xml:space="preserve"> </w:t>
      </w:r>
      <w:r w:rsidR="00EF2D74">
        <w:t>channels in collaboration with</w:t>
      </w:r>
      <w:r w:rsidRPr="00FF7FC3">
        <w:t xml:space="preserve"> stakeholders to hold informative talks and </w:t>
      </w:r>
      <w:r w:rsidR="00A66C71" w:rsidRPr="00FF7FC3">
        <w:t>promote</w:t>
      </w:r>
      <w:r w:rsidRPr="00FF7FC3">
        <w:t xml:space="preserve"> awareness </w:t>
      </w:r>
      <w:r w:rsidR="00A66C71" w:rsidRPr="00FF7FC3">
        <w:t>of</w:t>
      </w:r>
      <w:r w:rsidRPr="00FF7FC3">
        <w:t xml:space="preserve"> community health clinic </w:t>
      </w:r>
      <w:r w:rsidR="00ED00DF" w:rsidRPr="00FF7FC3">
        <w:t>programs</w:t>
      </w:r>
      <w:r w:rsidR="002B06A6">
        <w:t>,</w:t>
      </w:r>
      <w:r w:rsidR="00411FAE" w:rsidRPr="00FF7FC3">
        <w:t xml:space="preserve"> </w:t>
      </w:r>
      <w:r w:rsidR="002B06A6">
        <w:t>w</w:t>
      </w:r>
      <w:r w:rsidRPr="00FF7FC3">
        <w:t xml:space="preserve">ith the UK having an 84.4% social media penetration rate as of January 2023 (Statista </w:t>
      </w:r>
      <w:r w:rsidR="001E52EC" w:rsidRPr="00FF7FC3">
        <w:t>2023</w:t>
      </w:r>
      <w:r w:rsidRPr="00FF7FC3">
        <w:t>), it’s clear social media platforms like Instagram, Facebook</w:t>
      </w:r>
      <w:r w:rsidR="00ED00DF" w:rsidRPr="00FF7FC3">
        <w:t>,</w:t>
      </w:r>
      <w:r w:rsidRPr="00FF7FC3">
        <w:t xml:space="preserve"> and Twitter are mass-outreach platforms, that the community health clinics working in Croydon can leverage to spread awareness on their health inequalities initiatives and </w:t>
      </w:r>
      <w:r w:rsidR="00ED00DF" w:rsidRPr="00FF7FC3">
        <w:t>strategies.</w:t>
      </w:r>
      <w:r w:rsidRPr="00FF7FC3">
        <w:t xml:space="preserve">     </w:t>
      </w:r>
    </w:p>
    <w:p w14:paraId="4B776E49" w14:textId="70053996" w:rsidR="00A66C71" w:rsidRPr="00FF7FC3" w:rsidRDefault="000738F3" w:rsidP="00FF7FC3">
      <w:pPr>
        <w:spacing w:before="240" w:after="240" w:line="360" w:lineRule="auto"/>
      </w:pPr>
      <w:r w:rsidRPr="00FF7FC3">
        <w:t>To reduce the health inequalities gap within the London Borough of Croydon, participatory approaches need to be compounded with governmental organisations cooperating with non-governmental groups to effectively use health resources and empower the local community. The challenges that likely impede social participation in ensuring every adult within the Croydon borough has fair and equal access to health care services</w:t>
      </w:r>
      <w:r w:rsidR="002B06A6">
        <w:t>.</w:t>
      </w:r>
    </w:p>
    <w:p w14:paraId="00000035" w14:textId="06011F76" w:rsidR="00043459" w:rsidRPr="00FF7FC3" w:rsidRDefault="000738F3" w:rsidP="002B06A6">
      <w:pPr>
        <w:spacing w:before="240" w:after="240" w:line="360" w:lineRule="auto"/>
      </w:pPr>
      <w:r w:rsidRPr="00FF7FC3">
        <w:t xml:space="preserve">There is a general distrust among members of the community in participatory programs (Gholipour et al. 2023). Community health workers not fulfilling their obligations in previous programs and government agency staff, either taking money from residents or using the initiative to bolster their position </w:t>
      </w:r>
      <w:r w:rsidR="00ED00DF" w:rsidRPr="00FF7FC3">
        <w:t>have</w:t>
      </w:r>
      <w:r w:rsidRPr="00FF7FC3">
        <w:t xml:space="preserve"> eroded the trust the local population has in such participatory </w:t>
      </w:r>
      <w:r w:rsidR="00ED00DF" w:rsidRPr="00FF7FC3">
        <w:t>programs.</w:t>
      </w:r>
    </w:p>
    <w:p w14:paraId="00000036" w14:textId="2FAC4252" w:rsidR="00043459" w:rsidRPr="00FF7FC3" w:rsidRDefault="000738F3" w:rsidP="002B06A6">
      <w:pPr>
        <w:spacing w:before="240" w:after="240" w:line="360" w:lineRule="auto"/>
      </w:pPr>
      <w:r w:rsidRPr="00FF7FC3">
        <w:t>There’s often low public awareness, lack of justification</w:t>
      </w:r>
      <w:r w:rsidR="00ED00DF" w:rsidRPr="00FF7FC3">
        <w:t>,</w:t>
      </w:r>
      <w:r w:rsidRPr="00FF7FC3">
        <w:t xml:space="preserve"> and misunderstanding of the priority or importance of these health programs from the community’s point of view</w:t>
      </w:r>
      <w:r w:rsidR="00B647CE" w:rsidRPr="00FF7FC3">
        <w:t xml:space="preserve"> (Croydon Council no date)</w:t>
      </w:r>
      <w:r w:rsidRPr="00FF7FC3">
        <w:t xml:space="preserve">. People are busy with their own lives and don’t participate in social issues enough. There exists a culture around lack of participation in these initiatives as personal commitments for most supersede the interests of the society. Cultural barriers can also manifest in the reluctance of males to take active roles or even participate in such </w:t>
      </w:r>
      <w:r w:rsidR="00ED00DF" w:rsidRPr="00FF7FC3">
        <w:t>programs.</w:t>
      </w:r>
    </w:p>
    <w:p w14:paraId="00000037" w14:textId="28A0A99E" w:rsidR="00043459" w:rsidRPr="00FF7FC3" w:rsidRDefault="000738F3" w:rsidP="002B06A6">
      <w:pPr>
        <w:spacing w:before="240" w:after="240" w:line="360" w:lineRule="auto"/>
      </w:pPr>
      <w:r w:rsidRPr="00FF7FC3">
        <w:t xml:space="preserve">The existing tedious bureaucratic structures when it comes to implementing government-sponsored programs, </w:t>
      </w:r>
      <w:r w:rsidR="00A66C71" w:rsidRPr="00FF7FC3">
        <w:t>lengthen</w:t>
      </w:r>
      <w:r w:rsidRPr="00FF7FC3">
        <w:t xml:space="preserve"> the implementation process while simultaneously demoralising the stakeholders involved</w:t>
      </w:r>
      <w:r w:rsidR="00B647CE" w:rsidRPr="00FF7FC3">
        <w:t xml:space="preserve"> (Croydon Council no date).</w:t>
      </w:r>
    </w:p>
    <w:p w14:paraId="12F07566" w14:textId="37EC3010" w:rsidR="00EF2D74" w:rsidRDefault="000738F3" w:rsidP="002B06A6">
      <w:pPr>
        <w:spacing w:before="240" w:after="240" w:line="360" w:lineRule="auto"/>
      </w:pPr>
      <w:r w:rsidRPr="00FF7FC3">
        <w:t xml:space="preserve">Inadequate financial resources and understaffing within the community health scene impeded the fruitful roll-out of community health programs. Initiation of these programs trickles down to zero because of </w:t>
      </w:r>
      <w:r w:rsidR="00A66C71" w:rsidRPr="00FF7FC3">
        <w:t xml:space="preserve">the </w:t>
      </w:r>
      <w:r w:rsidRPr="00FF7FC3">
        <w:t xml:space="preserve">lack of a </w:t>
      </w:r>
      <w:r w:rsidR="00A66C71" w:rsidRPr="00FF7FC3">
        <w:t>pre-agreed-upon</w:t>
      </w:r>
      <w:r w:rsidRPr="00FF7FC3">
        <w:t xml:space="preserve"> budget </w:t>
      </w:r>
      <w:r w:rsidR="00C35459" w:rsidRPr="00FF7FC3">
        <w:t>(Johnson et al. 2022)</w:t>
      </w:r>
      <w:r w:rsidR="00B647CE" w:rsidRPr="00FF7FC3">
        <w:t>.</w:t>
      </w:r>
    </w:p>
    <w:p w14:paraId="7CD9F1C9" w14:textId="77777777" w:rsidR="002B06A6" w:rsidRDefault="002B06A6" w:rsidP="002B06A6">
      <w:pPr>
        <w:spacing w:before="240" w:after="240" w:line="360" w:lineRule="auto"/>
      </w:pPr>
      <w:r>
        <w:t xml:space="preserve">Concluding that </w:t>
      </w:r>
      <w:r w:rsidR="00321A20" w:rsidRPr="00321A20">
        <w:t xml:space="preserve">Health inequalities are </w:t>
      </w:r>
      <w:r w:rsidR="00EF2D74">
        <w:t>on the increase</w:t>
      </w:r>
      <w:r w:rsidR="00321A20" w:rsidRPr="00321A20">
        <w:t xml:space="preserve"> in Croydon</w:t>
      </w:r>
      <w:r w:rsidR="004C209E">
        <w:t xml:space="preserve"> and have</w:t>
      </w:r>
      <w:r w:rsidR="00302669">
        <w:t xml:space="preserve"> been highlighted with some recommendations on how to </w:t>
      </w:r>
      <w:r w:rsidR="004C209E">
        <w:t>address the situation. With the support of the local authorities, stakeholders</w:t>
      </w:r>
      <w:r w:rsidR="00EF2D74">
        <w:t>,</w:t>
      </w:r>
      <w:r w:rsidR="004C209E">
        <w:t xml:space="preserve"> and the community at large working as a team, more will be achieved for the community, with numerous ongoing projects for the improvement of the communities</w:t>
      </w:r>
      <w:r w:rsidR="00C41F15">
        <w:t>, the desired goals would be met sooner.</w:t>
      </w:r>
    </w:p>
    <w:p w14:paraId="5E50D573" w14:textId="2C2AB120" w:rsidR="00F34910" w:rsidRPr="00FF7FC3" w:rsidRDefault="00F34910" w:rsidP="002B06A6">
      <w:pPr>
        <w:spacing w:before="240" w:after="240" w:line="360" w:lineRule="auto"/>
      </w:pPr>
      <w:r w:rsidRPr="00FF7FC3">
        <w:lastRenderedPageBreak/>
        <w:t>References</w:t>
      </w:r>
    </w:p>
    <w:p w14:paraId="31051D72" w14:textId="77777777" w:rsidR="00B647CE" w:rsidRDefault="00B647CE" w:rsidP="00FF7FC3">
      <w:pPr>
        <w:spacing w:before="240" w:after="240" w:line="360" w:lineRule="auto"/>
        <w:rPr>
          <w:rStyle w:val="Hyperlink"/>
          <w:lang w:val="en-US"/>
        </w:rPr>
      </w:pPr>
      <w:r w:rsidRPr="00FF7FC3">
        <w:rPr>
          <w:lang w:val="en-US"/>
        </w:rPr>
        <w:t>Croydon Council, (no date). Free NHS health checks [online]. </w:t>
      </w:r>
      <w:r w:rsidRPr="00FF7FC3">
        <w:rPr>
          <w:i/>
          <w:iCs/>
          <w:lang w:val="en-US"/>
        </w:rPr>
        <w:t>Croydon Council</w:t>
      </w:r>
      <w:r w:rsidRPr="00FF7FC3">
        <w:rPr>
          <w:lang w:val="en-US"/>
        </w:rPr>
        <w:t>. [Viewed 24 October 2023]. Available from: </w:t>
      </w:r>
      <w:hyperlink r:id="rId8" w:anchor=":~:text=Everyone%20between%20the%20ages%20of,for%20an%20NHS%20health%20check." w:tgtFrame="_blank" w:history="1">
        <w:r w:rsidRPr="00FF7FC3">
          <w:rPr>
            <w:rStyle w:val="Hyperlink"/>
            <w:lang w:val="en-US"/>
          </w:rPr>
          <w:t>https://www.croydon.gov.uk/health-and-wellbeing/nhs-and-health-services/nhs-services/free-nhs-health-checks#:~:text=Everyone%20between%20the%20ages%20of,for%20an%20NHS%20health%20check.</w:t>
        </w:r>
      </w:hyperlink>
    </w:p>
    <w:p w14:paraId="5F52142B" w14:textId="77777777" w:rsidR="00690C6E" w:rsidRPr="00690C6E" w:rsidRDefault="00690C6E" w:rsidP="00690C6E">
      <w:pPr>
        <w:spacing w:before="240" w:after="240" w:line="360" w:lineRule="auto"/>
        <w:rPr>
          <w:color w:val="0000FF" w:themeColor="hyperlink"/>
          <w:u w:val="single"/>
        </w:rPr>
      </w:pPr>
      <w:r w:rsidRPr="00690C6E">
        <w:rPr>
          <w:i/>
          <w:iCs/>
          <w:color w:val="0000FF" w:themeColor="hyperlink"/>
          <w:u w:val="single"/>
          <w:lang w:val="en-US"/>
        </w:rPr>
        <w:t>Croydon health chief calls for collective action to tackle health inequalities</w:t>
      </w:r>
      <w:r w:rsidRPr="00690C6E">
        <w:rPr>
          <w:color w:val="0000FF" w:themeColor="hyperlink"/>
          <w:u w:val="single"/>
          <w:lang w:val="en-US"/>
        </w:rPr>
        <w:t xml:space="preserve"> (no date) </w:t>
      </w:r>
      <w:r w:rsidRPr="00690C6E">
        <w:rPr>
          <w:i/>
          <w:iCs/>
          <w:color w:val="0000FF" w:themeColor="hyperlink"/>
          <w:u w:val="single"/>
          <w:lang w:val="en-US"/>
        </w:rPr>
        <w:t>Newsroom</w:t>
      </w:r>
      <w:r w:rsidRPr="00690C6E">
        <w:rPr>
          <w:color w:val="0000FF" w:themeColor="hyperlink"/>
          <w:u w:val="single"/>
          <w:lang w:val="en-US"/>
        </w:rPr>
        <w:t xml:space="preserve">. Available at: </w:t>
      </w:r>
      <w:hyperlink r:id="rId9" w:history="1">
        <w:r w:rsidRPr="00690C6E">
          <w:rPr>
            <w:rStyle w:val="Hyperlink"/>
            <w:lang w:val="en-US"/>
          </w:rPr>
          <w:t>https://news.croydon.gov.uk/croydon-health-chief-calls-for-collective-action-to-tackle-health-inequalities/</w:t>
        </w:r>
      </w:hyperlink>
      <w:r w:rsidRPr="00690C6E">
        <w:rPr>
          <w:color w:val="0000FF" w:themeColor="hyperlink"/>
          <w:u w:val="single"/>
          <w:lang w:val="en-US"/>
        </w:rPr>
        <w:t xml:space="preserve"> (Accessed: 21 November 2023).</w:t>
      </w:r>
    </w:p>
    <w:p w14:paraId="2C476872" w14:textId="3BDAE502" w:rsidR="00B647CE" w:rsidRDefault="00B647CE" w:rsidP="00FF7FC3">
      <w:pPr>
        <w:spacing w:before="240" w:after="240" w:line="360" w:lineRule="auto"/>
        <w:rPr>
          <w:rStyle w:val="Hyperlink"/>
          <w:lang w:val="en-US"/>
        </w:rPr>
      </w:pPr>
      <w:r w:rsidRPr="00FF7FC3">
        <w:rPr>
          <w:lang w:val="en-US"/>
        </w:rPr>
        <w:t>Director of Public Health, (2022). </w:t>
      </w:r>
      <w:r w:rsidRPr="00FF7FC3">
        <w:rPr>
          <w:i/>
          <w:iCs/>
          <w:lang w:val="en-US"/>
        </w:rPr>
        <w:t xml:space="preserve">Health inequalities in </w:t>
      </w:r>
      <w:r w:rsidR="00E81679" w:rsidRPr="00FF7FC3">
        <w:rPr>
          <w:i/>
          <w:iCs/>
          <w:lang w:val="en-US"/>
        </w:rPr>
        <w:t>Croydon</w:t>
      </w:r>
      <w:r w:rsidRPr="00FF7FC3">
        <w:rPr>
          <w:lang w:val="en-US"/>
        </w:rPr>
        <w:t> [online]. Croydon: Croydon Council. [Viewed 24 October 2023]. Available from: </w:t>
      </w:r>
      <w:hyperlink r:id="rId10" w:tgtFrame="_blank" w:history="1">
        <w:r w:rsidRPr="00FF7FC3">
          <w:rPr>
            <w:rStyle w:val="Hyperlink"/>
            <w:lang w:val="en-US"/>
          </w:rPr>
          <w:t>https://www.croydon.gov.uk/sites/default/files/2022-12/public-health-report-2022-full-</w:t>
        </w:r>
        <w:r w:rsidRPr="00FF7FC3">
          <w:rPr>
            <w:rStyle w:val="Hyperlink"/>
            <w:lang w:val="en-US"/>
          </w:rPr>
          <w:t>report.pdf</w:t>
        </w:r>
      </w:hyperlink>
    </w:p>
    <w:p w14:paraId="60E29449" w14:textId="77777777" w:rsidR="00690C6E" w:rsidRPr="00690C6E" w:rsidRDefault="00690C6E" w:rsidP="00690C6E">
      <w:pPr>
        <w:spacing w:before="240" w:after="240" w:line="360" w:lineRule="auto"/>
        <w:rPr>
          <w:color w:val="0000FF" w:themeColor="hyperlink"/>
          <w:u w:val="single"/>
        </w:rPr>
      </w:pPr>
      <w:r w:rsidRPr="00690C6E">
        <w:rPr>
          <w:i/>
          <w:iCs/>
          <w:color w:val="0000FF" w:themeColor="hyperlink"/>
          <w:u w:val="single"/>
          <w:lang w:val="en-US"/>
        </w:rPr>
        <w:t>EQUALITY STRATEGY FOR CROYDON</w:t>
      </w:r>
      <w:r w:rsidRPr="00690C6E">
        <w:rPr>
          <w:color w:val="0000FF" w:themeColor="hyperlink"/>
          <w:u w:val="single"/>
          <w:lang w:val="en-US"/>
        </w:rPr>
        <w:t xml:space="preserve"> (2020). Available at: </w:t>
      </w:r>
      <w:hyperlink r:id="rId11" w:history="1">
        <w:r w:rsidRPr="00690C6E">
          <w:rPr>
            <w:rStyle w:val="Hyperlink"/>
            <w:lang w:val="en-US"/>
          </w:rPr>
          <w:t>https://democracy.croydon.gov.uk/documents/s28031/Appendix%208.3F%20-%20Equality%20Strategy.pdf</w:t>
        </w:r>
      </w:hyperlink>
      <w:r w:rsidRPr="00690C6E">
        <w:rPr>
          <w:color w:val="0000FF" w:themeColor="hyperlink"/>
          <w:u w:val="single"/>
          <w:lang w:val="en-US"/>
        </w:rPr>
        <w:t xml:space="preserve"> (Accessed: 23 November 2023).</w:t>
      </w:r>
    </w:p>
    <w:p w14:paraId="2F59C1FD" w14:textId="15A8B5C5" w:rsidR="006E7B5E" w:rsidRPr="00FF7FC3" w:rsidRDefault="006E7B5E" w:rsidP="00FF7FC3">
      <w:pPr>
        <w:spacing w:before="240" w:after="240" w:line="360" w:lineRule="auto"/>
      </w:pPr>
      <w:r w:rsidRPr="00FF7FC3">
        <w:t xml:space="preserve">Gaertner, J. (2010) </w:t>
      </w:r>
      <w:r w:rsidRPr="00FF7FC3">
        <w:rPr>
          <w:i/>
          <w:iCs/>
        </w:rPr>
        <w:t>Community Development Theories: Conflict Theory</w:t>
      </w:r>
      <w:r w:rsidRPr="00FF7FC3">
        <w:t xml:space="preserve">, </w:t>
      </w:r>
      <w:r w:rsidRPr="00FF7FC3">
        <w:rPr>
          <w:i/>
          <w:iCs/>
        </w:rPr>
        <w:t>Community Development Theories</w:t>
      </w:r>
      <w:r w:rsidRPr="00FF7FC3">
        <w:t>. Available at: https://communitydevtheories.blogspot.com/2010/10/conflict-theory.html#:~:text=Definition%3A%20According%20to%20Phillips%20and (Accessed: 14 December 2023).</w:t>
      </w:r>
    </w:p>
    <w:p w14:paraId="4A7EB993" w14:textId="77777777" w:rsidR="00B647CE" w:rsidRPr="00FF7FC3" w:rsidRDefault="00B647CE" w:rsidP="00FF7FC3">
      <w:pPr>
        <w:spacing w:before="240" w:after="240" w:line="360" w:lineRule="auto"/>
        <w:rPr>
          <w:lang w:val="en-US"/>
        </w:rPr>
      </w:pPr>
      <w:r w:rsidRPr="00FF7FC3">
        <w:rPr>
          <w:lang w:val="en-US"/>
        </w:rPr>
        <w:t xml:space="preserve">Gholipour, K., Shokri, A., Yarahmadi, A. A., Tabrizi, J. S., </w:t>
      </w:r>
      <w:proofErr w:type="spellStart"/>
      <w:r w:rsidRPr="00FF7FC3">
        <w:rPr>
          <w:lang w:val="en-US"/>
        </w:rPr>
        <w:t>Iezadi</w:t>
      </w:r>
      <w:proofErr w:type="spellEnd"/>
      <w:r w:rsidRPr="00FF7FC3">
        <w:rPr>
          <w:lang w:val="en-US"/>
        </w:rPr>
        <w:t xml:space="preserve">, S., </w:t>
      </w:r>
      <w:proofErr w:type="spellStart"/>
      <w:r w:rsidRPr="00FF7FC3">
        <w:rPr>
          <w:lang w:val="en-US"/>
        </w:rPr>
        <w:t>Naghibi</w:t>
      </w:r>
      <w:proofErr w:type="spellEnd"/>
      <w:r w:rsidRPr="00FF7FC3">
        <w:rPr>
          <w:lang w:val="en-US"/>
        </w:rPr>
        <w:t xml:space="preserve">, D. and </w:t>
      </w:r>
      <w:proofErr w:type="spellStart"/>
      <w:r w:rsidRPr="00FF7FC3">
        <w:rPr>
          <w:lang w:val="en-US"/>
        </w:rPr>
        <w:t>Bidarpoor</w:t>
      </w:r>
      <w:proofErr w:type="spellEnd"/>
      <w:r w:rsidRPr="00FF7FC3">
        <w:rPr>
          <w:lang w:val="en-US"/>
        </w:rPr>
        <w:t>, F., (2023). Barriers to community participation in primary health care of district health: a qualitative study. </w:t>
      </w:r>
      <w:r w:rsidRPr="00FF7FC3">
        <w:rPr>
          <w:i/>
          <w:iCs/>
          <w:lang w:val="en-US"/>
        </w:rPr>
        <w:t>BMC Primary Care</w:t>
      </w:r>
      <w:r w:rsidRPr="00FF7FC3">
        <w:rPr>
          <w:lang w:val="en-US"/>
        </w:rPr>
        <w:t> [online]. </w:t>
      </w:r>
      <w:r w:rsidRPr="00FF7FC3">
        <w:rPr>
          <w:b/>
          <w:bCs/>
          <w:lang w:val="en-US"/>
        </w:rPr>
        <w:t>24</w:t>
      </w:r>
      <w:r w:rsidRPr="00FF7FC3">
        <w:rPr>
          <w:lang w:val="en-US"/>
        </w:rPr>
        <w:t xml:space="preserve">(1). [Viewed 24 October 2023]. Available from: </w:t>
      </w:r>
      <w:proofErr w:type="spellStart"/>
      <w:r w:rsidRPr="00FF7FC3">
        <w:rPr>
          <w:lang w:val="en-US"/>
        </w:rPr>
        <w:t>doi</w:t>
      </w:r>
      <w:proofErr w:type="spellEnd"/>
      <w:r w:rsidRPr="00FF7FC3">
        <w:rPr>
          <w:lang w:val="en-US"/>
        </w:rPr>
        <w:t>: 10.1186/s12875-023-02062-0</w:t>
      </w:r>
    </w:p>
    <w:p w14:paraId="7AA22646" w14:textId="77777777" w:rsidR="00B647CE" w:rsidRPr="00FF7FC3" w:rsidRDefault="00B647CE" w:rsidP="00FF7FC3">
      <w:pPr>
        <w:spacing w:before="240" w:after="240" w:line="360" w:lineRule="auto"/>
        <w:rPr>
          <w:lang w:val="en-US"/>
        </w:rPr>
      </w:pPr>
      <w:r w:rsidRPr="00FF7FC3">
        <w:rPr>
          <w:lang w:val="en-US"/>
        </w:rPr>
        <w:t xml:space="preserve">Griffiths, D., Sheehan, L., van </w:t>
      </w:r>
      <w:proofErr w:type="spellStart"/>
      <w:r w:rsidRPr="00FF7FC3">
        <w:rPr>
          <w:lang w:val="en-US"/>
        </w:rPr>
        <w:t>Vreden</w:t>
      </w:r>
      <w:proofErr w:type="spellEnd"/>
      <w:r w:rsidRPr="00FF7FC3">
        <w:rPr>
          <w:lang w:val="en-US"/>
        </w:rPr>
        <w:t>, C., Petrie, D., Grant, G., Whiteford, P., Sim, M. R. and Collie, A., (2021). The Impact of Work Loss on Mental and Physical Health During the COVID-19 Pandemic: Baseline Findings from a Prospective Cohort Study. </w:t>
      </w:r>
      <w:r w:rsidRPr="00FF7FC3">
        <w:rPr>
          <w:i/>
          <w:iCs/>
          <w:lang w:val="en-US"/>
        </w:rPr>
        <w:t>Journal of Occupational Rehabilitation</w:t>
      </w:r>
      <w:r w:rsidRPr="00FF7FC3">
        <w:rPr>
          <w:lang w:val="en-US"/>
        </w:rPr>
        <w:t xml:space="preserve"> [online]. [Viewed 24 October 2023]. Available from: </w:t>
      </w:r>
      <w:proofErr w:type="spellStart"/>
      <w:r w:rsidRPr="00FF7FC3">
        <w:rPr>
          <w:lang w:val="en-US"/>
        </w:rPr>
        <w:t>doi</w:t>
      </w:r>
      <w:proofErr w:type="spellEnd"/>
      <w:r w:rsidRPr="00FF7FC3">
        <w:rPr>
          <w:lang w:val="en-US"/>
        </w:rPr>
        <w:t>: 10.1007/s10926-021-09958-7</w:t>
      </w:r>
    </w:p>
    <w:p w14:paraId="39A33E85" w14:textId="77777777" w:rsidR="00B647CE" w:rsidRPr="00FF7FC3" w:rsidRDefault="00B647CE" w:rsidP="00FF7FC3">
      <w:pPr>
        <w:spacing w:before="240" w:after="240" w:line="360" w:lineRule="auto"/>
        <w:rPr>
          <w:lang w:val="en-US"/>
        </w:rPr>
      </w:pPr>
      <w:r w:rsidRPr="00FF7FC3">
        <w:rPr>
          <w:lang w:val="en-US"/>
        </w:rPr>
        <w:t xml:space="preserve">Johnson, L. J., Schopp, L. H., </w:t>
      </w:r>
      <w:proofErr w:type="spellStart"/>
      <w:r w:rsidRPr="00FF7FC3">
        <w:rPr>
          <w:lang w:val="en-US"/>
        </w:rPr>
        <w:t>Waggie</w:t>
      </w:r>
      <w:proofErr w:type="spellEnd"/>
      <w:r w:rsidRPr="00FF7FC3">
        <w:rPr>
          <w:lang w:val="en-US"/>
        </w:rPr>
        <w:t xml:space="preserve">, F. and Frantz, J. M., (2022). Challenges experienced by community health workers and their motivation to attend a self-management </w:t>
      </w:r>
      <w:proofErr w:type="spellStart"/>
      <w:r w:rsidRPr="00FF7FC3">
        <w:rPr>
          <w:lang w:val="en-US"/>
        </w:rPr>
        <w:lastRenderedPageBreak/>
        <w:t>programme</w:t>
      </w:r>
      <w:proofErr w:type="spellEnd"/>
      <w:r w:rsidRPr="00FF7FC3">
        <w:rPr>
          <w:lang w:val="en-US"/>
        </w:rPr>
        <w:t>. </w:t>
      </w:r>
      <w:r w:rsidRPr="00FF7FC3">
        <w:rPr>
          <w:i/>
          <w:iCs/>
          <w:lang w:val="en-US"/>
        </w:rPr>
        <w:t>African Journal of Primary Health Care &amp; Family Medicine</w:t>
      </w:r>
      <w:r w:rsidRPr="00FF7FC3">
        <w:rPr>
          <w:lang w:val="en-US"/>
        </w:rPr>
        <w:t> [online]. </w:t>
      </w:r>
      <w:r w:rsidRPr="00FF7FC3">
        <w:rPr>
          <w:b/>
          <w:bCs/>
          <w:lang w:val="en-US"/>
        </w:rPr>
        <w:t>14</w:t>
      </w:r>
      <w:r w:rsidRPr="00FF7FC3">
        <w:rPr>
          <w:lang w:val="en-US"/>
        </w:rPr>
        <w:t xml:space="preserve">(1). [Viewed 24 October 2023]. Available from: </w:t>
      </w:r>
      <w:proofErr w:type="spellStart"/>
      <w:r w:rsidRPr="00FF7FC3">
        <w:rPr>
          <w:lang w:val="en-US"/>
        </w:rPr>
        <w:t>doi</w:t>
      </w:r>
      <w:proofErr w:type="spellEnd"/>
      <w:r w:rsidRPr="00FF7FC3">
        <w:rPr>
          <w:lang w:val="en-US"/>
        </w:rPr>
        <w:t>: 10.4102/</w:t>
      </w:r>
      <w:proofErr w:type="gramStart"/>
      <w:r w:rsidRPr="00FF7FC3">
        <w:rPr>
          <w:lang w:val="en-US"/>
        </w:rPr>
        <w:t>phcfm.v</w:t>
      </w:r>
      <w:proofErr w:type="gramEnd"/>
      <w:r w:rsidRPr="00FF7FC3">
        <w:rPr>
          <w:lang w:val="en-US"/>
        </w:rPr>
        <w:t>14i1.2911</w:t>
      </w:r>
    </w:p>
    <w:p w14:paraId="46A24E28" w14:textId="77777777" w:rsidR="00B647CE" w:rsidRPr="00FF7FC3" w:rsidRDefault="00B647CE" w:rsidP="00FF7FC3">
      <w:pPr>
        <w:spacing w:before="240" w:after="240" w:line="360" w:lineRule="auto"/>
        <w:rPr>
          <w:lang w:val="en-US"/>
        </w:rPr>
      </w:pPr>
      <w:r w:rsidRPr="00FF7FC3">
        <w:rPr>
          <w:lang w:val="en-US"/>
        </w:rPr>
        <w:t>LGBTIQ+ people: statistics [online], (no date). </w:t>
      </w:r>
      <w:r w:rsidRPr="00FF7FC3">
        <w:rPr>
          <w:i/>
          <w:iCs/>
          <w:lang w:val="en-US"/>
        </w:rPr>
        <w:t>Mental Health Foundation</w:t>
      </w:r>
      <w:r w:rsidRPr="00FF7FC3">
        <w:rPr>
          <w:lang w:val="en-US"/>
        </w:rPr>
        <w:t>. [Viewed 24 October 2023]. Available from: </w:t>
      </w:r>
      <w:hyperlink r:id="rId12" w:tgtFrame="_blank" w:history="1">
        <w:r w:rsidRPr="00FF7FC3">
          <w:rPr>
            <w:rStyle w:val="Hyperlink"/>
            <w:lang w:val="en-US"/>
          </w:rPr>
          <w:t>https://www.mentalhealth.org.uk/explore-mental-health/statistics/lgbtiq-people-statistics</w:t>
        </w:r>
      </w:hyperlink>
    </w:p>
    <w:p w14:paraId="5B9D2634" w14:textId="77777777" w:rsidR="00B647CE" w:rsidRPr="00FF7FC3" w:rsidRDefault="00B647CE" w:rsidP="00FF7FC3">
      <w:pPr>
        <w:spacing w:before="240" w:after="240" w:line="360" w:lineRule="auto"/>
        <w:rPr>
          <w:lang w:val="en-US"/>
        </w:rPr>
      </w:pPr>
      <w:r w:rsidRPr="00FF7FC3">
        <w:rPr>
          <w:lang w:val="en-US"/>
        </w:rPr>
        <w:t>Middle-aged men and suicide [online], (no date). </w:t>
      </w:r>
      <w:r w:rsidRPr="00FF7FC3">
        <w:rPr>
          <w:i/>
          <w:iCs/>
          <w:lang w:val="en-US"/>
        </w:rPr>
        <w:t>Samaritans</w:t>
      </w:r>
      <w:r w:rsidRPr="00FF7FC3">
        <w:rPr>
          <w:lang w:val="en-US"/>
        </w:rPr>
        <w:t>. [Viewed 24 October 2023]. Available from: </w:t>
      </w:r>
      <w:hyperlink r:id="rId13" w:tgtFrame="_blank" w:history="1">
        <w:r w:rsidRPr="00FF7FC3">
          <w:rPr>
            <w:rStyle w:val="Hyperlink"/>
            <w:lang w:val="en-US"/>
          </w:rPr>
          <w:t>https://www.samaritans.org/about-samaritans/research-policy/middle-aged-men-suicide/</w:t>
        </w:r>
      </w:hyperlink>
    </w:p>
    <w:p w14:paraId="36CF7248" w14:textId="77777777" w:rsidR="00B647CE" w:rsidRPr="00FF7FC3" w:rsidRDefault="00B647CE" w:rsidP="00FF7FC3">
      <w:pPr>
        <w:spacing w:before="240" w:after="240" w:line="360" w:lineRule="auto"/>
        <w:rPr>
          <w:lang w:val="en-US"/>
        </w:rPr>
      </w:pPr>
      <w:r w:rsidRPr="00FF7FC3">
        <w:rPr>
          <w:lang w:val="en-US"/>
        </w:rPr>
        <w:t>Mind in Croydon, (no date). Mental Health First Aid Training – Mind in Croydon [online]. [Viewed 24 October 2023]. Available from: </w:t>
      </w:r>
      <w:hyperlink r:id="rId14" w:tgtFrame="_blank" w:history="1">
        <w:r w:rsidRPr="00FF7FC3">
          <w:rPr>
            <w:rStyle w:val="Hyperlink"/>
            <w:lang w:val="en-US"/>
          </w:rPr>
          <w:t>https://www.mindincroydon.org.uk/mental-health-first-aid-training/</w:t>
        </w:r>
      </w:hyperlink>
    </w:p>
    <w:p w14:paraId="4F600261" w14:textId="77777777" w:rsidR="00B647CE" w:rsidRPr="00FF7FC3" w:rsidRDefault="00B647CE" w:rsidP="00FF7FC3">
      <w:pPr>
        <w:spacing w:before="240" w:after="240" w:line="360" w:lineRule="auto"/>
        <w:rPr>
          <w:lang w:val="en-US"/>
        </w:rPr>
      </w:pPr>
      <w:r w:rsidRPr="00FF7FC3">
        <w:rPr>
          <w:lang w:val="en-US"/>
        </w:rPr>
        <w:t>NHS website, (no date-a). Alcohol units [online]. </w:t>
      </w:r>
      <w:r w:rsidRPr="00FF7FC3">
        <w:rPr>
          <w:i/>
          <w:iCs/>
          <w:lang w:val="en-US"/>
        </w:rPr>
        <w:t>nhs.uk</w:t>
      </w:r>
      <w:r w:rsidRPr="00FF7FC3">
        <w:rPr>
          <w:lang w:val="en-US"/>
        </w:rPr>
        <w:t>. [Viewed 23 October 2023]. Available from: </w:t>
      </w:r>
      <w:hyperlink r:id="rId15" w:anchor=":~:text=Knowing%20your%20units%20will%20help,week%20on%20a%20regular%20basis" w:tgtFrame="_blank" w:history="1">
        <w:r w:rsidRPr="00FF7FC3">
          <w:rPr>
            <w:rStyle w:val="Hyperlink"/>
            <w:lang w:val="en-US"/>
          </w:rPr>
          <w:t>https://www.nhs.uk/live-well/alcohol-advice/calculating-alcohol-units/#:~:text=Knowing%20your%20units%20will%20help,week%20on%20a%20regular%20basis</w:t>
        </w:r>
      </w:hyperlink>
    </w:p>
    <w:p w14:paraId="3148355B" w14:textId="77777777" w:rsidR="00B647CE" w:rsidRPr="00FF7FC3" w:rsidRDefault="00B647CE" w:rsidP="00FF7FC3">
      <w:pPr>
        <w:spacing w:before="240" w:after="240" w:line="360" w:lineRule="auto"/>
        <w:rPr>
          <w:lang w:val="en-US"/>
        </w:rPr>
      </w:pPr>
      <w:r w:rsidRPr="00FF7FC3">
        <w:rPr>
          <w:lang w:val="en-US"/>
        </w:rPr>
        <w:t>NHS website, (no date-b). Alcohol units [online]. </w:t>
      </w:r>
      <w:r w:rsidRPr="00FF7FC3">
        <w:rPr>
          <w:i/>
          <w:iCs/>
          <w:lang w:val="en-US"/>
        </w:rPr>
        <w:t>nhs.uk</w:t>
      </w:r>
      <w:r w:rsidRPr="00FF7FC3">
        <w:rPr>
          <w:lang w:val="en-US"/>
        </w:rPr>
        <w:t>. [Viewed 24 October 2023]. Available from: </w:t>
      </w:r>
      <w:hyperlink r:id="rId16" w:tgtFrame="_blank" w:history="1">
        <w:r w:rsidRPr="00FF7FC3">
          <w:rPr>
            <w:rStyle w:val="Hyperlink"/>
            <w:lang w:val="en-US"/>
          </w:rPr>
          <w:t>https://www.nhs.uk/live-well/alcohol-advice/calculating-alcohol-units/</w:t>
        </w:r>
      </w:hyperlink>
    </w:p>
    <w:p w14:paraId="3A33B009" w14:textId="77777777" w:rsidR="00B647CE" w:rsidRPr="00FF7FC3" w:rsidRDefault="00B647CE" w:rsidP="00FF7FC3">
      <w:pPr>
        <w:spacing w:before="240" w:after="240" w:line="360" w:lineRule="auto"/>
      </w:pPr>
      <w:r w:rsidRPr="00FF7FC3">
        <w:t>NHS, (no date). NHS health check [online]. </w:t>
      </w:r>
      <w:r w:rsidRPr="00FF7FC3">
        <w:rPr>
          <w:i/>
          <w:iCs/>
        </w:rPr>
        <w:t>Crown Copyright</w:t>
      </w:r>
      <w:r w:rsidRPr="00FF7FC3">
        <w:t>. [Viewed 24 October 2023]. Available from: </w:t>
      </w:r>
      <w:hyperlink r:id="rId17" w:tgtFrame="_blank" w:history="1">
        <w:r w:rsidRPr="00FF7FC3">
          <w:rPr>
            <w:rStyle w:val="Hyperlink"/>
          </w:rPr>
          <w:t>https://www.nhs.uk/conditions/nhs-health-check/</w:t>
        </w:r>
      </w:hyperlink>
    </w:p>
    <w:p w14:paraId="6BF52A26" w14:textId="77777777" w:rsidR="00B647CE" w:rsidRPr="00FF7FC3" w:rsidRDefault="00B647CE" w:rsidP="00FF7FC3">
      <w:pPr>
        <w:spacing w:before="240" w:after="240" w:line="360" w:lineRule="auto"/>
      </w:pPr>
      <w:r w:rsidRPr="00FF7FC3">
        <w:t xml:space="preserve">Nickel, S. and von </w:t>
      </w:r>
      <w:proofErr w:type="spellStart"/>
      <w:r w:rsidRPr="00FF7FC3">
        <w:t>dem</w:t>
      </w:r>
      <w:proofErr w:type="spellEnd"/>
      <w:r w:rsidRPr="00FF7FC3">
        <w:t xml:space="preserve"> </w:t>
      </w:r>
      <w:proofErr w:type="spellStart"/>
      <w:r w:rsidRPr="00FF7FC3">
        <w:t>Knesebeck</w:t>
      </w:r>
      <w:proofErr w:type="spellEnd"/>
      <w:r w:rsidRPr="00FF7FC3">
        <w:t>, O., (2019). Effectiveness of community-based health promotion interventions in urban areas: a systematic review. </w:t>
      </w:r>
      <w:r w:rsidRPr="00FF7FC3">
        <w:rPr>
          <w:i/>
          <w:iCs/>
        </w:rPr>
        <w:t>Journal of Community Health</w:t>
      </w:r>
      <w:r w:rsidRPr="00FF7FC3">
        <w:t> [online]. </w:t>
      </w:r>
      <w:r w:rsidRPr="00FF7FC3">
        <w:rPr>
          <w:b/>
          <w:bCs/>
        </w:rPr>
        <w:t>45</w:t>
      </w:r>
      <w:r w:rsidRPr="00FF7FC3">
        <w:t xml:space="preserve">(2), 419–434. [Viewed 24 October 2023]. Available from: </w:t>
      </w:r>
      <w:proofErr w:type="spellStart"/>
      <w:r w:rsidRPr="00FF7FC3">
        <w:t>doi</w:t>
      </w:r>
      <w:proofErr w:type="spellEnd"/>
      <w:r w:rsidRPr="00FF7FC3">
        <w:t>: 10.1007/s10900-019-00733-7</w:t>
      </w:r>
    </w:p>
    <w:p w14:paraId="375EEEB0" w14:textId="77777777" w:rsidR="00B647CE" w:rsidRPr="00FF7FC3" w:rsidRDefault="00B647CE" w:rsidP="00FF7FC3">
      <w:pPr>
        <w:spacing w:before="240" w:after="240" w:line="360" w:lineRule="auto"/>
        <w:rPr>
          <w:lang w:val="en-US"/>
        </w:rPr>
      </w:pPr>
      <w:r w:rsidRPr="00FF7FC3">
        <w:rPr>
          <w:lang w:val="en-US"/>
        </w:rPr>
        <w:t>Office for National Statistics, (2022). Employment [online]. [Viewed 24 October 2023]. Available from: </w:t>
      </w:r>
      <w:hyperlink r:id="rId18" w:anchor="data-sources" w:tgtFrame="_blank" w:history="1">
        <w:r w:rsidRPr="00FF7FC3">
          <w:rPr>
            <w:rStyle w:val="Hyperlink"/>
            <w:lang w:val="en-US"/>
          </w:rPr>
          <w:t>https://www.ethnicity-facts-figures.service.gov.uk/work-pay-and-benefits/employment/employment/latest#data-sources</w:t>
        </w:r>
      </w:hyperlink>
    </w:p>
    <w:p w14:paraId="4FF7AB94" w14:textId="77777777" w:rsidR="00B647CE" w:rsidRPr="00FF7FC3" w:rsidRDefault="00B647CE" w:rsidP="00FF7FC3">
      <w:pPr>
        <w:spacing w:before="240" w:after="240" w:line="360" w:lineRule="auto"/>
        <w:rPr>
          <w:lang w:val="en-US"/>
        </w:rPr>
      </w:pPr>
      <w:r w:rsidRPr="00FF7FC3">
        <w:rPr>
          <w:lang w:val="en-US"/>
        </w:rPr>
        <w:t xml:space="preserve">Office for National Statistics, (no date). </w:t>
      </w:r>
      <w:proofErr w:type="spellStart"/>
      <w:r w:rsidRPr="00FF7FC3">
        <w:rPr>
          <w:lang w:val="en-US"/>
        </w:rPr>
        <w:t>Labour</w:t>
      </w:r>
      <w:proofErr w:type="spellEnd"/>
      <w:r w:rsidRPr="00FF7FC3">
        <w:rPr>
          <w:lang w:val="en-US"/>
        </w:rPr>
        <w:t xml:space="preserve"> Market Profile - London [online]. [Viewed 24 October 2023]. Available from: </w:t>
      </w:r>
      <w:hyperlink r:id="rId19" w:tgtFrame="_blank" w:history="1">
        <w:r w:rsidRPr="00FF7FC3">
          <w:rPr>
            <w:rStyle w:val="Hyperlink"/>
            <w:lang w:val="en-US"/>
          </w:rPr>
          <w:t>https://www.nomisweb.co.uk/reports/lmp/gor/2013265927/report.aspx</w:t>
        </w:r>
      </w:hyperlink>
    </w:p>
    <w:p w14:paraId="6B7E3E34" w14:textId="77777777" w:rsidR="00B647CE" w:rsidRPr="00FF7FC3" w:rsidRDefault="00B647CE" w:rsidP="00FF7FC3">
      <w:pPr>
        <w:spacing w:before="240" w:after="240" w:line="360" w:lineRule="auto"/>
        <w:rPr>
          <w:lang w:val="en-US"/>
        </w:rPr>
      </w:pPr>
      <w:r w:rsidRPr="00FF7FC3">
        <w:rPr>
          <w:lang w:val="en-US"/>
        </w:rPr>
        <w:lastRenderedPageBreak/>
        <w:t>Statista, (2023). Social media penetration UK 2023 [online]. </w:t>
      </w:r>
      <w:r w:rsidRPr="00FF7FC3">
        <w:rPr>
          <w:i/>
          <w:iCs/>
          <w:lang w:val="en-US"/>
        </w:rPr>
        <w:t>Statista</w:t>
      </w:r>
      <w:r w:rsidRPr="00FF7FC3">
        <w:rPr>
          <w:lang w:val="en-US"/>
        </w:rPr>
        <w:t>. [Viewed 24 October 2023]. Available from: </w:t>
      </w:r>
      <w:hyperlink r:id="rId20" w:anchor=":~:text=The%20United%20Kingdom%20(UK)%20was,the%20population%20of%20the%20UK." w:tgtFrame="_blank" w:history="1">
        <w:r w:rsidRPr="00FF7FC3">
          <w:rPr>
            <w:rStyle w:val="Hyperlink"/>
            <w:lang w:val="en-US"/>
          </w:rPr>
          <w:t>https://www.statista.com/statistics/507405/uk-active-social-media-and-mobile-social-media-users/#:~:text=The%20United%20Kingdom%20(UK)%20was,the%20population%20of%20the%20UK.</w:t>
        </w:r>
      </w:hyperlink>
    </w:p>
    <w:p w14:paraId="6525513E" w14:textId="77777777" w:rsidR="00B647CE" w:rsidRPr="00FF7FC3" w:rsidRDefault="00B647CE" w:rsidP="00FF7FC3">
      <w:pPr>
        <w:spacing w:before="240" w:after="240" w:line="360" w:lineRule="auto"/>
        <w:rPr>
          <w:lang w:val="en-US"/>
        </w:rPr>
      </w:pPr>
      <w:r w:rsidRPr="00FF7FC3">
        <w:rPr>
          <w:lang w:val="en-US"/>
        </w:rPr>
        <w:t>Williams, E., Buck, D., Babalola, G. and Maguire, D., (2022). What are health inequalities? [online]. </w:t>
      </w:r>
      <w:r w:rsidRPr="00FF7FC3">
        <w:rPr>
          <w:i/>
          <w:iCs/>
          <w:lang w:val="en-US"/>
        </w:rPr>
        <w:t>The King's Fund</w:t>
      </w:r>
      <w:r w:rsidRPr="00FF7FC3">
        <w:rPr>
          <w:lang w:val="en-US"/>
        </w:rPr>
        <w:t>. [Viewed 24 October 2023]. Available from: </w:t>
      </w:r>
      <w:hyperlink r:id="rId21" w:tgtFrame="_blank" w:history="1">
        <w:r w:rsidRPr="00FF7FC3">
          <w:rPr>
            <w:rStyle w:val="Hyperlink"/>
            <w:lang w:val="en-US"/>
          </w:rPr>
          <w:t>https://www.kingsfund.org.uk/publications/what-are-health-inequalities</w:t>
        </w:r>
      </w:hyperlink>
    </w:p>
    <w:p w14:paraId="63AA9734" w14:textId="77777777" w:rsidR="00B647CE" w:rsidRPr="00FF7FC3" w:rsidRDefault="00B647CE" w:rsidP="00FF7FC3">
      <w:pPr>
        <w:spacing w:before="240" w:after="240" w:line="360" w:lineRule="auto"/>
        <w:rPr>
          <w:lang w:val="en-US"/>
        </w:rPr>
      </w:pPr>
      <w:r w:rsidRPr="00FF7FC3">
        <w:rPr>
          <w:lang w:val="en-US"/>
        </w:rPr>
        <w:t>Woodley, C. L., (2019). </w:t>
      </w:r>
      <w:r w:rsidRPr="00FF7FC3">
        <w:rPr>
          <w:i/>
          <w:iCs/>
          <w:lang w:val="en-US"/>
        </w:rPr>
        <w:t>Croydon Health and Wellbeing Strategy</w:t>
      </w:r>
      <w:r w:rsidRPr="00FF7FC3">
        <w:rPr>
          <w:lang w:val="en-US"/>
        </w:rPr>
        <w:t> [online]. Croydon: Chair of the Croydon Health and Wellbeing Board. [Viewed 24 October 2023]. Available from: </w:t>
      </w:r>
      <w:hyperlink r:id="rId22" w:tgtFrame="_blank" w:history="1">
        <w:r w:rsidRPr="00FF7FC3">
          <w:rPr>
            <w:rStyle w:val="Hyperlink"/>
            <w:lang w:val="en-US"/>
          </w:rPr>
          <w:t>https://democracy.croydon.gov.uk/documents/s13992/Health%20and%20Wellbeing%20Strategy%20-%20Final.pdf</w:t>
        </w:r>
      </w:hyperlink>
    </w:p>
    <w:p w14:paraId="2277A45F" w14:textId="77777777" w:rsidR="00B647CE" w:rsidRDefault="00B647CE" w:rsidP="00FF7FC3">
      <w:pPr>
        <w:spacing w:before="240" w:after="240" w:line="360" w:lineRule="auto"/>
        <w:rPr>
          <w:rStyle w:val="Hyperlink"/>
          <w:lang w:val="en-US"/>
        </w:rPr>
      </w:pPr>
      <w:r w:rsidRPr="00FF7FC3">
        <w:rPr>
          <w:lang w:val="en-US"/>
        </w:rPr>
        <w:t>World Health Organization (WHO), (no date). Communication for health [online]. </w:t>
      </w:r>
      <w:r w:rsidRPr="00FF7FC3">
        <w:rPr>
          <w:i/>
          <w:iCs/>
          <w:lang w:val="en-US"/>
        </w:rPr>
        <w:t>World Health Organization (WHO)</w:t>
      </w:r>
      <w:r w:rsidRPr="00FF7FC3">
        <w:rPr>
          <w:lang w:val="en-US"/>
        </w:rPr>
        <w:t>. [Viewed 24 October 2023]. Available from: </w:t>
      </w:r>
      <w:hyperlink r:id="rId23" w:tgtFrame="_blank" w:history="1">
        <w:r w:rsidRPr="00FF7FC3">
          <w:rPr>
            <w:rStyle w:val="Hyperlink"/>
            <w:lang w:val="en-US"/>
          </w:rPr>
          <w:t>https://www.who.int/westernpacific/initiatives/Communication-for-Health-C4H</w:t>
        </w:r>
      </w:hyperlink>
    </w:p>
    <w:p w14:paraId="2E2E69F3" w14:textId="77777777" w:rsidR="00C434F0" w:rsidRPr="00C434F0" w:rsidRDefault="00C434F0" w:rsidP="00C434F0">
      <w:pPr>
        <w:spacing w:before="240" w:after="240" w:line="360" w:lineRule="auto"/>
      </w:pPr>
      <w:r w:rsidRPr="00C434F0">
        <w:rPr>
          <w:lang w:val="en-US"/>
        </w:rPr>
        <w:t xml:space="preserve">Office for National Statistics, (2023). How life has changed in Croydon: Census 2021 [online]. [Viewed 25 October 2023]. Available from: </w:t>
      </w:r>
      <w:hyperlink r:id="rId24" w:history="1">
        <w:r w:rsidRPr="00C434F0">
          <w:rPr>
            <w:rStyle w:val="Hyperlink"/>
            <w:lang w:val="en-US"/>
          </w:rPr>
          <w:t>https://www.ons.gov.uk/visualisations/censusareachanges/E09000008/</w:t>
        </w:r>
      </w:hyperlink>
    </w:p>
    <w:p w14:paraId="52BD8718" w14:textId="0595C99F" w:rsidR="00C434F0" w:rsidRPr="00C434F0" w:rsidRDefault="00C434F0" w:rsidP="00C434F0">
      <w:pPr>
        <w:spacing w:before="240" w:after="240" w:line="360" w:lineRule="auto"/>
      </w:pPr>
      <w:r w:rsidRPr="00C434F0">
        <w:rPr>
          <w:lang w:val="en-US"/>
        </w:rPr>
        <w:t>Woodley, C. L., (2019). Croydon Health and Wellbeing Strategy [online]. Croydon: Chair of the Croydon Health and Wellbeing Board. [Viewed 24 October 2023]. Available from: https://democracy.croydon.gov.uk/documents/s13992/Health%20and%20Wellbeing%20Strategy%20-%20Final.pdf</w:t>
      </w:r>
      <w:bookmarkStart w:id="2" w:name="_Hlk153514539"/>
    </w:p>
    <w:bookmarkEnd w:id="2"/>
    <w:p w14:paraId="2208BD8E" w14:textId="77777777" w:rsidR="00C434F0" w:rsidRPr="00FF7FC3" w:rsidRDefault="00C434F0" w:rsidP="00FF7FC3">
      <w:pPr>
        <w:spacing w:before="240" w:after="240" w:line="360" w:lineRule="auto"/>
        <w:rPr>
          <w:lang w:val="en-US"/>
        </w:rPr>
      </w:pPr>
    </w:p>
    <w:p w14:paraId="79A01246" w14:textId="77777777" w:rsidR="00F34910" w:rsidRPr="00FF7FC3" w:rsidRDefault="00F34910" w:rsidP="00FF7FC3">
      <w:pPr>
        <w:spacing w:before="240" w:after="240" w:line="360" w:lineRule="auto"/>
      </w:pPr>
    </w:p>
    <w:sectPr w:rsidR="00F34910" w:rsidRPr="00FF7FC3" w:rsidSect="00A66C71">
      <w:headerReference w:type="default" r:id="rId25"/>
      <w:pgSz w:w="11909" w:h="16834"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9289F" w14:textId="77777777" w:rsidR="006300B5" w:rsidRDefault="006300B5" w:rsidP="00A66C71">
      <w:pPr>
        <w:spacing w:line="240" w:lineRule="auto"/>
      </w:pPr>
      <w:r>
        <w:separator/>
      </w:r>
    </w:p>
  </w:endnote>
  <w:endnote w:type="continuationSeparator" w:id="0">
    <w:p w14:paraId="0CC2E21C" w14:textId="77777777" w:rsidR="006300B5" w:rsidRDefault="006300B5" w:rsidP="00A66C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91B3C" w14:textId="77777777" w:rsidR="006300B5" w:rsidRDefault="006300B5" w:rsidP="00A66C71">
      <w:pPr>
        <w:spacing w:line="240" w:lineRule="auto"/>
      </w:pPr>
      <w:r>
        <w:separator/>
      </w:r>
    </w:p>
  </w:footnote>
  <w:footnote w:type="continuationSeparator" w:id="0">
    <w:p w14:paraId="184C2769" w14:textId="77777777" w:rsidR="006300B5" w:rsidRDefault="006300B5" w:rsidP="00A66C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821549"/>
      <w:docPartObj>
        <w:docPartGallery w:val="Page Numbers (Top of Page)"/>
        <w:docPartUnique/>
      </w:docPartObj>
    </w:sdtPr>
    <w:sdtEndPr>
      <w:rPr>
        <w:noProof/>
      </w:rPr>
    </w:sdtEndPr>
    <w:sdtContent>
      <w:p w14:paraId="5D97AB3F" w14:textId="37F8B692" w:rsidR="00B647CE" w:rsidRDefault="00B647CE">
        <w:pPr>
          <w:pStyle w:val="Header"/>
          <w:jc w:val="right"/>
        </w:pPr>
        <w:r>
          <w:fldChar w:fldCharType="begin"/>
        </w:r>
        <w:r>
          <w:instrText xml:space="preserve"> PAGE   \* MERGEFORMAT </w:instrText>
        </w:r>
        <w:r>
          <w:fldChar w:fldCharType="separate"/>
        </w:r>
        <w:r w:rsidR="00411FAE">
          <w:rPr>
            <w:noProof/>
          </w:rPr>
          <w:t>13</w:t>
        </w:r>
        <w:r>
          <w:rPr>
            <w:noProof/>
          </w:rPr>
          <w:fldChar w:fldCharType="end"/>
        </w:r>
      </w:p>
    </w:sdtContent>
  </w:sdt>
  <w:p w14:paraId="39998A28" w14:textId="77777777" w:rsidR="00B647CE" w:rsidRDefault="00B64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70CCC"/>
    <w:multiLevelType w:val="hybridMultilevel"/>
    <w:tmpl w:val="4300B110"/>
    <w:lvl w:ilvl="0" w:tplc="65BA20B6">
      <w:start w:val="1"/>
      <w:numFmt w:val="bullet"/>
      <w:lvlText w:val=""/>
      <w:lvlJc w:val="left"/>
      <w:pPr>
        <w:tabs>
          <w:tab w:val="num" w:pos="720"/>
        </w:tabs>
        <w:ind w:left="720" w:hanging="360"/>
      </w:pPr>
      <w:rPr>
        <w:rFonts w:ascii="Wingdings" w:hAnsi="Wingdings" w:hint="default"/>
      </w:rPr>
    </w:lvl>
    <w:lvl w:ilvl="1" w:tplc="36025F18" w:tentative="1">
      <w:start w:val="1"/>
      <w:numFmt w:val="bullet"/>
      <w:lvlText w:val=""/>
      <w:lvlJc w:val="left"/>
      <w:pPr>
        <w:tabs>
          <w:tab w:val="num" w:pos="1440"/>
        </w:tabs>
        <w:ind w:left="1440" w:hanging="360"/>
      </w:pPr>
      <w:rPr>
        <w:rFonts w:ascii="Wingdings" w:hAnsi="Wingdings" w:hint="default"/>
      </w:rPr>
    </w:lvl>
    <w:lvl w:ilvl="2" w:tplc="87A41576" w:tentative="1">
      <w:start w:val="1"/>
      <w:numFmt w:val="bullet"/>
      <w:lvlText w:val=""/>
      <w:lvlJc w:val="left"/>
      <w:pPr>
        <w:tabs>
          <w:tab w:val="num" w:pos="2160"/>
        </w:tabs>
        <w:ind w:left="2160" w:hanging="360"/>
      </w:pPr>
      <w:rPr>
        <w:rFonts w:ascii="Wingdings" w:hAnsi="Wingdings" w:hint="default"/>
      </w:rPr>
    </w:lvl>
    <w:lvl w:ilvl="3" w:tplc="AE2674A6" w:tentative="1">
      <w:start w:val="1"/>
      <w:numFmt w:val="bullet"/>
      <w:lvlText w:val=""/>
      <w:lvlJc w:val="left"/>
      <w:pPr>
        <w:tabs>
          <w:tab w:val="num" w:pos="2880"/>
        </w:tabs>
        <w:ind w:left="2880" w:hanging="360"/>
      </w:pPr>
      <w:rPr>
        <w:rFonts w:ascii="Wingdings" w:hAnsi="Wingdings" w:hint="default"/>
      </w:rPr>
    </w:lvl>
    <w:lvl w:ilvl="4" w:tplc="A352E8E2" w:tentative="1">
      <w:start w:val="1"/>
      <w:numFmt w:val="bullet"/>
      <w:lvlText w:val=""/>
      <w:lvlJc w:val="left"/>
      <w:pPr>
        <w:tabs>
          <w:tab w:val="num" w:pos="3600"/>
        </w:tabs>
        <w:ind w:left="3600" w:hanging="360"/>
      </w:pPr>
      <w:rPr>
        <w:rFonts w:ascii="Wingdings" w:hAnsi="Wingdings" w:hint="default"/>
      </w:rPr>
    </w:lvl>
    <w:lvl w:ilvl="5" w:tplc="C38A2FC8" w:tentative="1">
      <w:start w:val="1"/>
      <w:numFmt w:val="bullet"/>
      <w:lvlText w:val=""/>
      <w:lvlJc w:val="left"/>
      <w:pPr>
        <w:tabs>
          <w:tab w:val="num" w:pos="4320"/>
        </w:tabs>
        <w:ind w:left="4320" w:hanging="360"/>
      </w:pPr>
      <w:rPr>
        <w:rFonts w:ascii="Wingdings" w:hAnsi="Wingdings" w:hint="default"/>
      </w:rPr>
    </w:lvl>
    <w:lvl w:ilvl="6" w:tplc="5508AC48" w:tentative="1">
      <w:start w:val="1"/>
      <w:numFmt w:val="bullet"/>
      <w:lvlText w:val=""/>
      <w:lvlJc w:val="left"/>
      <w:pPr>
        <w:tabs>
          <w:tab w:val="num" w:pos="5040"/>
        </w:tabs>
        <w:ind w:left="5040" w:hanging="360"/>
      </w:pPr>
      <w:rPr>
        <w:rFonts w:ascii="Wingdings" w:hAnsi="Wingdings" w:hint="default"/>
      </w:rPr>
    </w:lvl>
    <w:lvl w:ilvl="7" w:tplc="EF120734" w:tentative="1">
      <w:start w:val="1"/>
      <w:numFmt w:val="bullet"/>
      <w:lvlText w:val=""/>
      <w:lvlJc w:val="left"/>
      <w:pPr>
        <w:tabs>
          <w:tab w:val="num" w:pos="5760"/>
        </w:tabs>
        <w:ind w:left="5760" w:hanging="360"/>
      </w:pPr>
      <w:rPr>
        <w:rFonts w:ascii="Wingdings" w:hAnsi="Wingdings" w:hint="default"/>
      </w:rPr>
    </w:lvl>
    <w:lvl w:ilvl="8" w:tplc="B704895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9C46C5"/>
    <w:multiLevelType w:val="multilevel"/>
    <w:tmpl w:val="652CD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A65434"/>
    <w:multiLevelType w:val="hybridMultilevel"/>
    <w:tmpl w:val="3D86CCC4"/>
    <w:lvl w:ilvl="0" w:tplc="FA5C585E">
      <w:start w:val="1"/>
      <w:numFmt w:val="bullet"/>
      <w:lvlText w:val=""/>
      <w:lvlJc w:val="left"/>
      <w:pPr>
        <w:tabs>
          <w:tab w:val="num" w:pos="720"/>
        </w:tabs>
        <w:ind w:left="720" w:hanging="360"/>
      </w:pPr>
      <w:rPr>
        <w:rFonts w:ascii="Wingdings" w:hAnsi="Wingdings" w:hint="default"/>
      </w:rPr>
    </w:lvl>
    <w:lvl w:ilvl="1" w:tplc="816803AC" w:tentative="1">
      <w:start w:val="1"/>
      <w:numFmt w:val="bullet"/>
      <w:lvlText w:val=""/>
      <w:lvlJc w:val="left"/>
      <w:pPr>
        <w:tabs>
          <w:tab w:val="num" w:pos="1440"/>
        </w:tabs>
        <w:ind w:left="1440" w:hanging="360"/>
      </w:pPr>
      <w:rPr>
        <w:rFonts w:ascii="Wingdings" w:hAnsi="Wingdings" w:hint="default"/>
      </w:rPr>
    </w:lvl>
    <w:lvl w:ilvl="2" w:tplc="5EB2692A" w:tentative="1">
      <w:start w:val="1"/>
      <w:numFmt w:val="bullet"/>
      <w:lvlText w:val=""/>
      <w:lvlJc w:val="left"/>
      <w:pPr>
        <w:tabs>
          <w:tab w:val="num" w:pos="2160"/>
        </w:tabs>
        <w:ind w:left="2160" w:hanging="360"/>
      </w:pPr>
      <w:rPr>
        <w:rFonts w:ascii="Wingdings" w:hAnsi="Wingdings" w:hint="default"/>
      </w:rPr>
    </w:lvl>
    <w:lvl w:ilvl="3" w:tplc="F12CE820" w:tentative="1">
      <w:start w:val="1"/>
      <w:numFmt w:val="bullet"/>
      <w:lvlText w:val=""/>
      <w:lvlJc w:val="left"/>
      <w:pPr>
        <w:tabs>
          <w:tab w:val="num" w:pos="2880"/>
        </w:tabs>
        <w:ind w:left="2880" w:hanging="360"/>
      </w:pPr>
      <w:rPr>
        <w:rFonts w:ascii="Wingdings" w:hAnsi="Wingdings" w:hint="default"/>
      </w:rPr>
    </w:lvl>
    <w:lvl w:ilvl="4" w:tplc="915E616E" w:tentative="1">
      <w:start w:val="1"/>
      <w:numFmt w:val="bullet"/>
      <w:lvlText w:val=""/>
      <w:lvlJc w:val="left"/>
      <w:pPr>
        <w:tabs>
          <w:tab w:val="num" w:pos="3600"/>
        </w:tabs>
        <w:ind w:left="3600" w:hanging="360"/>
      </w:pPr>
      <w:rPr>
        <w:rFonts w:ascii="Wingdings" w:hAnsi="Wingdings" w:hint="default"/>
      </w:rPr>
    </w:lvl>
    <w:lvl w:ilvl="5" w:tplc="46B4FCE6" w:tentative="1">
      <w:start w:val="1"/>
      <w:numFmt w:val="bullet"/>
      <w:lvlText w:val=""/>
      <w:lvlJc w:val="left"/>
      <w:pPr>
        <w:tabs>
          <w:tab w:val="num" w:pos="4320"/>
        </w:tabs>
        <w:ind w:left="4320" w:hanging="360"/>
      </w:pPr>
      <w:rPr>
        <w:rFonts w:ascii="Wingdings" w:hAnsi="Wingdings" w:hint="default"/>
      </w:rPr>
    </w:lvl>
    <w:lvl w:ilvl="6" w:tplc="B6660C8A" w:tentative="1">
      <w:start w:val="1"/>
      <w:numFmt w:val="bullet"/>
      <w:lvlText w:val=""/>
      <w:lvlJc w:val="left"/>
      <w:pPr>
        <w:tabs>
          <w:tab w:val="num" w:pos="5040"/>
        </w:tabs>
        <w:ind w:left="5040" w:hanging="360"/>
      </w:pPr>
      <w:rPr>
        <w:rFonts w:ascii="Wingdings" w:hAnsi="Wingdings" w:hint="default"/>
      </w:rPr>
    </w:lvl>
    <w:lvl w:ilvl="7" w:tplc="549C4BD0" w:tentative="1">
      <w:start w:val="1"/>
      <w:numFmt w:val="bullet"/>
      <w:lvlText w:val=""/>
      <w:lvlJc w:val="left"/>
      <w:pPr>
        <w:tabs>
          <w:tab w:val="num" w:pos="5760"/>
        </w:tabs>
        <w:ind w:left="5760" w:hanging="360"/>
      </w:pPr>
      <w:rPr>
        <w:rFonts w:ascii="Wingdings" w:hAnsi="Wingdings" w:hint="default"/>
      </w:rPr>
    </w:lvl>
    <w:lvl w:ilvl="8" w:tplc="D95888F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460807"/>
    <w:multiLevelType w:val="hybridMultilevel"/>
    <w:tmpl w:val="6FA44CE0"/>
    <w:lvl w:ilvl="0" w:tplc="88360228">
      <w:start w:val="1"/>
      <w:numFmt w:val="bullet"/>
      <w:lvlText w:val=""/>
      <w:lvlJc w:val="left"/>
      <w:pPr>
        <w:tabs>
          <w:tab w:val="num" w:pos="720"/>
        </w:tabs>
        <w:ind w:left="720" w:hanging="360"/>
      </w:pPr>
      <w:rPr>
        <w:rFonts w:ascii="Wingdings" w:hAnsi="Wingdings" w:hint="default"/>
      </w:rPr>
    </w:lvl>
    <w:lvl w:ilvl="1" w:tplc="02D63356" w:tentative="1">
      <w:start w:val="1"/>
      <w:numFmt w:val="bullet"/>
      <w:lvlText w:val=""/>
      <w:lvlJc w:val="left"/>
      <w:pPr>
        <w:tabs>
          <w:tab w:val="num" w:pos="1440"/>
        </w:tabs>
        <w:ind w:left="1440" w:hanging="360"/>
      </w:pPr>
      <w:rPr>
        <w:rFonts w:ascii="Wingdings" w:hAnsi="Wingdings" w:hint="default"/>
      </w:rPr>
    </w:lvl>
    <w:lvl w:ilvl="2" w:tplc="DFAC6D1E" w:tentative="1">
      <w:start w:val="1"/>
      <w:numFmt w:val="bullet"/>
      <w:lvlText w:val=""/>
      <w:lvlJc w:val="left"/>
      <w:pPr>
        <w:tabs>
          <w:tab w:val="num" w:pos="2160"/>
        </w:tabs>
        <w:ind w:left="2160" w:hanging="360"/>
      </w:pPr>
      <w:rPr>
        <w:rFonts w:ascii="Wingdings" w:hAnsi="Wingdings" w:hint="default"/>
      </w:rPr>
    </w:lvl>
    <w:lvl w:ilvl="3" w:tplc="9724C8BA" w:tentative="1">
      <w:start w:val="1"/>
      <w:numFmt w:val="bullet"/>
      <w:lvlText w:val=""/>
      <w:lvlJc w:val="left"/>
      <w:pPr>
        <w:tabs>
          <w:tab w:val="num" w:pos="2880"/>
        </w:tabs>
        <w:ind w:left="2880" w:hanging="360"/>
      </w:pPr>
      <w:rPr>
        <w:rFonts w:ascii="Wingdings" w:hAnsi="Wingdings" w:hint="default"/>
      </w:rPr>
    </w:lvl>
    <w:lvl w:ilvl="4" w:tplc="1CA08174" w:tentative="1">
      <w:start w:val="1"/>
      <w:numFmt w:val="bullet"/>
      <w:lvlText w:val=""/>
      <w:lvlJc w:val="left"/>
      <w:pPr>
        <w:tabs>
          <w:tab w:val="num" w:pos="3600"/>
        </w:tabs>
        <w:ind w:left="3600" w:hanging="360"/>
      </w:pPr>
      <w:rPr>
        <w:rFonts w:ascii="Wingdings" w:hAnsi="Wingdings" w:hint="default"/>
      </w:rPr>
    </w:lvl>
    <w:lvl w:ilvl="5" w:tplc="C42089C6" w:tentative="1">
      <w:start w:val="1"/>
      <w:numFmt w:val="bullet"/>
      <w:lvlText w:val=""/>
      <w:lvlJc w:val="left"/>
      <w:pPr>
        <w:tabs>
          <w:tab w:val="num" w:pos="4320"/>
        </w:tabs>
        <w:ind w:left="4320" w:hanging="360"/>
      </w:pPr>
      <w:rPr>
        <w:rFonts w:ascii="Wingdings" w:hAnsi="Wingdings" w:hint="default"/>
      </w:rPr>
    </w:lvl>
    <w:lvl w:ilvl="6" w:tplc="FB36099C" w:tentative="1">
      <w:start w:val="1"/>
      <w:numFmt w:val="bullet"/>
      <w:lvlText w:val=""/>
      <w:lvlJc w:val="left"/>
      <w:pPr>
        <w:tabs>
          <w:tab w:val="num" w:pos="5040"/>
        </w:tabs>
        <w:ind w:left="5040" w:hanging="360"/>
      </w:pPr>
      <w:rPr>
        <w:rFonts w:ascii="Wingdings" w:hAnsi="Wingdings" w:hint="default"/>
      </w:rPr>
    </w:lvl>
    <w:lvl w:ilvl="7" w:tplc="F626BC78" w:tentative="1">
      <w:start w:val="1"/>
      <w:numFmt w:val="bullet"/>
      <w:lvlText w:val=""/>
      <w:lvlJc w:val="left"/>
      <w:pPr>
        <w:tabs>
          <w:tab w:val="num" w:pos="5760"/>
        </w:tabs>
        <w:ind w:left="5760" w:hanging="360"/>
      </w:pPr>
      <w:rPr>
        <w:rFonts w:ascii="Wingdings" w:hAnsi="Wingdings" w:hint="default"/>
      </w:rPr>
    </w:lvl>
    <w:lvl w:ilvl="8" w:tplc="C94CDE9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115DEC"/>
    <w:multiLevelType w:val="multilevel"/>
    <w:tmpl w:val="03A63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5552582">
    <w:abstractNumId w:val="1"/>
  </w:num>
  <w:num w:numId="2" w16cid:durableId="2048334858">
    <w:abstractNumId w:val="4"/>
  </w:num>
  <w:num w:numId="3" w16cid:durableId="482083746">
    <w:abstractNumId w:val="2"/>
  </w:num>
  <w:num w:numId="4" w16cid:durableId="7098577">
    <w:abstractNumId w:val="3"/>
  </w:num>
  <w:num w:numId="5" w16cid:durableId="1419326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43459"/>
    <w:rsid w:val="00043459"/>
    <w:rsid w:val="00072477"/>
    <w:rsid w:val="000738F3"/>
    <w:rsid w:val="00123253"/>
    <w:rsid w:val="001E52EC"/>
    <w:rsid w:val="002514E0"/>
    <w:rsid w:val="002B06A6"/>
    <w:rsid w:val="002D4CB6"/>
    <w:rsid w:val="00300CD2"/>
    <w:rsid w:val="00302669"/>
    <w:rsid w:val="00304507"/>
    <w:rsid w:val="003119A1"/>
    <w:rsid w:val="00321A20"/>
    <w:rsid w:val="003B07C7"/>
    <w:rsid w:val="00411FAE"/>
    <w:rsid w:val="0041616D"/>
    <w:rsid w:val="004A0FBF"/>
    <w:rsid w:val="004C209E"/>
    <w:rsid w:val="004E3A90"/>
    <w:rsid w:val="004F23D3"/>
    <w:rsid w:val="00510ACB"/>
    <w:rsid w:val="005151B0"/>
    <w:rsid w:val="005620C2"/>
    <w:rsid w:val="00567ED9"/>
    <w:rsid w:val="00572406"/>
    <w:rsid w:val="005A4DD2"/>
    <w:rsid w:val="005C2819"/>
    <w:rsid w:val="00602827"/>
    <w:rsid w:val="006300B5"/>
    <w:rsid w:val="00647D92"/>
    <w:rsid w:val="00682F1D"/>
    <w:rsid w:val="00690C6E"/>
    <w:rsid w:val="006A63B4"/>
    <w:rsid w:val="006E7B5E"/>
    <w:rsid w:val="00722A91"/>
    <w:rsid w:val="00785688"/>
    <w:rsid w:val="007D32A7"/>
    <w:rsid w:val="00812FFC"/>
    <w:rsid w:val="00816465"/>
    <w:rsid w:val="008228F4"/>
    <w:rsid w:val="008336EF"/>
    <w:rsid w:val="00873FC7"/>
    <w:rsid w:val="008E060F"/>
    <w:rsid w:val="009410A0"/>
    <w:rsid w:val="00A15C99"/>
    <w:rsid w:val="00A66C71"/>
    <w:rsid w:val="00AE14C8"/>
    <w:rsid w:val="00B256E2"/>
    <w:rsid w:val="00B647CE"/>
    <w:rsid w:val="00B66684"/>
    <w:rsid w:val="00C13A6C"/>
    <w:rsid w:val="00C35459"/>
    <w:rsid w:val="00C41F15"/>
    <w:rsid w:val="00C434F0"/>
    <w:rsid w:val="00D77ACD"/>
    <w:rsid w:val="00E45C1F"/>
    <w:rsid w:val="00E81679"/>
    <w:rsid w:val="00E909CF"/>
    <w:rsid w:val="00ED00DF"/>
    <w:rsid w:val="00ED1566"/>
    <w:rsid w:val="00EF2D74"/>
    <w:rsid w:val="00F34910"/>
    <w:rsid w:val="00F843C6"/>
    <w:rsid w:val="00FF0F23"/>
    <w:rsid w:val="00FF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FF5EC"/>
  <w15:docId w15:val="{C8517C1C-D1AD-48F4-A00B-64ACC406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C6E"/>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66C71"/>
    <w:pPr>
      <w:tabs>
        <w:tab w:val="center" w:pos="4513"/>
        <w:tab w:val="right" w:pos="9026"/>
      </w:tabs>
      <w:spacing w:line="240" w:lineRule="auto"/>
    </w:pPr>
  </w:style>
  <w:style w:type="character" w:customStyle="1" w:styleId="HeaderChar">
    <w:name w:val="Header Char"/>
    <w:basedOn w:val="DefaultParagraphFont"/>
    <w:link w:val="Header"/>
    <w:uiPriority w:val="99"/>
    <w:rsid w:val="00A66C71"/>
  </w:style>
  <w:style w:type="paragraph" w:styleId="Footer">
    <w:name w:val="footer"/>
    <w:basedOn w:val="Normal"/>
    <w:link w:val="FooterChar"/>
    <w:uiPriority w:val="99"/>
    <w:unhideWhenUsed/>
    <w:rsid w:val="00A66C71"/>
    <w:pPr>
      <w:tabs>
        <w:tab w:val="center" w:pos="4513"/>
        <w:tab w:val="right" w:pos="9026"/>
      </w:tabs>
      <w:spacing w:line="240" w:lineRule="auto"/>
    </w:pPr>
  </w:style>
  <w:style w:type="character" w:customStyle="1" w:styleId="FooterChar">
    <w:name w:val="Footer Char"/>
    <w:basedOn w:val="DefaultParagraphFont"/>
    <w:link w:val="Footer"/>
    <w:uiPriority w:val="99"/>
    <w:rsid w:val="00A66C71"/>
  </w:style>
  <w:style w:type="character" w:styleId="Hyperlink">
    <w:name w:val="Hyperlink"/>
    <w:basedOn w:val="DefaultParagraphFont"/>
    <w:uiPriority w:val="99"/>
    <w:unhideWhenUsed/>
    <w:rsid w:val="00F34910"/>
    <w:rPr>
      <w:color w:val="0000FF" w:themeColor="hyperlink"/>
      <w:u w:val="single"/>
    </w:rPr>
  </w:style>
  <w:style w:type="character" w:customStyle="1" w:styleId="UnresolvedMention1">
    <w:name w:val="Unresolved Mention1"/>
    <w:basedOn w:val="DefaultParagraphFont"/>
    <w:uiPriority w:val="99"/>
    <w:semiHidden/>
    <w:unhideWhenUsed/>
    <w:rsid w:val="00F34910"/>
    <w:rPr>
      <w:color w:val="605E5C"/>
      <w:shd w:val="clear" w:color="auto" w:fill="E1DFDD"/>
    </w:rPr>
  </w:style>
  <w:style w:type="paragraph" w:styleId="ListParagraph">
    <w:name w:val="List Paragraph"/>
    <w:basedOn w:val="Normal"/>
    <w:uiPriority w:val="34"/>
    <w:qFormat/>
    <w:rsid w:val="008E060F"/>
    <w:pPr>
      <w:spacing w:line="240" w:lineRule="auto"/>
      <w:ind w:left="720"/>
      <w:contextualSpacing/>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434F0"/>
    <w:rPr>
      <w:color w:val="605E5C"/>
      <w:shd w:val="clear" w:color="auto" w:fill="E1DFDD"/>
    </w:rPr>
  </w:style>
  <w:style w:type="character" w:styleId="FollowedHyperlink">
    <w:name w:val="FollowedHyperlink"/>
    <w:basedOn w:val="DefaultParagraphFont"/>
    <w:uiPriority w:val="99"/>
    <w:semiHidden/>
    <w:unhideWhenUsed/>
    <w:rsid w:val="00690C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40203">
      <w:bodyDiv w:val="1"/>
      <w:marLeft w:val="0"/>
      <w:marRight w:val="0"/>
      <w:marTop w:val="0"/>
      <w:marBottom w:val="0"/>
      <w:divBdr>
        <w:top w:val="none" w:sz="0" w:space="0" w:color="auto"/>
        <w:left w:val="none" w:sz="0" w:space="0" w:color="auto"/>
        <w:bottom w:val="none" w:sz="0" w:space="0" w:color="auto"/>
        <w:right w:val="none" w:sz="0" w:space="0" w:color="auto"/>
      </w:divBdr>
    </w:div>
    <w:div w:id="224145426">
      <w:bodyDiv w:val="1"/>
      <w:marLeft w:val="0"/>
      <w:marRight w:val="0"/>
      <w:marTop w:val="0"/>
      <w:marBottom w:val="0"/>
      <w:divBdr>
        <w:top w:val="none" w:sz="0" w:space="0" w:color="auto"/>
        <w:left w:val="none" w:sz="0" w:space="0" w:color="auto"/>
        <w:bottom w:val="none" w:sz="0" w:space="0" w:color="auto"/>
        <w:right w:val="none" w:sz="0" w:space="0" w:color="auto"/>
      </w:divBdr>
    </w:div>
    <w:div w:id="336924891">
      <w:bodyDiv w:val="1"/>
      <w:marLeft w:val="0"/>
      <w:marRight w:val="0"/>
      <w:marTop w:val="0"/>
      <w:marBottom w:val="0"/>
      <w:divBdr>
        <w:top w:val="none" w:sz="0" w:space="0" w:color="auto"/>
        <w:left w:val="none" w:sz="0" w:space="0" w:color="auto"/>
        <w:bottom w:val="none" w:sz="0" w:space="0" w:color="auto"/>
        <w:right w:val="none" w:sz="0" w:space="0" w:color="auto"/>
      </w:divBdr>
      <w:divsChild>
        <w:div w:id="149370254">
          <w:marLeft w:val="446"/>
          <w:marRight w:val="0"/>
          <w:marTop w:val="0"/>
          <w:marBottom w:val="120"/>
          <w:divBdr>
            <w:top w:val="none" w:sz="0" w:space="0" w:color="auto"/>
            <w:left w:val="none" w:sz="0" w:space="0" w:color="auto"/>
            <w:bottom w:val="none" w:sz="0" w:space="0" w:color="auto"/>
            <w:right w:val="none" w:sz="0" w:space="0" w:color="auto"/>
          </w:divBdr>
        </w:div>
        <w:div w:id="569387202">
          <w:marLeft w:val="446"/>
          <w:marRight w:val="0"/>
          <w:marTop w:val="0"/>
          <w:marBottom w:val="120"/>
          <w:divBdr>
            <w:top w:val="none" w:sz="0" w:space="0" w:color="auto"/>
            <w:left w:val="none" w:sz="0" w:space="0" w:color="auto"/>
            <w:bottom w:val="none" w:sz="0" w:space="0" w:color="auto"/>
            <w:right w:val="none" w:sz="0" w:space="0" w:color="auto"/>
          </w:divBdr>
        </w:div>
        <w:div w:id="983117033">
          <w:marLeft w:val="446"/>
          <w:marRight w:val="0"/>
          <w:marTop w:val="0"/>
          <w:marBottom w:val="120"/>
          <w:divBdr>
            <w:top w:val="none" w:sz="0" w:space="0" w:color="auto"/>
            <w:left w:val="none" w:sz="0" w:space="0" w:color="auto"/>
            <w:bottom w:val="none" w:sz="0" w:space="0" w:color="auto"/>
            <w:right w:val="none" w:sz="0" w:space="0" w:color="auto"/>
          </w:divBdr>
        </w:div>
      </w:divsChild>
    </w:div>
    <w:div w:id="343629901">
      <w:bodyDiv w:val="1"/>
      <w:marLeft w:val="0"/>
      <w:marRight w:val="0"/>
      <w:marTop w:val="0"/>
      <w:marBottom w:val="0"/>
      <w:divBdr>
        <w:top w:val="none" w:sz="0" w:space="0" w:color="auto"/>
        <w:left w:val="none" w:sz="0" w:space="0" w:color="auto"/>
        <w:bottom w:val="none" w:sz="0" w:space="0" w:color="auto"/>
        <w:right w:val="none" w:sz="0" w:space="0" w:color="auto"/>
      </w:divBdr>
      <w:divsChild>
        <w:div w:id="82577536">
          <w:marLeft w:val="0"/>
          <w:marRight w:val="0"/>
          <w:marTop w:val="0"/>
          <w:marBottom w:val="0"/>
          <w:divBdr>
            <w:top w:val="none" w:sz="0" w:space="0" w:color="auto"/>
            <w:left w:val="none" w:sz="0" w:space="0" w:color="auto"/>
            <w:bottom w:val="none" w:sz="0" w:space="0" w:color="auto"/>
            <w:right w:val="none" w:sz="0" w:space="0" w:color="auto"/>
          </w:divBdr>
        </w:div>
      </w:divsChild>
    </w:div>
    <w:div w:id="689142684">
      <w:bodyDiv w:val="1"/>
      <w:marLeft w:val="0"/>
      <w:marRight w:val="0"/>
      <w:marTop w:val="0"/>
      <w:marBottom w:val="0"/>
      <w:divBdr>
        <w:top w:val="none" w:sz="0" w:space="0" w:color="auto"/>
        <w:left w:val="none" w:sz="0" w:space="0" w:color="auto"/>
        <w:bottom w:val="none" w:sz="0" w:space="0" w:color="auto"/>
        <w:right w:val="none" w:sz="0" w:space="0" w:color="auto"/>
      </w:divBdr>
    </w:div>
    <w:div w:id="1461994251">
      <w:bodyDiv w:val="1"/>
      <w:marLeft w:val="0"/>
      <w:marRight w:val="0"/>
      <w:marTop w:val="0"/>
      <w:marBottom w:val="0"/>
      <w:divBdr>
        <w:top w:val="none" w:sz="0" w:space="0" w:color="auto"/>
        <w:left w:val="none" w:sz="0" w:space="0" w:color="auto"/>
        <w:bottom w:val="none" w:sz="0" w:space="0" w:color="auto"/>
        <w:right w:val="none" w:sz="0" w:space="0" w:color="auto"/>
      </w:divBdr>
      <w:divsChild>
        <w:div w:id="1166482191">
          <w:marLeft w:val="446"/>
          <w:marRight w:val="0"/>
          <w:marTop w:val="0"/>
          <w:marBottom w:val="120"/>
          <w:divBdr>
            <w:top w:val="none" w:sz="0" w:space="0" w:color="auto"/>
            <w:left w:val="none" w:sz="0" w:space="0" w:color="auto"/>
            <w:bottom w:val="none" w:sz="0" w:space="0" w:color="auto"/>
            <w:right w:val="none" w:sz="0" w:space="0" w:color="auto"/>
          </w:divBdr>
        </w:div>
        <w:div w:id="1510947059">
          <w:marLeft w:val="446"/>
          <w:marRight w:val="0"/>
          <w:marTop w:val="0"/>
          <w:marBottom w:val="120"/>
          <w:divBdr>
            <w:top w:val="none" w:sz="0" w:space="0" w:color="auto"/>
            <w:left w:val="none" w:sz="0" w:space="0" w:color="auto"/>
            <w:bottom w:val="none" w:sz="0" w:space="0" w:color="auto"/>
            <w:right w:val="none" w:sz="0" w:space="0" w:color="auto"/>
          </w:divBdr>
        </w:div>
        <w:div w:id="1628973735">
          <w:marLeft w:val="446"/>
          <w:marRight w:val="0"/>
          <w:marTop w:val="0"/>
          <w:marBottom w:val="120"/>
          <w:divBdr>
            <w:top w:val="none" w:sz="0" w:space="0" w:color="auto"/>
            <w:left w:val="none" w:sz="0" w:space="0" w:color="auto"/>
            <w:bottom w:val="none" w:sz="0" w:space="0" w:color="auto"/>
            <w:right w:val="none" w:sz="0" w:space="0" w:color="auto"/>
          </w:divBdr>
        </w:div>
      </w:divsChild>
    </w:div>
    <w:div w:id="1627850151">
      <w:bodyDiv w:val="1"/>
      <w:marLeft w:val="0"/>
      <w:marRight w:val="0"/>
      <w:marTop w:val="0"/>
      <w:marBottom w:val="0"/>
      <w:divBdr>
        <w:top w:val="none" w:sz="0" w:space="0" w:color="auto"/>
        <w:left w:val="none" w:sz="0" w:space="0" w:color="auto"/>
        <w:bottom w:val="none" w:sz="0" w:space="0" w:color="auto"/>
        <w:right w:val="none" w:sz="0" w:space="0" w:color="auto"/>
      </w:divBdr>
    </w:div>
    <w:div w:id="1692030894">
      <w:bodyDiv w:val="1"/>
      <w:marLeft w:val="0"/>
      <w:marRight w:val="0"/>
      <w:marTop w:val="0"/>
      <w:marBottom w:val="0"/>
      <w:divBdr>
        <w:top w:val="none" w:sz="0" w:space="0" w:color="auto"/>
        <w:left w:val="none" w:sz="0" w:space="0" w:color="auto"/>
        <w:bottom w:val="none" w:sz="0" w:space="0" w:color="auto"/>
        <w:right w:val="none" w:sz="0" w:space="0" w:color="auto"/>
      </w:divBdr>
      <w:divsChild>
        <w:div w:id="369646957">
          <w:marLeft w:val="446"/>
          <w:marRight w:val="0"/>
          <w:marTop w:val="0"/>
          <w:marBottom w:val="120"/>
          <w:divBdr>
            <w:top w:val="none" w:sz="0" w:space="0" w:color="auto"/>
            <w:left w:val="none" w:sz="0" w:space="0" w:color="auto"/>
            <w:bottom w:val="none" w:sz="0" w:space="0" w:color="auto"/>
            <w:right w:val="none" w:sz="0" w:space="0" w:color="auto"/>
          </w:divBdr>
        </w:div>
        <w:div w:id="538932241">
          <w:marLeft w:val="446"/>
          <w:marRight w:val="0"/>
          <w:marTop w:val="0"/>
          <w:marBottom w:val="120"/>
          <w:divBdr>
            <w:top w:val="none" w:sz="0" w:space="0" w:color="auto"/>
            <w:left w:val="none" w:sz="0" w:space="0" w:color="auto"/>
            <w:bottom w:val="none" w:sz="0" w:space="0" w:color="auto"/>
            <w:right w:val="none" w:sz="0" w:space="0" w:color="auto"/>
          </w:divBdr>
        </w:div>
        <w:div w:id="1050763240">
          <w:marLeft w:val="446"/>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roydon.gov.uk/health-and-wellbeing/nhs-and-health-services/nhs-services/free-nhs-health-checks" TargetMode="External"/><Relationship Id="rId13" Type="http://schemas.openxmlformats.org/officeDocument/2006/relationships/hyperlink" Target="https://www.samaritans.org/about-samaritans/research-policy/middle-aged-men-suicide/" TargetMode="External"/><Relationship Id="rId18" Type="http://schemas.openxmlformats.org/officeDocument/2006/relationships/hyperlink" Target="https://www.ethnicity-facts-figures.service.gov.uk/work-pay-and-benefits/employment/employment/lates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kingsfund.org.uk/publications/what-are-health-inequalities" TargetMode="External"/><Relationship Id="rId7" Type="http://schemas.openxmlformats.org/officeDocument/2006/relationships/image" Target="media/image1.png"/><Relationship Id="rId12" Type="http://schemas.openxmlformats.org/officeDocument/2006/relationships/hyperlink" Target="https://www.mentalhealth.org.uk/explore-mental-health/statistics/lgbtiq-people-statistics" TargetMode="External"/><Relationship Id="rId17" Type="http://schemas.openxmlformats.org/officeDocument/2006/relationships/hyperlink" Target="https://www.nhs.uk/conditions/nhs-health-check/"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hs.uk/live-well/alcohol-advice/calculating-alcohol-units/" TargetMode="External"/><Relationship Id="rId20" Type="http://schemas.openxmlformats.org/officeDocument/2006/relationships/hyperlink" Target="https://www.statista.com/statistics/507405/uk-active-social-media-and-mobile-social-media-us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mocracy.croydon.gov.uk/documents/s28031/Appendix%208.3F%20-%20Equality%20Strategy.pdf" TargetMode="External"/><Relationship Id="rId24" Type="http://schemas.openxmlformats.org/officeDocument/2006/relationships/hyperlink" Target="https://www.ons.gov.uk/visualisations/censusareachanges/E09000008/" TargetMode="External"/><Relationship Id="rId5" Type="http://schemas.openxmlformats.org/officeDocument/2006/relationships/footnotes" Target="footnotes.xml"/><Relationship Id="rId15" Type="http://schemas.openxmlformats.org/officeDocument/2006/relationships/hyperlink" Target="https://www.nhs.uk/live-well/alcohol-advice/calculating-alcohol-units/" TargetMode="External"/><Relationship Id="rId23" Type="http://schemas.openxmlformats.org/officeDocument/2006/relationships/hyperlink" Target="https://www.who.int/westernpacific/initiatives/Communication-for-Health-C4H" TargetMode="External"/><Relationship Id="rId10" Type="http://schemas.openxmlformats.org/officeDocument/2006/relationships/hyperlink" Target="https://www.croydon.gov.uk/sites/default/files/2022-12/public-health-report-2022-full-report.pdf" TargetMode="External"/><Relationship Id="rId19" Type="http://schemas.openxmlformats.org/officeDocument/2006/relationships/hyperlink" Target="https://www.nomisweb.co.uk/reports/lmp/gor/2013265927/report.aspx" TargetMode="External"/><Relationship Id="rId4" Type="http://schemas.openxmlformats.org/officeDocument/2006/relationships/webSettings" Target="webSettings.xml"/><Relationship Id="rId9" Type="http://schemas.openxmlformats.org/officeDocument/2006/relationships/hyperlink" Target="https://news.croydon.gov.uk/croydon-health-chief-calls-for-collective-action-to-tackle-health-inequalities/" TargetMode="External"/><Relationship Id="rId14" Type="http://schemas.openxmlformats.org/officeDocument/2006/relationships/hyperlink" Target="https://www.mindincroydon.org.uk/mental-health-first-aid-training/" TargetMode="External"/><Relationship Id="rId22" Type="http://schemas.openxmlformats.org/officeDocument/2006/relationships/hyperlink" Target="https://democracy.croydon.gov.uk/documents/s13992/Health%20and%20Wellbeing%20Strategy%20-%20Final.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2920</Words>
  <Characters>19567</Characters>
  <Application>Microsoft Office Word</Application>
  <DocSecurity>0</DocSecurity>
  <Lines>331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Richard Oji</cp:lastModifiedBy>
  <cp:revision>2</cp:revision>
  <dcterms:created xsi:type="dcterms:W3CDTF">2023-12-15T06:58:00Z</dcterms:created>
  <dcterms:modified xsi:type="dcterms:W3CDTF">2023-12-15T06:58:00Z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97eddeb5ee3a6dca479a93f4e4767513f27043786c5557f711635df0f4a88dd3</vt:lpwstr>
  </property>
</Properties>
</file>