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3577144"/>
        <w:docPartObj>
          <w:docPartGallery w:val="Cover Pages"/>
          <w:docPartUnique/>
        </w:docPartObj>
      </w:sdtPr>
      <w:sdtEndPr>
        <w:rPr>
          <w:rFonts w:ascii="Arial" w:eastAsia="Arial" w:hAnsi="Arial" w:cs="Arial"/>
          <w:b/>
          <w:bCs/>
          <w:color w:val="000000" w:themeColor="text1"/>
          <w:sz w:val="24"/>
          <w:szCs w:val="24"/>
          <w:lang w:val="en-GB"/>
        </w:rPr>
      </w:sdtEndPr>
      <w:sdtContent>
        <w:p w14:paraId="56039C71" w14:textId="67DCFAE8" w:rsidR="007F5940" w:rsidRDefault="007F5940">
          <w:r>
            <w:rPr>
              <w:noProof/>
            </w:rPr>
            <mc:AlternateContent>
              <mc:Choice Requires="wpg">
                <w:drawing>
                  <wp:anchor distT="0" distB="0" distL="114300" distR="114300" simplePos="0" relativeHeight="251661312" behindDoc="0" locked="0" layoutInCell="1" allowOverlap="1" wp14:anchorId="63956F6B" wp14:editId="76E049F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2A0E4690" w14:textId="3C7B18AD" w:rsidR="007F5940" w:rsidRDefault="007F5940">
                                  <w:pPr>
                                    <w:pStyle w:val="NoSpacing"/>
                                    <w:jc w:val="right"/>
                                    <w:rPr>
                                      <w:color w:val="44546A" w:themeColor="text2"/>
                                      <w:spacing w:val="10"/>
                                      <w:sz w:val="36"/>
                                      <w:szCs w:val="36"/>
                                    </w:rPr>
                                  </w:pPr>
                                  <w:r>
                                    <w:rPr>
                                      <w:color w:val="44546A" w:themeColor="text2"/>
                                      <w:spacing w:val="10"/>
                                      <w:sz w:val="36"/>
                                      <w:szCs w:val="36"/>
                                    </w:rPr>
                                    <w:t>Mohammed Shikder</w:t>
                                  </w:r>
                                </w:p>
                                <w:p w14:paraId="596E7D56" w14:textId="7F17E0DF" w:rsidR="007F5940" w:rsidRDefault="007F5940">
                                  <w:pPr>
                                    <w:pStyle w:val="NoSpacing"/>
                                    <w:jc w:val="right"/>
                                    <w:rPr>
                                      <w:color w:val="44546A" w:themeColor="text2"/>
                                      <w:spacing w:val="10"/>
                                      <w:sz w:val="28"/>
                                      <w:szCs w:val="28"/>
                                    </w:rPr>
                                  </w:pPr>
                                  <w:r>
                                    <w:rPr>
                                      <w:color w:val="44546A" w:themeColor="text2"/>
                                      <w:spacing w:val="10"/>
                                      <w:sz w:val="36"/>
                                      <w:szCs w:val="36"/>
                                    </w:rPr>
                                    <w:t>2021262</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956F6B"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2A0E4690" w14:textId="3C7B18AD" w:rsidR="007F5940" w:rsidRDefault="007F5940">
                            <w:pPr>
                              <w:pStyle w:val="NoSpacing"/>
                              <w:jc w:val="right"/>
                              <w:rPr>
                                <w:color w:val="44546A" w:themeColor="text2"/>
                                <w:spacing w:val="10"/>
                                <w:sz w:val="36"/>
                                <w:szCs w:val="36"/>
                              </w:rPr>
                            </w:pPr>
                            <w:r>
                              <w:rPr>
                                <w:color w:val="44546A" w:themeColor="text2"/>
                                <w:spacing w:val="10"/>
                                <w:sz w:val="36"/>
                                <w:szCs w:val="36"/>
                              </w:rPr>
                              <w:t>Mohammed Shikder</w:t>
                            </w:r>
                          </w:p>
                          <w:p w14:paraId="596E7D56" w14:textId="7F17E0DF" w:rsidR="007F5940" w:rsidRDefault="007F5940">
                            <w:pPr>
                              <w:pStyle w:val="NoSpacing"/>
                              <w:jc w:val="right"/>
                              <w:rPr>
                                <w:color w:val="44546A" w:themeColor="text2"/>
                                <w:spacing w:val="10"/>
                                <w:sz w:val="28"/>
                                <w:szCs w:val="28"/>
                              </w:rPr>
                            </w:pPr>
                            <w:r>
                              <w:rPr>
                                <w:color w:val="44546A" w:themeColor="text2"/>
                                <w:spacing w:val="10"/>
                                <w:sz w:val="36"/>
                                <w:szCs w:val="36"/>
                              </w:rPr>
                              <w:t>2021262</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58175E0" wp14:editId="2293C54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0B5CBBF" w14:textId="03AFB1F9" w:rsidR="007F5940" w:rsidRDefault="007F594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HILTON WORLDWIDE</w:t>
                                      </w:r>
                                    </w:p>
                                  </w:sdtContent>
                                </w:sdt>
                                <w:sdt>
                                  <w:sdtPr>
                                    <w:rPr>
                                      <w:rFonts w:ascii="Calibri" w:hAnsi="Calibri"/>
                                      <w:b/>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9561229" w14:textId="0A1C9C3A" w:rsidR="007F5940" w:rsidRPr="007F5940" w:rsidRDefault="007F5940">
                                      <w:pPr>
                                        <w:pStyle w:val="NoSpacing"/>
                                        <w:spacing w:line="216" w:lineRule="auto"/>
                                        <w:rPr>
                                          <w:rFonts w:asciiTheme="majorHAnsi" w:hAnsiTheme="majorHAnsi"/>
                                          <w:caps/>
                                          <w:color w:val="44546A" w:themeColor="text2"/>
                                          <w:sz w:val="72"/>
                                          <w:szCs w:val="72"/>
                                        </w:rPr>
                                      </w:pPr>
                                      <w:r w:rsidRPr="007F5940">
                                        <w:rPr>
                                          <w:rFonts w:ascii="Calibri" w:hAnsi="Calibri"/>
                                          <w:b/>
                                          <w:sz w:val="72"/>
                                          <w:szCs w:val="72"/>
                                        </w:rPr>
                                        <w:t>ANALYSIS OF THE FINANCIAL STATEMENTS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8175E0"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0B5CBBF" w14:textId="03AFB1F9" w:rsidR="007F5940" w:rsidRDefault="007F594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HILTON WORLDWIDE</w:t>
                                </w:r>
                              </w:p>
                            </w:sdtContent>
                          </w:sdt>
                          <w:bookmarkStart w:id="1" w:name="_GoBack" w:displacedByCustomXml="next"/>
                          <w:sdt>
                            <w:sdtPr>
                              <w:rPr>
                                <w:rFonts w:ascii="Calibri" w:hAnsi="Calibri"/>
                                <w:b/>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9561229" w14:textId="0A1C9C3A" w:rsidR="007F5940" w:rsidRPr="007F5940" w:rsidRDefault="007F5940">
                                <w:pPr>
                                  <w:pStyle w:val="NoSpacing"/>
                                  <w:spacing w:line="216" w:lineRule="auto"/>
                                  <w:rPr>
                                    <w:rFonts w:asciiTheme="majorHAnsi" w:hAnsiTheme="majorHAnsi"/>
                                    <w:caps/>
                                    <w:color w:val="44546A" w:themeColor="text2"/>
                                    <w:sz w:val="72"/>
                                    <w:szCs w:val="72"/>
                                  </w:rPr>
                                </w:pPr>
                                <w:r w:rsidRPr="007F5940">
                                  <w:rPr>
                                    <w:rFonts w:ascii="Calibri" w:hAnsi="Calibri"/>
                                    <w:b/>
                                    <w:sz w:val="72"/>
                                    <w:szCs w:val="72"/>
                                  </w:rPr>
                                  <w:t>ANALYSIS OF THE FINANCIAL STATEMENTS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A030EE8" wp14:editId="025F87EB">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38651D6"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973A6A1" w14:textId="07114357" w:rsidR="007F5940" w:rsidRDefault="007F5940">
          <w:pPr>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br w:type="page"/>
          </w:r>
        </w:p>
      </w:sdtContent>
    </w:sdt>
    <w:p w14:paraId="0728206D" w14:textId="77777777" w:rsidR="007F5940" w:rsidRDefault="007F5940" w:rsidP="74DA366C">
      <w:pPr>
        <w:spacing w:line="360" w:lineRule="auto"/>
        <w:jc w:val="both"/>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lastRenderedPageBreak/>
        <w:t>Executive Summary:</w:t>
      </w:r>
    </w:p>
    <w:p w14:paraId="60F42584" w14:textId="04EC08DE" w:rsidR="00717934" w:rsidRPr="00717934" w:rsidRDefault="00717934" w:rsidP="00717934">
      <w:pPr>
        <w:spacing w:line="360" w:lineRule="auto"/>
        <w:jc w:val="both"/>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t xml:space="preserve">This report provide the financial statement analysis for Hilton Worldwide Inc. </w:t>
      </w:r>
      <w:r w:rsidRPr="00717934">
        <w:rPr>
          <w:rFonts w:ascii="Arial" w:eastAsia="Arial" w:hAnsi="Arial" w:cs="Arial"/>
          <w:b/>
          <w:bCs/>
          <w:color w:val="000000" w:themeColor="text1"/>
          <w:sz w:val="24"/>
          <w:szCs w:val="24"/>
          <w:lang w:val="en-GB"/>
        </w:rPr>
        <w:t>Financial statements give business owners the essential tools they need to determine how well t</w:t>
      </w:r>
      <w:r w:rsidR="00017EC1">
        <w:rPr>
          <w:rFonts w:ascii="Arial" w:eastAsia="Arial" w:hAnsi="Arial" w:cs="Arial"/>
          <w:b/>
          <w:bCs/>
          <w:color w:val="000000" w:themeColor="text1"/>
          <w:sz w:val="24"/>
          <w:szCs w:val="24"/>
          <w:lang w:val="en-GB"/>
        </w:rPr>
        <w:t>h</w:t>
      </w:r>
      <w:r w:rsidRPr="00717934">
        <w:rPr>
          <w:rFonts w:ascii="Arial" w:eastAsia="Arial" w:hAnsi="Arial" w:cs="Arial"/>
          <w:b/>
          <w:bCs/>
          <w:color w:val="000000" w:themeColor="text1"/>
          <w:sz w:val="24"/>
          <w:szCs w:val="24"/>
          <w:lang w:val="en-GB"/>
        </w:rPr>
        <w:t>eir operations are performing at all times. Many business owners are unaware that financial statements have worth beyond their usage as supporting documentation for loan applications and tax filings.</w:t>
      </w:r>
    </w:p>
    <w:p w14:paraId="47A5EAA7" w14:textId="77777777" w:rsidR="00717934" w:rsidRPr="00717934" w:rsidRDefault="00717934" w:rsidP="00717934">
      <w:pPr>
        <w:spacing w:line="360" w:lineRule="auto"/>
        <w:jc w:val="both"/>
        <w:rPr>
          <w:rFonts w:ascii="Arial" w:eastAsia="Arial" w:hAnsi="Arial" w:cs="Arial"/>
          <w:b/>
          <w:bCs/>
          <w:color w:val="000000" w:themeColor="text1"/>
          <w:sz w:val="24"/>
          <w:szCs w:val="24"/>
          <w:lang w:val="en-GB"/>
        </w:rPr>
      </w:pPr>
      <w:r w:rsidRPr="00717934">
        <w:rPr>
          <w:rFonts w:ascii="Arial" w:eastAsia="Arial" w:hAnsi="Arial" w:cs="Arial"/>
          <w:b/>
          <w:bCs/>
          <w:color w:val="000000" w:themeColor="text1"/>
          <w:sz w:val="24"/>
          <w:szCs w:val="24"/>
          <w:lang w:val="en-GB"/>
        </w:rPr>
        <w:t>These statements are brief reports that describe financial activity for certain time periods. Financial statement analysis may be used by owners and managers to examine their company's historical and current financial status, identify any existing financial difficulties, and estimate future trends in the firm's financial position.</w:t>
      </w:r>
    </w:p>
    <w:p w14:paraId="4327D5FE" w14:textId="77777777" w:rsidR="00717934" w:rsidRPr="00717934" w:rsidRDefault="00717934" w:rsidP="00717934">
      <w:pPr>
        <w:spacing w:line="360" w:lineRule="auto"/>
        <w:jc w:val="both"/>
        <w:rPr>
          <w:rFonts w:ascii="Arial" w:eastAsia="Arial" w:hAnsi="Arial" w:cs="Arial"/>
          <w:b/>
          <w:bCs/>
          <w:color w:val="000000" w:themeColor="text1"/>
          <w:sz w:val="24"/>
          <w:szCs w:val="24"/>
          <w:lang w:val="en-GB"/>
        </w:rPr>
      </w:pPr>
    </w:p>
    <w:p w14:paraId="622A0E8A" w14:textId="4AFF0443" w:rsidR="007F5940" w:rsidRDefault="00717934" w:rsidP="00717934">
      <w:pPr>
        <w:spacing w:line="360" w:lineRule="auto"/>
        <w:jc w:val="both"/>
        <w:rPr>
          <w:rFonts w:ascii="Arial" w:eastAsia="Arial" w:hAnsi="Arial" w:cs="Arial"/>
          <w:b/>
          <w:bCs/>
          <w:color w:val="000000" w:themeColor="text1"/>
          <w:sz w:val="24"/>
          <w:szCs w:val="24"/>
          <w:lang w:val="en-GB"/>
        </w:rPr>
      </w:pPr>
      <w:r w:rsidRPr="00717934">
        <w:rPr>
          <w:rFonts w:ascii="Arial" w:eastAsia="Arial" w:hAnsi="Arial" w:cs="Arial"/>
          <w:b/>
          <w:bCs/>
          <w:color w:val="000000" w:themeColor="text1"/>
          <w:sz w:val="24"/>
          <w:szCs w:val="24"/>
          <w:lang w:val="en-GB"/>
        </w:rPr>
        <w:t>In financial terms, evaluation identifies where the business has been and where it is now. Diagnosis identifies and proposes remedies to the financial problems shown by statement analysis.</w:t>
      </w:r>
      <w:r>
        <w:rPr>
          <w:rFonts w:ascii="Arial" w:eastAsia="Arial" w:hAnsi="Arial" w:cs="Arial"/>
          <w:b/>
          <w:bCs/>
          <w:color w:val="000000" w:themeColor="text1"/>
          <w:sz w:val="24"/>
          <w:szCs w:val="24"/>
          <w:lang w:val="en-GB"/>
        </w:rPr>
        <w:t xml:space="preserve"> This report will show exactly that. It is to be submitted to chief executive of Hilton from the senior manager. Detailing analysed data for the year 2019-2020.</w:t>
      </w:r>
    </w:p>
    <w:p w14:paraId="0282E299" w14:textId="77777777" w:rsidR="007F5940" w:rsidRDefault="007F5940" w:rsidP="74DA366C">
      <w:pPr>
        <w:spacing w:line="360" w:lineRule="auto"/>
        <w:jc w:val="both"/>
        <w:rPr>
          <w:rFonts w:ascii="Arial" w:eastAsia="Arial" w:hAnsi="Arial" w:cs="Arial"/>
          <w:b/>
          <w:bCs/>
          <w:color w:val="000000" w:themeColor="text1"/>
          <w:sz w:val="24"/>
          <w:szCs w:val="24"/>
          <w:lang w:val="en-GB"/>
        </w:rPr>
      </w:pPr>
    </w:p>
    <w:p w14:paraId="77EE9DD7" w14:textId="77777777" w:rsidR="007F5940" w:rsidRDefault="007F5940" w:rsidP="74DA366C">
      <w:pPr>
        <w:spacing w:line="360" w:lineRule="auto"/>
        <w:jc w:val="both"/>
        <w:rPr>
          <w:rFonts w:ascii="Arial" w:eastAsia="Arial" w:hAnsi="Arial" w:cs="Arial"/>
          <w:b/>
          <w:bCs/>
          <w:color w:val="000000" w:themeColor="text1"/>
          <w:sz w:val="24"/>
          <w:szCs w:val="24"/>
          <w:lang w:val="en-GB"/>
        </w:rPr>
      </w:pPr>
    </w:p>
    <w:p w14:paraId="28E73C23" w14:textId="128AC255" w:rsidR="007F5940" w:rsidRDefault="007F5940" w:rsidP="74DA366C">
      <w:pPr>
        <w:spacing w:line="360" w:lineRule="auto"/>
        <w:jc w:val="both"/>
        <w:rPr>
          <w:rFonts w:ascii="Arial" w:eastAsia="Arial" w:hAnsi="Arial" w:cs="Arial"/>
          <w:b/>
          <w:bCs/>
          <w:color w:val="000000" w:themeColor="text1"/>
          <w:sz w:val="24"/>
          <w:szCs w:val="24"/>
          <w:lang w:val="en-GB"/>
        </w:rPr>
      </w:pPr>
    </w:p>
    <w:p w14:paraId="704E003B" w14:textId="7B6BD0F7" w:rsidR="00017EC1" w:rsidRDefault="00017EC1" w:rsidP="74DA366C">
      <w:pPr>
        <w:spacing w:line="360" w:lineRule="auto"/>
        <w:jc w:val="both"/>
        <w:rPr>
          <w:rFonts w:ascii="Arial" w:eastAsia="Arial" w:hAnsi="Arial" w:cs="Arial"/>
          <w:b/>
          <w:bCs/>
          <w:color w:val="000000" w:themeColor="text1"/>
          <w:sz w:val="24"/>
          <w:szCs w:val="24"/>
          <w:lang w:val="en-GB"/>
        </w:rPr>
      </w:pPr>
    </w:p>
    <w:p w14:paraId="723C858B" w14:textId="16DC2268" w:rsidR="00017EC1" w:rsidRDefault="00017EC1" w:rsidP="74DA366C">
      <w:pPr>
        <w:spacing w:line="360" w:lineRule="auto"/>
        <w:jc w:val="both"/>
        <w:rPr>
          <w:rFonts w:ascii="Arial" w:eastAsia="Arial" w:hAnsi="Arial" w:cs="Arial"/>
          <w:b/>
          <w:bCs/>
          <w:color w:val="000000" w:themeColor="text1"/>
          <w:sz w:val="24"/>
          <w:szCs w:val="24"/>
          <w:lang w:val="en-GB"/>
        </w:rPr>
      </w:pPr>
    </w:p>
    <w:p w14:paraId="16209B78" w14:textId="7BF8FA18" w:rsidR="00017EC1" w:rsidRDefault="00017EC1" w:rsidP="74DA366C">
      <w:pPr>
        <w:spacing w:line="360" w:lineRule="auto"/>
        <w:jc w:val="both"/>
        <w:rPr>
          <w:rFonts w:ascii="Arial" w:eastAsia="Arial" w:hAnsi="Arial" w:cs="Arial"/>
          <w:b/>
          <w:bCs/>
          <w:color w:val="000000" w:themeColor="text1"/>
          <w:sz w:val="24"/>
          <w:szCs w:val="24"/>
          <w:lang w:val="en-GB"/>
        </w:rPr>
      </w:pPr>
    </w:p>
    <w:p w14:paraId="199F7111" w14:textId="77777777" w:rsidR="00017EC1" w:rsidRDefault="00017EC1" w:rsidP="74DA366C">
      <w:pPr>
        <w:spacing w:line="360" w:lineRule="auto"/>
        <w:jc w:val="both"/>
        <w:rPr>
          <w:rFonts w:ascii="Arial" w:eastAsia="Arial" w:hAnsi="Arial" w:cs="Arial"/>
          <w:b/>
          <w:bCs/>
          <w:color w:val="000000" w:themeColor="text1"/>
          <w:sz w:val="24"/>
          <w:szCs w:val="24"/>
          <w:lang w:val="en-GB"/>
        </w:rPr>
      </w:pPr>
    </w:p>
    <w:p w14:paraId="35E032A2" w14:textId="77777777" w:rsidR="007F5940" w:rsidRDefault="007F5940" w:rsidP="74DA366C">
      <w:pPr>
        <w:spacing w:line="360" w:lineRule="auto"/>
        <w:jc w:val="both"/>
        <w:rPr>
          <w:rFonts w:ascii="Arial" w:eastAsia="Arial" w:hAnsi="Arial" w:cs="Arial"/>
          <w:b/>
          <w:bCs/>
          <w:color w:val="000000" w:themeColor="text1"/>
          <w:sz w:val="24"/>
          <w:szCs w:val="24"/>
          <w:lang w:val="en-GB"/>
        </w:rPr>
      </w:pPr>
    </w:p>
    <w:p w14:paraId="1A8617C7" w14:textId="77777777" w:rsidR="007F5940" w:rsidRDefault="007F5940" w:rsidP="74DA366C">
      <w:pPr>
        <w:spacing w:line="360" w:lineRule="auto"/>
        <w:jc w:val="both"/>
        <w:rPr>
          <w:rFonts w:ascii="Arial" w:eastAsia="Arial" w:hAnsi="Arial" w:cs="Arial"/>
          <w:b/>
          <w:bCs/>
          <w:color w:val="000000" w:themeColor="text1"/>
          <w:sz w:val="24"/>
          <w:szCs w:val="24"/>
          <w:lang w:val="en-GB"/>
        </w:rPr>
      </w:pPr>
    </w:p>
    <w:p w14:paraId="78A2F96F" w14:textId="75034BF6" w:rsidR="00F65FA7" w:rsidRPr="00D22119" w:rsidRDefault="00F65FA7" w:rsidP="74DA366C">
      <w:pPr>
        <w:spacing w:line="360" w:lineRule="auto"/>
        <w:jc w:val="both"/>
        <w:rPr>
          <w:rFonts w:ascii="Arial" w:eastAsia="Arial" w:hAnsi="Arial" w:cs="Arial"/>
          <w:color w:val="000000" w:themeColor="text1"/>
          <w:sz w:val="24"/>
          <w:szCs w:val="24"/>
          <w:lang w:val="en-GB"/>
        </w:rPr>
      </w:pPr>
      <w:r w:rsidRPr="00E87B9B">
        <w:rPr>
          <w:rFonts w:ascii="Arial" w:eastAsia="Arial" w:hAnsi="Arial" w:cs="Arial"/>
          <w:b/>
          <w:bCs/>
          <w:color w:val="000000" w:themeColor="text1"/>
          <w:sz w:val="24"/>
          <w:szCs w:val="24"/>
          <w:lang w:val="en-GB"/>
        </w:rPr>
        <w:lastRenderedPageBreak/>
        <w:t>INTRODUCTION:</w:t>
      </w:r>
    </w:p>
    <w:p w14:paraId="4978202C" w14:textId="6EB286AA" w:rsidR="00F65FA7" w:rsidRPr="00D22119" w:rsidRDefault="00F65FA7" w:rsidP="00F65FA7">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The financial statement, statement of cash flow, and operating income of a corporation may show operational outcomes and provide a clear picture of corporate success. In the same way, crucial business performance indicators such as return on equity and inventory turnover can reveal a company's growing difficulties and strengths. This report will show the financial statement analysis of Hilton Worldwide inc. from 2019-2020 period.</w:t>
      </w:r>
    </w:p>
    <w:p w14:paraId="5A6111FB" w14:textId="3959A353" w:rsidR="00F65FA7" w:rsidRPr="00D22119" w:rsidRDefault="00250844" w:rsidP="00F65FA7">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t xml:space="preserve">A corporation's management may assess </w:t>
      </w:r>
      <w:proofErr w:type="gramStart"/>
      <w:r w:rsidRPr="00250844">
        <w:rPr>
          <w:rFonts w:ascii="Arial" w:eastAsia="Arial" w:hAnsi="Arial" w:cs="Arial"/>
          <w:color w:val="000000" w:themeColor="text1"/>
          <w:sz w:val="24"/>
          <w:szCs w:val="24"/>
          <w:lang w:val="en-GB"/>
        </w:rPr>
        <w:t>that improved earnings</w:t>
      </w:r>
      <w:proofErr w:type="gramEnd"/>
      <w:r w:rsidRPr="00250844">
        <w:rPr>
          <w:rFonts w:ascii="Arial" w:eastAsia="Arial" w:hAnsi="Arial" w:cs="Arial"/>
          <w:color w:val="000000" w:themeColor="text1"/>
          <w:sz w:val="24"/>
          <w:szCs w:val="24"/>
          <w:lang w:val="en-GB"/>
        </w:rPr>
        <w:t xml:space="preserve"> per share are the result of significant sales growth or a drop in cost of goods sold. Horizontal analysis may assess whether a company has enough liquidity by looking at suitable remuneration, net interest rates, and working capital ratios. Analysis may also be used to compare economic performance and revenue among companies in the same sector over time.</w:t>
      </w:r>
    </w:p>
    <w:p w14:paraId="2B63EAE2" w14:textId="3CACEAFE" w:rsidR="0017252B" w:rsidRPr="00D22119" w:rsidRDefault="0017252B" w:rsidP="00F65FA7">
      <w:pPr>
        <w:spacing w:line="360" w:lineRule="auto"/>
        <w:jc w:val="both"/>
        <w:rPr>
          <w:rFonts w:ascii="Arial" w:eastAsia="Arial" w:hAnsi="Arial" w:cs="Arial"/>
          <w:b/>
          <w:bCs/>
          <w:color w:val="000000" w:themeColor="text1"/>
          <w:sz w:val="24"/>
          <w:szCs w:val="24"/>
          <w:lang w:val="en-GB"/>
        </w:rPr>
      </w:pPr>
      <w:r w:rsidRPr="00D22119">
        <w:rPr>
          <w:rFonts w:ascii="Arial" w:eastAsia="Arial" w:hAnsi="Arial" w:cs="Arial"/>
          <w:b/>
          <w:bCs/>
          <w:color w:val="000000" w:themeColor="text1"/>
          <w:sz w:val="24"/>
          <w:szCs w:val="24"/>
          <w:lang w:val="en-GB"/>
        </w:rPr>
        <w:t>(A)</w:t>
      </w:r>
    </w:p>
    <w:p w14:paraId="14AA04DF" w14:textId="77777777" w:rsidR="00250844" w:rsidRDefault="00250844" w:rsidP="00673C68">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t xml:space="preserve">Horizontal analysis is a financial statement analysis approach that compares specific financial data from one financial </w:t>
      </w:r>
      <w:proofErr w:type="gramStart"/>
      <w:r w:rsidRPr="00250844">
        <w:rPr>
          <w:rFonts w:ascii="Arial" w:eastAsia="Arial" w:hAnsi="Arial" w:cs="Arial"/>
          <w:color w:val="000000" w:themeColor="text1"/>
          <w:sz w:val="24"/>
          <w:szCs w:val="24"/>
          <w:lang w:val="en-GB"/>
        </w:rPr>
        <w:t>statements</w:t>
      </w:r>
      <w:proofErr w:type="gramEnd"/>
      <w:r w:rsidRPr="00250844">
        <w:rPr>
          <w:rFonts w:ascii="Arial" w:eastAsia="Arial" w:hAnsi="Arial" w:cs="Arial"/>
          <w:color w:val="000000" w:themeColor="text1"/>
          <w:sz w:val="24"/>
          <w:szCs w:val="24"/>
          <w:lang w:val="en-GB"/>
        </w:rPr>
        <w:t xml:space="preserve"> to information from preceding periods. This strategy is used by analysts to investigate historical trends.</w:t>
      </w:r>
    </w:p>
    <w:p w14:paraId="5C6CC817" w14:textId="5E664676" w:rsidR="00673C68" w:rsidRPr="00D22119" w:rsidRDefault="00673C68" w:rsidP="00673C68">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Horizontal analysis compares past and current financial data from different time frames.</w:t>
      </w:r>
      <w:r w:rsidR="002836CF" w:rsidRPr="00D22119">
        <w:rPr>
          <w:rFonts w:ascii="Arial" w:eastAsia="Arial" w:hAnsi="Arial" w:cs="Arial"/>
          <w:color w:val="000000" w:themeColor="text1"/>
          <w:sz w:val="24"/>
          <w:szCs w:val="24"/>
          <w:lang w:val="en-GB"/>
        </w:rPr>
        <w:t xml:space="preserve"> Here </w:t>
      </w:r>
      <w:r w:rsidR="00667728" w:rsidRPr="00D22119">
        <w:rPr>
          <w:rFonts w:ascii="Arial" w:eastAsia="Arial" w:hAnsi="Arial" w:cs="Arial"/>
          <w:color w:val="000000" w:themeColor="text1"/>
          <w:sz w:val="24"/>
          <w:szCs w:val="24"/>
          <w:lang w:val="en-GB"/>
        </w:rPr>
        <w:t>The company chosen is Hilton Worldwide for the year 2019 and 2020. It hit the lower in sales, interest rate and liabilities due to the worldwide Pandemic due to virus named Covid 19. Hospitality industry must be the worst one who got hit by the pandemic and everything seem deem to exist.</w:t>
      </w:r>
    </w:p>
    <w:p w14:paraId="0F3A0D31" w14:textId="77777777" w:rsidR="00250844" w:rsidRDefault="00250844" w:rsidP="00673C68">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t xml:space="preserve">It assists in identifying a company's major relationship with its financial status in contrast to other options. The horizontal analysis technique </w:t>
      </w:r>
      <w:proofErr w:type="gramStart"/>
      <w:r w:rsidRPr="00250844">
        <w:rPr>
          <w:rFonts w:ascii="Arial" w:eastAsia="Arial" w:hAnsi="Arial" w:cs="Arial"/>
          <w:color w:val="000000" w:themeColor="text1"/>
          <w:sz w:val="24"/>
          <w:szCs w:val="24"/>
          <w:lang w:val="en-GB"/>
        </w:rPr>
        <w:t>use</w:t>
      </w:r>
      <w:proofErr w:type="gramEnd"/>
      <w:r w:rsidRPr="00250844">
        <w:rPr>
          <w:rFonts w:ascii="Arial" w:eastAsia="Arial" w:hAnsi="Arial" w:cs="Arial"/>
          <w:color w:val="000000" w:themeColor="text1"/>
          <w:sz w:val="24"/>
          <w:szCs w:val="24"/>
          <w:lang w:val="en-GB"/>
        </w:rPr>
        <w:t xml:space="preserve"> a base year and a comparative year to assess a company's growth.</w:t>
      </w:r>
    </w:p>
    <w:p w14:paraId="2858540B" w14:textId="6767ABE3" w:rsidR="001B0BD2" w:rsidRPr="00D22119" w:rsidRDefault="001B0BD2" w:rsidP="00673C68">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Trending or shifts are evaluated by determining current year data to base year values. The purpose is to identify any changes in specified values. In horizontal analysis, a percentage or exact comparison might be employed.</w:t>
      </w:r>
    </w:p>
    <w:p w14:paraId="2619AB26" w14:textId="0A46CC22" w:rsidR="00673C68" w:rsidRPr="00D22119" w:rsidRDefault="00E87B9B" w:rsidP="001B0BD2">
      <w:pPr>
        <w:spacing w:line="360" w:lineRule="auto"/>
        <w:jc w:val="both"/>
        <w:rPr>
          <w:rFonts w:ascii="Arial" w:eastAsia="Arial" w:hAnsi="Arial" w:cs="Arial"/>
          <w:b/>
          <w:bCs/>
          <w:color w:val="000000" w:themeColor="text1"/>
          <w:sz w:val="24"/>
          <w:szCs w:val="24"/>
          <w:lang w:val="en-GB"/>
        </w:rPr>
      </w:pPr>
      <w:r w:rsidRPr="00D22119">
        <w:rPr>
          <w:rFonts w:ascii="Arial" w:eastAsia="Arial" w:hAnsi="Arial" w:cs="Arial"/>
          <w:b/>
          <w:bCs/>
          <w:color w:val="000000" w:themeColor="text1"/>
          <w:sz w:val="24"/>
          <w:szCs w:val="24"/>
          <w:lang w:val="en-GB"/>
        </w:rPr>
        <w:t>The analysed financial ratio is below:</w:t>
      </w:r>
    </w:p>
    <w:p w14:paraId="5911F4CA" w14:textId="553AB909" w:rsidR="00E87B9B" w:rsidRPr="00D22119" w:rsidRDefault="00E87B9B" w:rsidP="001B0BD2">
      <w:pPr>
        <w:spacing w:line="360" w:lineRule="auto"/>
        <w:jc w:val="both"/>
        <w:rPr>
          <w:rFonts w:ascii="Arial" w:eastAsia="Arial" w:hAnsi="Arial" w:cs="Arial"/>
          <w:color w:val="000000" w:themeColor="text1"/>
          <w:sz w:val="24"/>
          <w:szCs w:val="24"/>
          <w:lang w:val="en-GB"/>
        </w:rPr>
      </w:pPr>
      <w:r w:rsidRPr="00D22119">
        <w:rPr>
          <w:rFonts w:ascii="Arial" w:eastAsia="Arial" w:hAnsi="Arial" w:cs="Arial"/>
          <w:noProof/>
          <w:color w:val="000000" w:themeColor="text1"/>
          <w:sz w:val="24"/>
          <w:szCs w:val="24"/>
          <w:lang w:val="en-GB"/>
        </w:rPr>
        <w:lastRenderedPageBreak/>
        <w:drawing>
          <wp:inline distT="0" distB="0" distL="0" distR="0" wp14:anchorId="48D97B97" wp14:editId="7F904D7E">
            <wp:extent cx="5943600" cy="37661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766185"/>
                    </a:xfrm>
                    <a:prstGeom prst="rect">
                      <a:avLst/>
                    </a:prstGeom>
                  </pic:spPr>
                </pic:pic>
              </a:graphicData>
            </a:graphic>
          </wp:inline>
        </w:drawing>
      </w:r>
    </w:p>
    <w:p w14:paraId="5B30638C" w14:textId="77777777" w:rsidR="00E87B9B" w:rsidRPr="00D22119" w:rsidRDefault="00E87B9B" w:rsidP="00E87B9B">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The values for the specific ratio are shown below:</w:t>
      </w:r>
    </w:p>
    <w:p w14:paraId="6A67E1FD" w14:textId="492A70A8" w:rsidR="00E87B9B" w:rsidRPr="00D22119" w:rsidRDefault="002836CF" w:rsidP="00E87B9B">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Hilton</w:t>
      </w:r>
      <w:r w:rsidR="00E87B9B" w:rsidRPr="00D22119">
        <w:rPr>
          <w:rFonts w:ascii="Arial" w:eastAsia="Arial" w:hAnsi="Arial" w:cs="Arial"/>
          <w:color w:val="000000" w:themeColor="text1"/>
          <w:sz w:val="24"/>
          <w:szCs w:val="24"/>
          <w:lang w:val="en-GB"/>
        </w:rPr>
        <w:t xml:space="preserve"> hotels have a value of </w:t>
      </w:r>
      <w:r w:rsidRPr="00D22119">
        <w:rPr>
          <w:rFonts w:ascii="Arial" w:eastAsia="Arial" w:hAnsi="Arial" w:cs="Arial"/>
          <w:color w:val="000000" w:themeColor="text1"/>
          <w:sz w:val="24"/>
          <w:szCs w:val="24"/>
          <w:lang w:val="en-GB"/>
        </w:rPr>
        <w:t>16.775000</w:t>
      </w:r>
      <w:r w:rsidR="00E87B9B" w:rsidRPr="00D22119">
        <w:rPr>
          <w:rFonts w:ascii="Arial" w:eastAsia="Arial" w:hAnsi="Arial" w:cs="Arial"/>
          <w:color w:val="000000" w:themeColor="text1"/>
          <w:sz w:val="24"/>
          <w:szCs w:val="24"/>
          <w:lang w:val="en-GB"/>
        </w:rPr>
        <w:t xml:space="preserve"> in 20</w:t>
      </w:r>
      <w:r w:rsidRPr="00D22119">
        <w:rPr>
          <w:rFonts w:ascii="Arial" w:eastAsia="Arial" w:hAnsi="Arial" w:cs="Arial"/>
          <w:color w:val="000000" w:themeColor="text1"/>
          <w:sz w:val="24"/>
          <w:szCs w:val="24"/>
          <w:lang w:val="en-GB"/>
        </w:rPr>
        <w:t>20</w:t>
      </w:r>
      <w:r w:rsidR="00E87B9B" w:rsidRPr="00D22119">
        <w:rPr>
          <w:rFonts w:ascii="Arial" w:eastAsia="Arial" w:hAnsi="Arial" w:cs="Arial"/>
          <w:color w:val="000000" w:themeColor="text1"/>
          <w:sz w:val="24"/>
          <w:szCs w:val="24"/>
          <w:lang w:val="en-GB"/>
        </w:rPr>
        <w:t xml:space="preserve">, which rises </w:t>
      </w:r>
      <w:r w:rsidRPr="00D22119">
        <w:rPr>
          <w:rFonts w:ascii="Arial" w:eastAsia="Arial" w:hAnsi="Arial" w:cs="Arial"/>
          <w:color w:val="000000" w:themeColor="text1"/>
          <w:sz w:val="24"/>
          <w:szCs w:val="24"/>
          <w:lang w:val="en-GB"/>
        </w:rPr>
        <w:t xml:space="preserve">from 1495700 in 2019 </w:t>
      </w:r>
      <w:r w:rsidR="00E87B9B" w:rsidRPr="00D22119">
        <w:rPr>
          <w:rFonts w:ascii="Arial" w:eastAsia="Arial" w:hAnsi="Arial" w:cs="Arial"/>
          <w:color w:val="000000" w:themeColor="text1"/>
          <w:sz w:val="24"/>
          <w:szCs w:val="24"/>
          <w:lang w:val="en-GB"/>
        </w:rPr>
        <w:t xml:space="preserve">before </w:t>
      </w:r>
      <w:r w:rsidRPr="00D22119">
        <w:rPr>
          <w:rFonts w:ascii="Arial" w:eastAsia="Arial" w:hAnsi="Arial" w:cs="Arial"/>
          <w:color w:val="000000" w:themeColor="text1"/>
          <w:sz w:val="24"/>
          <w:szCs w:val="24"/>
          <w:lang w:val="en-GB"/>
        </w:rPr>
        <w:t>the year end. The sales for the period 2020 was dipped lower to minus 0.5% as compared to year 2019 where it was 9452000.</w:t>
      </w:r>
    </w:p>
    <w:p w14:paraId="2E558D43" w14:textId="4254DE83" w:rsidR="00E87B9B" w:rsidRPr="00D22119" w:rsidRDefault="00E87B9B" w:rsidP="00E87B9B">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The ratio </w:t>
      </w:r>
      <w:r w:rsidR="002836CF" w:rsidRPr="00D22119">
        <w:rPr>
          <w:rFonts w:ascii="Arial" w:eastAsia="Arial" w:hAnsi="Arial" w:cs="Arial"/>
          <w:color w:val="000000" w:themeColor="text1"/>
          <w:sz w:val="24"/>
          <w:szCs w:val="24"/>
          <w:lang w:val="en-GB"/>
        </w:rPr>
        <w:t xml:space="preserve">Interest expenses </w:t>
      </w:r>
      <w:r w:rsidRPr="00D22119">
        <w:rPr>
          <w:rFonts w:ascii="Arial" w:eastAsia="Arial" w:hAnsi="Arial" w:cs="Arial"/>
          <w:color w:val="000000" w:themeColor="text1"/>
          <w:sz w:val="24"/>
          <w:szCs w:val="24"/>
          <w:lang w:val="en-GB"/>
        </w:rPr>
        <w:t xml:space="preserve">for </w:t>
      </w:r>
      <w:r w:rsidR="002836CF" w:rsidRPr="00D22119">
        <w:rPr>
          <w:rFonts w:ascii="Arial" w:eastAsia="Arial" w:hAnsi="Arial" w:cs="Arial"/>
          <w:color w:val="000000" w:themeColor="text1"/>
          <w:sz w:val="24"/>
          <w:szCs w:val="24"/>
          <w:lang w:val="en-GB"/>
        </w:rPr>
        <w:t>Hilton</w:t>
      </w:r>
      <w:r w:rsidRPr="00D22119">
        <w:rPr>
          <w:rFonts w:ascii="Arial" w:eastAsia="Arial" w:hAnsi="Arial" w:cs="Arial"/>
          <w:color w:val="000000" w:themeColor="text1"/>
          <w:sz w:val="24"/>
          <w:szCs w:val="24"/>
          <w:lang w:val="en-GB"/>
        </w:rPr>
        <w:t xml:space="preserve"> hotels rose slightly from </w:t>
      </w:r>
      <w:r w:rsidR="002836CF" w:rsidRPr="00D22119">
        <w:rPr>
          <w:rFonts w:ascii="Arial" w:eastAsia="Arial" w:hAnsi="Arial" w:cs="Arial"/>
          <w:color w:val="000000" w:themeColor="text1"/>
          <w:sz w:val="24"/>
          <w:szCs w:val="24"/>
          <w:lang w:val="en-GB"/>
        </w:rPr>
        <w:t xml:space="preserve">414.000 </w:t>
      </w:r>
      <w:r w:rsidRPr="00D22119">
        <w:rPr>
          <w:rFonts w:ascii="Arial" w:eastAsia="Arial" w:hAnsi="Arial" w:cs="Arial"/>
          <w:color w:val="000000" w:themeColor="text1"/>
          <w:sz w:val="24"/>
          <w:szCs w:val="24"/>
          <w:lang w:val="en-GB"/>
        </w:rPr>
        <w:t>in 20</w:t>
      </w:r>
      <w:r w:rsidR="002836CF" w:rsidRPr="00D22119">
        <w:rPr>
          <w:rFonts w:ascii="Arial" w:eastAsia="Arial" w:hAnsi="Arial" w:cs="Arial"/>
          <w:color w:val="000000" w:themeColor="text1"/>
          <w:sz w:val="24"/>
          <w:szCs w:val="24"/>
          <w:lang w:val="en-GB"/>
        </w:rPr>
        <w:t>19</w:t>
      </w:r>
      <w:r w:rsidRPr="00D22119">
        <w:rPr>
          <w:rFonts w:ascii="Arial" w:eastAsia="Arial" w:hAnsi="Arial" w:cs="Arial"/>
          <w:color w:val="000000" w:themeColor="text1"/>
          <w:sz w:val="24"/>
          <w:szCs w:val="24"/>
          <w:lang w:val="en-GB"/>
        </w:rPr>
        <w:t xml:space="preserve"> to </w:t>
      </w:r>
      <w:r w:rsidR="002836CF" w:rsidRPr="00D22119">
        <w:rPr>
          <w:rFonts w:ascii="Arial" w:eastAsia="Arial" w:hAnsi="Arial" w:cs="Arial"/>
          <w:color w:val="000000" w:themeColor="text1"/>
          <w:sz w:val="24"/>
          <w:szCs w:val="24"/>
          <w:lang w:val="en-GB"/>
        </w:rPr>
        <w:t xml:space="preserve">429000 </w:t>
      </w:r>
      <w:r w:rsidRPr="00D22119">
        <w:rPr>
          <w:rFonts w:ascii="Arial" w:eastAsia="Arial" w:hAnsi="Arial" w:cs="Arial"/>
          <w:color w:val="000000" w:themeColor="text1"/>
          <w:sz w:val="24"/>
          <w:szCs w:val="24"/>
          <w:lang w:val="en-GB"/>
        </w:rPr>
        <w:t>in 20</w:t>
      </w:r>
      <w:r w:rsidR="002836CF" w:rsidRPr="00D22119">
        <w:rPr>
          <w:rFonts w:ascii="Arial" w:eastAsia="Arial" w:hAnsi="Arial" w:cs="Arial"/>
          <w:color w:val="000000" w:themeColor="text1"/>
          <w:sz w:val="24"/>
          <w:szCs w:val="24"/>
          <w:lang w:val="en-GB"/>
        </w:rPr>
        <w:t>20</w:t>
      </w:r>
      <w:r w:rsidRPr="00D22119">
        <w:rPr>
          <w:rFonts w:ascii="Arial" w:eastAsia="Arial" w:hAnsi="Arial" w:cs="Arial"/>
          <w:color w:val="000000" w:themeColor="text1"/>
          <w:sz w:val="24"/>
          <w:szCs w:val="24"/>
          <w:lang w:val="en-GB"/>
        </w:rPr>
        <w:t xml:space="preserve">, </w:t>
      </w:r>
      <w:r w:rsidR="002836CF" w:rsidRPr="00D22119">
        <w:rPr>
          <w:rFonts w:ascii="Arial" w:eastAsia="Arial" w:hAnsi="Arial" w:cs="Arial"/>
          <w:color w:val="000000" w:themeColor="text1"/>
          <w:sz w:val="24"/>
          <w:szCs w:val="24"/>
          <w:lang w:val="en-GB"/>
        </w:rPr>
        <w:t>which makes the net income to fall to minus 2 percent in 2020</w:t>
      </w:r>
      <w:r w:rsidRPr="00D22119">
        <w:rPr>
          <w:rFonts w:ascii="Arial" w:eastAsia="Arial" w:hAnsi="Arial" w:cs="Arial"/>
          <w:color w:val="000000" w:themeColor="text1"/>
          <w:sz w:val="24"/>
          <w:szCs w:val="24"/>
          <w:lang w:val="en-GB"/>
        </w:rPr>
        <w:t>.</w:t>
      </w:r>
    </w:p>
    <w:p w14:paraId="7D49310F" w14:textId="084396F1" w:rsidR="002836CF" w:rsidRPr="00D22119" w:rsidRDefault="002836CF" w:rsidP="00E87B9B">
      <w:pPr>
        <w:spacing w:line="360" w:lineRule="auto"/>
        <w:jc w:val="both"/>
        <w:rPr>
          <w:rFonts w:ascii="Arial" w:eastAsia="Arial" w:hAnsi="Arial" w:cs="Arial"/>
          <w:color w:val="000000" w:themeColor="text1"/>
          <w:sz w:val="24"/>
          <w:szCs w:val="24"/>
          <w:lang w:val="en-GB"/>
        </w:rPr>
      </w:pPr>
      <w:r w:rsidRPr="00D22119">
        <w:rPr>
          <w:rFonts w:ascii="Arial" w:eastAsia="Arial" w:hAnsi="Arial" w:cs="Arial"/>
          <w:noProof/>
          <w:color w:val="000000" w:themeColor="text1"/>
          <w:sz w:val="24"/>
          <w:szCs w:val="24"/>
          <w:lang w:val="en-GB"/>
        </w:rPr>
        <w:lastRenderedPageBreak/>
        <w:drawing>
          <wp:inline distT="0" distB="0" distL="0" distR="0" wp14:anchorId="24025BC4" wp14:editId="09873B3C">
            <wp:extent cx="5562600" cy="3441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62600" cy="3441700"/>
                    </a:xfrm>
                    <a:prstGeom prst="rect">
                      <a:avLst/>
                    </a:prstGeom>
                  </pic:spPr>
                </pic:pic>
              </a:graphicData>
            </a:graphic>
          </wp:inline>
        </w:drawing>
      </w:r>
    </w:p>
    <w:p w14:paraId="231921D4" w14:textId="1D2DD95F" w:rsidR="00E87B9B" w:rsidRPr="00D22119" w:rsidRDefault="002F0B91" w:rsidP="00E87B9B">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If we survey the balance sheet for 2019 – 2020 for Hilton worldwide. </w:t>
      </w:r>
      <w:r w:rsidR="00E87B9B" w:rsidRPr="00D22119">
        <w:rPr>
          <w:rFonts w:ascii="Arial" w:eastAsia="Arial" w:hAnsi="Arial" w:cs="Arial"/>
          <w:color w:val="000000" w:themeColor="text1"/>
          <w:sz w:val="24"/>
          <w:szCs w:val="24"/>
          <w:lang w:val="en-GB"/>
        </w:rPr>
        <w:t>Th</w:t>
      </w:r>
      <w:r w:rsidRPr="00D22119">
        <w:rPr>
          <w:rFonts w:ascii="Arial" w:eastAsia="Arial" w:hAnsi="Arial" w:cs="Arial"/>
          <w:color w:val="000000" w:themeColor="text1"/>
          <w:sz w:val="24"/>
          <w:szCs w:val="24"/>
          <w:lang w:val="en-GB"/>
        </w:rPr>
        <w:t xml:space="preserve">e horizontal </w:t>
      </w:r>
      <w:r w:rsidR="00E87B9B" w:rsidRPr="00D22119">
        <w:rPr>
          <w:rFonts w:ascii="Arial" w:eastAsia="Arial" w:hAnsi="Arial" w:cs="Arial"/>
          <w:color w:val="000000" w:themeColor="text1"/>
          <w:sz w:val="24"/>
          <w:szCs w:val="24"/>
          <w:lang w:val="en-GB"/>
        </w:rPr>
        <w:t xml:space="preserve">ratio fluctuation is reverse, with the </w:t>
      </w:r>
      <w:r w:rsidRPr="00D22119">
        <w:rPr>
          <w:rFonts w:ascii="Arial" w:eastAsia="Arial" w:hAnsi="Arial" w:cs="Arial"/>
          <w:color w:val="000000" w:themeColor="text1"/>
          <w:sz w:val="24"/>
          <w:szCs w:val="24"/>
          <w:lang w:val="en-GB"/>
        </w:rPr>
        <w:t>retained earnings get higher by – 0 %</w:t>
      </w:r>
      <w:r w:rsidR="00E87B9B" w:rsidRPr="00D22119">
        <w:rPr>
          <w:rFonts w:ascii="Arial" w:eastAsia="Arial" w:hAnsi="Arial" w:cs="Arial"/>
          <w:color w:val="000000" w:themeColor="text1"/>
          <w:sz w:val="24"/>
          <w:szCs w:val="24"/>
          <w:lang w:val="en-GB"/>
        </w:rPr>
        <w:t xml:space="preserve"> value, in 20</w:t>
      </w:r>
      <w:r w:rsidRPr="00D22119">
        <w:rPr>
          <w:rFonts w:ascii="Arial" w:eastAsia="Arial" w:hAnsi="Arial" w:cs="Arial"/>
          <w:color w:val="000000" w:themeColor="text1"/>
          <w:sz w:val="24"/>
          <w:szCs w:val="24"/>
          <w:lang w:val="en-GB"/>
        </w:rPr>
        <w:t>20</w:t>
      </w:r>
      <w:r w:rsidR="00E87B9B" w:rsidRPr="00D22119">
        <w:rPr>
          <w:rFonts w:ascii="Arial" w:eastAsia="Arial" w:hAnsi="Arial" w:cs="Arial"/>
          <w:color w:val="000000" w:themeColor="text1"/>
          <w:sz w:val="24"/>
          <w:szCs w:val="24"/>
          <w:lang w:val="en-GB"/>
        </w:rPr>
        <w:t xml:space="preserve">, </w:t>
      </w:r>
      <w:r w:rsidRPr="00D22119">
        <w:rPr>
          <w:rFonts w:ascii="Arial" w:eastAsia="Arial" w:hAnsi="Arial" w:cs="Arial"/>
          <w:color w:val="000000" w:themeColor="text1"/>
          <w:sz w:val="24"/>
          <w:szCs w:val="24"/>
          <w:lang w:val="en-GB"/>
        </w:rPr>
        <w:t>de</w:t>
      </w:r>
      <w:r w:rsidR="00E87B9B" w:rsidRPr="00D22119">
        <w:rPr>
          <w:rFonts w:ascii="Arial" w:eastAsia="Arial" w:hAnsi="Arial" w:cs="Arial"/>
          <w:color w:val="000000" w:themeColor="text1"/>
          <w:sz w:val="24"/>
          <w:szCs w:val="24"/>
          <w:lang w:val="en-GB"/>
        </w:rPr>
        <w:t xml:space="preserve">creasing to </w:t>
      </w:r>
      <w:r w:rsidRPr="00D22119">
        <w:rPr>
          <w:rFonts w:ascii="Arial" w:eastAsia="Arial" w:hAnsi="Arial" w:cs="Arial"/>
          <w:color w:val="000000" w:themeColor="text1"/>
          <w:sz w:val="24"/>
          <w:szCs w:val="24"/>
          <w:lang w:val="en-GB"/>
        </w:rPr>
        <w:t>767000</w:t>
      </w:r>
      <w:r w:rsidR="00E87B9B" w:rsidRPr="00D22119">
        <w:rPr>
          <w:rFonts w:ascii="Arial" w:eastAsia="Arial" w:hAnsi="Arial" w:cs="Arial"/>
          <w:color w:val="000000" w:themeColor="text1"/>
          <w:sz w:val="24"/>
          <w:szCs w:val="24"/>
          <w:lang w:val="en-GB"/>
        </w:rPr>
        <w:t xml:space="preserve"> </w:t>
      </w:r>
      <w:r w:rsidRPr="00D22119">
        <w:rPr>
          <w:rFonts w:ascii="Arial" w:eastAsia="Arial" w:hAnsi="Arial" w:cs="Arial"/>
          <w:color w:val="000000" w:themeColor="text1"/>
          <w:sz w:val="24"/>
          <w:szCs w:val="24"/>
          <w:lang w:val="en-GB"/>
        </w:rPr>
        <w:t>as compared to 2019. The current liabilities are lower but the total liabilities increase</w:t>
      </w:r>
      <w:r w:rsidR="009C6903">
        <w:rPr>
          <w:rFonts w:ascii="Arial" w:eastAsia="Arial" w:hAnsi="Arial" w:cs="Arial"/>
          <w:color w:val="000000" w:themeColor="text1"/>
          <w:sz w:val="24"/>
          <w:szCs w:val="24"/>
          <w:lang w:val="en-GB"/>
        </w:rPr>
        <w:t>d</w:t>
      </w:r>
      <w:r w:rsidRPr="00D22119">
        <w:rPr>
          <w:rFonts w:ascii="Arial" w:eastAsia="Arial" w:hAnsi="Arial" w:cs="Arial"/>
          <w:color w:val="000000" w:themeColor="text1"/>
          <w:sz w:val="24"/>
          <w:szCs w:val="24"/>
          <w:lang w:val="en-GB"/>
        </w:rPr>
        <w:t xml:space="preserve"> by 0.2 percent which is normal.</w:t>
      </w:r>
      <w:r w:rsidR="00E44380" w:rsidRPr="00D22119">
        <w:rPr>
          <w:rFonts w:ascii="Arial" w:eastAsia="Arial" w:hAnsi="Arial" w:cs="Arial"/>
          <w:color w:val="000000" w:themeColor="text1"/>
          <w:sz w:val="24"/>
          <w:szCs w:val="24"/>
          <w:lang w:val="en-GB"/>
        </w:rPr>
        <w:t xml:space="preserve"> </w:t>
      </w:r>
      <w:r w:rsidRPr="00D22119">
        <w:rPr>
          <w:rFonts w:ascii="Arial" w:eastAsia="Arial" w:hAnsi="Arial" w:cs="Arial"/>
          <w:color w:val="000000" w:themeColor="text1"/>
          <w:sz w:val="24"/>
          <w:szCs w:val="24"/>
          <w:lang w:val="en-GB"/>
        </w:rPr>
        <w:t>Total stockholder equity also increased by 1008000 in 202</w:t>
      </w:r>
      <w:r w:rsidR="00E44380" w:rsidRPr="00D22119">
        <w:rPr>
          <w:rFonts w:ascii="Arial" w:eastAsia="Arial" w:hAnsi="Arial" w:cs="Arial"/>
          <w:color w:val="000000" w:themeColor="text1"/>
          <w:sz w:val="24"/>
          <w:szCs w:val="24"/>
          <w:lang w:val="en-GB"/>
        </w:rPr>
        <w:t xml:space="preserve">0 </w:t>
      </w:r>
    </w:p>
    <w:p w14:paraId="30352175" w14:textId="268D66E7" w:rsidR="00E87B9B" w:rsidRPr="00D22119" w:rsidRDefault="00E87B9B" w:rsidP="00E87B9B">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For </w:t>
      </w:r>
      <w:r w:rsidR="00A6659F" w:rsidRPr="00D22119">
        <w:rPr>
          <w:rFonts w:ascii="Arial" w:eastAsia="Arial" w:hAnsi="Arial" w:cs="Arial"/>
          <w:color w:val="000000" w:themeColor="text1"/>
          <w:sz w:val="24"/>
          <w:szCs w:val="24"/>
          <w:lang w:val="en-GB"/>
        </w:rPr>
        <w:t>Hilton</w:t>
      </w:r>
      <w:r w:rsidRPr="00D22119">
        <w:rPr>
          <w:rFonts w:ascii="Arial" w:eastAsia="Arial" w:hAnsi="Arial" w:cs="Arial"/>
          <w:color w:val="000000" w:themeColor="text1"/>
          <w:sz w:val="24"/>
          <w:szCs w:val="24"/>
          <w:lang w:val="en-GB"/>
        </w:rPr>
        <w:t xml:space="preserve"> hotels, the ratio followed a steady </w:t>
      </w:r>
      <w:r w:rsidR="00A6659F" w:rsidRPr="00D22119">
        <w:rPr>
          <w:rFonts w:ascii="Arial" w:eastAsia="Arial" w:hAnsi="Arial" w:cs="Arial"/>
          <w:color w:val="000000" w:themeColor="text1"/>
          <w:sz w:val="24"/>
          <w:szCs w:val="24"/>
          <w:lang w:val="en-GB"/>
        </w:rPr>
        <w:t xml:space="preserve">downward </w:t>
      </w:r>
      <w:r w:rsidRPr="00D22119">
        <w:rPr>
          <w:rFonts w:ascii="Arial" w:eastAsia="Arial" w:hAnsi="Arial" w:cs="Arial"/>
          <w:color w:val="000000" w:themeColor="text1"/>
          <w:sz w:val="24"/>
          <w:szCs w:val="24"/>
          <w:lang w:val="en-GB"/>
        </w:rPr>
        <w:t xml:space="preserve">trend, </w:t>
      </w:r>
      <w:r w:rsidR="00A6659F" w:rsidRPr="00D22119">
        <w:rPr>
          <w:rFonts w:ascii="Arial" w:eastAsia="Arial" w:hAnsi="Arial" w:cs="Arial"/>
          <w:color w:val="000000" w:themeColor="text1"/>
          <w:sz w:val="24"/>
          <w:szCs w:val="24"/>
          <w:lang w:val="en-GB"/>
        </w:rPr>
        <w:t xml:space="preserve">only </w:t>
      </w:r>
      <w:r w:rsidR="00D22119" w:rsidRPr="00D22119">
        <w:rPr>
          <w:rFonts w:ascii="Arial" w:eastAsia="Arial" w:hAnsi="Arial" w:cs="Arial"/>
          <w:color w:val="000000" w:themeColor="text1"/>
          <w:sz w:val="24"/>
          <w:szCs w:val="24"/>
          <w:lang w:val="en-GB"/>
        </w:rPr>
        <w:t>highlighted</w:t>
      </w:r>
      <w:r w:rsidR="00A6659F" w:rsidRPr="00D22119">
        <w:rPr>
          <w:rFonts w:ascii="Arial" w:eastAsia="Arial" w:hAnsi="Arial" w:cs="Arial"/>
          <w:color w:val="000000" w:themeColor="text1"/>
          <w:sz w:val="24"/>
          <w:szCs w:val="24"/>
          <w:lang w:val="en-GB"/>
        </w:rPr>
        <w:t xml:space="preserve"> of the year is that cost of good got decreased and operating expenses got decreased too. The gross profit </w:t>
      </w:r>
      <w:r w:rsidR="009C6903" w:rsidRPr="00D22119">
        <w:rPr>
          <w:rFonts w:ascii="Arial" w:eastAsia="Arial" w:hAnsi="Arial" w:cs="Arial"/>
          <w:color w:val="000000" w:themeColor="text1"/>
          <w:sz w:val="24"/>
          <w:szCs w:val="24"/>
          <w:lang w:val="en-GB"/>
        </w:rPr>
        <w:t>begins</w:t>
      </w:r>
      <w:r w:rsidRPr="00D22119">
        <w:rPr>
          <w:rFonts w:ascii="Arial" w:eastAsia="Arial" w:hAnsi="Arial" w:cs="Arial"/>
          <w:color w:val="000000" w:themeColor="text1"/>
          <w:sz w:val="24"/>
          <w:szCs w:val="24"/>
          <w:lang w:val="en-GB"/>
        </w:rPr>
        <w:t xml:space="preserve"> with a low </w:t>
      </w:r>
      <w:r w:rsidR="00A6659F" w:rsidRPr="00D22119">
        <w:rPr>
          <w:rFonts w:ascii="Arial" w:eastAsia="Arial" w:hAnsi="Arial" w:cs="Arial"/>
          <w:color w:val="000000" w:themeColor="text1"/>
          <w:sz w:val="24"/>
          <w:szCs w:val="24"/>
          <w:lang w:val="en-GB"/>
        </w:rPr>
        <w:t xml:space="preserve">number </w:t>
      </w:r>
      <w:r w:rsidRPr="00D22119">
        <w:rPr>
          <w:rFonts w:ascii="Arial" w:eastAsia="Arial" w:hAnsi="Arial" w:cs="Arial"/>
          <w:color w:val="000000" w:themeColor="text1"/>
          <w:sz w:val="24"/>
          <w:szCs w:val="24"/>
          <w:lang w:val="en-GB"/>
        </w:rPr>
        <w:t>of 0.</w:t>
      </w:r>
      <w:r w:rsidR="00A6659F" w:rsidRPr="00D22119">
        <w:rPr>
          <w:rFonts w:ascii="Arial" w:eastAsia="Arial" w:hAnsi="Arial" w:cs="Arial"/>
          <w:color w:val="000000" w:themeColor="text1"/>
          <w:sz w:val="24"/>
          <w:szCs w:val="24"/>
          <w:lang w:val="en-GB"/>
        </w:rPr>
        <w:t>1 percent</w:t>
      </w:r>
      <w:r w:rsidRPr="00D22119">
        <w:rPr>
          <w:rFonts w:ascii="Arial" w:eastAsia="Arial" w:hAnsi="Arial" w:cs="Arial"/>
          <w:color w:val="000000" w:themeColor="text1"/>
          <w:sz w:val="24"/>
          <w:szCs w:val="24"/>
          <w:lang w:val="en-GB"/>
        </w:rPr>
        <w:t xml:space="preserve"> in 20</w:t>
      </w:r>
      <w:r w:rsidR="00A6659F" w:rsidRPr="00D22119">
        <w:rPr>
          <w:rFonts w:ascii="Arial" w:eastAsia="Arial" w:hAnsi="Arial" w:cs="Arial"/>
          <w:color w:val="000000" w:themeColor="text1"/>
          <w:sz w:val="24"/>
          <w:szCs w:val="24"/>
          <w:lang w:val="en-GB"/>
        </w:rPr>
        <w:t>20.</w:t>
      </w:r>
    </w:p>
    <w:p w14:paraId="1599C0F2" w14:textId="4AF6788B" w:rsidR="00A6659F" w:rsidRPr="00D22119" w:rsidRDefault="00B129DE" w:rsidP="00E87B9B">
      <w:pPr>
        <w:spacing w:line="360" w:lineRule="auto"/>
        <w:jc w:val="both"/>
        <w:rPr>
          <w:rFonts w:ascii="Arial" w:eastAsia="Arial" w:hAnsi="Arial" w:cs="Arial"/>
          <w:color w:val="000000" w:themeColor="text1"/>
          <w:sz w:val="24"/>
          <w:szCs w:val="24"/>
          <w:lang w:val="en-GB"/>
        </w:rPr>
      </w:pPr>
      <w:r w:rsidRPr="00B129DE">
        <w:rPr>
          <w:rFonts w:ascii="Arial" w:eastAsia="Arial" w:hAnsi="Arial" w:cs="Arial"/>
          <w:color w:val="000000" w:themeColor="text1"/>
          <w:sz w:val="24"/>
          <w:szCs w:val="24"/>
          <w:lang w:val="en-GB"/>
        </w:rPr>
        <w:t xml:space="preserve">The information provided by the financial accounts, as well as the interpretation of the results provided by the organization's executives, provide essential parameters for good hotel </w:t>
      </w:r>
      <w:r>
        <w:rPr>
          <w:rFonts w:ascii="Arial" w:eastAsia="Arial" w:hAnsi="Arial" w:cs="Arial"/>
          <w:color w:val="000000" w:themeColor="text1"/>
          <w:sz w:val="24"/>
          <w:szCs w:val="24"/>
          <w:lang w:val="en-GB"/>
        </w:rPr>
        <w:t xml:space="preserve">CEO and </w:t>
      </w:r>
      <w:r w:rsidRPr="00B129DE">
        <w:rPr>
          <w:rFonts w:ascii="Arial" w:eastAsia="Arial" w:hAnsi="Arial" w:cs="Arial"/>
          <w:color w:val="000000" w:themeColor="text1"/>
          <w:sz w:val="24"/>
          <w:szCs w:val="24"/>
          <w:lang w:val="en-GB"/>
        </w:rPr>
        <w:t>enterprise administration. Disproportionate distribution should be avoided by managing assets and liabilities as they appear on balance sheets. The broad variation between assets and sales is likely to burden firms with expensive maintenance and redundant depreciation expenses, resulting in revenue decrease and potentially substantial difficulties with viability and future expansion.</w:t>
      </w:r>
    </w:p>
    <w:p w14:paraId="5C324352" w14:textId="2858CAB6" w:rsidR="0017252B" w:rsidRPr="00D22119" w:rsidRDefault="0017252B" w:rsidP="74DA366C">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(B)</w:t>
      </w:r>
    </w:p>
    <w:p w14:paraId="71656315" w14:textId="26AE0452" w:rsidR="0017252B" w:rsidRPr="00D22119" w:rsidRDefault="0017252B" w:rsidP="74DA366C">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lastRenderedPageBreak/>
        <w:t>Ratio analysis is also important for benchmarking one's progress against competing companies, increasing transparency, and assessing competitive advantages, strengths, weaknesses, possibilities, and challenges. Decision-makers can utilize this data to strengthen the organization's position in the market.</w:t>
      </w:r>
    </w:p>
    <w:p w14:paraId="4CBB734C" w14:textId="1C004CFB" w:rsidR="00DA7286" w:rsidRPr="00D22119" w:rsidRDefault="00DA7286" w:rsidP="74DA366C">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To appropriately apply financial measures in strategic decision making, it is vital to first comprehend how the organization operates financially. The ratios should be utilized as a symptom identification method and should be studied throughout time rather than as a single figure. Furthermore, some kind of standard is quite useful. Industry standards for similar-sized enterprises, grouped according to profit level, are useful for management analysis. In the absence of industry guidelines, data from a cooperating rival or data from the firm's prior years' records can be used to indicate improving or deteriorating financial situations.</w:t>
      </w:r>
    </w:p>
    <w:p w14:paraId="5296010A" w14:textId="78AF1D0E" w:rsidR="00757390" w:rsidRPr="00D22119" w:rsidRDefault="00A34381" w:rsidP="74DA366C">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Ratios can be used as indications, hints, or red flags to indicate significant correlations between variables used to gauge a firm's financial performance of the company, return on assets, solvency, debt, or market capitalisation.</w:t>
      </w:r>
    </w:p>
    <w:p w14:paraId="7CE89633" w14:textId="5FB2BDE3" w:rsidR="005E3ACA" w:rsidRPr="00D22119" w:rsidRDefault="005E3ACA" w:rsidP="74DA366C">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Despite ratios are extremely valuable tools, they are not without restrictions and should be used with caution. Accounting data is used to build ratios, and accounting data can be interpreted and even manipulated. For example, two businesses may employ different amortization techniques or inventory valuation methodologies, and stated earnings may be increased or decreased based on the procedures used. Similar distinctions may be seen in the handling of R&amp;</w:t>
      </w:r>
      <w:proofErr w:type="gramStart"/>
      <w:r w:rsidRPr="00D22119">
        <w:rPr>
          <w:rFonts w:ascii="Arial" w:eastAsia="Arial" w:hAnsi="Arial" w:cs="Arial"/>
          <w:color w:val="000000" w:themeColor="text1"/>
          <w:sz w:val="24"/>
          <w:szCs w:val="24"/>
          <w:lang w:val="en-GB"/>
        </w:rPr>
        <w:t>amp;D</w:t>
      </w:r>
      <w:proofErr w:type="gramEnd"/>
      <w:r w:rsidRPr="00D22119">
        <w:rPr>
          <w:rFonts w:ascii="Arial" w:eastAsia="Arial" w:hAnsi="Arial" w:cs="Arial"/>
          <w:color w:val="000000" w:themeColor="text1"/>
          <w:sz w:val="24"/>
          <w:szCs w:val="24"/>
          <w:lang w:val="en-GB"/>
        </w:rPr>
        <w:t xml:space="preserve"> expenses, retirement account costs, mergers, insurance contracts, and negative reserves. Furthermore, if enterprises utilize various fiscal years and seasonal variables are significant, the comparison ratios may be influenced.</w:t>
      </w:r>
    </w:p>
    <w:p w14:paraId="05AC58FA" w14:textId="77777777" w:rsidR="00757390" w:rsidRPr="00D22119" w:rsidRDefault="00757390" w:rsidP="00757390">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The basic data required to promote ratios for analysis was conducted in two significant measures: </w:t>
      </w:r>
    </w:p>
    <w:p w14:paraId="7251CD0F" w14:textId="77777777" w:rsidR="00757390" w:rsidRPr="00D22119" w:rsidRDefault="00757390" w:rsidP="00757390">
      <w:pPr>
        <w:pStyle w:val="ListParagraph"/>
        <w:numPr>
          <w:ilvl w:val="0"/>
          <w:numId w:val="2"/>
        </w:num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the operating or Profit and Loss Statement. Which provides data over a period of time (usually one year but often monthly or quarterly), and </w:t>
      </w:r>
    </w:p>
    <w:p w14:paraId="672BA4D3" w14:textId="3F70B91B" w:rsidR="00757390" w:rsidRPr="00D22119" w:rsidRDefault="00757390" w:rsidP="00757390">
      <w:pPr>
        <w:pStyle w:val="ListParagraph"/>
        <w:numPr>
          <w:ilvl w:val="0"/>
          <w:numId w:val="2"/>
        </w:num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lastRenderedPageBreak/>
        <w:t xml:space="preserve">The balance sheet or Net Worth </w:t>
      </w:r>
      <w:proofErr w:type="gramStart"/>
      <w:r w:rsidRPr="00D22119">
        <w:rPr>
          <w:rFonts w:ascii="Arial" w:eastAsia="Arial" w:hAnsi="Arial" w:cs="Arial"/>
          <w:color w:val="000000" w:themeColor="text1"/>
          <w:sz w:val="24"/>
          <w:szCs w:val="24"/>
          <w:lang w:val="en-GB"/>
        </w:rPr>
        <w:t>Statement .</w:t>
      </w:r>
      <w:proofErr w:type="gramEnd"/>
      <w:r w:rsidRPr="00D22119">
        <w:rPr>
          <w:rFonts w:ascii="Arial" w:eastAsia="Arial" w:hAnsi="Arial" w:cs="Arial"/>
          <w:color w:val="000000" w:themeColor="text1"/>
          <w:sz w:val="24"/>
          <w:szCs w:val="24"/>
          <w:lang w:val="en-GB"/>
        </w:rPr>
        <w:t xml:space="preserve"> (</w:t>
      </w:r>
      <w:proofErr w:type="gramStart"/>
      <w:r w:rsidRPr="00D22119">
        <w:rPr>
          <w:rFonts w:ascii="Arial" w:eastAsia="Arial" w:hAnsi="Arial" w:cs="Arial"/>
          <w:color w:val="000000" w:themeColor="text1"/>
          <w:sz w:val="24"/>
          <w:szCs w:val="24"/>
          <w:lang w:val="en-GB"/>
        </w:rPr>
        <w:t>usually</w:t>
      </w:r>
      <w:proofErr w:type="gramEnd"/>
      <w:r w:rsidRPr="00D22119">
        <w:rPr>
          <w:rFonts w:ascii="Arial" w:eastAsia="Arial" w:hAnsi="Arial" w:cs="Arial"/>
          <w:color w:val="000000" w:themeColor="text1"/>
          <w:sz w:val="24"/>
          <w:szCs w:val="24"/>
          <w:lang w:val="en-GB"/>
        </w:rPr>
        <w:t xml:space="preserve"> at the end of the operating year).</w:t>
      </w:r>
    </w:p>
    <w:p w14:paraId="2F8E590B" w14:textId="4B969D91" w:rsidR="005E3ACA" w:rsidRPr="00D22119" w:rsidRDefault="005E3ACA" w:rsidP="005E3ACA">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Consequently, comparing the ratio of two organizations requires </w:t>
      </w:r>
      <w:r w:rsidR="00D22119" w:rsidRPr="00D22119">
        <w:rPr>
          <w:rFonts w:ascii="Arial" w:eastAsia="Arial" w:hAnsi="Arial" w:cs="Arial"/>
          <w:color w:val="000000" w:themeColor="text1"/>
          <w:sz w:val="24"/>
          <w:szCs w:val="24"/>
          <w:lang w:val="en-GB"/>
        </w:rPr>
        <w:t>analysing</w:t>
      </w:r>
      <w:r w:rsidRPr="00D22119">
        <w:rPr>
          <w:rFonts w:ascii="Arial" w:eastAsia="Arial" w:hAnsi="Arial" w:cs="Arial"/>
          <w:color w:val="000000" w:themeColor="text1"/>
          <w:sz w:val="24"/>
          <w:szCs w:val="24"/>
          <w:lang w:val="en-GB"/>
        </w:rPr>
        <w:t xml:space="preserve"> the core accounting facts on which the ratios are based and reconciling any significant </w:t>
      </w:r>
      <w:proofErr w:type="gramStart"/>
      <w:r w:rsidRPr="00D22119">
        <w:rPr>
          <w:rFonts w:ascii="Arial" w:eastAsia="Arial" w:hAnsi="Arial" w:cs="Arial"/>
          <w:color w:val="000000" w:themeColor="text1"/>
          <w:sz w:val="24"/>
          <w:szCs w:val="24"/>
          <w:lang w:val="en-GB"/>
        </w:rPr>
        <w:t>disparities</w:t>
      </w:r>
      <w:r w:rsidR="0048503C" w:rsidRPr="00D22119">
        <w:rPr>
          <w:rFonts w:ascii="Arial" w:eastAsia="Arial" w:hAnsi="Arial" w:cs="Arial"/>
          <w:color w:val="000000" w:themeColor="text1"/>
          <w:sz w:val="24"/>
          <w:szCs w:val="24"/>
          <w:lang w:val="en-GB"/>
        </w:rPr>
        <w:t>(</w:t>
      </w:r>
      <w:proofErr w:type="gramEnd"/>
      <w:r w:rsidR="0048503C" w:rsidRPr="00D22119">
        <w:rPr>
          <w:rFonts w:ascii="Arial" w:eastAsia="Arial" w:hAnsi="Arial" w:cs="Arial"/>
          <w:color w:val="000000" w:themeColor="text1"/>
          <w:sz w:val="24"/>
          <w:szCs w:val="24"/>
          <w:lang w:val="en-GB"/>
        </w:rPr>
        <w:t>Schmidgall, 1989)</w:t>
      </w:r>
      <w:r w:rsidRPr="00D22119">
        <w:rPr>
          <w:rFonts w:ascii="Arial" w:eastAsia="Arial" w:hAnsi="Arial" w:cs="Arial"/>
          <w:color w:val="000000" w:themeColor="text1"/>
          <w:sz w:val="24"/>
          <w:szCs w:val="24"/>
          <w:lang w:val="en-GB"/>
        </w:rPr>
        <w:t>.</w:t>
      </w:r>
    </w:p>
    <w:p w14:paraId="0EE937EA" w14:textId="5F0BCA34" w:rsidR="005E3ACA" w:rsidRPr="00D22119" w:rsidRDefault="005E3ACA" w:rsidP="005E3ACA">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A management accountant must also use caution when determining whether a single ratio is "good" or "poor," as well as when creating a composite judgment about a corporation based on a collection of ratios. A high inventory turnover ratio, for example, may indicate effective inventory management, but it may also signify a major lack of goods and the possibility of stock-outs. Furthermore, the industry average statistics are not holy; after all, any leadership worth its salt would want to be better than average.</w:t>
      </w:r>
    </w:p>
    <w:p w14:paraId="6259060E" w14:textId="3EC064BB" w:rsidR="005E3ACA" w:rsidRPr="00D22119" w:rsidRDefault="005E3ACA" w:rsidP="005E3ACA">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Ratios are thus incredibly helpful instruments. However, like with other analytical procedures, they must be utilized with discretion and prudence, rather than unthinkingly and mechanically.</w:t>
      </w:r>
    </w:p>
    <w:p w14:paraId="6BCED73F" w14:textId="46E22683" w:rsidR="005E3ACA" w:rsidRPr="00D22119" w:rsidRDefault="005E3ACA" w:rsidP="005E3ACA">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 xml:space="preserve">Gathering, evaluating, and comprehending accounting information is one of the most critical tools available to company owners for lowering the significant risk associated in beginning and running a firm. The comparison of financial ratios to industry standards is one of the most effective applications of accounting data because it allows the company owner to evaluate the results of his or her company to that of other similar </w:t>
      </w:r>
      <w:proofErr w:type="gramStart"/>
      <w:r w:rsidRPr="00D22119">
        <w:rPr>
          <w:rFonts w:ascii="Arial" w:eastAsia="Arial" w:hAnsi="Arial" w:cs="Arial"/>
          <w:color w:val="000000" w:themeColor="text1"/>
          <w:sz w:val="24"/>
          <w:szCs w:val="24"/>
          <w:lang w:val="en-GB"/>
        </w:rPr>
        <w:t>companies</w:t>
      </w:r>
      <w:r w:rsidR="000612C3" w:rsidRPr="00D22119">
        <w:rPr>
          <w:rFonts w:ascii="Arial" w:eastAsia="Arial" w:hAnsi="Arial" w:cs="Arial"/>
          <w:color w:val="000000" w:themeColor="text1"/>
          <w:sz w:val="24"/>
          <w:szCs w:val="24"/>
          <w:lang w:val="en-GB"/>
        </w:rPr>
        <w:t>(</w:t>
      </w:r>
      <w:proofErr w:type="gramEnd"/>
      <w:r w:rsidR="000612C3" w:rsidRPr="00D22119">
        <w:rPr>
          <w:rFonts w:ascii="Arial" w:eastAsia="Arial" w:hAnsi="Arial" w:cs="Arial"/>
          <w:color w:val="000000" w:themeColor="text1"/>
          <w:sz w:val="24"/>
          <w:szCs w:val="24"/>
          <w:lang w:val="en-GB"/>
        </w:rPr>
        <w:t>Lawder, 1989).</w:t>
      </w:r>
      <w:r w:rsidRPr="00D22119">
        <w:rPr>
          <w:rFonts w:ascii="Arial" w:eastAsia="Arial" w:hAnsi="Arial" w:cs="Arial"/>
          <w:color w:val="000000" w:themeColor="text1"/>
          <w:sz w:val="24"/>
          <w:szCs w:val="24"/>
          <w:lang w:val="en-GB"/>
        </w:rPr>
        <w:t>.</w:t>
      </w:r>
    </w:p>
    <w:p w14:paraId="79247EE6" w14:textId="77777777" w:rsidR="005E3ACA" w:rsidRPr="00D22119" w:rsidRDefault="005E3ACA" w:rsidP="005E3ACA">
      <w:pPr>
        <w:spacing w:line="360" w:lineRule="auto"/>
        <w:jc w:val="both"/>
        <w:rPr>
          <w:rFonts w:ascii="Arial" w:eastAsia="Arial" w:hAnsi="Arial" w:cs="Arial"/>
          <w:color w:val="000000" w:themeColor="text1"/>
          <w:sz w:val="24"/>
          <w:szCs w:val="24"/>
          <w:lang w:val="en-GB"/>
        </w:rPr>
      </w:pPr>
    </w:p>
    <w:p w14:paraId="75E52515" w14:textId="2D53B26A" w:rsidR="005E3ACA" w:rsidRPr="00D22119" w:rsidRDefault="005E3ACA" w:rsidP="005E3ACA">
      <w:pPr>
        <w:spacing w:line="360" w:lineRule="auto"/>
        <w:jc w:val="both"/>
        <w:rPr>
          <w:rFonts w:ascii="Arial" w:eastAsia="Arial" w:hAnsi="Arial" w:cs="Arial"/>
          <w:color w:val="000000" w:themeColor="text1"/>
          <w:sz w:val="24"/>
          <w:szCs w:val="24"/>
          <w:lang w:val="en-GB"/>
        </w:rPr>
      </w:pPr>
      <w:r w:rsidRPr="00D22119">
        <w:rPr>
          <w:rFonts w:ascii="Arial" w:eastAsia="Arial" w:hAnsi="Arial" w:cs="Arial"/>
          <w:color w:val="000000" w:themeColor="text1"/>
          <w:sz w:val="24"/>
          <w:szCs w:val="24"/>
          <w:lang w:val="en-GB"/>
        </w:rPr>
        <w:t>In terms of giving essential information to owners for their personal decision-making, the integrity of financial statements affects the company's tax responsibilities and chances for equity and/or bank loans. Careful record keeping results in accurate financial accounts, lowering the company's tax burden. Prior to actually applying for loans, company owners may evaluate their financial ratios to industry norms, providing them the chance to fix any issues that could result in the denial of their company credit application or equity issuance.</w:t>
      </w:r>
    </w:p>
    <w:p w14:paraId="21807762" w14:textId="352EB714" w:rsidR="00E407EB" w:rsidRPr="00E87B9B" w:rsidRDefault="74DA366C" w:rsidP="74DA366C">
      <w:pPr>
        <w:spacing w:line="360" w:lineRule="auto"/>
        <w:jc w:val="both"/>
        <w:rPr>
          <w:rFonts w:ascii="Arial" w:eastAsia="Arial" w:hAnsi="Arial" w:cs="Arial"/>
          <w:color w:val="000000" w:themeColor="text1"/>
          <w:sz w:val="24"/>
          <w:szCs w:val="24"/>
          <w:lang w:val="en-GB"/>
        </w:rPr>
      </w:pPr>
      <w:r w:rsidRPr="00E87B9B">
        <w:rPr>
          <w:rFonts w:ascii="Arial" w:eastAsia="Arial" w:hAnsi="Arial" w:cs="Arial"/>
          <w:b/>
          <w:bCs/>
          <w:color w:val="000000" w:themeColor="text1"/>
          <w:sz w:val="24"/>
          <w:szCs w:val="24"/>
          <w:lang w:val="en-GB"/>
        </w:rPr>
        <w:t>(C)</w:t>
      </w:r>
    </w:p>
    <w:p w14:paraId="2006BBA6" w14:textId="389F21CD" w:rsidR="00250844" w:rsidRDefault="00250844" w:rsidP="00B722CF">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lastRenderedPageBreak/>
        <w:t xml:space="preserve">A typical approach of </w:t>
      </w:r>
      <w:r w:rsidR="00806F00" w:rsidRPr="00250844">
        <w:rPr>
          <w:rFonts w:ascii="Arial" w:eastAsia="Arial" w:hAnsi="Arial" w:cs="Arial"/>
          <w:color w:val="000000" w:themeColor="text1"/>
          <w:sz w:val="24"/>
          <w:szCs w:val="24"/>
          <w:lang w:val="en-GB"/>
        </w:rPr>
        <w:t>analysing</w:t>
      </w:r>
      <w:r w:rsidRPr="00250844">
        <w:rPr>
          <w:rFonts w:ascii="Arial" w:eastAsia="Arial" w:hAnsi="Arial" w:cs="Arial"/>
          <w:color w:val="000000" w:themeColor="text1"/>
          <w:sz w:val="24"/>
          <w:szCs w:val="24"/>
          <w:lang w:val="en-GB"/>
        </w:rPr>
        <w:t xml:space="preserve"> a company's success is ratio analysis. It is used by the company's management to identify where the company stands in relation to its competitors. Similarly, before investing in a company, investors use ratio analysis to make an informed selection (Kim and Ayoun, 2005).</w:t>
      </w:r>
    </w:p>
    <w:p w14:paraId="27E953E0" w14:textId="4CD8461E" w:rsidR="00B722CF" w:rsidRPr="00E87B9B" w:rsidRDefault="00B722CF" w:rsidP="00B722CF">
      <w:pPr>
        <w:spacing w:line="360" w:lineRule="auto"/>
        <w:jc w:val="both"/>
        <w:rPr>
          <w:rFonts w:ascii="Arial" w:eastAsia="Arial" w:hAnsi="Arial" w:cs="Arial"/>
          <w:color w:val="000000" w:themeColor="text1"/>
          <w:sz w:val="24"/>
          <w:szCs w:val="24"/>
          <w:lang w:val="en-GB"/>
        </w:rPr>
      </w:pPr>
      <w:r w:rsidRPr="00E87B9B">
        <w:rPr>
          <w:rFonts w:ascii="Arial" w:eastAsia="Arial" w:hAnsi="Arial" w:cs="Arial"/>
          <w:color w:val="000000" w:themeColor="text1"/>
          <w:sz w:val="24"/>
          <w:szCs w:val="24"/>
          <w:lang w:val="en-GB"/>
        </w:rPr>
        <w:t>Financial accounting helps to assess the strengths and weaknesses of businesses by providing information about the development potential of each economic unit. Financial analysis is important to all interested parties, including the state, resources to sustain, and shareholders, and its administrators may utilize it in business decision (Diakomihalis, 2011). The assessment of an enterprise's condition by investors, creditors, and investors reveals its picture of success and financial strength.</w:t>
      </w:r>
    </w:p>
    <w:p w14:paraId="132EF96D" w14:textId="77777777" w:rsidR="00250844" w:rsidRPr="00250844" w:rsidRDefault="00250844" w:rsidP="00250844">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t>The work of a modern financial analyst should not be confined to the verification of accounting data, but should also entail assessing the firm's underlying dynamics and prospects through competent financial analysis of economic statements.</w:t>
      </w:r>
    </w:p>
    <w:p w14:paraId="0C2381D3" w14:textId="77777777" w:rsidR="00250844" w:rsidRPr="00250844" w:rsidRDefault="00250844" w:rsidP="00250844">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t>As a result, it is critical to understand what ratio analysis can and cannot achieve. Ratio analysis has the following limitations:</w:t>
      </w:r>
    </w:p>
    <w:p w14:paraId="3FEE341C" w14:textId="77777777" w:rsidR="00250844" w:rsidRDefault="00250844" w:rsidP="00250844">
      <w:pPr>
        <w:spacing w:line="360" w:lineRule="auto"/>
        <w:jc w:val="both"/>
        <w:rPr>
          <w:rFonts w:ascii="Arial" w:eastAsia="Arial" w:hAnsi="Arial" w:cs="Arial"/>
          <w:color w:val="000000" w:themeColor="text1"/>
          <w:sz w:val="24"/>
          <w:szCs w:val="24"/>
          <w:lang w:val="en-GB"/>
        </w:rPr>
      </w:pPr>
      <w:r w:rsidRPr="00250844">
        <w:rPr>
          <w:rFonts w:ascii="Arial" w:eastAsia="Arial" w:hAnsi="Arial" w:cs="Arial"/>
          <w:color w:val="000000" w:themeColor="text1"/>
          <w:sz w:val="24"/>
          <w:szCs w:val="24"/>
          <w:lang w:val="en-GB"/>
        </w:rPr>
        <w:t>Even though a company's financial statements show significant profits, its operating cash flows may be negative. Management use such strategies to increase the market value of their company's shares. A variety of ways can be employed to demonstrate greater profitability.</w:t>
      </w:r>
    </w:p>
    <w:p w14:paraId="41243FF5" w14:textId="4B6CD208" w:rsidR="00E407EB" w:rsidRPr="00E87B9B" w:rsidRDefault="74DA366C" w:rsidP="00250844">
      <w:pPr>
        <w:spacing w:line="360" w:lineRule="auto"/>
        <w:jc w:val="both"/>
        <w:rPr>
          <w:rFonts w:ascii="Arial" w:eastAsia="Arial" w:hAnsi="Arial" w:cs="Arial"/>
          <w:color w:val="000000" w:themeColor="text1"/>
          <w:sz w:val="24"/>
          <w:szCs w:val="24"/>
          <w:lang w:val="en-GB"/>
        </w:rPr>
      </w:pPr>
      <w:r w:rsidRPr="00E87B9B">
        <w:rPr>
          <w:rFonts w:ascii="Arial" w:eastAsia="Arial" w:hAnsi="Arial" w:cs="Arial"/>
          <w:color w:val="000000" w:themeColor="text1"/>
          <w:sz w:val="24"/>
          <w:szCs w:val="24"/>
          <w:lang w:val="en-GB"/>
        </w:rPr>
        <w:t xml:space="preserve">Different types of businesses may employ a variety of accounting processes. The methods for determining decadence and valuing inventories may be different from each other. Consequently, comparing the ratios cannot provide a complete understanding. </w:t>
      </w:r>
      <w:r w:rsidR="00250844" w:rsidRPr="00250844">
        <w:rPr>
          <w:rFonts w:ascii="Arial" w:eastAsia="Arial" w:hAnsi="Arial" w:cs="Arial"/>
          <w:color w:val="000000" w:themeColor="text1"/>
          <w:sz w:val="24"/>
          <w:szCs w:val="24"/>
          <w:lang w:val="en-GB"/>
        </w:rPr>
        <w:t xml:space="preserve">The financial papers of a corporation are utilized to do ratio analysis. To disguise or falsify reality. Ratio analysis is incapable of detecting this. Examining an income or financial statement can only lead to wrong conclusions. If users study the ratios of businesses in various industries, they may be waging a losing battle. Markets, gestation periods, capital structures, and other variables differ by industry. It is critical to compare businesses in the same sector to make ratio analysis useful. A quantitative metric can only make sense of financial facts. It cannot identify a reason or justify what is missing, nor can it provide a </w:t>
      </w:r>
      <w:r w:rsidR="00250844" w:rsidRPr="00250844">
        <w:rPr>
          <w:rFonts w:ascii="Arial" w:eastAsia="Arial" w:hAnsi="Arial" w:cs="Arial"/>
          <w:color w:val="000000" w:themeColor="text1"/>
          <w:sz w:val="24"/>
          <w:szCs w:val="24"/>
          <w:lang w:val="en-GB"/>
        </w:rPr>
        <w:lastRenderedPageBreak/>
        <w:t>remedy.</w:t>
      </w:r>
      <w:r w:rsidR="00250844">
        <w:rPr>
          <w:rFonts w:ascii="Arial" w:eastAsia="Arial" w:hAnsi="Arial" w:cs="Arial"/>
          <w:color w:val="000000" w:themeColor="text1"/>
          <w:sz w:val="24"/>
          <w:szCs w:val="24"/>
          <w:lang w:val="en-GB"/>
        </w:rPr>
        <w:t xml:space="preserve"> </w:t>
      </w:r>
      <w:r w:rsidR="00250844" w:rsidRPr="00250844">
        <w:rPr>
          <w:rFonts w:ascii="Arial" w:eastAsia="Arial" w:hAnsi="Arial" w:cs="Arial"/>
          <w:color w:val="000000" w:themeColor="text1"/>
          <w:sz w:val="24"/>
          <w:szCs w:val="24"/>
          <w:lang w:val="en-GB"/>
        </w:rPr>
        <w:t>Without delving into the ratios, conducting ratio analysis makes little sense. Profitability ratios, for example, may show that competitors are more profitable. Lower profitability might be attributable to a faulty cost structure, an ineffective marketing team, or poor production quality, among other things. To get to the bottom of the situation, one needs look into the ratios. A basic ratio analysis may not be sufficient.</w:t>
      </w:r>
    </w:p>
    <w:p w14:paraId="2DE30FE4" w14:textId="5341E85B" w:rsidR="00806F00" w:rsidRDefault="00806F00" w:rsidP="74DA366C">
      <w:pPr>
        <w:spacing w:line="360" w:lineRule="auto"/>
        <w:jc w:val="both"/>
        <w:rPr>
          <w:rFonts w:ascii="Arial" w:eastAsia="Arial" w:hAnsi="Arial" w:cs="Arial"/>
          <w:color w:val="000000" w:themeColor="text1"/>
          <w:sz w:val="24"/>
          <w:szCs w:val="24"/>
          <w:lang w:val="en-GB"/>
        </w:rPr>
      </w:pPr>
      <w:r w:rsidRPr="00806F00">
        <w:rPr>
          <w:rFonts w:ascii="Arial" w:eastAsia="Arial" w:hAnsi="Arial" w:cs="Arial"/>
          <w:color w:val="000000" w:themeColor="text1"/>
          <w:sz w:val="24"/>
          <w:szCs w:val="24"/>
          <w:lang w:val="en-GB"/>
        </w:rPr>
        <w:t xml:space="preserve">The hotel sector, which comprises divisions such as hotels and accommodation, transportation, and so on, is the most extensive section of the service industry. Given the diversity of the hotel industry, it is necessary to build a set of valuation methodologies that can be applied to businesses of various sizes and sorts. Because the hotel industry is so reliant on permanent and physical resources, </w:t>
      </w:r>
      <w:proofErr w:type="gramStart"/>
      <w:r w:rsidRPr="00806F00">
        <w:rPr>
          <w:rFonts w:ascii="Arial" w:eastAsia="Arial" w:hAnsi="Arial" w:cs="Arial"/>
          <w:color w:val="000000" w:themeColor="text1"/>
          <w:sz w:val="24"/>
          <w:szCs w:val="24"/>
          <w:lang w:val="en-GB"/>
        </w:rPr>
        <w:t>an</w:t>
      </w:r>
      <w:proofErr w:type="gramEnd"/>
      <w:r w:rsidRPr="00806F00">
        <w:rPr>
          <w:rFonts w:ascii="Arial" w:eastAsia="Arial" w:hAnsi="Arial" w:cs="Arial"/>
          <w:color w:val="000000" w:themeColor="text1"/>
          <w:sz w:val="24"/>
          <w:szCs w:val="24"/>
          <w:lang w:val="en-GB"/>
        </w:rPr>
        <w:t xml:space="preserve"> unique study of financial data is necessary to accurately </w:t>
      </w:r>
      <w:r w:rsidRPr="00806F00">
        <w:rPr>
          <w:rFonts w:ascii="Arial" w:eastAsia="Arial" w:hAnsi="Arial" w:cs="Arial"/>
          <w:color w:val="000000" w:themeColor="text1"/>
          <w:sz w:val="24"/>
          <w:szCs w:val="24"/>
          <w:lang w:val="en-GB"/>
        </w:rPr>
        <w:t>analyse</w:t>
      </w:r>
      <w:r w:rsidRPr="00806F00">
        <w:rPr>
          <w:rFonts w:ascii="Arial" w:eastAsia="Arial" w:hAnsi="Arial" w:cs="Arial"/>
          <w:color w:val="000000" w:themeColor="text1"/>
          <w:sz w:val="24"/>
          <w:szCs w:val="24"/>
          <w:lang w:val="en-GB"/>
        </w:rPr>
        <w:t xml:space="preserve"> business as well as specific company performance.</w:t>
      </w:r>
    </w:p>
    <w:p w14:paraId="45AB41E2" w14:textId="1F878AC3" w:rsidR="00E407EB" w:rsidRPr="00E87B9B" w:rsidRDefault="74DA366C" w:rsidP="74DA366C">
      <w:pPr>
        <w:spacing w:line="360" w:lineRule="auto"/>
        <w:jc w:val="both"/>
        <w:rPr>
          <w:rFonts w:ascii="Arial" w:eastAsia="Arial" w:hAnsi="Arial" w:cs="Arial"/>
          <w:color w:val="000000" w:themeColor="text1"/>
          <w:sz w:val="24"/>
          <w:szCs w:val="24"/>
          <w:lang w:val="en-GB"/>
        </w:rPr>
      </w:pPr>
      <w:r w:rsidRPr="00E87B9B">
        <w:rPr>
          <w:rFonts w:ascii="Arial" w:eastAsia="Arial" w:hAnsi="Arial" w:cs="Arial"/>
          <w:b/>
          <w:bCs/>
          <w:color w:val="000000" w:themeColor="text1"/>
          <w:sz w:val="24"/>
          <w:szCs w:val="24"/>
          <w:lang w:val="en-GB"/>
        </w:rPr>
        <w:t xml:space="preserve">References: </w:t>
      </w:r>
    </w:p>
    <w:p w14:paraId="114D533D" w14:textId="4C39F295" w:rsidR="00E407EB" w:rsidRPr="00E87B9B" w:rsidRDefault="74DA366C" w:rsidP="74DA366C">
      <w:pPr>
        <w:pStyle w:val="ListParagraph"/>
        <w:numPr>
          <w:ilvl w:val="0"/>
          <w:numId w:val="1"/>
        </w:numPr>
        <w:spacing w:line="360" w:lineRule="auto"/>
        <w:jc w:val="both"/>
        <w:rPr>
          <w:rFonts w:ascii="Arial" w:eastAsia="Arial" w:hAnsi="Arial" w:cs="Arial"/>
          <w:color w:val="2A313E"/>
          <w:sz w:val="24"/>
          <w:szCs w:val="24"/>
          <w:lang w:val="en-GB"/>
        </w:rPr>
      </w:pPr>
      <w:r w:rsidRPr="00E87B9B">
        <w:rPr>
          <w:rFonts w:ascii="Arial" w:eastAsia="Arial" w:hAnsi="Arial" w:cs="Arial"/>
          <w:color w:val="2A313E"/>
          <w:sz w:val="24"/>
          <w:szCs w:val="24"/>
          <w:lang w:val="en-GB"/>
        </w:rPr>
        <w:t>Buffett, W., 1984. The Superinvestors of Graham-and-Doddsville. Hermes: the Columbia Business School Magazine, Issue Fall, pp. 4-15. [Accessed 30 May 2022]</w:t>
      </w:r>
    </w:p>
    <w:p w14:paraId="1C5614FA" w14:textId="62B29B87" w:rsidR="00E407EB" w:rsidRPr="00E87B9B" w:rsidRDefault="74DA366C" w:rsidP="74DA366C">
      <w:pPr>
        <w:pStyle w:val="ListParagraph"/>
        <w:numPr>
          <w:ilvl w:val="0"/>
          <w:numId w:val="1"/>
        </w:numPr>
        <w:spacing w:line="360" w:lineRule="auto"/>
        <w:jc w:val="both"/>
        <w:rPr>
          <w:rFonts w:ascii="Arial" w:eastAsia="Arial" w:hAnsi="Arial" w:cs="Arial"/>
          <w:color w:val="333333"/>
          <w:sz w:val="24"/>
          <w:szCs w:val="24"/>
          <w:lang w:val="en-GB"/>
        </w:rPr>
      </w:pPr>
      <w:r w:rsidRPr="00E87B9B">
        <w:rPr>
          <w:rFonts w:ascii="Arial" w:eastAsia="Arial" w:hAnsi="Arial" w:cs="Arial"/>
          <w:color w:val="333333"/>
          <w:sz w:val="24"/>
          <w:szCs w:val="24"/>
          <w:lang w:val="en-GB"/>
        </w:rPr>
        <w:t>Colander, D. (1992). “Retrospectives: The Lost Art of Economics.” Journal of Economic Perspectives 6, 191-198. [Accessed 30 May 2022]</w:t>
      </w:r>
    </w:p>
    <w:p w14:paraId="0435C4B2" w14:textId="2F3F2293" w:rsidR="00E407EB" w:rsidRDefault="74DA366C" w:rsidP="74DA366C">
      <w:pPr>
        <w:pStyle w:val="ListParagraph"/>
        <w:numPr>
          <w:ilvl w:val="0"/>
          <w:numId w:val="1"/>
        </w:numPr>
        <w:spacing w:line="360" w:lineRule="auto"/>
        <w:jc w:val="both"/>
        <w:rPr>
          <w:rFonts w:ascii="Arial" w:eastAsia="Arial" w:hAnsi="Arial" w:cs="Arial"/>
          <w:color w:val="2A313E"/>
          <w:sz w:val="24"/>
          <w:szCs w:val="24"/>
          <w:lang w:val="en-GB"/>
        </w:rPr>
      </w:pPr>
      <w:r w:rsidRPr="00E87B9B">
        <w:rPr>
          <w:rFonts w:ascii="Arial" w:eastAsia="Arial" w:hAnsi="Arial" w:cs="Arial"/>
          <w:color w:val="2A313E"/>
          <w:sz w:val="24"/>
          <w:szCs w:val="24"/>
          <w:lang w:val="en-GB"/>
        </w:rPr>
        <w:t>Damitio, J., Dennington, L. &amp; Schmidgall, R., 1995. Financial Statement Analysis. The Bottom Line, 10(6), pp. 10-23. [Accessed 30 May 2022]</w:t>
      </w:r>
    </w:p>
    <w:p w14:paraId="1F2ED854" w14:textId="6B417369" w:rsidR="007F5940" w:rsidRPr="007F5940" w:rsidRDefault="007F5940" w:rsidP="007F5940">
      <w:pPr>
        <w:pStyle w:val="ListParagraph"/>
        <w:numPr>
          <w:ilvl w:val="0"/>
          <w:numId w:val="1"/>
        </w:numPr>
        <w:spacing w:line="360" w:lineRule="auto"/>
        <w:jc w:val="both"/>
        <w:rPr>
          <w:rFonts w:ascii="Arial" w:eastAsia="Arial" w:hAnsi="Arial" w:cs="Arial"/>
          <w:color w:val="2A313E"/>
          <w:sz w:val="24"/>
          <w:szCs w:val="24"/>
          <w:lang w:val="en-GB"/>
        </w:rPr>
      </w:pPr>
      <w:r w:rsidRPr="007F5940">
        <w:rPr>
          <w:rFonts w:ascii="Arial" w:eastAsia="Arial" w:hAnsi="Arial" w:cs="Arial"/>
          <w:color w:val="2A313E"/>
          <w:sz w:val="24"/>
          <w:szCs w:val="24"/>
          <w:lang w:val="en-GB"/>
        </w:rPr>
        <w:t>Palepu, K., Healy, P., Bernard, V. (2003), Business Analysis and Valuation Using Financial Statements: Text and Cases. 3rd ed. Mason, Ohio: Thomson Southwestern.</w:t>
      </w:r>
    </w:p>
    <w:p w14:paraId="6D865E4C" w14:textId="6DC54A58" w:rsidR="007F5940" w:rsidRPr="007F5940" w:rsidRDefault="007F5940" w:rsidP="007F5940">
      <w:pPr>
        <w:pStyle w:val="ListParagraph"/>
        <w:numPr>
          <w:ilvl w:val="0"/>
          <w:numId w:val="1"/>
        </w:numPr>
        <w:spacing w:line="360" w:lineRule="auto"/>
        <w:jc w:val="both"/>
        <w:rPr>
          <w:rFonts w:ascii="Arial" w:eastAsia="Arial" w:hAnsi="Arial" w:cs="Arial"/>
          <w:color w:val="2A313E"/>
          <w:sz w:val="24"/>
          <w:szCs w:val="24"/>
          <w:lang w:val="en-GB"/>
        </w:rPr>
      </w:pPr>
      <w:r w:rsidRPr="007F5940">
        <w:rPr>
          <w:rFonts w:ascii="Arial" w:eastAsia="Arial" w:hAnsi="Arial" w:cs="Arial"/>
          <w:color w:val="2A313E"/>
          <w:sz w:val="24"/>
          <w:szCs w:val="24"/>
          <w:lang w:val="en-GB"/>
        </w:rPr>
        <w:t>Pavlatos O., Paggios I. (2009). A survey of factors influencing the cost system design in hotels. International Journal of Hospitality Management Vol. 28, pp. 263–271</w:t>
      </w:r>
    </w:p>
    <w:p w14:paraId="241E2F08" w14:textId="56DC74C1" w:rsidR="007F5940" w:rsidRPr="00E87B9B" w:rsidRDefault="007F5940" w:rsidP="007F5940">
      <w:pPr>
        <w:pStyle w:val="ListParagraph"/>
        <w:numPr>
          <w:ilvl w:val="0"/>
          <w:numId w:val="1"/>
        </w:numPr>
        <w:spacing w:line="360" w:lineRule="auto"/>
        <w:jc w:val="both"/>
        <w:rPr>
          <w:rFonts w:ascii="Arial" w:eastAsia="Arial" w:hAnsi="Arial" w:cs="Arial"/>
          <w:color w:val="2A313E"/>
          <w:sz w:val="24"/>
          <w:szCs w:val="24"/>
          <w:lang w:val="en-GB"/>
        </w:rPr>
      </w:pPr>
      <w:r w:rsidRPr="007F5940">
        <w:rPr>
          <w:rFonts w:ascii="Arial" w:eastAsia="Arial" w:hAnsi="Arial" w:cs="Arial"/>
          <w:color w:val="2A313E"/>
          <w:sz w:val="24"/>
          <w:szCs w:val="24"/>
          <w:lang w:val="en-GB"/>
        </w:rPr>
        <w:t>Schmidgall, R. (1989). Financial ratios: Perceptions of lodging industry general managers and financial executives. FIU Hospitality Review, 7(2), 1-9.</w:t>
      </w:r>
    </w:p>
    <w:p w14:paraId="5CF5BF39" w14:textId="585F322C" w:rsidR="00E407EB" w:rsidRPr="00E87B9B" w:rsidRDefault="74DA366C" w:rsidP="74DA366C">
      <w:pPr>
        <w:pStyle w:val="ListParagraph"/>
        <w:numPr>
          <w:ilvl w:val="0"/>
          <w:numId w:val="1"/>
        </w:numPr>
        <w:spacing w:line="360" w:lineRule="auto"/>
        <w:jc w:val="both"/>
        <w:rPr>
          <w:rFonts w:ascii="Arial" w:eastAsia="Arial" w:hAnsi="Arial" w:cs="Arial"/>
          <w:color w:val="2A313E"/>
          <w:sz w:val="24"/>
          <w:szCs w:val="24"/>
          <w:lang w:val="en-GB"/>
        </w:rPr>
      </w:pPr>
      <w:r w:rsidRPr="00E87B9B">
        <w:rPr>
          <w:rFonts w:ascii="Arial" w:eastAsia="Arial" w:hAnsi="Arial" w:cs="Arial"/>
          <w:color w:val="2A313E"/>
          <w:sz w:val="24"/>
          <w:szCs w:val="24"/>
          <w:lang w:val="en-GB"/>
        </w:rPr>
        <w:t>Gardiner, M., 1995. Financial ratio definitions reviewed. Management Accounting, 73(8), pp. 32-33. [Accessed 30 May 2022]</w:t>
      </w:r>
    </w:p>
    <w:p w14:paraId="471683D2" w14:textId="6CB38FA3" w:rsidR="00E407EB" w:rsidRPr="00E87B9B" w:rsidRDefault="74DA366C" w:rsidP="74DA366C">
      <w:pPr>
        <w:pStyle w:val="ListParagraph"/>
        <w:numPr>
          <w:ilvl w:val="0"/>
          <w:numId w:val="1"/>
        </w:numPr>
        <w:spacing w:line="360" w:lineRule="auto"/>
        <w:jc w:val="both"/>
        <w:rPr>
          <w:rFonts w:ascii="Arial" w:eastAsia="Arial" w:hAnsi="Arial" w:cs="Arial"/>
          <w:color w:val="333333"/>
          <w:sz w:val="24"/>
          <w:szCs w:val="24"/>
          <w:lang w:val="en-GB"/>
        </w:rPr>
      </w:pPr>
      <w:r w:rsidRPr="00E87B9B">
        <w:rPr>
          <w:rFonts w:ascii="Arial" w:eastAsia="Arial" w:hAnsi="Arial" w:cs="Arial"/>
          <w:color w:val="333333"/>
          <w:sz w:val="24"/>
          <w:szCs w:val="24"/>
          <w:lang w:val="en-GB"/>
        </w:rPr>
        <w:lastRenderedPageBreak/>
        <w:t>Ibbotson, R., and R. Sinquefield. (1983). Stocks, bonds, bills and inflation. 1926-1982, Charlottesville, VA: Financial Analyst Research Foundation. [Accessed 30 May 2022]</w:t>
      </w:r>
    </w:p>
    <w:p w14:paraId="450E58A0" w14:textId="345EE600" w:rsidR="00E407EB" w:rsidRPr="00E87B9B" w:rsidRDefault="74DA366C" w:rsidP="74DA366C">
      <w:pPr>
        <w:pStyle w:val="ListParagraph"/>
        <w:numPr>
          <w:ilvl w:val="0"/>
          <w:numId w:val="1"/>
        </w:numPr>
        <w:spacing w:line="360" w:lineRule="auto"/>
        <w:jc w:val="both"/>
        <w:rPr>
          <w:rFonts w:ascii="Arial" w:eastAsia="Arial" w:hAnsi="Arial" w:cs="Arial"/>
          <w:color w:val="2E2E2E"/>
          <w:sz w:val="24"/>
          <w:szCs w:val="24"/>
          <w:lang w:val="en-GB"/>
        </w:rPr>
      </w:pPr>
      <w:r w:rsidRPr="00E87B9B">
        <w:rPr>
          <w:rFonts w:ascii="Arial" w:eastAsia="Arial" w:hAnsi="Arial" w:cs="Arial"/>
          <w:color w:val="2E2E2E"/>
          <w:sz w:val="24"/>
          <w:szCs w:val="24"/>
          <w:lang w:val="en-GB"/>
        </w:rPr>
        <w:t>J. Costa, R. Teare,</w:t>
      </w:r>
      <w:r w:rsidRPr="00E87B9B">
        <w:rPr>
          <w:rFonts w:ascii="Arial" w:eastAsia="Arial" w:hAnsi="Arial" w:cs="Arial"/>
          <w:b/>
          <w:bCs/>
          <w:color w:val="2E2E2E"/>
          <w:sz w:val="24"/>
          <w:szCs w:val="24"/>
          <w:lang w:val="en-GB"/>
        </w:rPr>
        <w:t xml:space="preserve"> </w:t>
      </w:r>
      <w:r w:rsidRPr="00E87B9B">
        <w:rPr>
          <w:rFonts w:ascii="Arial" w:eastAsia="Arial" w:hAnsi="Arial" w:cs="Arial"/>
          <w:color w:val="2E2E2E"/>
          <w:sz w:val="24"/>
          <w:szCs w:val="24"/>
          <w:lang w:val="en-GB"/>
        </w:rPr>
        <w:t>developing environmental scanning in the hotel sector,</w:t>
      </w:r>
      <w:r w:rsidRPr="00E87B9B">
        <w:rPr>
          <w:rFonts w:ascii="Arial" w:eastAsia="Arial" w:hAnsi="Arial" w:cs="Arial"/>
          <w:b/>
          <w:bCs/>
          <w:color w:val="2E2E2E"/>
          <w:sz w:val="24"/>
          <w:szCs w:val="24"/>
          <w:lang w:val="en-GB"/>
        </w:rPr>
        <w:t xml:space="preserve"> </w:t>
      </w:r>
      <w:r w:rsidRPr="00E87B9B">
        <w:rPr>
          <w:rFonts w:ascii="Arial" w:eastAsia="Arial" w:hAnsi="Arial" w:cs="Arial"/>
          <w:color w:val="2E2E2E"/>
          <w:sz w:val="24"/>
          <w:szCs w:val="24"/>
          <w:lang w:val="en-GB"/>
        </w:rPr>
        <w:t>International Journal of Contemporary Hospitality Management, 12 (3) (2000), pp. 156-169 [Accessed 30 May 2022]</w:t>
      </w:r>
    </w:p>
    <w:p w14:paraId="21A6FC34" w14:textId="2665EB12" w:rsidR="00E407EB" w:rsidRPr="00E87B9B" w:rsidRDefault="74DA366C" w:rsidP="74DA366C">
      <w:pPr>
        <w:pStyle w:val="ListParagraph"/>
        <w:numPr>
          <w:ilvl w:val="0"/>
          <w:numId w:val="1"/>
        </w:numPr>
        <w:spacing w:line="360" w:lineRule="auto"/>
        <w:jc w:val="both"/>
        <w:rPr>
          <w:rFonts w:ascii="Arial" w:eastAsia="Arial" w:hAnsi="Arial" w:cs="Arial"/>
          <w:color w:val="333333"/>
          <w:sz w:val="24"/>
          <w:szCs w:val="24"/>
          <w:lang w:val="en-GB"/>
        </w:rPr>
      </w:pPr>
      <w:r w:rsidRPr="00E87B9B">
        <w:rPr>
          <w:rFonts w:ascii="Arial" w:eastAsia="Arial" w:hAnsi="Arial" w:cs="Arial"/>
          <w:color w:val="333333"/>
          <w:sz w:val="24"/>
          <w:szCs w:val="24"/>
          <w:lang w:val="en-GB"/>
        </w:rPr>
        <w:t>Johansson, S. (1998). The Profitability, Financing, and Growth of the Firm: Goals, Relationships and Measurement Methods. Lund, Sweden: Studentlitteratur. [Accessed 30 May 2022]</w:t>
      </w:r>
    </w:p>
    <w:p w14:paraId="7F735E49" w14:textId="4D9C7577" w:rsidR="00E407EB" w:rsidRDefault="74DA366C" w:rsidP="74DA366C">
      <w:pPr>
        <w:pStyle w:val="ListParagraph"/>
        <w:numPr>
          <w:ilvl w:val="0"/>
          <w:numId w:val="1"/>
        </w:numPr>
        <w:spacing w:line="360" w:lineRule="auto"/>
        <w:jc w:val="both"/>
        <w:rPr>
          <w:rFonts w:ascii="Arial" w:eastAsia="Arial" w:hAnsi="Arial" w:cs="Arial"/>
          <w:color w:val="2A313E"/>
          <w:sz w:val="24"/>
          <w:szCs w:val="24"/>
          <w:lang w:val="en-GB"/>
        </w:rPr>
      </w:pPr>
      <w:r w:rsidRPr="00E87B9B">
        <w:rPr>
          <w:rFonts w:ascii="Arial" w:eastAsia="Arial" w:hAnsi="Arial" w:cs="Arial"/>
          <w:color w:val="2A313E"/>
          <w:sz w:val="24"/>
          <w:szCs w:val="24"/>
          <w:lang w:val="en-GB"/>
        </w:rPr>
        <w:t>Kim, W. G. &amp; Ayoun, B., 2006. Ratio Analysis for the Hospitality Industry: A cross Sector Comparison of Financial Trends in the Lodging, Restaurant, Airline and Amusement Sectors. Journal of Hospitality Financial Management, 13(1), pp. 1-33. [Accessed 30 May 2022]</w:t>
      </w:r>
    </w:p>
    <w:p w14:paraId="3CF943C6" w14:textId="77777777" w:rsidR="009C6903" w:rsidRPr="009C6903" w:rsidRDefault="009C6903" w:rsidP="009C6903">
      <w:pPr>
        <w:pStyle w:val="ListParagraph"/>
        <w:numPr>
          <w:ilvl w:val="0"/>
          <w:numId w:val="1"/>
        </w:numPr>
        <w:spacing w:line="360" w:lineRule="auto"/>
        <w:jc w:val="both"/>
        <w:rPr>
          <w:rFonts w:ascii="Arial" w:eastAsia="Arial" w:hAnsi="Arial" w:cs="Arial"/>
          <w:color w:val="2A313E"/>
          <w:sz w:val="24"/>
          <w:szCs w:val="24"/>
          <w:lang w:val="en-GB"/>
        </w:rPr>
      </w:pPr>
      <w:r w:rsidRPr="009C6903">
        <w:rPr>
          <w:rFonts w:ascii="Arial" w:eastAsia="Arial" w:hAnsi="Arial" w:cs="Arial"/>
          <w:color w:val="2A313E"/>
          <w:sz w:val="24"/>
          <w:szCs w:val="24"/>
          <w:lang w:val="en-GB"/>
        </w:rPr>
        <w:t>Athanasopoulos K., Georgopoulos A., Mpellas A. (2008). Financial Statements’ Analysis. Department of Business Administration. University of Patras.  (</w:t>
      </w:r>
      <w:proofErr w:type="gramStart"/>
      <w:r w:rsidRPr="009C6903">
        <w:rPr>
          <w:rFonts w:ascii="Arial" w:eastAsia="Arial" w:hAnsi="Arial" w:cs="Arial"/>
          <w:color w:val="2A313E"/>
          <w:sz w:val="24"/>
          <w:szCs w:val="24"/>
          <w:lang w:val="en-GB"/>
        </w:rPr>
        <w:t>in</w:t>
      </w:r>
      <w:proofErr w:type="gramEnd"/>
      <w:r w:rsidRPr="009C6903">
        <w:rPr>
          <w:rFonts w:ascii="Arial" w:eastAsia="Arial" w:hAnsi="Arial" w:cs="Arial"/>
          <w:color w:val="2A313E"/>
          <w:sz w:val="24"/>
          <w:szCs w:val="24"/>
          <w:lang w:val="en-GB"/>
        </w:rPr>
        <w:t xml:space="preserve"> Greek). </w:t>
      </w:r>
    </w:p>
    <w:p w14:paraId="41A9E8FC" w14:textId="77777777" w:rsidR="009C6903" w:rsidRPr="009C6903" w:rsidRDefault="009C6903" w:rsidP="009C6903">
      <w:pPr>
        <w:pStyle w:val="ListParagraph"/>
        <w:spacing w:line="360" w:lineRule="auto"/>
        <w:jc w:val="both"/>
        <w:rPr>
          <w:rFonts w:ascii="Arial" w:eastAsia="Arial" w:hAnsi="Arial" w:cs="Arial"/>
          <w:color w:val="2A313E"/>
          <w:sz w:val="24"/>
          <w:szCs w:val="24"/>
          <w:lang w:val="en-GB"/>
        </w:rPr>
      </w:pPr>
    </w:p>
    <w:p w14:paraId="0653358B" w14:textId="2E5BE52A" w:rsidR="009C6903" w:rsidRPr="00E87B9B" w:rsidRDefault="009C6903" w:rsidP="009C6903">
      <w:pPr>
        <w:pStyle w:val="ListParagraph"/>
        <w:numPr>
          <w:ilvl w:val="0"/>
          <w:numId w:val="1"/>
        </w:numPr>
        <w:spacing w:line="360" w:lineRule="auto"/>
        <w:jc w:val="both"/>
        <w:rPr>
          <w:rFonts w:ascii="Arial" w:eastAsia="Arial" w:hAnsi="Arial" w:cs="Arial"/>
          <w:color w:val="2A313E"/>
          <w:sz w:val="24"/>
          <w:szCs w:val="24"/>
          <w:lang w:val="en-GB"/>
        </w:rPr>
      </w:pPr>
      <w:r w:rsidRPr="009C6903">
        <w:rPr>
          <w:rFonts w:ascii="Arial" w:eastAsia="Arial" w:hAnsi="Arial" w:cs="Arial"/>
          <w:color w:val="2A313E"/>
          <w:sz w:val="24"/>
          <w:szCs w:val="24"/>
          <w:lang w:val="en-GB"/>
        </w:rPr>
        <w:t>Barjaktarovic, D.</w:t>
      </w:r>
      <w:proofErr w:type="gramStart"/>
      <w:r w:rsidRPr="009C6903">
        <w:rPr>
          <w:rFonts w:ascii="Arial" w:eastAsia="Arial" w:hAnsi="Arial" w:cs="Arial"/>
          <w:color w:val="2A313E"/>
          <w:sz w:val="24"/>
          <w:szCs w:val="24"/>
          <w:lang w:val="en-GB"/>
        </w:rPr>
        <w:t>,  Barjaktarovic</w:t>
      </w:r>
      <w:proofErr w:type="gramEnd"/>
      <w:r w:rsidRPr="009C6903">
        <w:rPr>
          <w:rFonts w:ascii="Arial" w:eastAsia="Arial" w:hAnsi="Arial" w:cs="Arial"/>
          <w:color w:val="2A313E"/>
          <w:sz w:val="24"/>
          <w:szCs w:val="24"/>
          <w:lang w:val="en-GB"/>
        </w:rPr>
        <w:t xml:space="preserve"> L. (2010) Possibilities of financial support to small and medium hotel companies in Serbia. Journal of Economics, Vol. 1 (1), pp. 1-11.</w:t>
      </w:r>
    </w:p>
    <w:p w14:paraId="15CA6454" w14:textId="4A752BFD" w:rsidR="00E407EB" w:rsidRPr="00E87B9B" w:rsidRDefault="74DA366C" w:rsidP="74DA366C">
      <w:pPr>
        <w:pStyle w:val="ListParagraph"/>
        <w:numPr>
          <w:ilvl w:val="0"/>
          <w:numId w:val="1"/>
        </w:numPr>
        <w:spacing w:line="360" w:lineRule="auto"/>
        <w:jc w:val="both"/>
        <w:rPr>
          <w:rFonts w:ascii="Arial" w:eastAsia="Arial" w:hAnsi="Arial" w:cs="Arial"/>
          <w:color w:val="333333"/>
          <w:sz w:val="24"/>
          <w:szCs w:val="24"/>
          <w:lang w:val="en-GB"/>
        </w:rPr>
      </w:pPr>
      <w:r w:rsidRPr="00E87B9B">
        <w:rPr>
          <w:rFonts w:ascii="Arial" w:eastAsia="Arial" w:hAnsi="Arial" w:cs="Arial"/>
          <w:color w:val="333333"/>
          <w:sz w:val="24"/>
          <w:szCs w:val="24"/>
          <w:lang w:val="en-GB"/>
        </w:rPr>
        <w:t>Lipe, R. C. (1986). “The Information Contained in the Components of Earnings.” Journal of Accounting Research 24, 37-64. [Accessed 30 May 2022]</w:t>
      </w:r>
    </w:p>
    <w:p w14:paraId="12537702" w14:textId="42AD6C3E" w:rsidR="00E407EB" w:rsidRDefault="74DA366C" w:rsidP="74DA366C">
      <w:pPr>
        <w:pStyle w:val="ListParagraph"/>
        <w:numPr>
          <w:ilvl w:val="0"/>
          <w:numId w:val="1"/>
        </w:numPr>
        <w:spacing w:line="360" w:lineRule="auto"/>
        <w:jc w:val="both"/>
        <w:rPr>
          <w:rFonts w:ascii="Arial" w:eastAsia="Arial" w:hAnsi="Arial" w:cs="Arial"/>
          <w:color w:val="2A313E"/>
          <w:sz w:val="24"/>
          <w:szCs w:val="24"/>
          <w:lang w:val="en-GB"/>
        </w:rPr>
      </w:pPr>
      <w:r w:rsidRPr="00E87B9B">
        <w:rPr>
          <w:rFonts w:ascii="Arial" w:eastAsia="Arial" w:hAnsi="Arial" w:cs="Arial"/>
          <w:color w:val="2A313E"/>
          <w:sz w:val="24"/>
          <w:szCs w:val="24"/>
          <w:lang w:val="en-GB"/>
        </w:rPr>
        <w:t>Zeller, T. L., Stanko, B. B. &amp; Cleverley, W. O., 1997. A new perspective on hospital financial ratio analysis. Healthcare Financial Management, 51(11), pp. 62-66. [Accessed 30 May 2022]</w:t>
      </w:r>
    </w:p>
    <w:p w14:paraId="59AB0FD2" w14:textId="77777777" w:rsidR="009C6903" w:rsidRPr="009C6903" w:rsidRDefault="009C6903" w:rsidP="009C6903">
      <w:pPr>
        <w:pStyle w:val="ListParagraph"/>
        <w:numPr>
          <w:ilvl w:val="0"/>
          <w:numId w:val="1"/>
        </w:numPr>
        <w:spacing w:line="360" w:lineRule="auto"/>
        <w:jc w:val="both"/>
        <w:rPr>
          <w:rFonts w:ascii="Arial" w:eastAsia="Arial" w:hAnsi="Arial" w:cs="Arial"/>
          <w:color w:val="2A313E"/>
          <w:sz w:val="24"/>
          <w:szCs w:val="24"/>
          <w:lang w:val="en-GB"/>
        </w:rPr>
      </w:pPr>
      <w:r w:rsidRPr="009C6903">
        <w:rPr>
          <w:rFonts w:ascii="Arial" w:eastAsia="Arial" w:hAnsi="Arial" w:cs="Arial"/>
          <w:color w:val="2A313E"/>
          <w:sz w:val="24"/>
          <w:szCs w:val="24"/>
          <w:lang w:val="en-GB"/>
        </w:rPr>
        <w:t xml:space="preserve">Diakomihalis Μ., (2011) Financial Structure and Profitability Analysis of Greek Hotels, Journal of Hospitality Financial Management: Vol. 19: Iss. 1, Article 4. </w:t>
      </w:r>
    </w:p>
    <w:p w14:paraId="128ADCBC" w14:textId="77777777" w:rsidR="009C6903" w:rsidRPr="009C6903" w:rsidRDefault="009C6903" w:rsidP="009C6903">
      <w:pPr>
        <w:pStyle w:val="ListParagraph"/>
        <w:spacing w:line="360" w:lineRule="auto"/>
        <w:jc w:val="both"/>
        <w:rPr>
          <w:rFonts w:ascii="Arial" w:eastAsia="Arial" w:hAnsi="Arial" w:cs="Arial"/>
          <w:color w:val="2A313E"/>
          <w:sz w:val="24"/>
          <w:szCs w:val="24"/>
          <w:lang w:val="en-GB"/>
        </w:rPr>
      </w:pPr>
      <w:r w:rsidRPr="009C6903">
        <w:rPr>
          <w:rFonts w:ascii="Arial" w:eastAsia="Arial" w:hAnsi="Arial" w:cs="Arial"/>
          <w:color w:val="2A313E"/>
          <w:sz w:val="24"/>
          <w:szCs w:val="24"/>
          <w:lang w:val="en-GB"/>
        </w:rPr>
        <w:t>Available at: http://scholarworks.umass.edu/jhfm/vol19/iss1/4</w:t>
      </w:r>
    </w:p>
    <w:p w14:paraId="7442CBEB" w14:textId="77777777" w:rsidR="009C6903" w:rsidRPr="009C6903" w:rsidRDefault="009C6903" w:rsidP="009C6903">
      <w:pPr>
        <w:pStyle w:val="ListParagraph"/>
        <w:spacing w:line="360" w:lineRule="auto"/>
        <w:jc w:val="both"/>
        <w:rPr>
          <w:rFonts w:ascii="Arial" w:eastAsia="Arial" w:hAnsi="Arial" w:cs="Arial"/>
          <w:color w:val="2A313E"/>
          <w:sz w:val="24"/>
          <w:szCs w:val="24"/>
          <w:lang w:val="en-GB"/>
        </w:rPr>
      </w:pPr>
    </w:p>
    <w:p w14:paraId="4195FC58" w14:textId="77777777" w:rsidR="009C6903" w:rsidRPr="009C6903" w:rsidRDefault="009C6903" w:rsidP="009C6903">
      <w:pPr>
        <w:pStyle w:val="ListParagraph"/>
        <w:numPr>
          <w:ilvl w:val="0"/>
          <w:numId w:val="1"/>
        </w:numPr>
        <w:spacing w:line="360" w:lineRule="auto"/>
        <w:jc w:val="both"/>
        <w:rPr>
          <w:rFonts w:ascii="Arial" w:eastAsia="Arial" w:hAnsi="Arial" w:cs="Arial"/>
          <w:color w:val="2A313E"/>
          <w:sz w:val="24"/>
          <w:szCs w:val="24"/>
          <w:lang w:val="en-GB"/>
        </w:rPr>
      </w:pPr>
      <w:r w:rsidRPr="009C6903">
        <w:rPr>
          <w:rFonts w:ascii="Arial" w:eastAsia="Arial" w:hAnsi="Arial" w:cs="Arial"/>
          <w:color w:val="2A313E"/>
          <w:sz w:val="24"/>
          <w:szCs w:val="24"/>
          <w:lang w:val="en-GB"/>
        </w:rPr>
        <w:t xml:space="preserve">Kim, W. G., Ayoun, B. (2005) Ratio Analysis for the Hospitality Industry: A cross Sector Comparison of Financial Trends in the Lodging, Restaurant, Airline and Amusement Sectors, Journal of Hospitality Financial Management: Vol. 13 (1)  </w:t>
      </w:r>
    </w:p>
    <w:p w14:paraId="31FE8D1E" w14:textId="77777777" w:rsidR="009C6903" w:rsidRPr="009C6903" w:rsidRDefault="009C6903" w:rsidP="009C6903">
      <w:pPr>
        <w:pStyle w:val="ListParagraph"/>
        <w:spacing w:line="360" w:lineRule="auto"/>
        <w:jc w:val="both"/>
        <w:rPr>
          <w:rFonts w:ascii="Arial" w:eastAsia="Arial" w:hAnsi="Arial" w:cs="Arial"/>
          <w:color w:val="2A313E"/>
          <w:sz w:val="24"/>
          <w:szCs w:val="24"/>
          <w:lang w:val="en-GB"/>
        </w:rPr>
      </w:pPr>
    </w:p>
    <w:p w14:paraId="121E58B9" w14:textId="6FAFF498" w:rsidR="009C6903" w:rsidRPr="009C6903" w:rsidRDefault="009C6903" w:rsidP="009C6903">
      <w:pPr>
        <w:pStyle w:val="ListParagraph"/>
        <w:numPr>
          <w:ilvl w:val="0"/>
          <w:numId w:val="1"/>
        </w:numPr>
        <w:spacing w:line="360" w:lineRule="auto"/>
        <w:jc w:val="both"/>
        <w:rPr>
          <w:rFonts w:ascii="Arial" w:eastAsia="Arial" w:hAnsi="Arial" w:cs="Arial"/>
          <w:color w:val="2A313E"/>
          <w:sz w:val="24"/>
          <w:szCs w:val="24"/>
          <w:lang w:val="en-GB"/>
        </w:rPr>
      </w:pPr>
      <w:r w:rsidRPr="009C6903">
        <w:rPr>
          <w:rFonts w:ascii="Arial" w:eastAsia="Arial" w:hAnsi="Arial" w:cs="Arial"/>
          <w:color w:val="2A313E"/>
          <w:sz w:val="24"/>
          <w:szCs w:val="24"/>
          <w:lang w:val="en-GB"/>
        </w:rPr>
        <w:t>Lawder, K. (1989). Ratio 101: Back to the basics of financial analysis. Business Credit,</w:t>
      </w:r>
      <w:r>
        <w:rPr>
          <w:rFonts w:ascii="Arial" w:eastAsia="Arial" w:hAnsi="Arial" w:cs="Arial"/>
          <w:color w:val="2A313E"/>
          <w:sz w:val="24"/>
          <w:szCs w:val="24"/>
          <w:lang w:val="en-GB"/>
        </w:rPr>
        <w:t xml:space="preserve"> </w:t>
      </w:r>
      <w:r w:rsidRPr="009C6903">
        <w:rPr>
          <w:rFonts w:ascii="Arial" w:eastAsia="Arial" w:hAnsi="Arial" w:cs="Arial"/>
          <w:color w:val="2A313E"/>
          <w:sz w:val="24"/>
          <w:szCs w:val="24"/>
          <w:lang w:val="en-GB"/>
        </w:rPr>
        <w:t>91(6), 28-30.</w:t>
      </w:r>
    </w:p>
    <w:p w14:paraId="2C078E63" w14:textId="17A0B895" w:rsidR="00E407EB" w:rsidRPr="00E87B9B" w:rsidRDefault="00E407EB" w:rsidP="74DA366C">
      <w:pPr>
        <w:spacing w:line="360" w:lineRule="auto"/>
        <w:jc w:val="both"/>
        <w:rPr>
          <w:lang w:val="en-GB"/>
        </w:rPr>
      </w:pPr>
    </w:p>
    <w:sectPr w:rsidR="00E407EB" w:rsidRPr="00E87B9B" w:rsidSect="007F594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47383"/>
    <w:multiLevelType w:val="hybridMultilevel"/>
    <w:tmpl w:val="BA44733A"/>
    <w:lvl w:ilvl="0" w:tplc="A45CE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0B54C1"/>
    <w:multiLevelType w:val="hybridMultilevel"/>
    <w:tmpl w:val="72B40008"/>
    <w:lvl w:ilvl="0" w:tplc="86BC6720">
      <w:start w:val="1"/>
      <w:numFmt w:val="decimal"/>
      <w:lvlText w:val="%1."/>
      <w:lvlJc w:val="left"/>
      <w:pPr>
        <w:ind w:left="720" w:hanging="360"/>
      </w:pPr>
    </w:lvl>
    <w:lvl w:ilvl="1" w:tplc="CC985B66">
      <w:start w:val="1"/>
      <w:numFmt w:val="lowerLetter"/>
      <w:lvlText w:val="%2."/>
      <w:lvlJc w:val="left"/>
      <w:pPr>
        <w:ind w:left="1440" w:hanging="360"/>
      </w:pPr>
    </w:lvl>
    <w:lvl w:ilvl="2" w:tplc="DFB0EA60">
      <w:start w:val="1"/>
      <w:numFmt w:val="lowerRoman"/>
      <w:lvlText w:val="%3."/>
      <w:lvlJc w:val="right"/>
      <w:pPr>
        <w:ind w:left="2160" w:hanging="180"/>
      </w:pPr>
    </w:lvl>
    <w:lvl w:ilvl="3" w:tplc="1B2A94CE">
      <w:start w:val="1"/>
      <w:numFmt w:val="decimal"/>
      <w:lvlText w:val="%4."/>
      <w:lvlJc w:val="left"/>
      <w:pPr>
        <w:ind w:left="2880" w:hanging="360"/>
      </w:pPr>
    </w:lvl>
    <w:lvl w:ilvl="4" w:tplc="2138E75E">
      <w:start w:val="1"/>
      <w:numFmt w:val="lowerLetter"/>
      <w:lvlText w:val="%5."/>
      <w:lvlJc w:val="left"/>
      <w:pPr>
        <w:ind w:left="3600" w:hanging="360"/>
      </w:pPr>
    </w:lvl>
    <w:lvl w:ilvl="5" w:tplc="865C05D6">
      <w:start w:val="1"/>
      <w:numFmt w:val="lowerRoman"/>
      <w:lvlText w:val="%6."/>
      <w:lvlJc w:val="right"/>
      <w:pPr>
        <w:ind w:left="4320" w:hanging="180"/>
      </w:pPr>
    </w:lvl>
    <w:lvl w:ilvl="6" w:tplc="1E6A3EC6">
      <w:start w:val="1"/>
      <w:numFmt w:val="decimal"/>
      <w:lvlText w:val="%7."/>
      <w:lvlJc w:val="left"/>
      <w:pPr>
        <w:ind w:left="5040" w:hanging="360"/>
      </w:pPr>
    </w:lvl>
    <w:lvl w:ilvl="7" w:tplc="C1009470">
      <w:start w:val="1"/>
      <w:numFmt w:val="lowerLetter"/>
      <w:lvlText w:val="%8."/>
      <w:lvlJc w:val="left"/>
      <w:pPr>
        <w:ind w:left="5760" w:hanging="360"/>
      </w:pPr>
    </w:lvl>
    <w:lvl w:ilvl="8" w:tplc="368059C0">
      <w:start w:val="1"/>
      <w:numFmt w:val="lowerRoman"/>
      <w:lvlText w:val="%9."/>
      <w:lvlJc w:val="right"/>
      <w:pPr>
        <w:ind w:left="6480" w:hanging="180"/>
      </w:pPr>
    </w:lvl>
  </w:abstractNum>
  <w:num w:numId="1" w16cid:durableId="39744894">
    <w:abstractNumId w:val="1"/>
  </w:num>
  <w:num w:numId="2" w16cid:durableId="1822850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BD6EE8"/>
    <w:rsid w:val="00017EC1"/>
    <w:rsid w:val="000612C3"/>
    <w:rsid w:val="0017252B"/>
    <w:rsid w:val="001B0BD2"/>
    <w:rsid w:val="00250844"/>
    <w:rsid w:val="002836CF"/>
    <w:rsid w:val="002F0B91"/>
    <w:rsid w:val="0048503C"/>
    <w:rsid w:val="005E3ACA"/>
    <w:rsid w:val="00667728"/>
    <w:rsid w:val="00673C68"/>
    <w:rsid w:val="007127AB"/>
    <w:rsid w:val="00717934"/>
    <w:rsid w:val="00757390"/>
    <w:rsid w:val="007F5940"/>
    <w:rsid w:val="00806F00"/>
    <w:rsid w:val="009C6903"/>
    <w:rsid w:val="00A34381"/>
    <w:rsid w:val="00A6659F"/>
    <w:rsid w:val="00B129DE"/>
    <w:rsid w:val="00B722CF"/>
    <w:rsid w:val="00D22119"/>
    <w:rsid w:val="00DA7286"/>
    <w:rsid w:val="00DF28B3"/>
    <w:rsid w:val="00E407EB"/>
    <w:rsid w:val="00E44380"/>
    <w:rsid w:val="00E87B9B"/>
    <w:rsid w:val="00F65FA7"/>
    <w:rsid w:val="23BD6EE8"/>
    <w:rsid w:val="74DA36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C1A0"/>
  <w15:chartTrackingRefBased/>
  <w15:docId w15:val="{7524947F-4268-4BC3-B86E-6555A8627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7F5940"/>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7F5940"/>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11</Pages>
  <Words>2264</Words>
  <Characters>12906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ANALYSIS OF THE FINANCIAL STATEMENTS</vt:lpstr>
    </vt:vector>
  </TitlesOfParts>
  <Company/>
  <LinksUpToDate>false</LinksUpToDate>
  <CharactersWithSpaces>15140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FINANCIAL STATEMENTS</dc:title>
  <dc:subject>HILTON WORLDWIDE</dc:subject>
  <dc:creator>Tahiya Rahman</dc:creator>
  <cp:keywords/>
  <dc:description/>
  <cp:lastModifiedBy>Microsoft Office User</cp:lastModifiedBy>
  <cp:revision>22</cp:revision>
  <dcterms:created xsi:type="dcterms:W3CDTF">2022-05-31T09:58:00Z</dcterms:created>
  <dcterms:modified xsi:type="dcterms:W3CDTF">2022-06-01T22:26:00Z</dcterms:modified>
</cp:coreProperties>
</file>