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Programme: Certificate of Higher Education in Business Skills for the Workplace</w:t>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Problem Solving and Decision Making</w:t>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code: LCLM4004</w:t>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Module leader: Anita Nan</w:t>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Internal Verifier: Lizeta Demetriou</w:t>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Assignment Title: Component 1: Individual Presentation Green Haven Florists</w:t>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name: Emanoil Alin Ivascu</w:t>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ID number: 2439390</w:t>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spacing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of Contents</w:t>
      </w:r>
    </w:p>
    <w:sdt>
      <w:sdtPr>
        <w:id w:val="1737406308"/>
        <w:docPartObj>
          <w:docPartGallery w:val="Table of Contents"/>
          <w:docPartUnique w:val="1"/>
        </w:docPartObj>
      </w:sdtPr>
      <w:sdtContent>
        <w:p w:rsidR="00000000" w:rsidDel="00000000" w:rsidP="00000000" w:rsidRDefault="00000000" w:rsidRPr="00000000" w14:paraId="00000012">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r w:rsidDel="00000000" w:rsidR="00000000" w:rsidRPr="00000000">
            <w:fldChar w:fldCharType="begin"/>
            <w:instrText xml:space="preserve"> TOC \h \u \z \t "Heading 1,1,Heading 2,2,Heading 3,3,"</w:instrText>
            <w:fldChar w:fldCharType="separate"/>
          </w:r>
          <w:hyperlink w:anchor="_heading=h.5c9iuiwwasm7">
            <w:r w:rsidDel="00000000" w:rsidR="00000000" w:rsidRPr="00000000">
              <w:rPr>
                <w:rFonts w:ascii="Times New Roman" w:cs="Times New Roman" w:eastAsia="Times New Roman" w:hAnsi="Times New Roman"/>
                <w:color w:val="000000"/>
                <w:sz w:val="24"/>
                <w:szCs w:val="24"/>
                <w:rtl w:val="0"/>
              </w:rPr>
              <w:t xml:space="preserve">Cover page</w:t>
              <w:tab/>
              <w:t xml:space="preserve">3</w:t>
            </w:r>
          </w:hyperlink>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hyperlink w:anchor="_heading=h.3gqw65hcyxni">
            <w:r w:rsidDel="00000000" w:rsidR="00000000" w:rsidRPr="00000000">
              <w:rPr>
                <w:rFonts w:ascii="Times New Roman" w:cs="Times New Roman" w:eastAsia="Times New Roman" w:hAnsi="Times New Roman"/>
                <w:color w:val="000000"/>
                <w:sz w:val="24"/>
                <w:szCs w:val="24"/>
                <w:rtl w:val="0"/>
              </w:rPr>
              <w:t xml:space="preserve">Table of content</w:t>
              <w:tab/>
              <w:t xml:space="preserve">3</w:t>
            </w:r>
          </w:hyperlink>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hyperlink w:anchor="_heading=h.up6h9d3np8cv">
            <w:r w:rsidDel="00000000" w:rsidR="00000000" w:rsidRPr="00000000">
              <w:rPr>
                <w:rFonts w:ascii="Times New Roman" w:cs="Times New Roman" w:eastAsia="Times New Roman" w:hAnsi="Times New Roman"/>
                <w:color w:val="000000"/>
                <w:sz w:val="24"/>
                <w:szCs w:val="24"/>
                <w:rtl w:val="0"/>
              </w:rPr>
              <w:t xml:space="preserve">Introduction</w:t>
              <w:tab/>
              <w:t xml:space="preserve">4</w:t>
            </w:r>
          </w:hyperlink>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hyperlink w:anchor="_heading=h.z6yf82ep7vnm">
            <w:r w:rsidDel="00000000" w:rsidR="00000000" w:rsidRPr="00000000">
              <w:rPr>
                <w:rFonts w:ascii="Times New Roman" w:cs="Times New Roman" w:eastAsia="Times New Roman" w:hAnsi="Times New Roman"/>
                <w:color w:val="000000"/>
                <w:sz w:val="24"/>
                <w:szCs w:val="24"/>
                <w:rtl w:val="0"/>
              </w:rPr>
              <w:t xml:space="preserve">Nature and scope of the issue</w:t>
              <w:tab/>
              <w:t xml:space="preserve">5</w:t>
            </w:r>
          </w:hyperlink>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hyperlink w:anchor="_heading=h.zp3klrfsx51">
            <w:r w:rsidDel="00000000" w:rsidR="00000000" w:rsidRPr="00000000">
              <w:rPr>
                <w:rFonts w:ascii="Times New Roman" w:cs="Times New Roman" w:eastAsia="Times New Roman" w:hAnsi="Times New Roman"/>
                <w:color w:val="000000"/>
                <w:sz w:val="24"/>
                <w:szCs w:val="24"/>
                <w:rtl w:val="0"/>
              </w:rPr>
              <w:t xml:space="preserve">Applying 5W2H method</w:t>
              <w:tab/>
              <w:t xml:space="preserve">6</w:t>
            </w:r>
          </w:hyperlink>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hyperlink w:anchor="_heading=h.7v3pvrkuele7">
            <w:r w:rsidDel="00000000" w:rsidR="00000000" w:rsidRPr="00000000">
              <w:rPr>
                <w:rFonts w:ascii="Times New Roman" w:cs="Times New Roman" w:eastAsia="Times New Roman" w:hAnsi="Times New Roman"/>
                <w:color w:val="000000"/>
                <w:sz w:val="24"/>
                <w:szCs w:val="24"/>
                <w:rtl w:val="0"/>
              </w:rPr>
              <w:t xml:space="preserve">Impact of the Problem</w:t>
              <w:tab/>
              <w:t xml:space="preserve">7</w:t>
            </w:r>
          </w:hyperlink>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hyperlink w:anchor="_heading=h.ew4pn1klspiv">
            <w:r w:rsidDel="00000000" w:rsidR="00000000" w:rsidRPr="00000000">
              <w:rPr>
                <w:rFonts w:ascii="Times New Roman" w:cs="Times New Roman" w:eastAsia="Times New Roman" w:hAnsi="Times New Roman"/>
                <w:color w:val="000000"/>
                <w:sz w:val="24"/>
                <w:szCs w:val="24"/>
                <w:rtl w:val="0"/>
              </w:rPr>
              <w:t xml:space="preserve">External environment analysis</w:t>
              <w:tab/>
              <w:t xml:space="preserve">8</w:t>
            </w:r>
          </w:hyperlink>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hyperlink w:anchor="_heading=h.j7u8m9uoh555">
            <w:r w:rsidDel="00000000" w:rsidR="00000000" w:rsidRPr="00000000">
              <w:rPr>
                <w:rFonts w:ascii="Times New Roman" w:cs="Times New Roman" w:eastAsia="Times New Roman" w:hAnsi="Times New Roman"/>
                <w:color w:val="000000"/>
                <w:sz w:val="24"/>
                <w:szCs w:val="24"/>
                <w:rtl w:val="0"/>
              </w:rPr>
              <w:t xml:space="preserve">PESTLE Analysis</w:t>
              <w:tab/>
              <w:t xml:space="preserve">9</w:t>
            </w:r>
          </w:hyperlink>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hyperlink w:anchor="_heading=h.p808lir8sitv">
            <w:r w:rsidDel="00000000" w:rsidR="00000000" w:rsidRPr="00000000">
              <w:rPr>
                <w:rFonts w:ascii="Times New Roman" w:cs="Times New Roman" w:eastAsia="Times New Roman" w:hAnsi="Times New Roman"/>
                <w:color w:val="000000"/>
                <w:sz w:val="24"/>
                <w:szCs w:val="24"/>
                <w:rtl w:val="0"/>
              </w:rPr>
              <w:t xml:space="preserve">Analysis of External Factors</w:t>
              <w:tab/>
              <w:t xml:space="preserve">10</w:t>
            </w:r>
          </w:hyperlink>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hyperlink w:anchor="_heading=h.2bjicdy6izgg">
            <w:r w:rsidDel="00000000" w:rsidR="00000000" w:rsidRPr="00000000">
              <w:rPr>
                <w:rFonts w:ascii="Times New Roman" w:cs="Times New Roman" w:eastAsia="Times New Roman" w:hAnsi="Times New Roman"/>
                <w:color w:val="000000"/>
                <w:sz w:val="24"/>
                <w:szCs w:val="24"/>
                <w:rtl w:val="0"/>
              </w:rPr>
              <w:t xml:space="preserve">Root cause of the issue</w:t>
              <w:tab/>
              <w:t xml:space="preserve">11</w:t>
            </w:r>
          </w:hyperlink>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hyperlink w:anchor="_heading=h.m9grc2w91g3r">
            <w:r w:rsidDel="00000000" w:rsidR="00000000" w:rsidRPr="00000000">
              <w:rPr>
                <w:rFonts w:ascii="Times New Roman" w:cs="Times New Roman" w:eastAsia="Times New Roman" w:hAnsi="Times New Roman"/>
                <w:color w:val="000000"/>
                <w:sz w:val="24"/>
                <w:szCs w:val="24"/>
                <w:rtl w:val="0"/>
              </w:rPr>
              <w:t xml:space="preserve">Cause-and-Effect analysis</w:t>
              <w:tab/>
              <w:t xml:space="preserve">12</w:t>
            </w:r>
          </w:hyperlink>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tabs>
              <w:tab w:val="right" w:leader="none" w:pos="9350"/>
            </w:tabs>
            <w:spacing w:after="100" w:line="360" w:lineRule="auto"/>
            <w:jc w:val="both"/>
            <w:rPr>
              <w:rFonts w:ascii="Times New Roman" w:cs="Times New Roman" w:eastAsia="Times New Roman" w:hAnsi="Times New Roman"/>
              <w:color w:val="000000"/>
              <w:sz w:val="24"/>
              <w:szCs w:val="24"/>
            </w:rPr>
          </w:pPr>
          <w:hyperlink w:anchor="_heading=h.xejqd5wnruph">
            <w:r w:rsidDel="00000000" w:rsidR="00000000" w:rsidRPr="00000000">
              <w:rPr>
                <w:rFonts w:ascii="Times New Roman" w:cs="Times New Roman" w:eastAsia="Times New Roman" w:hAnsi="Times New Roman"/>
                <w:color w:val="000000"/>
                <w:sz w:val="24"/>
                <w:szCs w:val="24"/>
                <w:rtl w:val="0"/>
              </w:rPr>
              <w:t xml:space="preserve">Conclusion and Recommendations</w:t>
              <w:tab/>
              <w:t xml:space="preserve">13</w:t>
            </w:r>
          </w:hyperlink>
          <w:r w:rsidDel="00000000" w:rsidR="00000000" w:rsidRPr="00000000">
            <w:rPr>
              <w:rtl w:val="0"/>
            </w:rPr>
          </w:r>
        </w:p>
        <w:p w:rsidR="00000000" w:rsidDel="00000000" w:rsidP="00000000" w:rsidRDefault="00000000" w:rsidRPr="00000000" w14:paraId="0000001E">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spacing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b w:val="1"/>
          <w:sz w:val="24"/>
          <w:szCs w:val="24"/>
        </w:rPr>
      </w:pPr>
      <w:bookmarkStart w:colFirst="0" w:colLast="0" w:name="_heading=h.5c9iuiwwasm7" w:id="0"/>
      <w:bookmarkEnd w:id="0"/>
      <w:r w:rsidDel="00000000" w:rsidR="00000000" w:rsidRPr="00000000">
        <w:rPr>
          <w:rFonts w:ascii="Times New Roman" w:cs="Times New Roman" w:eastAsia="Times New Roman" w:hAnsi="Times New Roman"/>
          <w:b w:val="1"/>
          <w:sz w:val="24"/>
          <w:szCs w:val="24"/>
          <w:rtl w:val="0"/>
        </w:rPr>
        <w:t xml:space="preserve">Cover page</w:t>
      </w:r>
    </w:p>
    <w:p w:rsidR="00000000" w:rsidDel="00000000" w:rsidP="00000000" w:rsidRDefault="00000000" w:rsidRPr="00000000" w14:paraId="00000022">
      <w:pPr>
        <w:rPr/>
      </w:pPr>
      <w:r w:rsidDel="00000000" w:rsidR="00000000" w:rsidRPr="00000000">
        <w:rPr/>
        <w:drawing>
          <wp:inline distB="0" distT="0" distL="0" distR="0">
            <wp:extent cx="5943600" cy="4431030"/>
            <wp:effectExtent b="0" l="0" r="0" t="0"/>
            <wp:docPr id="2142244824"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443103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b w:val="1"/>
          <w:sz w:val="24"/>
          <w:szCs w:val="24"/>
        </w:rPr>
      </w:pPr>
      <w:bookmarkStart w:colFirst="0" w:colLast="0" w:name="_heading=h.3gqw65hcyxni" w:id="1"/>
      <w:bookmarkEnd w:id="1"/>
      <w:r w:rsidDel="00000000" w:rsidR="00000000" w:rsidRPr="00000000">
        <w:rPr>
          <w:rFonts w:ascii="Times New Roman" w:cs="Times New Roman" w:eastAsia="Times New Roman" w:hAnsi="Times New Roman"/>
          <w:b w:val="1"/>
          <w:sz w:val="24"/>
          <w:szCs w:val="24"/>
          <w:rtl w:val="0"/>
        </w:rPr>
        <w:t xml:space="preserve">Table of content</w:t>
      </w:r>
    </w:p>
    <w:p w:rsidR="00000000" w:rsidDel="00000000" w:rsidP="00000000" w:rsidRDefault="00000000" w:rsidRPr="00000000" w14:paraId="00000024">
      <w:pPr>
        <w:jc w:val="center"/>
        <w:rPr/>
      </w:pPr>
      <w:bookmarkStart w:colFirst="0" w:colLast="0" w:name="_heading=h.o0q80588x28o" w:id="2"/>
      <w:bookmarkEnd w:id="2"/>
      <w:r w:rsidDel="00000000" w:rsidR="00000000" w:rsidRPr="00000000">
        <w:rPr/>
        <w:drawing>
          <wp:inline distB="0" distT="0" distL="0" distR="0">
            <wp:extent cx="4877481" cy="3658111"/>
            <wp:effectExtent b="0" l="0" r="0" t="0"/>
            <wp:docPr id="2142244826"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4877481" cy="3658111"/>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b w:val="1"/>
          <w:sz w:val="24"/>
          <w:szCs w:val="24"/>
        </w:rPr>
      </w:pPr>
      <w:bookmarkStart w:colFirst="0" w:colLast="0" w:name="_heading=h.up6h9d3np8cv" w:id="3"/>
      <w:bookmarkEnd w:id="3"/>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4436110"/>
            <wp:effectExtent b="0" l="0" r="0" t="0"/>
            <wp:docPr id="2142244825"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5943600" cy="443611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Green Haven Florists was founded by Liam and Priya Patel in 2016 in Norwich. This firm has a positive reputation for artistic floral designs and dedication towards the environment. However, the company is currently performing due to the digital stagnation, the market competition, and the increased expenses. The critical analysis made in this presentation through 5W2H scope definition, PESTEL external force interpretation and cause and effect analysis to examine root causes, helps define the core issue. </w:t>
      </w:r>
    </w:p>
    <w:p w:rsidR="00000000" w:rsidDel="00000000" w:rsidP="00000000" w:rsidRDefault="00000000" w:rsidRPr="00000000" w14:paraId="00000027">
      <w:pPr>
        <w:spacing w:line="360" w:lineRule="auto"/>
        <w:jc w:val="both"/>
        <w:rPr>
          <w:rFonts w:ascii="Times New Roman" w:cs="Times New Roman" w:eastAsia="Times New Roman" w:hAnsi="Times New Roman"/>
          <w:b w:val="1"/>
          <w:sz w:val="24"/>
          <w:szCs w:val="24"/>
        </w:rPr>
      </w:pPr>
      <w:bookmarkStart w:colFirst="0" w:colLast="0" w:name="_heading=h.z6yf82ep7vnm" w:id="4"/>
      <w:bookmarkEnd w:id="4"/>
      <w:r w:rsidDel="00000000" w:rsidR="00000000" w:rsidRPr="00000000">
        <w:rPr>
          <w:rFonts w:ascii="Times New Roman" w:cs="Times New Roman" w:eastAsia="Times New Roman" w:hAnsi="Times New Roman"/>
          <w:b w:val="1"/>
          <w:sz w:val="24"/>
          <w:szCs w:val="24"/>
          <w:rtl w:val="0"/>
        </w:rPr>
        <w:t xml:space="preserve">Nature and scope of the issue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4464685"/>
            <wp:effectExtent b="0" l="0" r="0" t="0"/>
            <wp:docPr id="2142244828"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943600" cy="4464685"/>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The company observed a 30% decline in physical store sales over the year. The increased online competition and reduced footfall have been identified as the major reasons behind the declining store sales. In the contemporary period, consumers prefer to purchase products from online websites due to the availability of various discounts. In this regard, the presence of the updated website, weak internal competencies and minimum virtual engagement with restricted delivery options induced a lack of customer engagement with the company. Complexity in both technological and strategic perspectives influenced the lack of customer engagement with florists to sustain a positive brand valuation.</w:t>
      </w:r>
    </w:p>
    <w:p w:rsidR="00000000" w:rsidDel="00000000" w:rsidP="00000000" w:rsidRDefault="00000000" w:rsidRPr="00000000" w14:paraId="00000029">
      <w:pPr>
        <w:spacing w:line="360" w:lineRule="auto"/>
        <w:jc w:val="both"/>
        <w:rPr>
          <w:rFonts w:ascii="Times New Roman" w:cs="Times New Roman" w:eastAsia="Times New Roman" w:hAnsi="Times New Roman"/>
          <w:b w:val="1"/>
          <w:sz w:val="24"/>
          <w:szCs w:val="24"/>
        </w:rPr>
      </w:pPr>
      <w:bookmarkStart w:colFirst="0" w:colLast="0" w:name="_heading=h.zp3klrfsx51" w:id="5"/>
      <w:bookmarkEnd w:id="5"/>
      <w:r w:rsidDel="00000000" w:rsidR="00000000" w:rsidRPr="00000000">
        <w:rPr>
          <w:rFonts w:ascii="Times New Roman" w:cs="Times New Roman" w:eastAsia="Times New Roman" w:hAnsi="Times New Roman"/>
          <w:b w:val="1"/>
          <w:sz w:val="24"/>
          <w:szCs w:val="24"/>
          <w:rtl w:val="0"/>
        </w:rPr>
        <w:t xml:space="preserve">Applying 5W2H method  </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4481195"/>
            <wp:effectExtent b="0" l="0" r="0" t="0"/>
            <wp:docPr id="2142244827"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4481195"/>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Application of these models can help in identifying the underlying issues based on different parameters. For instance, the company observed a 30% decline in sales in the last 12 months, particularly in Norwich. The presence of intensive competitive pricing and the lack of digital efficiency have been identified as major reasons behind the declining sales. On the other hand, increasing supply expenditure and a gap in operation management also added to the inefficiency in managing sustainable profitability. The 5W2H method provides clarification by simplifying the scope objectives to identify critical paths. More analysis by using the PESTLE framework and the cause-and-effect analysis can help in identifying external environmental factors. </w:t>
      </w:r>
    </w:p>
    <w:p w:rsidR="00000000" w:rsidDel="00000000" w:rsidP="00000000" w:rsidRDefault="00000000" w:rsidRPr="00000000" w14:paraId="0000002B">
      <w:pPr>
        <w:spacing w:line="360" w:lineRule="auto"/>
        <w:jc w:val="both"/>
        <w:rPr>
          <w:rFonts w:ascii="Times New Roman" w:cs="Times New Roman" w:eastAsia="Times New Roman" w:hAnsi="Times New Roman"/>
          <w:b w:val="1"/>
          <w:sz w:val="24"/>
          <w:szCs w:val="24"/>
        </w:rPr>
      </w:pPr>
      <w:bookmarkStart w:colFirst="0" w:colLast="0" w:name="_heading=h.7v3pvrkuele7" w:id="6"/>
      <w:bookmarkEnd w:id="6"/>
      <w:r w:rsidDel="00000000" w:rsidR="00000000" w:rsidRPr="00000000">
        <w:rPr>
          <w:rFonts w:ascii="Times New Roman" w:cs="Times New Roman" w:eastAsia="Times New Roman" w:hAnsi="Times New Roman"/>
          <w:b w:val="1"/>
          <w:sz w:val="24"/>
          <w:szCs w:val="24"/>
          <w:rtl w:val="0"/>
        </w:rPr>
        <w:t xml:space="preserve">Impact of the Problem  </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4377690"/>
            <wp:effectExtent b="0" l="0" r="0" t="0"/>
            <wp:docPr id="2142244830" name="image11.png"/>
            <a:graphic>
              <a:graphicData uri="http://schemas.openxmlformats.org/drawingml/2006/picture">
                <pic:pic>
                  <pic:nvPicPr>
                    <pic:cNvPr id="0" name="image11.png"/>
                    <pic:cNvPicPr preferRelativeResize="0"/>
                  </pic:nvPicPr>
                  <pic:blipFill>
                    <a:blip r:embed="rId12"/>
                    <a:srcRect b="0" l="0" r="0" t="0"/>
                    <a:stretch>
                      <a:fillRect/>
                    </a:stretch>
                  </pic:blipFill>
                  <pic:spPr>
                    <a:xfrm>
                      <a:off x="0" y="0"/>
                      <a:ext cx="5943600" cy="437769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Declining sales have a direct detrimental effect on the revenue and profit margin, reducing the ability to invest in technology or marketing. Face-to-face interaction with the community and brand recognition are undermined by the disappearance of foot traffic. The hours of the workers and supplier contracts are also threatened as the costs of operation increase. Some competitors attract customers from online mediums, which helps restrict the loss of market share. Customer loyalty socially reduces poor convenience and online contact. The strategic, financial, and social outcomes of the issue have necessitated a composite approach to addressing the problem to maintain long-term competitiveness and relevance across the UK floral industry.</w:t>
      </w:r>
    </w:p>
    <w:p w:rsidR="00000000" w:rsidDel="00000000" w:rsidP="00000000" w:rsidRDefault="00000000" w:rsidRPr="00000000" w14:paraId="0000002D">
      <w:pPr>
        <w:spacing w:line="360" w:lineRule="auto"/>
        <w:jc w:val="both"/>
        <w:rPr>
          <w:rFonts w:ascii="Times New Roman" w:cs="Times New Roman" w:eastAsia="Times New Roman" w:hAnsi="Times New Roman"/>
          <w:b w:val="1"/>
          <w:sz w:val="24"/>
          <w:szCs w:val="24"/>
        </w:rPr>
      </w:pPr>
      <w:bookmarkStart w:colFirst="0" w:colLast="0" w:name="_heading=h.ew4pn1klspiv" w:id="7"/>
      <w:bookmarkEnd w:id="7"/>
      <w:r w:rsidDel="00000000" w:rsidR="00000000" w:rsidRPr="00000000">
        <w:rPr>
          <w:rFonts w:ascii="Times New Roman" w:cs="Times New Roman" w:eastAsia="Times New Roman" w:hAnsi="Times New Roman"/>
          <w:b w:val="1"/>
          <w:sz w:val="24"/>
          <w:szCs w:val="24"/>
          <w:rtl w:val="0"/>
        </w:rPr>
        <w:t xml:space="preserve">External environment analysis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4480560"/>
            <wp:effectExtent b="0" l="0" r="0" t="0"/>
            <wp:docPr id="2142244829" name="image12.png"/>
            <a:graphic>
              <a:graphicData uri="http://schemas.openxmlformats.org/drawingml/2006/picture">
                <pic:pic>
                  <pic:nvPicPr>
                    <pic:cNvPr id="0" name="image12.png"/>
                    <pic:cNvPicPr preferRelativeResize="0"/>
                  </pic:nvPicPr>
                  <pic:blipFill>
                    <a:blip r:embed="rId13"/>
                    <a:srcRect b="0" l="0" r="0" t="0"/>
                    <a:stretch>
                      <a:fillRect/>
                    </a:stretch>
                  </pic:blipFill>
                  <pic:spPr>
                    <a:xfrm>
                      <a:off x="0" y="0"/>
                      <a:ext cx="5943600" cy="448056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The PESTEL model is a systematic method of examining macro-environmental forces that affect the flowers and plants business in Green Haven Florists. The PESTLE framework allows for the discovery of economic, technological and social pressures influencing strategic decisions. The advantage of it is a complete coverage of the external factors; the drawback is that it is a static picture and cannot outline sudden changes in the market. Using the framework, the business can determine the level to which inflation, digitalisation and consumer behaviour impact performance and the owners can identify areas with the highest need for intervention.</w:t>
      </w:r>
    </w:p>
    <w:p w:rsidR="00000000" w:rsidDel="00000000" w:rsidP="00000000" w:rsidRDefault="00000000" w:rsidRPr="00000000" w14:paraId="0000002F">
      <w:pPr>
        <w:spacing w:line="360" w:lineRule="auto"/>
        <w:jc w:val="both"/>
        <w:rPr>
          <w:rFonts w:ascii="Times New Roman" w:cs="Times New Roman" w:eastAsia="Times New Roman" w:hAnsi="Times New Roman"/>
          <w:b w:val="1"/>
          <w:sz w:val="24"/>
          <w:szCs w:val="24"/>
        </w:rPr>
      </w:pPr>
      <w:bookmarkStart w:colFirst="0" w:colLast="0" w:name="_heading=h.j7u8m9uoh555" w:id="8"/>
      <w:bookmarkEnd w:id="8"/>
      <w:r w:rsidDel="00000000" w:rsidR="00000000" w:rsidRPr="00000000">
        <w:rPr>
          <w:rFonts w:ascii="Times New Roman" w:cs="Times New Roman" w:eastAsia="Times New Roman" w:hAnsi="Times New Roman"/>
          <w:b w:val="1"/>
          <w:sz w:val="24"/>
          <w:szCs w:val="24"/>
          <w:rtl w:val="0"/>
        </w:rPr>
        <w:t xml:space="preserve">PESTLE Analysis  </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4462780"/>
            <wp:effectExtent b="0" l="0" r="0" t="0"/>
            <wp:docPr id="2142244832"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5943600" cy="446278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This PESTEL analysis shows that Green Haven Florists can work in a complicated external environment and adapt strategically to changing circumstances. The growing cost of operation and decreased margins induced by political and economic developments, whereas the social change in favour of online convenience erodes the local footfall. The evolution of technology shows digital gaps from competitors, and the costs have increased, where environmental priorities help in brand credibility. Digital expansion requires legal compliance and the protection of customers. The process of knowing these dimensions allows the decision-making process to be evidence-based. </w:t>
      </w:r>
    </w:p>
    <w:p w:rsidR="00000000" w:rsidDel="00000000" w:rsidP="00000000" w:rsidRDefault="00000000" w:rsidRPr="00000000" w14:paraId="00000031">
      <w:pPr>
        <w:spacing w:line="360" w:lineRule="auto"/>
        <w:jc w:val="both"/>
        <w:rPr>
          <w:rFonts w:ascii="Times New Roman" w:cs="Times New Roman" w:eastAsia="Times New Roman" w:hAnsi="Times New Roman"/>
          <w:b w:val="1"/>
          <w:sz w:val="24"/>
          <w:szCs w:val="24"/>
        </w:rPr>
      </w:pPr>
      <w:bookmarkStart w:colFirst="0" w:colLast="0" w:name="_heading=h.p808lir8sitv" w:id="9"/>
      <w:bookmarkEnd w:id="9"/>
      <w:r w:rsidDel="00000000" w:rsidR="00000000" w:rsidRPr="00000000">
        <w:rPr>
          <w:rFonts w:ascii="Times New Roman" w:cs="Times New Roman" w:eastAsia="Times New Roman" w:hAnsi="Times New Roman"/>
          <w:b w:val="1"/>
          <w:sz w:val="24"/>
          <w:szCs w:val="24"/>
          <w:rtl w:val="0"/>
        </w:rPr>
        <w:t xml:space="preserve">Analysis of External Factors </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4531995"/>
            <wp:effectExtent b="0" l="0" r="0" t="0"/>
            <wp:docPr id="2142244831"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5943600" cy="4531995"/>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According to the analysis of the external environment, the prevailing factors that affect the operations of the company are economic inflation and the rapid development of technology. Inflation raises the cost of imports and packaging, limiting pricing flexibility and profitability. Similarly, the digital transformation forces the business to be competitive with technologically focused competitors. These macro-environmental factors emphasise proactive change by means of cost reduction and digitalisation. The PESTEL framework provided a transparent idea of the environmental factors and other concurrent challenges for the company. </w:t>
      </w:r>
    </w:p>
    <w:p w:rsidR="00000000" w:rsidDel="00000000" w:rsidP="00000000" w:rsidRDefault="00000000" w:rsidRPr="00000000" w14:paraId="00000033">
      <w:pPr>
        <w:spacing w:line="360" w:lineRule="auto"/>
        <w:jc w:val="both"/>
        <w:rPr>
          <w:rFonts w:ascii="Times New Roman" w:cs="Times New Roman" w:eastAsia="Times New Roman" w:hAnsi="Times New Roman"/>
          <w:b w:val="1"/>
          <w:sz w:val="24"/>
          <w:szCs w:val="24"/>
        </w:rPr>
      </w:pPr>
      <w:bookmarkStart w:colFirst="0" w:colLast="0" w:name="_heading=h.2bjicdy6izgg" w:id="10"/>
      <w:bookmarkEnd w:id="10"/>
      <w:r w:rsidDel="00000000" w:rsidR="00000000" w:rsidRPr="00000000">
        <w:rPr>
          <w:rFonts w:ascii="Times New Roman" w:cs="Times New Roman" w:eastAsia="Times New Roman" w:hAnsi="Times New Roman"/>
          <w:b w:val="1"/>
          <w:sz w:val="24"/>
          <w:szCs w:val="24"/>
          <w:rtl w:val="0"/>
        </w:rPr>
        <w:t xml:space="preserve">Root cause of the issue </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4507865"/>
            <wp:effectExtent b="0" l="0" r="0" t="0"/>
            <wp:docPr id="2142244835"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5943600" cy="4507865"/>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The causative factors are a result of connected failure in customer, processes, technology, and finance. A lack of digital capabilities and a lack of marketing innovation limit the involvement of the audience, whereas outdated systems limit efficiency due to financial restrictions. The cause-and-effect model helps to make these links apparent and presents a systematised idea of the systemic decline, which is again subjective and data-dependent. In this analysis, Green Haven Florists finds digital transformation as the strategic priority that is critical. Addressing these fundamental drawbacks can resettle the organisation on sustainable competitiveness, the agility of operations, and the growth of customer relations within the UK floral industry.</w:t>
      </w:r>
    </w:p>
    <w:p w:rsidR="00000000" w:rsidDel="00000000" w:rsidP="00000000" w:rsidRDefault="00000000" w:rsidRPr="00000000" w14:paraId="00000035">
      <w:pPr>
        <w:spacing w:line="360" w:lineRule="auto"/>
        <w:jc w:val="both"/>
        <w:rPr>
          <w:rFonts w:ascii="Times New Roman" w:cs="Times New Roman" w:eastAsia="Times New Roman" w:hAnsi="Times New Roman"/>
          <w:b w:val="1"/>
          <w:sz w:val="24"/>
          <w:szCs w:val="24"/>
        </w:rPr>
      </w:pPr>
      <w:bookmarkStart w:colFirst="0" w:colLast="0" w:name="_heading=h.m9grc2w91g3r" w:id="11"/>
      <w:bookmarkEnd w:id="11"/>
      <w:r w:rsidDel="00000000" w:rsidR="00000000" w:rsidRPr="00000000">
        <w:rPr>
          <w:rFonts w:ascii="Times New Roman" w:cs="Times New Roman" w:eastAsia="Times New Roman" w:hAnsi="Times New Roman"/>
          <w:b w:val="1"/>
          <w:sz w:val="24"/>
          <w:szCs w:val="24"/>
          <w:rtl w:val="0"/>
        </w:rPr>
        <w:t xml:space="preserve">Cause-and-Effect analysis </w:t>
      </w:r>
    </w:p>
    <w:p w:rsidR="00000000" w:rsidDel="00000000" w:rsidP="00000000" w:rsidRDefault="00000000" w:rsidRPr="00000000" w14:paraId="00000036">
      <w:pPr>
        <w:jc w:val="center"/>
        <w:rPr/>
      </w:pPr>
      <w:r w:rsidDel="00000000" w:rsidR="00000000" w:rsidRPr="00000000">
        <w:rPr/>
        <w:drawing>
          <wp:inline distB="0" distT="0" distL="0" distR="0">
            <wp:extent cx="5943600" cy="2853055"/>
            <wp:effectExtent b="0" l="0" r="0" t="0"/>
            <wp:docPr id="2142244833" name="image13.png"/>
            <a:graphic>
              <a:graphicData uri="http://schemas.openxmlformats.org/drawingml/2006/picture">
                <pic:pic>
                  <pic:nvPicPr>
                    <pic:cNvPr id="0" name="image13.png"/>
                    <pic:cNvPicPr preferRelativeResize="0"/>
                  </pic:nvPicPr>
                  <pic:blipFill>
                    <a:blip r:embed="rId17"/>
                    <a:srcRect b="0" l="0" r="0" t="0"/>
                    <a:stretch>
                      <a:fillRect/>
                    </a:stretch>
                  </pic:blipFill>
                  <pic:spPr>
                    <a:xfrm>
                      <a:off x="0" y="0"/>
                      <a:ext cx="5943600" cy="2853055"/>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shown in the diagram, a combination of several issues leads to sales deterioration and strains. Under the customers category, the absence of digital competence and training reduces the scope of marketing. Services are poor, as the process weaknesses include poor delivery and hold-in systems. Online engagement is limited by technological gaps, such as an out-of-date site and a lack of analytics. These effects are enhanced by market competition and financial constraints. The visual clarity of this model enables the diagnosis to be structured, whereas it is not quantitative in nature. </w:t>
      </w:r>
    </w:p>
    <w:p w:rsidR="00000000" w:rsidDel="00000000" w:rsidP="00000000" w:rsidRDefault="00000000" w:rsidRPr="00000000" w14:paraId="00000038">
      <w:pPr>
        <w:spacing w:line="360" w:lineRule="auto"/>
        <w:jc w:val="both"/>
        <w:rPr>
          <w:rFonts w:ascii="Times New Roman" w:cs="Times New Roman" w:eastAsia="Times New Roman" w:hAnsi="Times New Roman"/>
          <w:b w:val="1"/>
          <w:sz w:val="24"/>
          <w:szCs w:val="24"/>
        </w:rPr>
      </w:pPr>
      <w:bookmarkStart w:colFirst="0" w:colLast="0" w:name="_heading=h.xejqd5wnruph" w:id="12"/>
      <w:bookmarkEnd w:id="12"/>
      <w:r w:rsidDel="00000000" w:rsidR="00000000" w:rsidRPr="00000000">
        <w:rPr>
          <w:rFonts w:ascii="Times New Roman" w:cs="Times New Roman" w:eastAsia="Times New Roman" w:hAnsi="Times New Roman"/>
          <w:b w:val="1"/>
          <w:sz w:val="24"/>
          <w:szCs w:val="24"/>
          <w:rtl w:val="0"/>
        </w:rPr>
        <w:t xml:space="preserve">Conclusion and Recommendations  </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4368800"/>
            <wp:effectExtent b="0" l="0" r="0" t="0"/>
            <wp:docPr id="2142244834" name="image9.png"/>
            <a:graphic>
              <a:graphicData uri="http://schemas.openxmlformats.org/drawingml/2006/picture">
                <pic:pic>
                  <pic:nvPicPr>
                    <pic:cNvPr id="0" name="image9.png"/>
                    <pic:cNvPicPr preferRelativeResize="0"/>
                  </pic:nvPicPr>
                  <pic:blipFill>
                    <a:blip r:embed="rId18"/>
                    <a:srcRect b="0" l="0" r="0" t="0"/>
                    <a:stretch>
                      <a:fillRect/>
                    </a:stretch>
                  </pic:blipFill>
                  <pic:spPr>
                    <a:xfrm>
                      <a:off x="0" y="0"/>
                      <a:ext cx="5943600" cy="4368800"/>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The failure of the firm is due to the inability of digital methods to work, financial limitations, and inefficient operations. To achieve long-term sustainability, the business is supposed to focus on the redevelopment of its business websites, the integration into e-commerce solutions, and the digital training of staff. Alternation of high costs and an increase in sustainable sourcing can be managed by making partnerships with local suppliers. The introduction of subscription services can lead to a recurring income and customer loyalty. Market differentiation can be enhanced by intensifying the eco-branding and increasing social media exposure. </w:t>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 </w:t>
      </w:r>
    </w:p>
    <w:p w:rsidR="00000000" w:rsidDel="00000000" w:rsidP="00000000" w:rsidRDefault="00000000" w:rsidRPr="00000000" w14:paraId="0000003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943600" cy="4352290"/>
            <wp:effectExtent b="0" l="0" r="0" t="0"/>
            <wp:docPr id="2142244836" name="image8.png"/>
            <a:graphic>
              <a:graphicData uri="http://schemas.openxmlformats.org/drawingml/2006/picture">
                <pic:pic>
                  <pic:nvPicPr>
                    <pic:cNvPr id="0" name="image8.png"/>
                    <pic:cNvPicPr preferRelativeResize="0"/>
                  </pic:nvPicPr>
                  <pic:blipFill>
                    <a:blip r:embed="rId19"/>
                    <a:srcRect b="0" l="0" r="0" t="0"/>
                    <a:stretch>
                      <a:fillRect/>
                    </a:stretch>
                  </pic:blipFill>
                  <pic:spPr>
                    <a:xfrm>
                      <a:off x="0" y="0"/>
                      <a:ext cx="5943600" cy="4352290"/>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Igwe, A.N., Eyo-Udo, N.L. and Stephen, A., (2024). Strategies for mitigating food pricing volatility: Enhancing cost affordability through sustainable supply chain practices. </w:t>
      </w:r>
      <w:r w:rsidDel="00000000" w:rsidR="00000000" w:rsidRPr="00000000">
        <w:rPr>
          <w:rFonts w:ascii="Times New Roman" w:cs="Times New Roman" w:eastAsia="Times New Roman" w:hAnsi="Times New Roman"/>
          <w:i w:val="1"/>
          <w:sz w:val="24"/>
          <w:szCs w:val="24"/>
          <w:rtl w:val="0"/>
        </w:rPr>
        <w:t xml:space="preserve">Strategies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13</w:t>
      </w:r>
      <w:r w:rsidDel="00000000" w:rsidR="00000000" w:rsidRPr="00000000">
        <w:rPr>
          <w:rFonts w:ascii="Times New Roman" w:cs="Times New Roman" w:eastAsia="Times New Roman" w:hAnsi="Times New Roman"/>
          <w:sz w:val="24"/>
          <w:szCs w:val="24"/>
          <w:rtl w:val="0"/>
        </w:rPr>
        <w:t xml:space="preserve">(9), pp.151-163.</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Liu, H., Lobschat, L., Verhoef, P.C. and Zhao, H., (2021). The effect of permanent product discounts and order coupons on purchase incidence, purchase quantity, and spending. </w:t>
      </w:r>
      <w:r w:rsidDel="00000000" w:rsidR="00000000" w:rsidRPr="00000000">
        <w:rPr>
          <w:rFonts w:ascii="Times New Roman" w:cs="Times New Roman" w:eastAsia="Times New Roman" w:hAnsi="Times New Roman"/>
          <w:i w:val="1"/>
          <w:sz w:val="24"/>
          <w:szCs w:val="24"/>
          <w:rtl w:val="0"/>
        </w:rPr>
        <w:t xml:space="preserve">Journal of Retailing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97</w:t>
      </w:r>
      <w:r w:rsidDel="00000000" w:rsidR="00000000" w:rsidRPr="00000000">
        <w:rPr>
          <w:rFonts w:ascii="Times New Roman" w:cs="Times New Roman" w:eastAsia="Times New Roman" w:hAnsi="Times New Roman"/>
          <w:sz w:val="24"/>
          <w:szCs w:val="24"/>
          <w:rtl w:val="0"/>
        </w:rPr>
        <w:t xml:space="preserve">(3), pp.377-393.</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Makvandi, R., (2024). Analysis of the Impact of Macroeconomic Factors on the Development of Financial Products: Application of the PESTEL Model in Identifying Opportunities and Threats. </w:t>
      </w:r>
      <w:r w:rsidDel="00000000" w:rsidR="00000000" w:rsidRPr="00000000">
        <w:rPr>
          <w:rFonts w:ascii="Times New Roman" w:cs="Times New Roman" w:eastAsia="Times New Roman" w:hAnsi="Times New Roman"/>
          <w:i w:val="1"/>
          <w:sz w:val="24"/>
          <w:szCs w:val="24"/>
          <w:rtl w:val="0"/>
        </w:rPr>
        <w:t xml:space="preserve">Transactions on Quantitative Finance and Beyond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w:t>
      </w:r>
      <w:r w:rsidDel="00000000" w:rsidR="00000000" w:rsidRPr="00000000">
        <w:rPr>
          <w:rFonts w:ascii="Times New Roman" w:cs="Times New Roman" w:eastAsia="Times New Roman" w:hAnsi="Times New Roman"/>
          <w:sz w:val="24"/>
          <w:szCs w:val="24"/>
          <w:rtl w:val="0"/>
        </w:rPr>
        <w:t xml:space="preserve">(2), pp.233-246.</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Nguyen, H.T.X., (2022). The effect of COVID-19 pandemic on financial performance of firms: empirical evidence from Vietnamese logistics enterprises. </w:t>
      </w:r>
      <w:r w:rsidDel="00000000" w:rsidR="00000000" w:rsidRPr="00000000">
        <w:rPr>
          <w:rFonts w:ascii="Times New Roman" w:cs="Times New Roman" w:eastAsia="Times New Roman" w:hAnsi="Times New Roman"/>
          <w:i w:val="1"/>
          <w:sz w:val="24"/>
          <w:szCs w:val="24"/>
          <w:rtl w:val="0"/>
        </w:rPr>
        <w:t xml:space="preserve">The Journal of Asian Finance, Economics and Business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9</w:t>
      </w:r>
      <w:r w:rsidDel="00000000" w:rsidR="00000000" w:rsidRPr="00000000">
        <w:rPr>
          <w:rFonts w:ascii="Times New Roman" w:cs="Times New Roman" w:eastAsia="Times New Roman" w:hAnsi="Times New Roman"/>
          <w:sz w:val="24"/>
          <w:szCs w:val="24"/>
          <w:rtl w:val="0"/>
        </w:rPr>
        <w:t xml:space="preserve">(2), pp.177-183.</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ONS (2025). </w:t>
      </w:r>
      <w:r w:rsidDel="00000000" w:rsidR="00000000" w:rsidRPr="00000000">
        <w:rPr>
          <w:rFonts w:ascii="Times New Roman" w:cs="Times New Roman" w:eastAsia="Times New Roman" w:hAnsi="Times New Roman"/>
          <w:i w:val="1"/>
          <w:sz w:val="24"/>
          <w:szCs w:val="24"/>
          <w:rtl w:val="0"/>
        </w:rPr>
        <w:t xml:space="preserve">Consumer price inflation, UK</w:t>
      </w:r>
      <w:r w:rsidDel="00000000" w:rsidR="00000000" w:rsidRPr="00000000">
        <w:rPr>
          <w:rFonts w:ascii="Times New Roman" w:cs="Times New Roman" w:eastAsia="Times New Roman" w:hAnsi="Times New Roman"/>
          <w:sz w:val="24"/>
          <w:szCs w:val="24"/>
          <w:rtl w:val="0"/>
        </w:rPr>
        <w:t xml:space="preserve">. [online] Ons.gov.uk. Available at: </w:t>
      </w:r>
      <w:hyperlink r:id="rId20">
        <w:r w:rsidDel="00000000" w:rsidR="00000000" w:rsidRPr="00000000">
          <w:rPr>
            <w:rFonts w:ascii="Times New Roman" w:cs="Times New Roman" w:eastAsia="Times New Roman" w:hAnsi="Times New Roman"/>
            <w:color w:val="0000ff"/>
            <w:sz w:val="24"/>
            <w:szCs w:val="24"/>
            <w:u w:val="single"/>
            <w:rtl w:val="0"/>
          </w:rPr>
          <w:t xml:space="preserve">https://www.ons.gov.uk/economy/inflationandpriceindices/bulletins/consumerpriceinflation/august2025</w:t>
        </w:r>
      </w:hyperlink>
      <w:r w:rsidDel="00000000" w:rsidR="00000000" w:rsidRPr="00000000">
        <w:rPr>
          <w:rFonts w:ascii="Times New Roman" w:cs="Times New Roman" w:eastAsia="Times New Roman" w:hAnsi="Times New Roman"/>
          <w:sz w:val="24"/>
          <w:szCs w:val="24"/>
          <w:rtl w:val="0"/>
        </w:rPr>
        <w:t xml:space="preserve">. [Accessed 27 October 2025].</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PwC (2024). </w:t>
      </w:r>
      <w:r w:rsidDel="00000000" w:rsidR="00000000" w:rsidRPr="00000000">
        <w:rPr>
          <w:rFonts w:ascii="Times New Roman" w:cs="Times New Roman" w:eastAsia="Times New Roman" w:hAnsi="Times New Roman"/>
          <w:i w:val="1"/>
          <w:sz w:val="24"/>
          <w:szCs w:val="24"/>
          <w:rtl w:val="0"/>
        </w:rPr>
        <w:t xml:space="preserve">Voice of the empowered consumer</w:t>
      </w:r>
      <w:r w:rsidDel="00000000" w:rsidR="00000000" w:rsidRPr="00000000">
        <w:rPr>
          <w:rFonts w:ascii="Times New Roman" w:cs="Times New Roman" w:eastAsia="Times New Roman" w:hAnsi="Times New Roman"/>
          <w:sz w:val="24"/>
          <w:szCs w:val="24"/>
          <w:rtl w:val="0"/>
        </w:rPr>
        <w:t xml:space="preserve">. [online] PwC. Available at: </w:t>
      </w:r>
      <w:hyperlink r:id="rId21">
        <w:r w:rsidDel="00000000" w:rsidR="00000000" w:rsidRPr="00000000">
          <w:rPr>
            <w:rFonts w:ascii="Times New Roman" w:cs="Times New Roman" w:eastAsia="Times New Roman" w:hAnsi="Times New Roman"/>
            <w:color w:val="0000ff"/>
            <w:sz w:val="24"/>
            <w:szCs w:val="24"/>
            <w:u w:val="single"/>
            <w:rtl w:val="0"/>
          </w:rPr>
          <w:t xml:space="preserve">https://www.pwc.com/m1/en/publications/voice-of-the-consumer-2024-regional-findings/voice-of-the-empowered-consumer.html</w:t>
        </w:r>
      </w:hyperlink>
      <w:r w:rsidDel="00000000" w:rsidR="00000000" w:rsidRPr="00000000">
        <w:rPr>
          <w:rFonts w:ascii="Times New Roman" w:cs="Times New Roman" w:eastAsia="Times New Roman" w:hAnsi="Times New Roman"/>
          <w:sz w:val="24"/>
          <w:szCs w:val="24"/>
          <w:rtl w:val="0"/>
        </w:rPr>
        <w:t xml:space="preserve">. [Accessed 28 October 2025].</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Statista. (2025). </w:t>
      </w:r>
      <w:r w:rsidDel="00000000" w:rsidR="00000000" w:rsidRPr="00000000">
        <w:rPr>
          <w:rFonts w:ascii="Times New Roman" w:cs="Times New Roman" w:eastAsia="Times New Roman" w:hAnsi="Times New Roman"/>
          <w:i w:val="1"/>
          <w:sz w:val="24"/>
          <w:szCs w:val="24"/>
          <w:rtl w:val="0"/>
        </w:rPr>
        <w:t xml:space="preserve">Topic: Online shopping behavior in the UK</w:t>
      </w:r>
      <w:r w:rsidDel="00000000" w:rsidR="00000000" w:rsidRPr="00000000">
        <w:rPr>
          <w:rFonts w:ascii="Times New Roman" w:cs="Times New Roman" w:eastAsia="Times New Roman" w:hAnsi="Times New Roman"/>
          <w:sz w:val="24"/>
          <w:szCs w:val="24"/>
          <w:rtl w:val="0"/>
        </w:rPr>
        <w:t xml:space="preserve">. [online] Available at: </w:t>
      </w:r>
      <w:hyperlink r:id="rId22">
        <w:r w:rsidDel="00000000" w:rsidR="00000000" w:rsidRPr="00000000">
          <w:rPr>
            <w:rFonts w:ascii="Times New Roman" w:cs="Times New Roman" w:eastAsia="Times New Roman" w:hAnsi="Times New Roman"/>
            <w:color w:val="0000ff"/>
            <w:sz w:val="24"/>
            <w:szCs w:val="24"/>
            <w:u w:val="single"/>
            <w:rtl w:val="0"/>
          </w:rPr>
          <w:t xml:space="preserve">https://www.statista.com/topics/7887/online-shopping-behavior-in-the-uk/?srsltid=AfmBOooycoUehXyAqas7zy7w7-0-KjFjNswEFJKuA-J5ydVGEWkYlEhf</w:t>
        </w:r>
      </w:hyperlink>
      <w:r w:rsidDel="00000000" w:rsidR="00000000" w:rsidRPr="00000000">
        <w:rPr>
          <w:rFonts w:ascii="Times New Roman" w:cs="Times New Roman" w:eastAsia="Times New Roman" w:hAnsi="Times New Roman"/>
          <w:sz w:val="24"/>
          <w:szCs w:val="24"/>
          <w:rtl w:val="0"/>
        </w:rPr>
        <w:t xml:space="preserve"> [Accessed 28 October 2025].</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Sturmberg, J.P. and Marcum, J.A., (2024). From cause and effect to causes and effects. </w:t>
      </w:r>
      <w:r w:rsidDel="00000000" w:rsidR="00000000" w:rsidRPr="00000000">
        <w:rPr>
          <w:rFonts w:ascii="Times New Roman" w:cs="Times New Roman" w:eastAsia="Times New Roman" w:hAnsi="Times New Roman"/>
          <w:i w:val="1"/>
          <w:sz w:val="24"/>
          <w:szCs w:val="24"/>
          <w:rtl w:val="0"/>
        </w:rPr>
        <w:t xml:space="preserve">Journal of Evaluation in Clinical Practice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30</w:t>
      </w:r>
      <w:r w:rsidDel="00000000" w:rsidR="00000000" w:rsidRPr="00000000">
        <w:rPr>
          <w:rFonts w:ascii="Times New Roman" w:cs="Times New Roman" w:eastAsia="Times New Roman" w:hAnsi="Times New Roman"/>
          <w:sz w:val="24"/>
          <w:szCs w:val="24"/>
          <w:rtl w:val="0"/>
        </w:rPr>
        <w:t xml:space="preserve">(2), pp.296-308.</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Techiequality (2024). </w:t>
      </w:r>
      <w:r w:rsidDel="00000000" w:rsidR="00000000" w:rsidRPr="00000000">
        <w:rPr>
          <w:rFonts w:ascii="Times New Roman" w:cs="Times New Roman" w:eastAsia="Times New Roman" w:hAnsi="Times New Roman"/>
          <w:i w:val="1"/>
          <w:sz w:val="24"/>
          <w:szCs w:val="24"/>
          <w:rtl w:val="0"/>
        </w:rPr>
        <w:t xml:space="preserve">Case study &amp; Practical Concepts on QA, QC, QM, QMS, EHS, IATF, Business Excellences, TQM, TPM, 5 Core tools , 7 QC tools , Six Sigma, Auditing info. etc.</w:t>
      </w:r>
      <w:r w:rsidDel="00000000" w:rsidR="00000000" w:rsidRPr="00000000">
        <w:rPr>
          <w:rFonts w:ascii="Times New Roman" w:cs="Times New Roman" w:eastAsia="Times New Roman" w:hAnsi="Times New Roman"/>
          <w:sz w:val="24"/>
          <w:szCs w:val="24"/>
          <w:rtl w:val="0"/>
        </w:rPr>
        <w:t xml:space="preserve"> [online] TECHIEQUALITY. Available at: </w:t>
      </w:r>
      <w:hyperlink r:id="rId23">
        <w:r w:rsidDel="00000000" w:rsidR="00000000" w:rsidRPr="00000000">
          <w:rPr>
            <w:rFonts w:ascii="Times New Roman" w:cs="Times New Roman" w:eastAsia="Times New Roman" w:hAnsi="Times New Roman"/>
            <w:color w:val="0000ff"/>
            <w:sz w:val="24"/>
            <w:szCs w:val="24"/>
            <w:u w:val="single"/>
            <w:rtl w:val="0"/>
          </w:rPr>
          <w:t xml:space="preserve">https://www.techiequality.com/2024/03/02/5w2h-analysis-example-download-5w2h-format/</w:t>
        </w:r>
      </w:hyperlink>
      <w:r w:rsidDel="00000000" w:rsidR="00000000" w:rsidRPr="00000000">
        <w:rPr>
          <w:rFonts w:ascii="Times New Roman" w:cs="Times New Roman" w:eastAsia="Times New Roman" w:hAnsi="Times New Roman"/>
          <w:sz w:val="24"/>
          <w:szCs w:val="24"/>
          <w:rtl w:val="0"/>
        </w:rPr>
        <w:t xml:space="preserve"> [Accessed 29 October 2025].</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Global Economy (2025). </w:t>
      </w:r>
      <w:r w:rsidDel="00000000" w:rsidR="00000000" w:rsidRPr="00000000">
        <w:rPr>
          <w:rFonts w:ascii="Times New Roman" w:cs="Times New Roman" w:eastAsia="Times New Roman" w:hAnsi="Times New Roman"/>
          <w:i w:val="1"/>
          <w:sz w:val="24"/>
          <w:szCs w:val="24"/>
          <w:rtl w:val="0"/>
        </w:rPr>
        <w:t xml:space="preserve">United Kingdom Political stability - data, chart | TheGlobalEconomy.com</w:t>
      </w:r>
      <w:r w:rsidDel="00000000" w:rsidR="00000000" w:rsidRPr="00000000">
        <w:rPr>
          <w:rFonts w:ascii="Times New Roman" w:cs="Times New Roman" w:eastAsia="Times New Roman" w:hAnsi="Times New Roman"/>
          <w:sz w:val="24"/>
          <w:szCs w:val="24"/>
          <w:rtl w:val="0"/>
        </w:rPr>
        <w:t xml:space="preserve">. [online] TheGlobalEconomy.com. Available at: </w:t>
      </w:r>
      <w:hyperlink r:id="rId24">
        <w:r w:rsidDel="00000000" w:rsidR="00000000" w:rsidRPr="00000000">
          <w:rPr>
            <w:rFonts w:ascii="Times New Roman" w:cs="Times New Roman" w:eastAsia="Times New Roman" w:hAnsi="Times New Roman"/>
            <w:color w:val="0000ff"/>
            <w:sz w:val="24"/>
            <w:szCs w:val="24"/>
            <w:u w:val="single"/>
            <w:rtl w:val="0"/>
          </w:rPr>
          <w:t xml:space="preserve">https://www.theglobaleconomy.com/United-Kingdom/wb_political_stability/</w:t>
        </w:r>
      </w:hyperlink>
      <w:r w:rsidDel="00000000" w:rsidR="00000000" w:rsidRPr="00000000">
        <w:rPr>
          <w:rFonts w:ascii="Times New Roman" w:cs="Times New Roman" w:eastAsia="Times New Roman" w:hAnsi="Times New Roman"/>
          <w:sz w:val="24"/>
          <w:szCs w:val="24"/>
          <w:rtl w:val="0"/>
        </w:rPr>
        <w:t xml:space="preserve">. [Accessed 27 October 2025].</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Wood, Z. (2024). </w:t>
      </w:r>
      <w:r w:rsidDel="00000000" w:rsidR="00000000" w:rsidRPr="00000000">
        <w:rPr>
          <w:rFonts w:ascii="Times New Roman" w:cs="Times New Roman" w:eastAsia="Times New Roman" w:hAnsi="Times New Roman"/>
          <w:i w:val="1"/>
          <w:sz w:val="24"/>
          <w:szCs w:val="24"/>
          <w:rtl w:val="0"/>
        </w:rPr>
        <w:t xml:space="preserve">Packaging tax will raise price of many everyday items, say UK firms</w:t>
      </w:r>
      <w:r w:rsidDel="00000000" w:rsidR="00000000" w:rsidRPr="00000000">
        <w:rPr>
          <w:rFonts w:ascii="Times New Roman" w:cs="Times New Roman" w:eastAsia="Times New Roman" w:hAnsi="Times New Roman"/>
          <w:sz w:val="24"/>
          <w:szCs w:val="24"/>
          <w:rtl w:val="0"/>
        </w:rPr>
        <w:t xml:space="preserve">. [online] the Guardian. Available at: </w:t>
      </w:r>
      <w:hyperlink r:id="rId25">
        <w:r w:rsidDel="00000000" w:rsidR="00000000" w:rsidRPr="00000000">
          <w:rPr>
            <w:rFonts w:ascii="Times New Roman" w:cs="Times New Roman" w:eastAsia="Times New Roman" w:hAnsi="Times New Roman"/>
            <w:color w:val="0000ff"/>
            <w:sz w:val="24"/>
            <w:szCs w:val="24"/>
            <w:u w:val="single"/>
            <w:rtl w:val="0"/>
          </w:rPr>
          <w:t xml:space="preserve">https://www.theguardian.com/business/2024/sep/20/packaging-tax-price-everyday-items-uk-firms--extended-producer-responsibility</w:t>
        </w:r>
      </w:hyperlink>
      <w:r w:rsidDel="00000000" w:rsidR="00000000" w:rsidRPr="00000000">
        <w:rPr>
          <w:rFonts w:ascii="Times New Roman" w:cs="Times New Roman" w:eastAsia="Times New Roman" w:hAnsi="Times New Roman"/>
          <w:sz w:val="24"/>
          <w:szCs w:val="24"/>
          <w:rtl w:val="0"/>
        </w:rPr>
        <w:t xml:space="preserve">. [Accessed 28 October 2025].</w:t>
      </w:r>
    </w:p>
    <w:p w:rsidR="00000000" w:rsidDel="00000000" w:rsidP="00000000" w:rsidRDefault="00000000" w:rsidRPr="00000000" w14:paraId="0000004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br w:type="textWrapping"/>
        <w:br w:type="textWrapping"/>
      </w:r>
    </w:p>
    <w:p w:rsidR="00000000" w:rsidDel="00000000" w:rsidP="00000000" w:rsidRDefault="00000000" w:rsidRPr="00000000" w14:paraId="00000049">
      <w:pPr>
        <w:rPr/>
      </w:pPr>
      <w:r w:rsidDel="00000000" w:rsidR="00000000" w:rsidRPr="00000000">
        <w:rPr>
          <w:rtl w:val="0"/>
        </w:rPr>
      </w:r>
    </w:p>
    <w:sectPr>
      <w:footerReference r:id="rId2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A">
    <w:pPr>
      <w:pBdr>
        <w:top w:space="0" w:sz="0" w:val="nil"/>
        <w:left w:space="0" w:sz="0" w:val="nil"/>
        <w:bottom w:space="0" w:sz="0" w:val="nil"/>
        <w:right w:space="0" w:sz="0" w:val="nil"/>
        <w:between w:space="0" w:sz="0" w:val="nil"/>
      </w:pBdr>
      <w:tabs>
        <w:tab w:val="center" w:leader="none" w:pos="4513"/>
        <w:tab w:val="right" w:leader="none" w:pos="9026"/>
      </w:tabs>
      <w:spacing w:line="240" w:lineRule="auto"/>
      <w:jc w:val="right"/>
      <w:rPr>
        <w:rFonts w:ascii="Times New Roman" w:cs="Times New Roman" w:eastAsia="Times New Roman" w:hAnsi="Times New Roman"/>
        <w:color w:val="000000"/>
        <w:sz w:val="20"/>
        <w:szCs w:val="20"/>
      </w:rPr>
    </w:pPr>
    <w:r w:rsidDel="00000000" w:rsidR="00000000" w:rsidRPr="00000000">
      <w:rPr>
        <w:rFonts w:ascii="Times New Roman" w:cs="Times New Roman" w:eastAsia="Times New Roman" w:hAnsi="Times New Roman"/>
        <w:color w:val="000000"/>
        <w:sz w:val="20"/>
        <w:szCs w:val="2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B">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rFonts w:ascii="Times New Roman" w:cs="Times New Roman" w:eastAsia="Times New Roman" w:hAnsi="Times New Roman"/>
        <w:color w:val="000000"/>
        <w:sz w:val="20"/>
        <w:szCs w:val="2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I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B24A3C"/>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B24A3C"/>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B24A3C"/>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character" w:styleId="Heading1Char" w:customStyle="1">
    <w:name w:val="Heading 1 Char"/>
    <w:basedOn w:val="DefaultParagraphFont"/>
    <w:link w:val="Heading1"/>
    <w:uiPriority w:val="9"/>
    <w:rsid w:val="00B24A3C"/>
    <w:rPr>
      <w:rFonts w:asciiTheme="majorHAnsi" w:cstheme="majorBidi" w:eastAsiaTheme="majorEastAsia" w:hAnsiTheme="majorHAnsi"/>
      <w:color w:val="2f5496" w:themeColor="accent1" w:themeShade="0000BF"/>
      <w:sz w:val="40"/>
      <w:szCs w:val="40"/>
    </w:rPr>
  </w:style>
  <w:style w:type="character" w:styleId="Heading2Char" w:customStyle="1">
    <w:name w:val="Heading 2 Char"/>
    <w:basedOn w:val="DefaultParagraphFont"/>
    <w:link w:val="Heading2"/>
    <w:uiPriority w:val="9"/>
    <w:semiHidden w:val="1"/>
    <w:rsid w:val="00B24A3C"/>
    <w:rPr>
      <w:rFonts w:asciiTheme="majorHAnsi" w:cstheme="majorBidi" w:eastAsiaTheme="majorEastAsia" w:hAnsiTheme="majorHAnsi"/>
      <w:color w:val="2f5496" w:themeColor="accent1" w:themeShade="0000BF"/>
      <w:sz w:val="32"/>
      <w:szCs w:val="32"/>
    </w:rPr>
  </w:style>
  <w:style w:type="character" w:styleId="Heading3Char" w:customStyle="1">
    <w:name w:val="Heading 3 Char"/>
    <w:basedOn w:val="DefaultParagraphFont"/>
    <w:link w:val="Heading3"/>
    <w:uiPriority w:val="9"/>
    <w:semiHidden w:val="1"/>
    <w:rsid w:val="00B24A3C"/>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B24A3C"/>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B24A3C"/>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B24A3C"/>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B24A3C"/>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B24A3C"/>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B24A3C"/>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B24A3C"/>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B24A3C"/>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B24A3C"/>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B24A3C"/>
    <w:rPr>
      <w:i w:val="1"/>
      <w:iCs w:val="1"/>
      <w:color w:val="404040" w:themeColor="text1" w:themeTint="0000BF"/>
    </w:rPr>
  </w:style>
  <w:style w:type="paragraph" w:styleId="ListParagraph">
    <w:name w:val="List Paragraph"/>
    <w:basedOn w:val="Normal"/>
    <w:uiPriority w:val="34"/>
    <w:qFormat w:val="1"/>
    <w:rsid w:val="00B24A3C"/>
    <w:pPr>
      <w:ind w:left="720"/>
      <w:contextualSpacing w:val="1"/>
    </w:pPr>
  </w:style>
  <w:style w:type="character" w:styleId="IntenseEmphasis">
    <w:name w:val="Intense Emphasis"/>
    <w:basedOn w:val="DefaultParagraphFont"/>
    <w:uiPriority w:val="21"/>
    <w:qFormat w:val="1"/>
    <w:rsid w:val="00B24A3C"/>
    <w:rPr>
      <w:i w:val="1"/>
      <w:iCs w:val="1"/>
      <w:color w:val="2f5496" w:themeColor="accent1" w:themeShade="0000BF"/>
    </w:rPr>
  </w:style>
  <w:style w:type="paragraph" w:styleId="IntenseQuote">
    <w:name w:val="Intense Quote"/>
    <w:basedOn w:val="Normal"/>
    <w:next w:val="Normal"/>
    <w:link w:val="IntenseQuoteChar"/>
    <w:uiPriority w:val="30"/>
    <w:qFormat w:val="1"/>
    <w:rsid w:val="00B24A3C"/>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B24A3C"/>
    <w:rPr>
      <w:i w:val="1"/>
      <w:iCs w:val="1"/>
      <w:color w:val="2f5496" w:themeColor="accent1" w:themeShade="0000BF"/>
    </w:rPr>
  </w:style>
  <w:style w:type="character" w:styleId="IntenseReference">
    <w:name w:val="Intense Reference"/>
    <w:basedOn w:val="DefaultParagraphFont"/>
    <w:uiPriority w:val="32"/>
    <w:qFormat w:val="1"/>
    <w:rsid w:val="00B24A3C"/>
    <w:rPr>
      <w:b w:val="1"/>
      <w:bCs w:val="1"/>
      <w:smallCaps w:val="1"/>
      <w:color w:val="2f5496" w:themeColor="accent1" w:themeShade="0000BF"/>
      <w:spacing w:val="5"/>
    </w:rPr>
  </w:style>
  <w:style w:type="table" w:styleId="Table1" w:customStyle="1">
    <w:name w:val="Table1"/>
    <w:basedOn w:val="TableNormal"/>
    <w:rsid w:val="00B24A3C"/>
    <w:rPr>
      <w:lang w:val="en"/>
    </w:rPr>
    <w:tblPr>
      <w:tblStyleRowBandSize w:val="1"/>
      <w:tblStyleColBandSize w:val="1"/>
      <w:tblInd w:w="0.0" w:type="nil"/>
      <w:tblCellMar>
        <w:top w:w="100.0" w:type="dxa"/>
        <w:left w:w="100.0" w:type="dxa"/>
        <w:bottom w:w="100.0" w:type="dxa"/>
        <w:right w:w="100.0" w:type="dxa"/>
      </w:tblCellMar>
    </w:tblPr>
  </w:style>
  <w:style w:type="table" w:styleId="Table2" w:customStyle="1">
    <w:name w:val="Table2"/>
    <w:basedOn w:val="TableNormal"/>
    <w:rsid w:val="00B24A3C"/>
    <w:rPr>
      <w:lang w:val="en"/>
    </w:rPr>
    <w:tblPr>
      <w:tblStyleRowBandSize w:val="1"/>
      <w:tblStyleColBandSize w:val="1"/>
      <w:tblInd w:w="0.0" w:type="nil"/>
      <w:tblCellMar>
        <w:top w:w="100.0" w:type="dxa"/>
        <w:left w:w="100.0" w:type="dxa"/>
        <w:bottom w:w="100.0" w:type="dxa"/>
        <w:right w:w="100.0" w:type="dxa"/>
      </w:tblCellMar>
    </w:tblPr>
  </w:style>
  <w:style w:type="character" w:styleId="Hyperlink">
    <w:name w:val="Hyperlink"/>
    <w:basedOn w:val="DefaultParagraphFont"/>
    <w:uiPriority w:val="99"/>
    <w:unhideWhenUsed w:val="1"/>
    <w:rsid w:val="00B24A3C"/>
    <w:rPr>
      <w:color w:val="0563c1" w:themeColor="hyperlink"/>
      <w:u w:val="single"/>
    </w:rPr>
  </w:style>
  <w:style w:type="paragraph" w:styleId="TOC1">
    <w:name w:val="toc 1"/>
    <w:basedOn w:val="Normal"/>
    <w:next w:val="Normal"/>
    <w:autoRedefine w:val="1"/>
    <w:uiPriority w:val="39"/>
    <w:unhideWhenUsed w:val="1"/>
    <w:rsid w:val="00F17C9A"/>
    <w:pPr>
      <w:spacing w:after="100"/>
    </w:pPr>
  </w:style>
  <w:style w:type="paragraph" w:styleId="Header">
    <w:name w:val="header"/>
    <w:basedOn w:val="Normal"/>
    <w:link w:val="HeaderChar"/>
    <w:uiPriority w:val="99"/>
    <w:unhideWhenUsed w:val="1"/>
    <w:rsid w:val="00402509"/>
    <w:pPr>
      <w:tabs>
        <w:tab w:val="center" w:pos="4513"/>
        <w:tab w:val="right" w:pos="9026"/>
      </w:tabs>
      <w:spacing w:line="240" w:lineRule="auto"/>
    </w:pPr>
  </w:style>
  <w:style w:type="character" w:styleId="HeaderChar" w:customStyle="1">
    <w:name w:val="Header Char"/>
    <w:basedOn w:val="DefaultParagraphFont"/>
    <w:link w:val="Header"/>
    <w:uiPriority w:val="99"/>
    <w:rsid w:val="00402509"/>
    <w:rPr>
      <w:rFonts w:ascii="Arial" w:cs="Arial" w:eastAsia="Arial" w:hAnsi="Arial"/>
      <w:kern w:val="0"/>
      <w:sz w:val="22"/>
      <w:szCs w:val="22"/>
      <w:lang w:val="en-GB"/>
    </w:rPr>
  </w:style>
  <w:style w:type="paragraph" w:styleId="Footer">
    <w:name w:val="footer"/>
    <w:basedOn w:val="Normal"/>
    <w:link w:val="FooterChar"/>
    <w:uiPriority w:val="99"/>
    <w:unhideWhenUsed w:val="1"/>
    <w:rsid w:val="00402509"/>
    <w:pPr>
      <w:tabs>
        <w:tab w:val="center" w:pos="4513"/>
        <w:tab w:val="right" w:pos="9026"/>
      </w:tabs>
      <w:spacing w:line="240" w:lineRule="auto"/>
    </w:pPr>
  </w:style>
  <w:style w:type="character" w:styleId="FooterChar" w:customStyle="1">
    <w:name w:val="Footer Char"/>
    <w:basedOn w:val="DefaultParagraphFont"/>
    <w:link w:val="Footer"/>
    <w:uiPriority w:val="99"/>
    <w:rsid w:val="00402509"/>
    <w:rPr>
      <w:rFonts w:ascii="Arial" w:cs="Arial" w:eastAsia="Arial" w:hAnsi="Arial"/>
      <w:kern w:val="0"/>
      <w:sz w:val="22"/>
      <w:szCs w:val="22"/>
      <w:lang w:val="en-GB"/>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ons.gov.uk/economy/inflationandpriceindices/bulletins/consumerpriceinflation/august2025" TargetMode="External"/><Relationship Id="rId22" Type="http://schemas.openxmlformats.org/officeDocument/2006/relationships/hyperlink" Target="https://www.statista.com/topics/7887/online-shopping-behavior-in-the-uk/?srsltid=AfmBOooycoUehXyAqas7zy7w7-0-KjFjNswEFJKuA-J5ydVGEWkYlEhf" TargetMode="External"/><Relationship Id="rId21" Type="http://schemas.openxmlformats.org/officeDocument/2006/relationships/hyperlink" Target="https://www.pwc.com/m1/en/publications/voice-of-the-consumer-2024-regional-findings/voice-of-the-empowered-consumer.html" TargetMode="External"/><Relationship Id="rId24" Type="http://schemas.openxmlformats.org/officeDocument/2006/relationships/hyperlink" Target="https://www.theglobaleconomy.com/United-Kingdom/wb_political_stability/" TargetMode="External"/><Relationship Id="rId23" Type="http://schemas.openxmlformats.org/officeDocument/2006/relationships/hyperlink" Target="https://www.techiequality.com/2024/03/02/5w2h-analysis-example-download-5w2h-forma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26" Type="http://schemas.openxmlformats.org/officeDocument/2006/relationships/footer" Target="footer1.xml"/><Relationship Id="rId25" Type="http://schemas.openxmlformats.org/officeDocument/2006/relationships/hyperlink" Target="https://www.theguardian.com/business/2024/sep/20/packaging-tax-price-everyday-items-uk-firms--extended-producer-responsibility"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4.png"/><Relationship Id="rId11" Type="http://schemas.openxmlformats.org/officeDocument/2006/relationships/image" Target="media/image5.png"/><Relationship Id="rId10" Type="http://schemas.openxmlformats.org/officeDocument/2006/relationships/image" Target="media/image7.png"/><Relationship Id="rId13" Type="http://schemas.openxmlformats.org/officeDocument/2006/relationships/image" Target="media/image12.png"/><Relationship Id="rId12" Type="http://schemas.openxmlformats.org/officeDocument/2006/relationships/image" Target="media/image11.png"/><Relationship Id="rId15" Type="http://schemas.openxmlformats.org/officeDocument/2006/relationships/image" Target="media/image2.png"/><Relationship Id="rId14" Type="http://schemas.openxmlformats.org/officeDocument/2006/relationships/image" Target="media/image1.png"/><Relationship Id="rId17" Type="http://schemas.openxmlformats.org/officeDocument/2006/relationships/image" Target="media/image13.png"/><Relationship Id="rId16" Type="http://schemas.openxmlformats.org/officeDocument/2006/relationships/image" Target="media/image10.png"/><Relationship Id="rId19" Type="http://schemas.openxmlformats.org/officeDocument/2006/relationships/image" Target="media/image8.png"/><Relationship Id="rId1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C7vIKERjYjXyZkYPxCZElcPA4w==">CgMxLjAyDmguNWM5aXVpd3dhc203Mg5oLjNncXc2NWhjeXhuaTIOaC5vMHE4MDU4OHgyOG8yDmgudXA2aDlkM25wOGN2Mg5oLno2eWY4MmVwN3ZubTINaC56cDNrbHJmc3g1MTIOaC43djNwdnJrdWVsZTcyDmguZXc0cG4xa2xzcGl2Mg5oLmo3dThtOXVvaDU1NTIOaC5wODA4bGlyOHNpdHYyDmguMmJqaWNkeTZpemdnMg5oLm05Z3JjMnc5MWczcjIOaC54ZWpxZDV3bnJ1cGg4AHIhMVAzU2VscjNvU1RyME9Zd3NQSDF4RXBmRWZ5a3ZNYXl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2025-10-31T08:41:00Z</dcterms:created>
</cp:coreProperties>
</file>