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B0874" w14:textId="6812CB88" w:rsidR="008C034D" w:rsidRDefault="008C034D" w:rsidP="00146086">
      <w:pPr>
        <w:spacing w:line="360" w:lineRule="auto"/>
        <w:jc w:val="both"/>
        <w:rPr>
          <w:rFonts w:ascii="Times New Roman" w:hAnsi="Times New Roman" w:cs="Times New Roman"/>
          <w:sz w:val="24"/>
          <w:szCs w:val="24"/>
        </w:rPr>
      </w:pPr>
      <w:r w:rsidRPr="008C034D">
        <w:rPr>
          <w:rFonts w:ascii="Times New Roman" w:hAnsi="Times New Roman" w:cs="Times New Roman"/>
          <w:sz w:val="24"/>
          <w:szCs w:val="24"/>
        </w:rPr>
        <w:t xml:space="preserve">As an advocate you need to be consistently working with their client’s best interest and well-being at the centre of what they are aiming to achieve while adhering to the code of practice for advocates </w:t>
      </w:r>
      <w:r>
        <w:rPr>
          <w:rFonts w:ascii="Times New Roman" w:hAnsi="Times New Roman" w:cs="Times New Roman"/>
          <w:sz w:val="24"/>
          <w:szCs w:val="24"/>
        </w:rPr>
        <w:t>(</w:t>
      </w:r>
      <w:r w:rsidRPr="008C034D">
        <w:rPr>
          <w:rFonts w:ascii="Times New Roman" w:hAnsi="Times New Roman" w:cs="Times New Roman"/>
          <w:sz w:val="24"/>
          <w:szCs w:val="24"/>
        </w:rPr>
        <w:t>Advocacy Code of Practice</w:t>
      </w:r>
      <w:r>
        <w:rPr>
          <w:rFonts w:ascii="Times New Roman" w:hAnsi="Times New Roman" w:cs="Times New Roman"/>
          <w:sz w:val="24"/>
          <w:szCs w:val="24"/>
        </w:rPr>
        <w:t xml:space="preserve">, </w:t>
      </w:r>
      <w:r w:rsidRPr="008C034D">
        <w:rPr>
          <w:rFonts w:ascii="Times New Roman" w:hAnsi="Times New Roman" w:cs="Times New Roman"/>
          <w:sz w:val="24"/>
          <w:szCs w:val="24"/>
        </w:rPr>
        <w:t>2014)</w:t>
      </w:r>
      <w:r>
        <w:rPr>
          <w:rFonts w:ascii="Times New Roman" w:hAnsi="Times New Roman" w:cs="Times New Roman"/>
          <w:sz w:val="24"/>
          <w:szCs w:val="24"/>
        </w:rPr>
        <w:t xml:space="preserve">. </w:t>
      </w:r>
      <w:r w:rsidR="00086513">
        <w:rPr>
          <w:rFonts w:ascii="Times New Roman" w:hAnsi="Times New Roman" w:cs="Times New Roman"/>
          <w:sz w:val="24"/>
          <w:szCs w:val="24"/>
        </w:rPr>
        <w:t xml:space="preserve">The following essay will focus on how the </w:t>
      </w:r>
      <w:r w:rsidR="00086513" w:rsidRPr="008A569E">
        <w:rPr>
          <w:rFonts w:ascii="Times New Roman" w:hAnsi="Times New Roman" w:cs="Times New Roman"/>
          <w:sz w:val="24"/>
          <w:szCs w:val="24"/>
        </w:rPr>
        <w:t>increased emphasis on well-being impacts on multiagency practice in a school setting</w:t>
      </w:r>
      <w:r w:rsidR="00A9535A" w:rsidRPr="008A569E">
        <w:rPr>
          <w:rFonts w:ascii="Times New Roman" w:hAnsi="Times New Roman" w:cs="Times New Roman"/>
          <w:sz w:val="24"/>
          <w:szCs w:val="24"/>
        </w:rPr>
        <w:t xml:space="preserve"> </w:t>
      </w:r>
      <w:r w:rsidR="00933B78" w:rsidRPr="008A569E">
        <w:rPr>
          <w:rFonts w:ascii="Times New Roman" w:hAnsi="Times New Roman" w:cs="Times New Roman"/>
          <w:sz w:val="24"/>
          <w:szCs w:val="24"/>
        </w:rPr>
        <w:t>at</w:t>
      </w:r>
      <w:r w:rsidR="00A9535A" w:rsidRPr="008A569E">
        <w:rPr>
          <w:rFonts w:ascii="Times New Roman" w:hAnsi="Times New Roman" w:cs="Times New Roman"/>
          <w:sz w:val="24"/>
          <w:szCs w:val="24"/>
        </w:rPr>
        <w:t xml:space="preserve"> </w:t>
      </w:r>
      <w:proofErr w:type="spellStart"/>
      <w:r w:rsidR="00A9535A" w:rsidRPr="008A569E">
        <w:rPr>
          <w:rFonts w:ascii="Times New Roman" w:hAnsi="Times New Roman" w:cs="Times New Roman"/>
          <w:sz w:val="24"/>
          <w:szCs w:val="24"/>
        </w:rPr>
        <w:t>a</w:t>
      </w:r>
      <w:proofErr w:type="spellEnd"/>
      <w:r w:rsidR="00A9535A" w:rsidRPr="008A569E">
        <w:rPr>
          <w:rFonts w:ascii="Times New Roman" w:hAnsi="Times New Roman" w:cs="Times New Roman"/>
          <w:sz w:val="24"/>
          <w:szCs w:val="24"/>
        </w:rPr>
        <w:t xml:space="preserve"> Independent Development Plan (IDP)</w:t>
      </w:r>
      <w:r w:rsidR="00086513">
        <w:rPr>
          <w:rFonts w:ascii="Times New Roman" w:hAnsi="Times New Roman" w:cs="Times New Roman"/>
          <w:sz w:val="24"/>
          <w:szCs w:val="24"/>
        </w:rPr>
        <w:t xml:space="preserve"> </w:t>
      </w:r>
      <w:r w:rsidR="00933B78">
        <w:rPr>
          <w:rFonts w:ascii="Times New Roman" w:hAnsi="Times New Roman" w:cs="Times New Roman"/>
          <w:sz w:val="24"/>
          <w:szCs w:val="24"/>
        </w:rPr>
        <w:t>annual review</w:t>
      </w:r>
      <w:r w:rsidR="00FA3709">
        <w:rPr>
          <w:rFonts w:ascii="Times New Roman" w:hAnsi="Times New Roman" w:cs="Times New Roman"/>
          <w:sz w:val="24"/>
          <w:szCs w:val="24"/>
        </w:rPr>
        <w:t xml:space="preserve"> of a looked after child (LAC)</w:t>
      </w:r>
      <w:r w:rsidR="00933B78">
        <w:rPr>
          <w:rFonts w:ascii="Times New Roman" w:hAnsi="Times New Roman" w:cs="Times New Roman"/>
          <w:sz w:val="24"/>
          <w:szCs w:val="24"/>
        </w:rPr>
        <w:t xml:space="preserve">, </w:t>
      </w:r>
      <w:r w:rsidR="00086513">
        <w:rPr>
          <w:rFonts w:ascii="Times New Roman" w:hAnsi="Times New Roman" w:cs="Times New Roman"/>
          <w:sz w:val="24"/>
          <w:szCs w:val="24"/>
        </w:rPr>
        <w:t xml:space="preserve">and how as an advocate you will be encouraging “Person Led” approach to enable your client to feel empowered in all aspects of care and support provided. The start of the assignment will define key words such as “well-being and “multi-agency practice” it will continue to give a brief outline of different </w:t>
      </w:r>
      <w:r w:rsidR="00086513" w:rsidRPr="008A569E">
        <w:rPr>
          <w:rFonts w:ascii="Times New Roman" w:hAnsi="Times New Roman" w:cs="Times New Roman"/>
          <w:sz w:val="24"/>
          <w:szCs w:val="24"/>
        </w:rPr>
        <w:t>multiagency groups and why they are used in varied situations.</w:t>
      </w:r>
      <w:r w:rsidR="00086513">
        <w:rPr>
          <w:rFonts w:ascii="Times New Roman" w:hAnsi="Times New Roman" w:cs="Times New Roman"/>
          <w:sz w:val="24"/>
          <w:szCs w:val="24"/>
        </w:rPr>
        <w:t xml:space="preserve"> Before delving into the implications, a broad history will be given, of how well-being has been regarded and why </w:t>
      </w:r>
      <w:r w:rsidR="00A9535A">
        <w:rPr>
          <w:rFonts w:ascii="Times New Roman" w:hAnsi="Times New Roman" w:cs="Times New Roman"/>
          <w:sz w:val="24"/>
          <w:szCs w:val="24"/>
        </w:rPr>
        <w:t xml:space="preserve">it is </w:t>
      </w:r>
      <w:r w:rsidR="00A9535A" w:rsidRPr="00D01780">
        <w:rPr>
          <w:rFonts w:ascii="Times New Roman" w:hAnsi="Times New Roman" w:cs="Times New Roman"/>
          <w:sz w:val="24"/>
          <w:szCs w:val="24"/>
        </w:rPr>
        <w:t>now given a higher importance. This will assist us to understand how critical it is for agencies to work together effectively</w:t>
      </w:r>
      <w:r w:rsidR="00A9535A">
        <w:rPr>
          <w:rFonts w:ascii="Times New Roman" w:hAnsi="Times New Roman" w:cs="Times New Roman"/>
          <w:sz w:val="24"/>
          <w:szCs w:val="24"/>
        </w:rPr>
        <w:t xml:space="preserve"> to ensure the well-being of their clients are met</w:t>
      </w:r>
      <w:r w:rsidR="00D01780" w:rsidRPr="00D01780">
        <w:rPr>
          <w:rFonts w:ascii="Times New Roman" w:hAnsi="Times New Roman" w:cs="Times New Roman"/>
          <w:sz w:val="24"/>
          <w:szCs w:val="24"/>
        </w:rPr>
        <w:t xml:space="preserve"> </w:t>
      </w:r>
      <w:r w:rsidR="00D01780">
        <w:rPr>
          <w:rFonts w:ascii="Times New Roman" w:hAnsi="Times New Roman" w:cs="Times New Roman"/>
          <w:sz w:val="24"/>
          <w:szCs w:val="24"/>
        </w:rPr>
        <w:t>(</w:t>
      </w:r>
      <w:r w:rsidR="00D01780" w:rsidRPr="00B949B5">
        <w:rPr>
          <w:rFonts w:ascii="Times New Roman" w:hAnsi="Times New Roman" w:cs="Times New Roman"/>
          <w:sz w:val="24"/>
          <w:szCs w:val="24"/>
        </w:rPr>
        <w:t>Gasper 2010</w:t>
      </w:r>
      <w:r w:rsidR="00D01780">
        <w:rPr>
          <w:rFonts w:ascii="Times New Roman" w:hAnsi="Times New Roman" w:cs="Times New Roman"/>
          <w:sz w:val="24"/>
          <w:szCs w:val="24"/>
        </w:rPr>
        <w:t>)</w:t>
      </w:r>
      <w:r w:rsidR="00A9535A">
        <w:rPr>
          <w:rFonts w:ascii="Times New Roman" w:hAnsi="Times New Roman" w:cs="Times New Roman"/>
          <w:sz w:val="24"/>
          <w:szCs w:val="24"/>
        </w:rPr>
        <w:t xml:space="preserve">. We will also explore different parts of the Social Services and Well-being (Wales) Act 2014 along with the </w:t>
      </w:r>
      <w:r w:rsidR="00A9535A" w:rsidRPr="00A9535A">
        <w:rPr>
          <w:rFonts w:ascii="Times New Roman" w:hAnsi="Times New Roman" w:cs="Times New Roman"/>
          <w:sz w:val="24"/>
          <w:szCs w:val="24"/>
        </w:rPr>
        <w:t>Well-being of Future Generations (Wales) Act 2015</w:t>
      </w:r>
      <w:r w:rsidR="00A9535A">
        <w:rPr>
          <w:rFonts w:ascii="Times New Roman" w:hAnsi="Times New Roman" w:cs="Times New Roman"/>
          <w:sz w:val="24"/>
          <w:szCs w:val="24"/>
        </w:rPr>
        <w:t xml:space="preserve"> to identify areas to improve well-being and what the Welsh government has introduced for the welfare of children.</w:t>
      </w:r>
    </w:p>
    <w:p w14:paraId="2AB2A9ED" w14:textId="6D431585" w:rsidR="00A9535A" w:rsidRDefault="00A9535A" w:rsidP="00146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recent history, defining well-being has </w:t>
      </w:r>
      <w:r w:rsidR="00D01780">
        <w:rPr>
          <w:rFonts w:ascii="Times New Roman" w:hAnsi="Times New Roman" w:cs="Times New Roman"/>
          <w:sz w:val="24"/>
          <w:szCs w:val="24"/>
        </w:rPr>
        <w:t>been</w:t>
      </w:r>
      <w:r>
        <w:rPr>
          <w:rFonts w:ascii="Times New Roman" w:hAnsi="Times New Roman" w:cs="Times New Roman"/>
          <w:sz w:val="24"/>
          <w:szCs w:val="24"/>
        </w:rPr>
        <w:t xml:space="preserve"> difficult, Diener </w:t>
      </w:r>
      <w:r w:rsidR="001664CD">
        <w:rPr>
          <w:rFonts w:ascii="Times New Roman" w:hAnsi="Times New Roman" w:cs="Times New Roman"/>
          <w:sz w:val="24"/>
          <w:szCs w:val="24"/>
        </w:rPr>
        <w:t>and Suh</w:t>
      </w:r>
      <w:r>
        <w:rPr>
          <w:rFonts w:ascii="Times New Roman" w:hAnsi="Times New Roman" w:cs="Times New Roman"/>
          <w:sz w:val="24"/>
          <w:szCs w:val="24"/>
        </w:rPr>
        <w:t xml:space="preserve"> (1997, p.200) </w:t>
      </w:r>
      <w:r w:rsidR="001664CD">
        <w:rPr>
          <w:rFonts w:ascii="Times New Roman" w:hAnsi="Times New Roman" w:cs="Times New Roman"/>
          <w:sz w:val="24"/>
          <w:szCs w:val="24"/>
        </w:rPr>
        <w:t>explain it as the following</w:t>
      </w:r>
      <w:r>
        <w:rPr>
          <w:rFonts w:ascii="Times New Roman" w:hAnsi="Times New Roman" w:cs="Times New Roman"/>
          <w:sz w:val="24"/>
          <w:szCs w:val="24"/>
        </w:rPr>
        <w:t>:</w:t>
      </w:r>
    </w:p>
    <w:p w14:paraId="1D3274F2" w14:textId="28EFAF32" w:rsidR="00A9535A" w:rsidRDefault="00A9535A" w:rsidP="00146086">
      <w:pPr>
        <w:spacing w:line="360" w:lineRule="auto"/>
        <w:ind w:left="567" w:right="567"/>
        <w:jc w:val="both"/>
        <w:rPr>
          <w:rFonts w:ascii="Times New Roman" w:hAnsi="Times New Roman" w:cs="Times New Roman"/>
          <w:sz w:val="24"/>
          <w:szCs w:val="24"/>
        </w:rPr>
      </w:pPr>
      <w:r w:rsidRPr="00A9535A">
        <w:rPr>
          <w:rFonts w:ascii="Times New Roman" w:hAnsi="Times New Roman" w:cs="Times New Roman"/>
          <w:sz w:val="24"/>
          <w:szCs w:val="24"/>
        </w:rPr>
        <w:t>Subjective well-being consists of three interrelated components, life satisfaction, pleasant affect and unpleasant affect. Affect refers to pleasant and unpleasant moods and emotions, whereas life satisfaction refers to a cognitive sense of satisfaction with life.</w:t>
      </w:r>
    </w:p>
    <w:p w14:paraId="5FFA17E8" w14:textId="141FE1D5" w:rsidR="008C034D" w:rsidRDefault="00A9535A" w:rsidP="00146086">
      <w:pPr>
        <w:spacing w:after="150" w:line="360" w:lineRule="auto"/>
        <w:jc w:val="both"/>
        <w:rPr>
          <w:rFonts w:ascii="Times New Roman" w:hAnsi="Times New Roman" w:cs="Times New Roman"/>
          <w:sz w:val="24"/>
          <w:szCs w:val="24"/>
        </w:rPr>
      </w:pPr>
      <w:r w:rsidRPr="00A9535A">
        <w:rPr>
          <w:rFonts w:ascii="Times New Roman" w:hAnsi="Times New Roman" w:cs="Times New Roman"/>
          <w:sz w:val="24"/>
          <w:szCs w:val="24"/>
        </w:rPr>
        <w:t>However, with the increasing focus on well-being, its meaning has become more defined and encompassing.  Marks and Shah (2004,p.2) define well-being as ‘more than just happiness. As well as feeling satisfied and happy, well-being means developing as a person, being fulfilled and contributing to the community.</w:t>
      </w:r>
      <w:r w:rsidR="00B34B01">
        <w:rPr>
          <w:rFonts w:ascii="Times New Roman" w:hAnsi="Times New Roman" w:cs="Times New Roman"/>
          <w:sz w:val="24"/>
          <w:szCs w:val="24"/>
        </w:rPr>
        <w:t xml:space="preserve"> Interestingly the definitions become more individual to the person, Marks and Shah (2004) definition occurred after the social uproar</w:t>
      </w:r>
      <w:r w:rsidR="00B949B5">
        <w:rPr>
          <w:rFonts w:ascii="Times New Roman" w:hAnsi="Times New Roman" w:cs="Times New Roman"/>
          <w:sz w:val="24"/>
          <w:szCs w:val="24"/>
        </w:rPr>
        <w:t>,</w:t>
      </w:r>
      <w:r w:rsidR="00B34B01">
        <w:rPr>
          <w:rFonts w:ascii="Times New Roman" w:hAnsi="Times New Roman" w:cs="Times New Roman"/>
          <w:sz w:val="24"/>
          <w:szCs w:val="24"/>
        </w:rPr>
        <w:t xml:space="preserve"> following the death of Victoria Climbie in 2000</w:t>
      </w:r>
      <w:r w:rsidR="00B949B5">
        <w:rPr>
          <w:rFonts w:ascii="Times New Roman" w:hAnsi="Times New Roman" w:cs="Times New Roman"/>
          <w:sz w:val="24"/>
          <w:szCs w:val="24"/>
        </w:rPr>
        <w:t>,</w:t>
      </w:r>
      <w:r w:rsidR="00B34B01">
        <w:rPr>
          <w:rFonts w:ascii="Times New Roman" w:hAnsi="Times New Roman" w:cs="Times New Roman"/>
          <w:sz w:val="24"/>
          <w:szCs w:val="24"/>
        </w:rPr>
        <w:t xml:space="preserve"> and the subsequent Lord Laming report </w:t>
      </w:r>
      <w:r w:rsidR="00B949B5">
        <w:rPr>
          <w:rFonts w:ascii="Times New Roman" w:hAnsi="Times New Roman" w:cs="Times New Roman"/>
          <w:sz w:val="24"/>
          <w:szCs w:val="24"/>
        </w:rPr>
        <w:t xml:space="preserve">(2003), which highlighted the failures in the system, did this report help define individual well-being? What the report did do for definite was identify the main failures one </w:t>
      </w:r>
      <w:r w:rsidR="008A569E">
        <w:rPr>
          <w:rFonts w:ascii="Times New Roman" w:hAnsi="Times New Roman" w:cs="Times New Roman"/>
          <w:sz w:val="24"/>
          <w:szCs w:val="24"/>
        </w:rPr>
        <w:t>lacked</w:t>
      </w:r>
      <w:r w:rsidR="00B949B5">
        <w:rPr>
          <w:rFonts w:ascii="Times New Roman" w:hAnsi="Times New Roman" w:cs="Times New Roman"/>
          <w:sz w:val="24"/>
          <w:szCs w:val="24"/>
        </w:rPr>
        <w:t xml:space="preserve"> information sharing. </w:t>
      </w:r>
      <w:r w:rsidR="00B949B5" w:rsidRPr="00B949B5">
        <w:rPr>
          <w:rFonts w:ascii="Times New Roman" w:hAnsi="Times New Roman" w:cs="Times New Roman"/>
          <w:sz w:val="24"/>
          <w:szCs w:val="24"/>
        </w:rPr>
        <w:t xml:space="preserve">It was identified that an established ‘common assessment framework’ should be introduced and a lead professional system that appointed one person would become the lead for the family, all </w:t>
      </w:r>
      <w:r w:rsidR="00B949B5" w:rsidRPr="00B949B5">
        <w:rPr>
          <w:rFonts w:ascii="Times New Roman" w:hAnsi="Times New Roman" w:cs="Times New Roman"/>
          <w:sz w:val="24"/>
          <w:szCs w:val="24"/>
        </w:rPr>
        <w:lastRenderedPageBreak/>
        <w:t>information and everyone who is involved should report to the lead person (Laming, 2003). Following the report England implemented Every Child Matters (ECM) this established how ‘multidisciplinary teams’ administering care ‘around the child’ should be implemented, parents and children are to be involved and support given before crisis point is reached (</w:t>
      </w:r>
      <w:bookmarkStart w:id="0" w:name="_Hlk15923448"/>
      <w:r w:rsidR="00B949B5" w:rsidRPr="00B949B5">
        <w:rPr>
          <w:rFonts w:ascii="Times New Roman" w:hAnsi="Times New Roman" w:cs="Times New Roman"/>
          <w:sz w:val="24"/>
          <w:szCs w:val="24"/>
        </w:rPr>
        <w:t>Gasper 2010</w:t>
      </w:r>
      <w:bookmarkEnd w:id="0"/>
      <w:r w:rsidR="00D01780">
        <w:rPr>
          <w:rFonts w:ascii="Times New Roman" w:hAnsi="Times New Roman" w:cs="Times New Roman"/>
          <w:sz w:val="24"/>
          <w:szCs w:val="24"/>
        </w:rPr>
        <w:t>,</w:t>
      </w:r>
      <w:r w:rsidR="00D01780" w:rsidRPr="00D01780">
        <w:rPr>
          <w:rFonts w:ascii="Times New Roman" w:hAnsi="Times New Roman" w:cs="Times New Roman"/>
          <w:sz w:val="24"/>
          <w:szCs w:val="24"/>
        </w:rPr>
        <w:t xml:space="preserve"> </w:t>
      </w:r>
      <w:r w:rsidR="00D01780" w:rsidRPr="00D01780">
        <w:rPr>
          <w:rFonts w:ascii="Times New Roman" w:hAnsi="Times New Roman" w:cs="Times New Roman"/>
          <w:i/>
          <w:iCs/>
          <w:sz w:val="24"/>
          <w:szCs w:val="24"/>
        </w:rPr>
        <w:t>Every Child Matters</w:t>
      </w:r>
      <w:r w:rsidR="00D01780">
        <w:rPr>
          <w:rFonts w:ascii="Times New Roman" w:hAnsi="Times New Roman" w:cs="Times New Roman"/>
          <w:i/>
          <w:iCs/>
          <w:sz w:val="24"/>
          <w:szCs w:val="24"/>
        </w:rPr>
        <w:t xml:space="preserve"> 2003</w:t>
      </w:r>
      <w:r w:rsidR="00B949B5" w:rsidRPr="00B949B5">
        <w:rPr>
          <w:rFonts w:ascii="Times New Roman" w:hAnsi="Times New Roman" w:cs="Times New Roman"/>
          <w:sz w:val="24"/>
          <w:szCs w:val="24"/>
        </w:rPr>
        <w:t>).</w:t>
      </w:r>
      <w:r w:rsidR="00D01780">
        <w:rPr>
          <w:rFonts w:ascii="Times New Roman" w:hAnsi="Times New Roman" w:cs="Times New Roman"/>
          <w:sz w:val="24"/>
          <w:szCs w:val="24"/>
        </w:rPr>
        <w:t xml:space="preserve"> </w:t>
      </w:r>
    </w:p>
    <w:p w14:paraId="0ECDCC14" w14:textId="55DAB21F" w:rsidR="00D01780" w:rsidRDefault="00D01780" w:rsidP="00146086">
      <w:pPr>
        <w:spacing w:after="150" w:line="360" w:lineRule="auto"/>
        <w:jc w:val="both"/>
        <w:rPr>
          <w:rFonts w:ascii="Times New Roman" w:hAnsi="Times New Roman" w:cs="Times New Roman"/>
          <w:sz w:val="24"/>
          <w:szCs w:val="24"/>
        </w:rPr>
      </w:pPr>
      <w:r>
        <w:rPr>
          <w:rFonts w:ascii="Times New Roman" w:hAnsi="Times New Roman" w:cs="Times New Roman"/>
          <w:sz w:val="24"/>
          <w:szCs w:val="24"/>
        </w:rPr>
        <w:t xml:space="preserve">ECM identified five outcomes of importance for safety and well-being of children and young people: </w:t>
      </w:r>
      <w:r w:rsidR="00EF104D" w:rsidRPr="00EF104D">
        <w:rPr>
          <w:rFonts w:ascii="Times New Roman" w:hAnsi="Times New Roman" w:cs="Times New Roman"/>
          <w:sz w:val="24"/>
          <w:szCs w:val="24"/>
        </w:rPr>
        <w:t>‘staying safe, making a positive contribution, being healthy, achieving economic well-being and enjoying and achieving in life’</w:t>
      </w:r>
      <w:r w:rsidR="00EF104D">
        <w:rPr>
          <w:rFonts w:ascii="Times New Roman" w:hAnsi="Times New Roman" w:cs="Times New Roman"/>
          <w:sz w:val="24"/>
          <w:szCs w:val="24"/>
        </w:rPr>
        <w:t xml:space="preserve"> Gasper (2010, p13), </w:t>
      </w:r>
      <w:r w:rsidR="00EF104D" w:rsidRPr="00EF104D">
        <w:rPr>
          <w:rFonts w:ascii="Times New Roman" w:hAnsi="Times New Roman" w:cs="Times New Roman"/>
          <w:sz w:val="24"/>
          <w:szCs w:val="24"/>
        </w:rPr>
        <w:t>it also emphasised a greater recognition of children’s rights</w:t>
      </w:r>
      <w:r w:rsidR="00EF104D">
        <w:rPr>
          <w:rFonts w:ascii="Times New Roman" w:eastAsia="Times New Roman" w:hAnsi="Times New Roman" w:cs="Times New Roman"/>
          <w:color w:val="58666E"/>
          <w:sz w:val="24"/>
          <w:szCs w:val="24"/>
          <w:lang w:eastAsia="en-GB"/>
        </w:rPr>
        <w:t xml:space="preserve"> </w:t>
      </w:r>
      <w:r w:rsidR="00EF104D">
        <w:rPr>
          <w:rFonts w:ascii="Times New Roman" w:hAnsi="Times New Roman" w:cs="Times New Roman"/>
          <w:sz w:val="24"/>
          <w:szCs w:val="24"/>
        </w:rPr>
        <w:t xml:space="preserve"> </w:t>
      </w:r>
      <w:r w:rsidR="00EF104D" w:rsidRPr="00EF104D">
        <w:rPr>
          <w:rFonts w:ascii="Times New Roman" w:hAnsi="Times New Roman" w:cs="Times New Roman"/>
          <w:sz w:val="24"/>
          <w:szCs w:val="24"/>
        </w:rPr>
        <w:t>(</w:t>
      </w:r>
      <w:r w:rsidR="00EF104D" w:rsidRPr="00EF104D">
        <w:rPr>
          <w:rFonts w:ascii="Times New Roman" w:hAnsi="Times New Roman" w:cs="Times New Roman"/>
          <w:i/>
          <w:iCs/>
          <w:sz w:val="24"/>
          <w:szCs w:val="24"/>
        </w:rPr>
        <w:t>Every Child Matters, 2003</w:t>
      </w:r>
      <w:r w:rsidR="00EF104D">
        <w:rPr>
          <w:rFonts w:ascii="Times New Roman" w:hAnsi="Times New Roman" w:cs="Times New Roman"/>
          <w:sz w:val="24"/>
          <w:szCs w:val="24"/>
        </w:rPr>
        <w:t xml:space="preserve">). From this and forging the </w:t>
      </w:r>
      <w:r w:rsidR="00EF104D" w:rsidRPr="00EF104D">
        <w:rPr>
          <w:rFonts w:ascii="Times New Roman" w:hAnsi="Times New Roman" w:cs="Times New Roman"/>
          <w:sz w:val="24"/>
          <w:szCs w:val="24"/>
        </w:rPr>
        <w:t>United Nation Convention on the Rights of the Child (UNCRC), Wales introduced the Seven Core Aims</w:t>
      </w:r>
      <w:r w:rsidR="00EF104D">
        <w:rPr>
          <w:rFonts w:ascii="Times New Roman" w:hAnsi="Times New Roman" w:cs="Times New Roman"/>
          <w:sz w:val="24"/>
          <w:szCs w:val="24"/>
        </w:rPr>
        <w:t xml:space="preserve">. </w:t>
      </w:r>
      <w:r w:rsidR="00EF104D" w:rsidRPr="00EF104D">
        <w:rPr>
          <w:rFonts w:ascii="Times New Roman" w:hAnsi="Times New Roman" w:cs="Times New Roman"/>
          <w:sz w:val="24"/>
          <w:szCs w:val="24"/>
        </w:rPr>
        <w:t>. This was a way to make sure children and young people’s rights were adhered to (Welsh Government, 2015). The Seven Core Aims are: ‘The Early Years’, ‘Education and Learning Opportunities’, ‘Health, Freedom from Abuse and Victimisation’, ‘Play, Sport, Leisure and Culture’, ‘Participation in Decision Making’, ‘A Safe Home and Community’ and ‘Not Disadvantaged by Poverty’ (Welsh Government, 2015).</w:t>
      </w:r>
      <w:r w:rsidR="00146086">
        <w:rPr>
          <w:rFonts w:ascii="Times New Roman" w:hAnsi="Times New Roman" w:cs="Times New Roman"/>
          <w:sz w:val="24"/>
          <w:szCs w:val="24"/>
        </w:rPr>
        <w:t xml:space="preserve"> </w:t>
      </w:r>
    </w:p>
    <w:p w14:paraId="41F03CBB" w14:textId="4DFED0DA" w:rsidR="00146086" w:rsidRDefault="00146086" w:rsidP="00146086">
      <w:pPr>
        <w:spacing w:after="150" w:line="360" w:lineRule="auto"/>
        <w:jc w:val="both"/>
        <w:rPr>
          <w:rFonts w:ascii="Times New Roman" w:hAnsi="Times New Roman" w:cs="Times New Roman"/>
          <w:sz w:val="24"/>
          <w:szCs w:val="24"/>
        </w:rPr>
      </w:pPr>
      <w:r w:rsidRPr="00146086">
        <w:rPr>
          <w:rFonts w:ascii="Times New Roman" w:hAnsi="Times New Roman" w:cs="Times New Roman"/>
          <w:sz w:val="24"/>
          <w:szCs w:val="24"/>
        </w:rPr>
        <w:t>Each one of these core aims can have a tremendous impact on a child, each one when not achieved can become a barrier to reach their full potential</w:t>
      </w:r>
      <w:r>
        <w:rPr>
          <w:rFonts w:ascii="Times New Roman" w:hAnsi="Times New Roman" w:cs="Times New Roman"/>
          <w:sz w:val="24"/>
          <w:szCs w:val="24"/>
        </w:rPr>
        <w:t xml:space="preserve"> (</w:t>
      </w:r>
      <w:proofErr w:type="spellStart"/>
      <w:r w:rsidRPr="00146086">
        <w:rPr>
          <w:rFonts w:ascii="Times New Roman" w:hAnsi="Times New Roman" w:cs="Times New Roman"/>
          <w:sz w:val="24"/>
          <w:szCs w:val="24"/>
        </w:rPr>
        <w:t>Cheminais</w:t>
      </w:r>
      <w:proofErr w:type="spellEnd"/>
      <w:r>
        <w:rPr>
          <w:rFonts w:ascii="Times New Roman" w:hAnsi="Times New Roman" w:cs="Times New Roman"/>
          <w:sz w:val="24"/>
          <w:szCs w:val="24"/>
        </w:rPr>
        <w:t>, 2009)</w:t>
      </w:r>
      <w:r w:rsidRPr="00146086">
        <w:rPr>
          <w:rFonts w:ascii="Times New Roman" w:hAnsi="Times New Roman" w:cs="Times New Roman"/>
          <w:sz w:val="24"/>
          <w:szCs w:val="24"/>
        </w:rPr>
        <w:t>. Wales has defined the period age range of early years to pre-birth to age of 7, they believe it is a critical stage for children to simply enjoy, as they grow, learn and play in a nurturing environment. By achieving this the Welsh government believe that a child who is actively engaging in learning, will become equipped with the necessary skills to reach their own full life potential, and reach a high life trajectory (Welsh Government, 2015c). By introducing team around the family and the current emphasis on ‘multi-agency working, in theory there should not be implications</w:t>
      </w:r>
      <w:r>
        <w:rPr>
          <w:rFonts w:ascii="Times New Roman" w:hAnsi="Times New Roman" w:cs="Times New Roman"/>
          <w:sz w:val="24"/>
          <w:szCs w:val="24"/>
        </w:rPr>
        <w:t xml:space="preserve"> (</w:t>
      </w:r>
      <w:r w:rsidRPr="00B949B5">
        <w:rPr>
          <w:rFonts w:ascii="Times New Roman" w:hAnsi="Times New Roman" w:cs="Times New Roman"/>
          <w:sz w:val="24"/>
          <w:szCs w:val="24"/>
        </w:rPr>
        <w:t>Gasper 2010</w:t>
      </w:r>
      <w:r>
        <w:rPr>
          <w:rFonts w:ascii="Times New Roman" w:hAnsi="Times New Roman" w:cs="Times New Roman"/>
          <w:sz w:val="24"/>
          <w:szCs w:val="24"/>
        </w:rPr>
        <w:t>)</w:t>
      </w:r>
      <w:r w:rsidRPr="00146086">
        <w:rPr>
          <w:rFonts w:ascii="Times New Roman" w:hAnsi="Times New Roman" w:cs="Times New Roman"/>
          <w:sz w:val="24"/>
          <w:szCs w:val="24"/>
        </w:rPr>
        <w:t>.</w:t>
      </w:r>
      <w:r>
        <w:rPr>
          <w:rFonts w:ascii="Times New Roman" w:hAnsi="Times New Roman" w:cs="Times New Roman"/>
          <w:sz w:val="24"/>
          <w:szCs w:val="24"/>
        </w:rPr>
        <w:t xml:space="preserve"> </w:t>
      </w:r>
      <w:r w:rsidRPr="00146086">
        <w:rPr>
          <w:rFonts w:ascii="Times New Roman" w:hAnsi="Times New Roman" w:cs="Times New Roman"/>
          <w:sz w:val="24"/>
          <w:szCs w:val="24"/>
        </w:rPr>
        <w:t>Public bodies and other agencies must work together in a multiagency framework to meet (Wales Council for Voluntary Action, no date</w:t>
      </w:r>
      <w:r>
        <w:rPr>
          <w:rFonts w:ascii="Times New Roman" w:hAnsi="Times New Roman" w:cs="Times New Roman"/>
          <w:sz w:val="24"/>
          <w:szCs w:val="24"/>
        </w:rPr>
        <w:t>).</w:t>
      </w:r>
    </w:p>
    <w:p w14:paraId="5D60D9F6" w14:textId="499C19EF" w:rsidR="00B366D4" w:rsidRDefault="00146086" w:rsidP="00146086">
      <w:pPr>
        <w:spacing w:after="150" w:line="360" w:lineRule="auto"/>
        <w:jc w:val="both"/>
        <w:rPr>
          <w:rFonts w:ascii="Times New Roman" w:hAnsi="Times New Roman" w:cs="Times New Roman"/>
          <w:sz w:val="24"/>
          <w:szCs w:val="24"/>
        </w:rPr>
      </w:pPr>
      <w:r w:rsidRPr="00146086">
        <w:rPr>
          <w:rFonts w:ascii="Times New Roman" w:hAnsi="Times New Roman" w:cs="Times New Roman"/>
          <w:sz w:val="24"/>
          <w:szCs w:val="24"/>
        </w:rPr>
        <w:t xml:space="preserve">Multi agency work, when referring to children and young people, is defined as variety of relevant professionals who </w:t>
      </w:r>
      <w:proofErr w:type="gramStart"/>
      <w:r w:rsidRPr="00146086">
        <w:rPr>
          <w:rFonts w:ascii="Times New Roman" w:hAnsi="Times New Roman" w:cs="Times New Roman"/>
          <w:sz w:val="24"/>
          <w:szCs w:val="24"/>
        </w:rPr>
        <w:t>meet together</w:t>
      </w:r>
      <w:proofErr w:type="gramEnd"/>
      <w:r w:rsidRPr="00146086">
        <w:rPr>
          <w:rFonts w:ascii="Times New Roman" w:hAnsi="Times New Roman" w:cs="Times New Roman"/>
          <w:sz w:val="24"/>
          <w:szCs w:val="24"/>
        </w:rPr>
        <w:t xml:space="preserve"> with the aim of ensuring positive results for children and young people. (DfES, 200</w:t>
      </w:r>
      <w:r>
        <w:rPr>
          <w:rFonts w:ascii="Times New Roman" w:hAnsi="Times New Roman" w:cs="Times New Roman"/>
          <w:sz w:val="24"/>
          <w:szCs w:val="24"/>
        </w:rPr>
        <w:t>5</w:t>
      </w:r>
      <w:r w:rsidRPr="00146086">
        <w:rPr>
          <w:rFonts w:ascii="Times New Roman" w:hAnsi="Times New Roman" w:cs="Times New Roman"/>
          <w:sz w:val="24"/>
          <w:szCs w:val="24"/>
        </w:rPr>
        <w:t xml:space="preserve"> cited in </w:t>
      </w:r>
      <w:bookmarkStart w:id="1" w:name="_Hlk15929319"/>
      <w:r w:rsidRPr="00146086">
        <w:rPr>
          <w:rFonts w:ascii="Times New Roman" w:hAnsi="Times New Roman" w:cs="Times New Roman"/>
          <w:sz w:val="24"/>
          <w:szCs w:val="24"/>
        </w:rPr>
        <w:t>Atkinson</w:t>
      </w:r>
      <w:r w:rsidR="00B366D4">
        <w:rPr>
          <w:rFonts w:ascii="Times New Roman" w:hAnsi="Times New Roman" w:cs="Times New Roman"/>
          <w:sz w:val="24"/>
          <w:szCs w:val="24"/>
        </w:rPr>
        <w:t xml:space="preserve">, Jones and </w:t>
      </w:r>
      <w:proofErr w:type="spellStart"/>
      <w:r w:rsidR="00B366D4">
        <w:rPr>
          <w:rFonts w:ascii="Times New Roman" w:hAnsi="Times New Roman" w:cs="Times New Roman"/>
          <w:sz w:val="24"/>
          <w:szCs w:val="24"/>
        </w:rPr>
        <w:t>Lamout</w:t>
      </w:r>
      <w:proofErr w:type="spellEnd"/>
      <w:r w:rsidRPr="00146086">
        <w:rPr>
          <w:rFonts w:ascii="Times New Roman" w:hAnsi="Times New Roman" w:cs="Times New Roman"/>
          <w:sz w:val="24"/>
          <w:szCs w:val="24"/>
        </w:rPr>
        <w:t xml:space="preserve"> 2007</w:t>
      </w:r>
      <w:bookmarkEnd w:id="1"/>
      <w:r w:rsidRPr="00146086">
        <w:rPr>
          <w:rFonts w:ascii="Times New Roman" w:hAnsi="Times New Roman" w:cs="Times New Roman"/>
          <w:sz w:val="24"/>
          <w:szCs w:val="24"/>
        </w:rPr>
        <w:t>).</w:t>
      </w:r>
      <w:r w:rsidR="00B366D4">
        <w:rPr>
          <w:rFonts w:ascii="Times New Roman" w:hAnsi="Times New Roman" w:cs="Times New Roman"/>
          <w:sz w:val="24"/>
          <w:szCs w:val="24"/>
        </w:rPr>
        <w:t xml:space="preserve"> According to </w:t>
      </w:r>
      <w:bookmarkStart w:id="2" w:name="_Hlk15925857"/>
      <w:r w:rsidR="00B366D4">
        <w:rPr>
          <w:rFonts w:ascii="Times New Roman" w:hAnsi="Times New Roman" w:cs="Times New Roman"/>
          <w:sz w:val="24"/>
          <w:szCs w:val="24"/>
        </w:rPr>
        <w:t xml:space="preserve">Lancashire County Council </w:t>
      </w:r>
      <w:bookmarkEnd w:id="2"/>
      <w:r w:rsidR="00B366D4">
        <w:rPr>
          <w:rFonts w:ascii="Times New Roman" w:hAnsi="Times New Roman" w:cs="Times New Roman"/>
          <w:sz w:val="24"/>
          <w:szCs w:val="24"/>
        </w:rPr>
        <w:t>(no date) multi-agency working has been an effective way of supporting young people and children with improving their outcomes for people with additional needs</w:t>
      </w:r>
      <w:r w:rsidR="00157EFC">
        <w:rPr>
          <w:rFonts w:ascii="Times New Roman" w:hAnsi="Times New Roman" w:cs="Times New Roman"/>
          <w:sz w:val="24"/>
          <w:szCs w:val="24"/>
        </w:rPr>
        <w:t>,</w:t>
      </w:r>
      <w:r w:rsidR="00B366D4">
        <w:rPr>
          <w:rFonts w:ascii="Times New Roman" w:hAnsi="Times New Roman" w:cs="Times New Roman"/>
          <w:sz w:val="24"/>
          <w:szCs w:val="24"/>
        </w:rPr>
        <w:t xml:space="preserve"> </w:t>
      </w:r>
      <w:bookmarkStart w:id="3" w:name="_Hlk15928065"/>
      <w:proofErr w:type="spellStart"/>
      <w:r w:rsidR="00B366D4">
        <w:rPr>
          <w:rFonts w:ascii="Times New Roman" w:hAnsi="Times New Roman" w:cs="Times New Roman"/>
          <w:sz w:val="24"/>
          <w:szCs w:val="24"/>
        </w:rPr>
        <w:t>Cheminais</w:t>
      </w:r>
      <w:proofErr w:type="spellEnd"/>
      <w:r w:rsidR="00B366D4">
        <w:rPr>
          <w:rFonts w:ascii="Times New Roman" w:hAnsi="Times New Roman" w:cs="Times New Roman"/>
          <w:sz w:val="24"/>
          <w:szCs w:val="24"/>
        </w:rPr>
        <w:t xml:space="preserve"> (2009) </w:t>
      </w:r>
      <w:bookmarkEnd w:id="3"/>
      <w:r w:rsidR="00157EFC">
        <w:rPr>
          <w:rFonts w:ascii="Times New Roman" w:hAnsi="Times New Roman" w:cs="Times New Roman"/>
          <w:sz w:val="24"/>
          <w:szCs w:val="24"/>
        </w:rPr>
        <w:t xml:space="preserve">says </w:t>
      </w:r>
      <w:r w:rsidR="00B366D4">
        <w:rPr>
          <w:rFonts w:ascii="Times New Roman" w:hAnsi="Times New Roman" w:cs="Times New Roman"/>
          <w:sz w:val="24"/>
          <w:szCs w:val="24"/>
        </w:rPr>
        <w:t xml:space="preserve">that multi-agency services can be </w:t>
      </w:r>
      <w:r w:rsidR="00157EFC">
        <w:rPr>
          <w:rFonts w:ascii="Times New Roman" w:hAnsi="Times New Roman" w:cs="Times New Roman"/>
          <w:sz w:val="24"/>
          <w:szCs w:val="24"/>
        </w:rPr>
        <w:t>delivered in several ways</w:t>
      </w:r>
      <w:r w:rsidR="00975AE2">
        <w:rPr>
          <w:rFonts w:ascii="Times New Roman" w:hAnsi="Times New Roman" w:cs="Times New Roman"/>
          <w:sz w:val="24"/>
          <w:szCs w:val="24"/>
        </w:rPr>
        <w:t>, but</w:t>
      </w:r>
      <w:r w:rsidR="00157EFC">
        <w:rPr>
          <w:rFonts w:ascii="Times New Roman" w:hAnsi="Times New Roman" w:cs="Times New Roman"/>
          <w:sz w:val="24"/>
          <w:szCs w:val="24"/>
        </w:rPr>
        <w:t xml:space="preserve"> Lancashire County Council </w:t>
      </w:r>
      <w:r w:rsidR="00975AE2">
        <w:rPr>
          <w:rFonts w:ascii="Times New Roman" w:hAnsi="Times New Roman" w:cs="Times New Roman"/>
          <w:sz w:val="24"/>
          <w:szCs w:val="24"/>
        </w:rPr>
        <w:t xml:space="preserve">(no date) say </w:t>
      </w:r>
      <w:r w:rsidR="00157EFC">
        <w:rPr>
          <w:rFonts w:ascii="Times New Roman" w:hAnsi="Times New Roman" w:cs="Times New Roman"/>
          <w:sz w:val="24"/>
          <w:szCs w:val="24"/>
        </w:rPr>
        <w:t xml:space="preserve">there is only three models which are in </w:t>
      </w:r>
      <w:r w:rsidR="00157EFC">
        <w:rPr>
          <w:rFonts w:ascii="Times New Roman" w:hAnsi="Times New Roman" w:cs="Times New Roman"/>
          <w:sz w:val="24"/>
          <w:szCs w:val="24"/>
        </w:rPr>
        <w:lastRenderedPageBreak/>
        <w:t>effect of a broad nature, they are</w:t>
      </w:r>
      <w:r w:rsidR="00157EFC" w:rsidRPr="00157EFC">
        <w:rPr>
          <w:rFonts w:ascii="Times New Roman" w:hAnsi="Times New Roman" w:cs="Times New Roman"/>
          <w:sz w:val="24"/>
          <w:szCs w:val="24"/>
        </w:rPr>
        <w:t xml:space="preserve"> multi-agency team, multi-agency panel and integrated services.  All three have differences</w:t>
      </w:r>
      <w:r w:rsidR="00157EFC">
        <w:rPr>
          <w:rFonts w:ascii="Times New Roman" w:hAnsi="Times New Roman" w:cs="Times New Roman"/>
          <w:sz w:val="24"/>
          <w:szCs w:val="24"/>
        </w:rPr>
        <w:t>,</w:t>
      </w:r>
      <w:r w:rsidR="00157EFC" w:rsidRPr="00157EFC">
        <w:rPr>
          <w:rFonts w:ascii="Times New Roman" w:hAnsi="Times New Roman" w:cs="Times New Roman"/>
          <w:sz w:val="24"/>
          <w:szCs w:val="24"/>
        </w:rPr>
        <w:t xml:space="preserve"> </w:t>
      </w:r>
      <w:r w:rsidR="00157EFC">
        <w:rPr>
          <w:rFonts w:ascii="Times New Roman" w:hAnsi="Times New Roman" w:cs="Times New Roman"/>
          <w:sz w:val="24"/>
          <w:szCs w:val="24"/>
        </w:rPr>
        <w:t xml:space="preserve">deciding </w:t>
      </w:r>
      <w:r w:rsidR="00157EFC" w:rsidRPr="00157EFC">
        <w:rPr>
          <w:rFonts w:ascii="Times New Roman" w:hAnsi="Times New Roman" w:cs="Times New Roman"/>
          <w:sz w:val="24"/>
          <w:szCs w:val="24"/>
        </w:rPr>
        <w:t xml:space="preserve"> the best model for the situation will be key in the multiagency collaborating well together</w:t>
      </w:r>
      <w:r w:rsidR="00975AE2" w:rsidRPr="00975AE2">
        <w:rPr>
          <w:rFonts w:ascii="Times New Roman" w:hAnsi="Times New Roman" w:cs="Times New Roman"/>
          <w:sz w:val="24"/>
          <w:szCs w:val="24"/>
        </w:rPr>
        <w:t xml:space="preserve"> </w:t>
      </w:r>
      <w:proofErr w:type="spellStart"/>
      <w:r w:rsidR="00975AE2">
        <w:rPr>
          <w:rFonts w:ascii="Times New Roman" w:hAnsi="Times New Roman" w:cs="Times New Roman"/>
          <w:sz w:val="24"/>
          <w:szCs w:val="24"/>
        </w:rPr>
        <w:t>Cheminais</w:t>
      </w:r>
      <w:proofErr w:type="spellEnd"/>
      <w:r w:rsidR="00975AE2">
        <w:rPr>
          <w:rFonts w:ascii="Times New Roman" w:hAnsi="Times New Roman" w:cs="Times New Roman"/>
          <w:sz w:val="24"/>
          <w:szCs w:val="24"/>
        </w:rPr>
        <w:t xml:space="preserve"> (2009)</w:t>
      </w:r>
      <w:r w:rsidR="00157EFC" w:rsidRPr="00157EFC">
        <w:rPr>
          <w:rFonts w:ascii="Times New Roman" w:hAnsi="Times New Roman" w:cs="Times New Roman"/>
          <w:sz w:val="24"/>
          <w:szCs w:val="24"/>
        </w:rPr>
        <w:t>.</w:t>
      </w:r>
      <w:r w:rsidR="0095177A">
        <w:rPr>
          <w:rFonts w:ascii="Times New Roman" w:hAnsi="Times New Roman" w:cs="Times New Roman"/>
          <w:sz w:val="24"/>
          <w:szCs w:val="24"/>
        </w:rPr>
        <w:t xml:space="preserve"> For the purpose of the school meeting </w:t>
      </w:r>
      <w:r w:rsidR="0095177A" w:rsidRPr="0095177A">
        <w:rPr>
          <w:rFonts w:ascii="Times New Roman" w:hAnsi="Times New Roman" w:cs="Times New Roman"/>
          <w:sz w:val="24"/>
          <w:szCs w:val="24"/>
        </w:rPr>
        <w:t xml:space="preserve">a group of professionals are meeting for the annual review of a </w:t>
      </w:r>
      <w:r w:rsidR="0095177A">
        <w:rPr>
          <w:rFonts w:ascii="Times New Roman" w:hAnsi="Times New Roman" w:cs="Times New Roman"/>
          <w:sz w:val="24"/>
          <w:szCs w:val="24"/>
        </w:rPr>
        <w:t>child with additional learning needs</w:t>
      </w:r>
      <w:r w:rsidR="00975AE2">
        <w:rPr>
          <w:rFonts w:ascii="Times New Roman" w:hAnsi="Times New Roman" w:cs="Times New Roman"/>
          <w:sz w:val="24"/>
          <w:szCs w:val="24"/>
        </w:rPr>
        <w:t xml:space="preserve"> who is also a looked after child</w:t>
      </w:r>
      <w:r w:rsidR="0095177A" w:rsidRPr="0095177A">
        <w:rPr>
          <w:rFonts w:ascii="Times New Roman" w:hAnsi="Times New Roman" w:cs="Times New Roman"/>
          <w:sz w:val="24"/>
          <w:szCs w:val="24"/>
        </w:rPr>
        <w:t>. The best approach in this situation would be for a multi-agency panel to be set up, with relevant professionals who know the child and have an interest in ensuring the child’s needs and well-being are met</w:t>
      </w:r>
      <w:r w:rsidR="00975AE2" w:rsidRPr="00975AE2">
        <w:rPr>
          <w:rFonts w:ascii="Times New Roman" w:hAnsi="Times New Roman" w:cs="Times New Roman"/>
          <w:sz w:val="24"/>
          <w:szCs w:val="24"/>
        </w:rPr>
        <w:t xml:space="preserve"> </w:t>
      </w:r>
      <w:r w:rsidR="00975AE2">
        <w:rPr>
          <w:rFonts w:ascii="Times New Roman" w:hAnsi="Times New Roman" w:cs="Times New Roman"/>
          <w:sz w:val="24"/>
          <w:szCs w:val="24"/>
        </w:rPr>
        <w:t>(</w:t>
      </w:r>
      <w:r w:rsidR="00975AE2" w:rsidRPr="002717B0">
        <w:rPr>
          <w:rFonts w:ascii="Times New Roman" w:hAnsi="Times New Roman" w:cs="Times New Roman"/>
          <w:sz w:val="24"/>
          <w:szCs w:val="24"/>
        </w:rPr>
        <w:t>Gasper, 2010)</w:t>
      </w:r>
      <w:r w:rsidR="0095177A" w:rsidRPr="0095177A">
        <w:rPr>
          <w:rFonts w:ascii="Times New Roman" w:hAnsi="Times New Roman" w:cs="Times New Roman"/>
          <w:sz w:val="24"/>
          <w:szCs w:val="24"/>
        </w:rPr>
        <w:t>.</w:t>
      </w:r>
      <w:r w:rsidR="0095177A">
        <w:rPr>
          <w:rFonts w:ascii="Times New Roman" w:hAnsi="Times New Roman" w:cs="Times New Roman"/>
          <w:sz w:val="24"/>
          <w:szCs w:val="24"/>
        </w:rPr>
        <w:t xml:space="preserve"> Challenges that may be needed to overcome to make sure the well-being of the child is not compromised </w:t>
      </w:r>
      <w:r w:rsidR="00FA3709">
        <w:rPr>
          <w:rFonts w:ascii="Times New Roman" w:hAnsi="Times New Roman" w:cs="Times New Roman"/>
          <w:sz w:val="24"/>
          <w:szCs w:val="24"/>
        </w:rPr>
        <w:t>could be lack of information sharing, is everyone aware of the facts, maybe a new member of staff is present who is not aware of the needs of the child. Time: decisions could be delayed due to the panel members not being able to meet as regularly as required. Training: in dealing with children particularly for safeguarding, confidentiality and protection the panel members all need the same level of training, so all are aware of policies and procedures they need to adhere to</w:t>
      </w:r>
      <w:r w:rsidR="00975AE2" w:rsidRPr="00975AE2">
        <w:rPr>
          <w:rFonts w:ascii="Times New Roman" w:hAnsi="Times New Roman" w:cs="Times New Roman"/>
          <w:sz w:val="24"/>
          <w:szCs w:val="24"/>
        </w:rPr>
        <w:t xml:space="preserve"> </w:t>
      </w:r>
      <w:r w:rsidR="00975AE2">
        <w:rPr>
          <w:rFonts w:ascii="Times New Roman" w:hAnsi="Times New Roman" w:cs="Times New Roman"/>
          <w:sz w:val="24"/>
          <w:szCs w:val="24"/>
        </w:rPr>
        <w:t>(</w:t>
      </w:r>
      <w:proofErr w:type="spellStart"/>
      <w:r w:rsidR="00975AE2">
        <w:rPr>
          <w:rFonts w:ascii="Times New Roman" w:hAnsi="Times New Roman" w:cs="Times New Roman"/>
          <w:sz w:val="24"/>
          <w:szCs w:val="24"/>
        </w:rPr>
        <w:t>Cheminais</w:t>
      </w:r>
      <w:proofErr w:type="spellEnd"/>
      <w:r w:rsidR="00975AE2">
        <w:rPr>
          <w:rFonts w:ascii="Times New Roman" w:hAnsi="Times New Roman" w:cs="Times New Roman"/>
          <w:sz w:val="24"/>
          <w:szCs w:val="24"/>
        </w:rPr>
        <w:t>, 2009)</w:t>
      </w:r>
      <w:r w:rsidR="00FA3709">
        <w:rPr>
          <w:rFonts w:ascii="Times New Roman" w:hAnsi="Times New Roman" w:cs="Times New Roman"/>
          <w:sz w:val="24"/>
          <w:szCs w:val="24"/>
        </w:rPr>
        <w:t>. Preparation: this is where an advocate can be working closely with the child to help them prepare</w:t>
      </w:r>
      <w:r w:rsidR="00975AE2">
        <w:rPr>
          <w:rFonts w:ascii="Times New Roman" w:hAnsi="Times New Roman" w:cs="Times New Roman"/>
          <w:sz w:val="24"/>
          <w:szCs w:val="24"/>
        </w:rPr>
        <w:t xml:space="preserve"> for the meeting, they can be ensuring the child has expressed their wishes, also a code between them both if the meeting gets to much for the child, the code could be something as simple as happy, sad faces but it will reassure the child</w:t>
      </w:r>
      <w:r w:rsidR="0025409E">
        <w:rPr>
          <w:rFonts w:ascii="Times New Roman" w:hAnsi="Times New Roman" w:cs="Times New Roman"/>
          <w:sz w:val="24"/>
          <w:szCs w:val="24"/>
        </w:rPr>
        <w:t xml:space="preserve"> </w:t>
      </w:r>
      <w:r w:rsidR="00A044B7">
        <w:rPr>
          <w:rFonts w:ascii="Times New Roman" w:hAnsi="Times New Roman" w:cs="Times New Roman"/>
          <w:sz w:val="24"/>
          <w:szCs w:val="24"/>
        </w:rPr>
        <w:t>encourage</w:t>
      </w:r>
      <w:r w:rsidR="0025409E">
        <w:rPr>
          <w:rFonts w:ascii="Times New Roman" w:hAnsi="Times New Roman" w:cs="Times New Roman"/>
          <w:sz w:val="24"/>
          <w:szCs w:val="24"/>
        </w:rPr>
        <w:t xml:space="preserve"> the child to participate until they feel they can no longer (</w:t>
      </w:r>
      <w:r w:rsidR="0025409E" w:rsidRPr="0025409E">
        <w:rPr>
          <w:rFonts w:ascii="Times New Roman" w:hAnsi="Times New Roman" w:cs="Times New Roman"/>
          <w:sz w:val="24"/>
          <w:szCs w:val="24"/>
        </w:rPr>
        <w:t>Goldstein</w:t>
      </w:r>
      <w:r w:rsidR="0025409E">
        <w:rPr>
          <w:rFonts w:ascii="Times New Roman" w:hAnsi="Times New Roman" w:cs="Times New Roman"/>
          <w:sz w:val="24"/>
          <w:szCs w:val="24"/>
        </w:rPr>
        <w:t>, 2019).</w:t>
      </w:r>
      <w:r w:rsidR="00975AE2">
        <w:rPr>
          <w:rFonts w:ascii="Times New Roman" w:hAnsi="Times New Roman" w:cs="Times New Roman"/>
          <w:sz w:val="24"/>
          <w:szCs w:val="24"/>
        </w:rPr>
        <w:t xml:space="preserve"> </w:t>
      </w:r>
    </w:p>
    <w:p w14:paraId="299850B1" w14:textId="76101089" w:rsidR="0025409E" w:rsidRDefault="00A044B7" w:rsidP="00A044B7">
      <w:pPr>
        <w:spacing w:line="360" w:lineRule="auto"/>
        <w:jc w:val="both"/>
        <w:rPr>
          <w:rFonts w:ascii="Times New Roman" w:hAnsi="Times New Roman" w:cs="Times New Roman"/>
          <w:sz w:val="24"/>
          <w:szCs w:val="24"/>
        </w:rPr>
      </w:pPr>
      <w:r w:rsidRPr="00146086">
        <w:rPr>
          <w:rFonts w:ascii="Times New Roman" w:hAnsi="Times New Roman" w:cs="Times New Roman"/>
          <w:sz w:val="24"/>
          <w:szCs w:val="24"/>
        </w:rPr>
        <w:t>Atkinson</w:t>
      </w:r>
      <w:r>
        <w:rPr>
          <w:rFonts w:ascii="Times New Roman" w:hAnsi="Times New Roman" w:cs="Times New Roman"/>
          <w:sz w:val="24"/>
          <w:szCs w:val="24"/>
        </w:rPr>
        <w:t xml:space="preserve">, Jones and </w:t>
      </w:r>
      <w:proofErr w:type="spellStart"/>
      <w:r>
        <w:rPr>
          <w:rFonts w:ascii="Times New Roman" w:hAnsi="Times New Roman" w:cs="Times New Roman"/>
          <w:sz w:val="24"/>
          <w:szCs w:val="24"/>
        </w:rPr>
        <w:t>Lamout</w:t>
      </w:r>
      <w:proofErr w:type="spellEnd"/>
      <w:r>
        <w:rPr>
          <w:rFonts w:ascii="Times New Roman" w:hAnsi="Times New Roman" w:cs="Times New Roman"/>
          <w:sz w:val="24"/>
          <w:szCs w:val="24"/>
        </w:rPr>
        <w:t xml:space="preserve"> </w:t>
      </w:r>
      <w:r w:rsidR="0025409E" w:rsidRPr="0025409E">
        <w:rPr>
          <w:rFonts w:ascii="Times New Roman" w:hAnsi="Times New Roman" w:cs="Times New Roman"/>
          <w:sz w:val="24"/>
          <w:szCs w:val="24"/>
        </w:rPr>
        <w:t xml:space="preserve">(2007) highlight that for multi-agency work to be successful members need to be committed, understand their roles and those of other panel members , and to trust  and mutually respect each other. This will have implications for the wellbeing of the child. Important to this, and crucial in a school setting, is person-centred planning. The needs of the child </w:t>
      </w:r>
      <w:proofErr w:type="gramStart"/>
      <w:r w:rsidR="0025409E" w:rsidRPr="0025409E">
        <w:rPr>
          <w:rFonts w:ascii="Times New Roman" w:hAnsi="Times New Roman" w:cs="Times New Roman"/>
          <w:sz w:val="24"/>
          <w:szCs w:val="24"/>
        </w:rPr>
        <w:t>have to</w:t>
      </w:r>
      <w:proofErr w:type="gramEnd"/>
      <w:r w:rsidR="0025409E" w:rsidRPr="0025409E">
        <w:rPr>
          <w:rFonts w:ascii="Times New Roman" w:hAnsi="Times New Roman" w:cs="Times New Roman"/>
          <w:sz w:val="24"/>
          <w:szCs w:val="24"/>
        </w:rPr>
        <w:t xml:space="preserve"> be the focus for every professional involved. Part of the new Additional Learning Needs and Education Tribunal (Wales) Act (2017) stresses the importance of  putting the needs and wishes of all learners at the centre of the learning process so that they can reach their full potential</w:t>
      </w:r>
      <w:r w:rsidR="0025409E">
        <w:rPr>
          <w:rFonts w:ascii="Times New Roman" w:hAnsi="Times New Roman" w:cs="Times New Roman"/>
          <w:sz w:val="24"/>
          <w:szCs w:val="24"/>
        </w:rPr>
        <w:t xml:space="preserve"> </w:t>
      </w:r>
      <w:r>
        <w:rPr>
          <w:rFonts w:ascii="Times New Roman" w:hAnsi="Times New Roman" w:cs="Times New Roman"/>
          <w:sz w:val="24"/>
          <w:szCs w:val="24"/>
        </w:rPr>
        <w:t>(</w:t>
      </w:r>
      <w:r w:rsidRPr="00A044B7">
        <w:rPr>
          <w:rFonts w:ascii="Times New Roman" w:hAnsi="Times New Roman" w:cs="Times New Roman"/>
          <w:i/>
          <w:iCs/>
          <w:sz w:val="24"/>
          <w:szCs w:val="24"/>
        </w:rPr>
        <w:t>Additional learning needs (ALN), 2016</w:t>
      </w:r>
      <w:r>
        <w:rPr>
          <w:rFonts w:ascii="Times New Roman" w:hAnsi="Times New Roman" w:cs="Times New Roman"/>
          <w:sz w:val="24"/>
          <w:szCs w:val="24"/>
        </w:rPr>
        <w:t xml:space="preserve">). </w:t>
      </w:r>
    </w:p>
    <w:p w14:paraId="61574E4E" w14:textId="75A6C291" w:rsidR="00B73D57" w:rsidRDefault="00B73D57" w:rsidP="00A044B7">
      <w:pPr>
        <w:spacing w:line="360" w:lineRule="auto"/>
        <w:jc w:val="both"/>
        <w:rPr>
          <w:rFonts w:ascii="Times New Roman" w:hAnsi="Times New Roman" w:cs="Times New Roman"/>
          <w:sz w:val="24"/>
          <w:szCs w:val="24"/>
        </w:rPr>
      </w:pPr>
      <w:bookmarkStart w:id="4" w:name="_Hlk15930904"/>
      <w:r>
        <w:rPr>
          <w:rFonts w:ascii="Times New Roman" w:hAnsi="Times New Roman" w:cs="Times New Roman"/>
          <w:sz w:val="24"/>
          <w:szCs w:val="24"/>
        </w:rPr>
        <w:t xml:space="preserve">The Social Services and Well-being (Wales) Act 2014 </w:t>
      </w:r>
      <w:bookmarkEnd w:id="4"/>
      <w:r>
        <w:rPr>
          <w:rFonts w:ascii="Times New Roman" w:hAnsi="Times New Roman" w:cs="Times New Roman"/>
          <w:sz w:val="24"/>
          <w:szCs w:val="24"/>
        </w:rPr>
        <w:t>section 10 is dedicated for advocates and complaints, its aim is to increase the understanding of “independent professional advocates” and knowledge surrounding the field.  It details the role of an advocate as someone who can identify abuse, has no conflict of interest. An implication to the legislation could be that as an advocate the individual is based at the centre of all they do</w:t>
      </w:r>
      <w:r w:rsidR="00535193">
        <w:rPr>
          <w:rFonts w:ascii="Times New Roman" w:hAnsi="Times New Roman" w:cs="Times New Roman"/>
          <w:sz w:val="24"/>
          <w:szCs w:val="24"/>
        </w:rPr>
        <w:t xml:space="preserve">, decisions are not made on best interests but what the individual they are supporting directs them with their wishes, their relationship is one that is based on trust and the advocate should be empowering the </w:t>
      </w:r>
      <w:r w:rsidR="00535193">
        <w:rPr>
          <w:rFonts w:ascii="Times New Roman" w:hAnsi="Times New Roman" w:cs="Times New Roman"/>
          <w:sz w:val="24"/>
          <w:szCs w:val="24"/>
        </w:rPr>
        <w:lastRenderedPageBreak/>
        <w:t xml:space="preserve">individual. </w:t>
      </w:r>
      <w:r w:rsidR="00912A56">
        <w:rPr>
          <w:rFonts w:ascii="Times New Roman" w:hAnsi="Times New Roman" w:cs="Times New Roman"/>
          <w:sz w:val="24"/>
          <w:szCs w:val="24"/>
        </w:rPr>
        <w:t>They are solely focused on enabling the client to have control, that they are aware of their rights and maximising the individuals voice (</w:t>
      </w:r>
      <w:r w:rsidR="00912A56" w:rsidRPr="00912A56">
        <w:rPr>
          <w:rFonts w:ascii="Times New Roman" w:hAnsi="Times New Roman" w:cs="Times New Roman"/>
          <w:i/>
          <w:iCs/>
          <w:sz w:val="24"/>
          <w:szCs w:val="24"/>
        </w:rPr>
        <w:t>The Social Services and Well-being (Wales) Act 2014</w:t>
      </w:r>
      <w:r w:rsidR="00912A56">
        <w:rPr>
          <w:rFonts w:ascii="Times New Roman" w:hAnsi="Times New Roman" w:cs="Times New Roman"/>
          <w:sz w:val="24"/>
          <w:szCs w:val="24"/>
        </w:rPr>
        <w:t xml:space="preserve">).  </w:t>
      </w:r>
    </w:p>
    <w:p w14:paraId="15C51DB4" w14:textId="2A220B56" w:rsidR="00912A56" w:rsidRDefault="00912A56" w:rsidP="0085564C">
      <w:pPr>
        <w:pStyle w:val="paragraph"/>
        <w:spacing w:before="0" w:beforeAutospacing="0" w:after="0" w:afterAutospacing="0" w:line="360" w:lineRule="auto"/>
        <w:jc w:val="both"/>
        <w:textAlignment w:val="baseline"/>
        <w:rPr>
          <w:rStyle w:val="eop"/>
        </w:rPr>
      </w:pPr>
      <w:r>
        <w:rPr>
          <w:rStyle w:val="eop"/>
          <w:rFonts w:ascii="Arial" w:hAnsi="Arial" w:cs="Arial"/>
        </w:rPr>
        <w:t>​</w:t>
      </w:r>
      <w:r>
        <w:rPr>
          <w:rStyle w:val="eop"/>
        </w:rPr>
        <w:t xml:space="preserve">The act set out guideline on how practitioners are to enable and encourage </w:t>
      </w:r>
      <w:r w:rsidR="0085564C">
        <w:rPr>
          <w:rStyle w:val="eop"/>
        </w:rPr>
        <w:t>individuals</w:t>
      </w:r>
      <w:r>
        <w:rPr>
          <w:rStyle w:val="eop"/>
        </w:rPr>
        <w:t xml:space="preserve"> to achieve a positive well-being this will involve seeking additional resources </w:t>
      </w:r>
      <w:r w:rsidR="0085564C">
        <w:rPr>
          <w:rStyle w:val="eop"/>
        </w:rPr>
        <w:t xml:space="preserve">and using people’s abilities and strengths. </w:t>
      </w:r>
      <w:r w:rsidR="0085564C" w:rsidRPr="0085564C">
        <w:rPr>
          <w:rStyle w:val="eop"/>
          <w:i/>
          <w:iCs/>
        </w:rPr>
        <w:t>The Social Services and Well-being (Wales) Act 2014</w:t>
      </w:r>
      <w:r w:rsidR="0085564C">
        <w:rPr>
          <w:rStyle w:val="eop"/>
        </w:rPr>
        <w:t xml:space="preserve"> defines well-being with eight common characteristics these are: “Protection from neglect and abuse” “contributing towards the community” “mental health, physical and emotional well-being” “suitable housing” “economic and social well-being” “knowing what a person is entitled to and </w:t>
      </w:r>
      <w:r w:rsidR="00883E1B">
        <w:rPr>
          <w:rStyle w:val="eop"/>
        </w:rPr>
        <w:t>securing</w:t>
      </w:r>
      <w:r w:rsidR="0085564C">
        <w:rPr>
          <w:rStyle w:val="eop"/>
        </w:rPr>
        <w:t xml:space="preserve"> their rights” “having and maintaining positive relationships” and having access to “education and training”. </w:t>
      </w:r>
    </w:p>
    <w:p w14:paraId="425505AB" w14:textId="4D7F1622" w:rsidR="0085564C" w:rsidRDefault="0085564C" w:rsidP="00C804D3">
      <w:pPr>
        <w:pStyle w:val="paragraph"/>
        <w:spacing w:before="0" w:beforeAutospacing="0" w:after="0" w:afterAutospacing="0" w:line="360" w:lineRule="auto"/>
        <w:jc w:val="both"/>
        <w:textAlignment w:val="baseline"/>
        <w:rPr>
          <w:rFonts w:eastAsiaTheme="minorEastAsia"/>
          <w:color w:val="000000"/>
          <w:kern w:val="24"/>
          <w:lang w:val="en-US"/>
        </w:rPr>
      </w:pPr>
      <w:r>
        <w:rPr>
          <w:rStyle w:val="eop"/>
        </w:rPr>
        <w:t>Further implications for multiagency is the advocate is not present for a company or agency they are present for the individual</w:t>
      </w:r>
      <w:r w:rsidR="00563982">
        <w:rPr>
          <w:rStyle w:val="eop"/>
        </w:rPr>
        <w:t xml:space="preserve">, advocates provide individuals with all relevant information, this enables the individual to be involved and they encourage the </w:t>
      </w:r>
      <w:r w:rsidR="00457B55">
        <w:rPr>
          <w:rStyle w:val="eop"/>
        </w:rPr>
        <w:t>individual</w:t>
      </w:r>
      <w:r w:rsidR="00563982">
        <w:rPr>
          <w:rStyle w:val="eop"/>
        </w:rPr>
        <w:t xml:space="preserve"> to contribute and when possible lead the support they </w:t>
      </w:r>
      <w:r w:rsidR="00563982" w:rsidRPr="00C804D3">
        <w:rPr>
          <w:rStyle w:val="eop"/>
        </w:rPr>
        <w:t>require (</w:t>
      </w:r>
      <w:r w:rsidR="00563982" w:rsidRPr="00C804D3">
        <w:rPr>
          <w:rFonts w:eastAsiaTheme="minorEastAsia"/>
          <w:color w:val="000000"/>
          <w:kern w:val="24"/>
          <w:lang w:val="en-US"/>
        </w:rPr>
        <w:t>Advocacy Code of Practice</w:t>
      </w:r>
      <w:r w:rsidR="00563982" w:rsidRPr="00C804D3">
        <w:rPr>
          <w:rFonts w:eastAsiaTheme="minorEastAsia"/>
          <w:color w:val="000000"/>
          <w:kern w:val="24"/>
          <w:lang w:val="en-US"/>
        </w:rPr>
        <w:t xml:space="preserve">, </w:t>
      </w:r>
      <w:r w:rsidR="00563982" w:rsidRPr="00C804D3">
        <w:rPr>
          <w:rFonts w:eastAsiaTheme="minorEastAsia"/>
          <w:color w:val="000000"/>
          <w:kern w:val="24"/>
          <w:lang w:val="en-US"/>
        </w:rPr>
        <w:t>2014</w:t>
      </w:r>
      <w:r w:rsidR="00563982" w:rsidRPr="00C804D3">
        <w:rPr>
          <w:rFonts w:eastAsiaTheme="minorEastAsia"/>
          <w:color w:val="000000"/>
          <w:kern w:val="24"/>
          <w:lang w:val="en-US"/>
        </w:rPr>
        <w:t>)</w:t>
      </w:r>
      <w:r w:rsidR="00DD0FF7" w:rsidRPr="00C804D3">
        <w:rPr>
          <w:rFonts w:eastAsiaTheme="minorEastAsia"/>
          <w:color w:val="000000"/>
          <w:kern w:val="24"/>
          <w:lang w:val="en-US"/>
        </w:rPr>
        <w:t xml:space="preserve">. According to the </w:t>
      </w:r>
      <w:r w:rsidR="00883E1B" w:rsidRPr="00C804D3">
        <w:rPr>
          <w:rFonts w:eastAsiaTheme="minorEastAsia"/>
          <w:i/>
          <w:iCs/>
          <w:color w:val="000000"/>
          <w:kern w:val="24"/>
          <w:lang w:val="en-US"/>
        </w:rPr>
        <w:t>Social Service Well-being (Wales) Act 2014</w:t>
      </w:r>
      <w:r w:rsidR="00883E1B" w:rsidRPr="00C804D3">
        <w:rPr>
          <w:rFonts w:eastAsiaTheme="minorEastAsia"/>
          <w:color w:val="000000"/>
          <w:kern w:val="24"/>
          <w:lang w:val="en-US"/>
        </w:rPr>
        <w:t xml:space="preserve"> individuals have become </w:t>
      </w:r>
      <w:r w:rsidR="00457B55" w:rsidRPr="00C804D3">
        <w:rPr>
          <w:rFonts w:eastAsiaTheme="minorEastAsia"/>
          <w:color w:val="000000"/>
          <w:kern w:val="24"/>
          <w:lang w:val="en-US"/>
        </w:rPr>
        <w:t>“</w:t>
      </w:r>
      <w:r w:rsidR="00883E1B" w:rsidRPr="00C804D3">
        <w:rPr>
          <w:rFonts w:eastAsiaTheme="minorEastAsia"/>
          <w:color w:val="000000"/>
          <w:kern w:val="24"/>
          <w:lang w:val="en-US"/>
        </w:rPr>
        <w:t xml:space="preserve">active </w:t>
      </w:r>
      <w:r w:rsidR="00457B55" w:rsidRPr="00C804D3">
        <w:rPr>
          <w:rFonts w:eastAsiaTheme="minorEastAsia"/>
          <w:color w:val="000000"/>
          <w:kern w:val="24"/>
          <w:lang w:val="en-US"/>
        </w:rPr>
        <w:t>partners”</w:t>
      </w:r>
      <w:r w:rsidR="00883E1B" w:rsidRPr="00C804D3">
        <w:rPr>
          <w:rFonts w:eastAsiaTheme="minorEastAsia"/>
          <w:color w:val="000000"/>
          <w:kern w:val="24"/>
          <w:lang w:val="en-US"/>
        </w:rPr>
        <w:t xml:space="preserve"> in their</w:t>
      </w:r>
      <w:r w:rsidR="00457B55" w:rsidRPr="00C804D3">
        <w:rPr>
          <w:rFonts w:eastAsiaTheme="minorEastAsia"/>
          <w:color w:val="000000"/>
          <w:kern w:val="24"/>
          <w:lang w:val="en-US"/>
        </w:rPr>
        <w:t xml:space="preserve"> own support and care, they are sourcing preventative services, advice and assistance. The act promotes person centered </w:t>
      </w:r>
      <w:r w:rsidR="00C804D3" w:rsidRPr="00C804D3">
        <w:rPr>
          <w:rFonts w:eastAsiaTheme="minorEastAsia"/>
          <w:color w:val="000000"/>
          <w:kern w:val="24"/>
          <w:lang w:val="en-US"/>
        </w:rPr>
        <w:t xml:space="preserve">approach </w:t>
      </w:r>
      <w:r w:rsidR="00457B55" w:rsidRPr="00C804D3">
        <w:rPr>
          <w:rFonts w:eastAsiaTheme="minorEastAsia"/>
          <w:color w:val="000000"/>
          <w:kern w:val="24"/>
          <w:lang w:val="en-US"/>
        </w:rPr>
        <w:t xml:space="preserve">they place the individual and their well-being goals at the center of the new framework this is supported with agencies now introducing “outcome </w:t>
      </w:r>
      <w:r w:rsidR="009F3CD7" w:rsidRPr="00C804D3">
        <w:rPr>
          <w:rFonts w:eastAsiaTheme="minorEastAsia"/>
          <w:color w:val="000000"/>
          <w:kern w:val="24"/>
          <w:lang w:val="en-US"/>
        </w:rPr>
        <w:t>star”</w:t>
      </w:r>
      <w:r w:rsidR="009F3CD7">
        <w:rPr>
          <w:rFonts w:eastAsiaTheme="minorEastAsia"/>
          <w:color w:val="000000"/>
          <w:kern w:val="24"/>
          <w:lang w:val="en-US"/>
        </w:rPr>
        <w:t xml:space="preserve"> (Outcomes Star, 2019)</w:t>
      </w:r>
      <w:r w:rsidR="00C804D3" w:rsidRPr="00C804D3">
        <w:rPr>
          <w:rFonts w:eastAsiaTheme="minorEastAsia"/>
          <w:color w:val="000000"/>
          <w:kern w:val="24"/>
          <w:lang w:val="en-US"/>
        </w:rPr>
        <w:t xml:space="preserve">. </w:t>
      </w:r>
      <w:r w:rsidR="009F3CD7">
        <w:rPr>
          <w:rFonts w:eastAsiaTheme="minorEastAsia"/>
          <w:color w:val="000000"/>
          <w:kern w:val="24"/>
          <w:lang w:val="en-US"/>
        </w:rPr>
        <w:t>Outcomes Star (2019) suggest the u</w:t>
      </w:r>
      <w:r w:rsidR="00C804D3" w:rsidRPr="00C804D3">
        <w:rPr>
          <w:rFonts w:eastAsiaTheme="minorEastAsia"/>
          <w:color w:val="000000"/>
          <w:kern w:val="24"/>
          <w:lang w:val="en-US"/>
        </w:rPr>
        <w:t>nderpinning values of “outcome star” are integration, collaboration and empowerment these coincide along with person-centered. The star concentrates on positives for the individuals it places their perspectives and priorities and the center. It also offers a holistic approach by focusing on what progression the individual has not just areas of difficulty, by doing this it enables a “strengths-based approach”</w:t>
      </w:r>
      <w:r w:rsidR="009F3CD7">
        <w:rPr>
          <w:rFonts w:eastAsiaTheme="minorEastAsia"/>
          <w:color w:val="000000"/>
          <w:kern w:val="24"/>
          <w:lang w:val="en-US"/>
        </w:rPr>
        <w:t>,</w:t>
      </w:r>
      <w:r w:rsidR="00C804D3" w:rsidRPr="00C804D3">
        <w:rPr>
          <w:rFonts w:eastAsiaTheme="minorEastAsia"/>
          <w:color w:val="000000"/>
          <w:kern w:val="24"/>
          <w:lang w:val="en-US"/>
        </w:rPr>
        <w:t xml:space="preserve"> </w:t>
      </w:r>
      <w:r w:rsidR="00C804D3">
        <w:rPr>
          <w:rFonts w:eastAsiaTheme="minorEastAsia"/>
          <w:color w:val="000000"/>
          <w:kern w:val="24"/>
          <w:lang w:val="en-US"/>
        </w:rPr>
        <w:t>In a</w:t>
      </w:r>
      <w:r w:rsidR="009F3CD7">
        <w:rPr>
          <w:rFonts w:eastAsiaTheme="minorEastAsia"/>
          <w:color w:val="000000"/>
          <w:kern w:val="24"/>
          <w:lang w:val="en-US"/>
        </w:rPr>
        <w:t xml:space="preserve">greement with the </w:t>
      </w:r>
      <w:r w:rsidR="009F3CD7" w:rsidRPr="009F3CD7">
        <w:rPr>
          <w:rFonts w:eastAsiaTheme="minorEastAsia"/>
          <w:i/>
          <w:iCs/>
          <w:color w:val="000000"/>
          <w:kern w:val="24"/>
          <w:lang w:val="en-US"/>
        </w:rPr>
        <w:t>Social Services and Well-being (Wales) Act 2014</w:t>
      </w:r>
      <w:r w:rsidR="009F3CD7">
        <w:rPr>
          <w:rFonts w:eastAsiaTheme="minorEastAsia"/>
          <w:color w:val="000000"/>
          <w:kern w:val="24"/>
          <w:lang w:val="en-US"/>
        </w:rPr>
        <w:t xml:space="preserve"> the individual is the expert of their own needs and is seen as “active partner”.</w:t>
      </w:r>
      <w:r w:rsidR="00C9698E">
        <w:rPr>
          <w:rFonts w:eastAsiaTheme="minorEastAsia"/>
          <w:color w:val="000000"/>
          <w:kern w:val="24"/>
          <w:lang w:val="en-US"/>
        </w:rPr>
        <w:t xml:space="preserve"> </w:t>
      </w:r>
    </w:p>
    <w:p w14:paraId="13010107" w14:textId="7FFC9A31" w:rsidR="009F3CD7" w:rsidRDefault="00C9698E" w:rsidP="00281421">
      <w:pPr>
        <w:pStyle w:val="paragraph"/>
        <w:spacing w:before="0" w:beforeAutospacing="0" w:after="0" w:afterAutospacing="0" w:line="360" w:lineRule="auto"/>
        <w:jc w:val="both"/>
        <w:textAlignment w:val="baseline"/>
        <w:rPr>
          <w:rFonts w:eastAsiaTheme="minorEastAsia"/>
          <w:color w:val="000000"/>
          <w:kern w:val="24"/>
          <w:lang w:val="en-US"/>
        </w:rPr>
      </w:pPr>
      <w:r>
        <w:rPr>
          <w:rFonts w:eastAsiaTheme="minorEastAsia"/>
          <w:color w:val="000000"/>
          <w:kern w:val="24"/>
          <w:lang w:val="en-US"/>
        </w:rPr>
        <w:t>Other complications for effective multiagency for an advocate due to the increasing emphasis on well-being could be as stated by the Social Services and Well-being (Wales) Act are</w:t>
      </w:r>
      <w:r w:rsidR="00D60B8D">
        <w:rPr>
          <w:rFonts w:eastAsiaTheme="minorEastAsia"/>
          <w:color w:val="000000"/>
          <w:kern w:val="24"/>
          <w:lang w:val="en-US"/>
        </w:rPr>
        <w:t xml:space="preserve"> restrictions to time,</w:t>
      </w:r>
      <w:r>
        <w:rPr>
          <w:rFonts w:eastAsiaTheme="minorEastAsia"/>
          <w:color w:val="000000"/>
          <w:kern w:val="24"/>
          <w:lang w:val="en-US"/>
        </w:rPr>
        <w:t xml:space="preserve"> </w:t>
      </w:r>
      <w:r w:rsidR="00D60B8D">
        <w:rPr>
          <w:rFonts w:eastAsiaTheme="minorEastAsia"/>
          <w:color w:val="000000"/>
          <w:kern w:val="24"/>
          <w:lang w:val="en-US"/>
        </w:rPr>
        <w:t xml:space="preserve">juggling a large case load, </w:t>
      </w:r>
      <w:r w:rsidR="00BA0B1C">
        <w:rPr>
          <w:rFonts w:eastAsiaTheme="minorEastAsia"/>
          <w:color w:val="000000"/>
          <w:kern w:val="24"/>
          <w:lang w:val="en-US"/>
        </w:rPr>
        <w:t>finding a suitable balance between “mandatory eligibility criteria and personal outcomes”</w:t>
      </w:r>
      <w:r w:rsidR="00281421">
        <w:rPr>
          <w:rFonts w:eastAsiaTheme="minorEastAsia"/>
          <w:color w:val="000000"/>
          <w:kern w:val="24"/>
          <w:lang w:val="en-US"/>
        </w:rPr>
        <w:t xml:space="preserve"> changing agencies outlooks about empowering the individual and working to a outcomes-led position rather than a service led, </w:t>
      </w:r>
      <w:r w:rsidR="00BA0B1C">
        <w:rPr>
          <w:rFonts w:eastAsiaTheme="minorEastAsia"/>
          <w:color w:val="000000"/>
          <w:kern w:val="24"/>
          <w:lang w:val="en-US"/>
        </w:rPr>
        <w:t xml:space="preserve"> the individual not being able to participate due to lack of understanding or retaining information, </w:t>
      </w:r>
      <w:r w:rsidR="00281421">
        <w:rPr>
          <w:rFonts w:eastAsiaTheme="minorEastAsia"/>
          <w:color w:val="000000"/>
          <w:kern w:val="24"/>
          <w:lang w:val="en-US"/>
        </w:rPr>
        <w:t xml:space="preserve">communicating their feelings, wishes and feelings. These implications could have an adverse effect on a young </w:t>
      </w:r>
      <w:r w:rsidR="00281421">
        <w:rPr>
          <w:rFonts w:eastAsiaTheme="minorEastAsia"/>
          <w:color w:val="000000"/>
          <w:kern w:val="24"/>
          <w:lang w:val="en-US"/>
        </w:rPr>
        <w:lastRenderedPageBreak/>
        <w:t xml:space="preserve">child, the information the advocate provides need to be delivered in a way the child can understand. </w:t>
      </w:r>
    </w:p>
    <w:p w14:paraId="18B44B81" w14:textId="213986CE" w:rsidR="00281421" w:rsidRDefault="00281421" w:rsidP="00281421">
      <w:pPr>
        <w:pStyle w:val="paragraph"/>
        <w:spacing w:before="0" w:beforeAutospacing="0" w:after="0" w:afterAutospacing="0" w:line="360" w:lineRule="auto"/>
        <w:jc w:val="both"/>
        <w:textAlignment w:val="baseline"/>
        <w:rPr>
          <w:rFonts w:eastAsiaTheme="minorEastAsia"/>
          <w:color w:val="000000"/>
          <w:kern w:val="24"/>
          <w:lang w:val="en-US"/>
        </w:rPr>
      </w:pPr>
      <w:r>
        <w:rPr>
          <w:rFonts w:eastAsiaTheme="minorEastAsia"/>
          <w:color w:val="000000"/>
          <w:kern w:val="24"/>
          <w:lang w:val="en-US"/>
        </w:rPr>
        <w:t xml:space="preserve">The </w:t>
      </w:r>
      <w:bookmarkStart w:id="5" w:name="_Hlk15939715"/>
      <w:r w:rsidRPr="00281421">
        <w:rPr>
          <w:rFonts w:eastAsiaTheme="minorEastAsia"/>
          <w:i/>
          <w:iCs/>
          <w:color w:val="000000"/>
          <w:kern w:val="24"/>
          <w:lang w:val="en-US"/>
        </w:rPr>
        <w:t>Well-being of Future Generations (Wales) Act 2015</w:t>
      </w:r>
      <w:r>
        <w:rPr>
          <w:rFonts w:eastAsiaTheme="minorEastAsia"/>
          <w:i/>
          <w:iCs/>
          <w:color w:val="000000"/>
          <w:kern w:val="24"/>
          <w:lang w:val="en-US"/>
        </w:rPr>
        <w:t xml:space="preserve"> </w:t>
      </w:r>
      <w:bookmarkEnd w:id="5"/>
      <w:r>
        <w:rPr>
          <w:rFonts w:eastAsiaTheme="minorEastAsia"/>
          <w:color w:val="000000"/>
          <w:kern w:val="24"/>
          <w:lang w:val="en-US"/>
        </w:rPr>
        <w:t xml:space="preserve">was created as Wales </w:t>
      </w:r>
      <w:r w:rsidR="00BC1FA4">
        <w:rPr>
          <w:rFonts w:eastAsiaTheme="minorEastAsia"/>
          <w:color w:val="000000"/>
          <w:kern w:val="24"/>
          <w:lang w:val="en-US"/>
        </w:rPr>
        <w:t xml:space="preserve">has numerous challenges ahead things like health inequalities, poverty lack of employment and the growth of the country, they have decided to start tackling these issues and create a better quality of life for the future generation. To achieve a better quality of life they have created the “seven well-being goals” all public bodies must achieve the goals. The goals are: “A prosperous Wales” this means that poverty is eradicated, and everyone is in employment. “A healthier Wales” where GP’s are easily accessed when needed and people are healthier. “A more equal Wales” by this the government means that regardless of </w:t>
      </w:r>
      <w:r w:rsidR="001C574C">
        <w:rPr>
          <w:rFonts w:eastAsiaTheme="minorEastAsia"/>
          <w:color w:val="000000"/>
          <w:kern w:val="24"/>
          <w:lang w:val="en-US"/>
        </w:rPr>
        <w:t>one’s</w:t>
      </w:r>
      <w:r w:rsidR="00BC1FA4">
        <w:rPr>
          <w:rFonts w:eastAsiaTheme="minorEastAsia"/>
          <w:color w:val="000000"/>
          <w:kern w:val="24"/>
          <w:lang w:val="en-US"/>
        </w:rPr>
        <w:t xml:space="preserve"> background everyone should be able to achieve the same life trajectory. </w:t>
      </w:r>
      <w:r w:rsidR="001C574C">
        <w:rPr>
          <w:rFonts w:eastAsiaTheme="minorEastAsia"/>
          <w:color w:val="000000"/>
          <w:kern w:val="24"/>
          <w:lang w:val="en-US"/>
        </w:rPr>
        <w:t xml:space="preserve">“A Wales of cohesive communities” where communities co-exist happily. “A Wales of vibrant culture and thriving Welsh language” where the language is taught to all and we have a variety of different opportunities available. “A globally responsible Wales” where we become global citizens are aware of our environments and assist to look out for one and another. “A resilient Wales” preparing Wales for natural disasters such as floods. All of these contribute to a positive well-being and can cause implications to multiagency due to the fact of funding. </w:t>
      </w:r>
    </w:p>
    <w:p w14:paraId="73EE0729" w14:textId="735A2BB7" w:rsidR="006C0A0C" w:rsidRDefault="001C574C" w:rsidP="006C0A0C">
      <w:pPr>
        <w:pStyle w:val="paragraph"/>
        <w:spacing w:before="0" w:beforeAutospacing="0" w:after="0" w:afterAutospacing="0" w:line="360" w:lineRule="auto"/>
        <w:jc w:val="both"/>
        <w:textAlignment w:val="baseline"/>
        <w:rPr>
          <w:rFonts w:eastAsiaTheme="minorEastAsia"/>
          <w:color w:val="000000"/>
          <w:kern w:val="24"/>
          <w:lang w:val="en-US"/>
        </w:rPr>
      </w:pPr>
      <w:r w:rsidRPr="00AC386A">
        <w:rPr>
          <w:rFonts w:eastAsiaTheme="minorEastAsia"/>
          <w:i/>
          <w:iCs/>
          <w:color w:val="000000"/>
          <w:kern w:val="24"/>
          <w:lang w:val="en-US"/>
        </w:rPr>
        <w:t>The Social Services and Well-being (Wales) Act 2014</w:t>
      </w:r>
      <w:r>
        <w:rPr>
          <w:rFonts w:eastAsiaTheme="minorEastAsia"/>
          <w:color w:val="000000"/>
          <w:kern w:val="24"/>
          <w:lang w:val="en-US"/>
        </w:rPr>
        <w:t xml:space="preserve"> </w:t>
      </w:r>
      <w:r w:rsidR="00AC386A">
        <w:rPr>
          <w:rFonts w:eastAsiaTheme="minorEastAsia"/>
          <w:color w:val="000000"/>
          <w:kern w:val="24"/>
          <w:lang w:val="en-US"/>
        </w:rPr>
        <w:t xml:space="preserve">puts advocacy in the </w:t>
      </w:r>
      <w:proofErr w:type="spellStart"/>
      <w:r w:rsidR="00AC386A">
        <w:rPr>
          <w:rFonts w:eastAsiaTheme="minorEastAsia"/>
          <w:color w:val="000000"/>
          <w:kern w:val="24"/>
          <w:lang w:val="en-US"/>
        </w:rPr>
        <w:t>centre</w:t>
      </w:r>
      <w:proofErr w:type="spellEnd"/>
      <w:r w:rsidR="00AC386A">
        <w:rPr>
          <w:rFonts w:eastAsiaTheme="minorEastAsia"/>
          <w:color w:val="000000"/>
          <w:kern w:val="24"/>
          <w:lang w:val="en-US"/>
        </w:rPr>
        <w:t xml:space="preserve"> itself to enable social support around </w:t>
      </w:r>
      <w:r w:rsidR="006C0A0C">
        <w:rPr>
          <w:rFonts w:eastAsiaTheme="minorEastAsia"/>
          <w:color w:val="000000"/>
          <w:kern w:val="24"/>
          <w:lang w:val="en-US"/>
        </w:rPr>
        <w:t>individuals</w:t>
      </w:r>
      <w:r w:rsidR="00AC386A">
        <w:rPr>
          <w:rFonts w:eastAsiaTheme="minorEastAsia"/>
          <w:color w:val="000000"/>
          <w:kern w:val="24"/>
          <w:lang w:val="en-US"/>
        </w:rPr>
        <w:t>,</w:t>
      </w:r>
      <w:bookmarkStart w:id="6" w:name="_GoBack"/>
      <w:bookmarkEnd w:id="6"/>
      <w:r w:rsidR="00AC386A">
        <w:rPr>
          <w:rFonts w:eastAsiaTheme="minorEastAsia"/>
          <w:color w:val="000000"/>
          <w:kern w:val="24"/>
          <w:lang w:val="en-US"/>
        </w:rPr>
        <w:t xml:space="preserve"> it encourages people to become active and lead the support they require by expressing their opinions, views and feelings. it concentrates on their well-</w:t>
      </w:r>
      <w:r w:rsidR="00AC386A" w:rsidRPr="008A569E">
        <w:rPr>
          <w:rFonts w:eastAsiaTheme="minorEastAsia"/>
          <w:kern w:val="24"/>
          <w:lang w:val="en-US"/>
        </w:rPr>
        <w:t>being. Advocacy empowers people to have a “voice, choice and control” (</w:t>
      </w:r>
      <w:r w:rsidR="00AC386A" w:rsidRPr="008A569E">
        <w:rPr>
          <w:shd w:val="clear" w:color="auto" w:fill="FFFFFF"/>
        </w:rPr>
        <w:t>Gentile, 2012</w:t>
      </w:r>
      <w:r w:rsidR="00AC386A" w:rsidRPr="008A569E">
        <w:rPr>
          <w:shd w:val="clear" w:color="auto" w:fill="FFFFFF"/>
        </w:rPr>
        <w:t>). Advocacy is the “golden thread” it enables agencies to focus on individuals and their own personal well-being goals</w:t>
      </w:r>
      <w:r w:rsidR="008A569E" w:rsidRPr="008A569E">
        <w:rPr>
          <w:shd w:val="clear" w:color="auto" w:fill="FFFFFF"/>
        </w:rPr>
        <w:t xml:space="preserve"> it is throughout the whole act. Advocacy enables individuals to understand their participation, how they can be involved and contribute and take part in activities. The implication due to the increasing emphasis on well-being is needed, having the individual in the centre of their care and support is what make sense, making best interest decisions when the person themselves can do it is unfair and isolating.</w:t>
      </w:r>
      <w:r w:rsidR="008A569E" w:rsidRPr="008A569E">
        <w:rPr>
          <w:rFonts w:ascii="Source Sans Pro" w:hAnsi="Source Sans Pro"/>
          <w:sz w:val="23"/>
          <w:szCs w:val="23"/>
          <w:shd w:val="clear" w:color="auto" w:fill="FFFFFF"/>
        </w:rPr>
        <w:t xml:space="preserve"> </w:t>
      </w:r>
      <w:proofErr w:type="spellStart"/>
      <w:r w:rsidR="008A569E">
        <w:rPr>
          <w:rFonts w:ascii="Source Sans Pro" w:hAnsi="Source Sans Pro"/>
          <w:sz w:val="23"/>
          <w:szCs w:val="23"/>
          <w:shd w:val="clear" w:color="auto" w:fill="FFFFFF"/>
        </w:rPr>
        <w:t>Cheminais</w:t>
      </w:r>
      <w:proofErr w:type="spellEnd"/>
      <w:r w:rsidR="008A569E">
        <w:rPr>
          <w:rFonts w:ascii="Source Sans Pro" w:hAnsi="Source Sans Pro"/>
          <w:sz w:val="23"/>
          <w:szCs w:val="23"/>
          <w:shd w:val="clear" w:color="auto" w:fill="FFFFFF"/>
        </w:rPr>
        <w:t xml:space="preserve"> (2009) and Gasper (2010) have both identified possible barriers to multiagency, so has the Social Services and Well-being (Wales) Act but it has also empowered people to create some fantastic frameworks like “outcomes star”. This how social care should be proceeding for the future along with the implementation of the  </w:t>
      </w:r>
      <w:r w:rsidR="008A569E" w:rsidRPr="00281421">
        <w:rPr>
          <w:rFonts w:eastAsiaTheme="minorEastAsia"/>
          <w:i/>
          <w:iCs/>
          <w:color w:val="000000"/>
          <w:kern w:val="24"/>
          <w:lang w:val="en-US"/>
        </w:rPr>
        <w:t>Well-being of Future Generations (Wales) Act 2015</w:t>
      </w:r>
      <w:r w:rsidR="008A569E">
        <w:rPr>
          <w:rFonts w:eastAsiaTheme="minorEastAsia"/>
          <w:i/>
          <w:iCs/>
          <w:color w:val="000000"/>
          <w:kern w:val="24"/>
          <w:lang w:val="en-US"/>
        </w:rPr>
        <w:t xml:space="preserve"> </w:t>
      </w:r>
      <w:r w:rsidR="008A569E">
        <w:rPr>
          <w:rFonts w:eastAsiaTheme="minorEastAsia"/>
          <w:color w:val="000000"/>
          <w:kern w:val="24"/>
          <w:lang w:val="en-US"/>
        </w:rPr>
        <w:t xml:space="preserve">Wales should in theory be leading the way for future generations to come becoming a more equal </w:t>
      </w:r>
      <w:r w:rsidR="006C0A0C">
        <w:rPr>
          <w:rFonts w:eastAsiaTheme="minorEastAsia"/>
          <w:color w:val="000000"/>
          <w:kern w:val="24"/>
          <w:lang w:val="en-US"/>
        </w:rPr>
        <w:t xml:space="preserve">society. </w:t>
      </w:r>
    </w:p>
    <w:p w14:paraId="13C41802" w14:textId="5FC717EF" w:rsidR="008C034D" w:rsidRPr="006C0A0C" w:rsidRDefault="008C034D" w:rsidP="006C0A0C">
      <w:pPr>
        <w:pStyle w:val="paragraph"/>
        <w:spacing w:before="0" w:beforeAutospacing="0" w:after="0" w:afterAutospacing="0" w:line="360" w:lineRule="auto"/>
        <w:jc w:val="both"/>
        <w:textAlignment w:val="baseline"/>
        <w:rPr>
          <w:rFonts w:ascii="Source Sans Pro" w:hAnsi="Source Sans Pro"/>
          <w:color w:val="3A3A3A"/>
          <w:sz w:val="23"/>
          <w:szCs w:val="23"/>
          <w:shd w:val="clear" w:color="auto" w:fill="FFFFFF"/>
        </w:rPr>
      </w:pPr>
      <w:r>
        <w:lastRenderedPageBreak/>
        <w:t>Reference List</w:t>
      </w:r>
    </w:p>
    <w:p w14:paraId="096933BD" w14:textId="77777777" w:rsidR="008A569E" w:rsidRPr="008A569E" w:rsidRDefault="008A569E" w:rsidP="008A569E">
      <w:pPr>
        <w:pStyle w:val="Heading1"/>
        <w:shd w:val="clear" w:color="auto" w:fill="FCFCFC"/>
        <w:spacing w:before="0" w:beforeAutospacing="0" w:after="120" w:afterAutospacing="0"/>
        <w:jc w:val="both"/>
        <w:rPr>
          <w:b w:val="0"/>
          <w:sz w:val="24"/>
          <w:szCs w:val="24"/>
        </w:rPr>
      </w:pPr>
      <w:r w:rsidRPr="008A569E">
        <w:rPr>
          <w:b w:val="0"/>
          <w:sz w:val="24"/>
          <w:szCs w:val="24"/>
        </w:rPr>
        <w:t>Additional learning needs (ALN) transformation programme 2016 Available at: https://gweddill.gov.wales/docs/dcells/publications/1700412-aln-transformation-programme-en.pdf (Accessed: 4</w:t>
      </w:r>
      <w:r w:rsidRPr="008A569E">
        <w:rPr>
          <w:b w:val="0"/>
          <w:sz w:val="24"/>
          <w:szCs w:val="24"/>
          <w:vertAlign w:val="superscript"/>
        </w:rPr>
        <w:t>th</w:t>
      </w:r>
      <w:r w:rsidRPr="008A569E">
        <w:rPr>
          <w:b w:val="0"/>
          <w:sz w:val="24"/>
          <w:szCs w:val="24"/>
        </w:rPr>
        <w:t xml:space="preserve"> August 2019).</w:t>
      </w:r>
    </w:p>
    <w:p w14:paraId="23F28678" w14:textId="77777777" w:rsidR="008A569E" w:rsidRPr="008A569E" w:rsidRDefault="008A569E" w:rsidP="008A569E">
      <w:pPr>
        <w:spacing w:line="360" w:lineRule="auto"/>
        <w:jc w:val="both"/>
        <w:rPr>
          <w:rFonts w:ascii="Times New Roman" w:hAnsi="Times New Roman" w:cs="Times New Roman"/>
          <w:sz w:val="24"/>
          <w:szCs w:val="24"/>
        </w:rPr>
      </w:pPr>
      <w:r w:rsidRPr="008A569E">
        <w:rPr>
          <w:rFonts w:ascii="Times New Roman" w:hAnsi="Times New Roman" w:cs="Times New Roman"/>
          <w:sz w:val="24"/>
          <w:szCs w:val="24"/>
        </w:rPr>
        <w:t>Advocacy Code of Practice (2014) Available at: https://qualityadvocacy.org.uk/wp-content/uploads/2018/05/Code-of-Practice-1.pdf (Accessed: 19</w:t>
      </w:r>
      <w:r w:rsidRPr="008A569E">
        <w:rPr>
          <w:rFonts w:ascii="Times New Roman" w:hAnsi="Times New Roman" w:cs="Times New Roman"/>
          <w:sz w:val="24"/>
          <w:szCs w:val="24"/>
          <w:vertAlign w:val="superscript"/>
        </w:rPr>
        <w:t>th</w:t>
      </w:r>
      <w:r w:rsidRPr="008A569E">
        <w:rPr>
          <w:rFonts w:ascii="Times New Roman" w:hAnsi="Times New Roman" w:cs="Times New Roman"/>
          <w:sz w:val="24"/>
          <w:szCs w:val="24"/>
        </w:rPr>
        <w:t xml:space="preserve"> May 2019).  </w:t>
      </w:r>
    </w:p>
    <w:p w14:paraId="2A1D74E6" w14:textId="77777777" w:rsidR="008A569E" w:rsidRPr="008A569E" w:rsidRDefault="008A569E" w:rsidP="008A569E">
      <w:pPr>
        <w:jc w:val="both"/>
        <w:rPr>
          <w:rFonts w:ascii="Times New Roman" w:hAnsi="Times New Roman" w:cs="Times New Roman"/>
          <w:sz w:val="24"/>
          <w:szCs w:val="24"/>
        </w:rPr>
      </w:pPr>
      <w:r w:rsidRPr="008A569E">
        <w:rPr>
          <w:rFonts w:ascii="Times New Roman" w:hAnsi="Times New Roman" w:cs="Times New Roman"/>
          <w:sz w:val="24"/>
          <w:szCs w:val="24"/>
        </w:rPr>
        <w:t xml:space="preserve">Atkinson, M. Jones, M. Lamont, E (2007). </w:t>
      </w:r>
      <w:r w:rsidRPr="008A569E">
        <w:rPr>
          <w:rFonts w:ascii="Times New Roman" w:hAnsi="Times New Roman" w:cs="Times New Roman"/>
          <w:i/>
          <w:sz w:val="24"/>
          <w:szCs w:val="24"/>
        </w:rPr>
        <w:t xml:space="preserve">Multi Agency Working and its implications for practice: A review of the Literature.  </w:t>
      </w:r>
      <w:r w:rsidRPr="008A569E">
        <w:rPr>
          <w:rFonts w:ascii="Times New Roman" w:hAnsi="Times New Roman" w:cs="Times New Roman"/>
          <w:sz w:val="24"/>
          <w:szCs w:val="24"/>
        </w:rPr>
        <w:t xml:space="preserve">Available at: </w:t>
      </w:r>
      <w:hyperlink r:id="rId6" w:history="1">
        <w:r w:rsidRPr="008A569E">
          <w:rPr>
            <w:rStyle w:val="Hyperlink"/>
            <w:rFonts w:ascii="Times New Roman" w:hAnsi="Times New Roman" w:cs="Times New Roman"/>
            <w:color w:val="auto"/>
            <w:sz w:val="24"/>
            <w:szCs w:val="24"/>
          </w:rPr>
          <w:t>https://www.nfer.ac.uk/nfer/publications/mad01/mad01.pdf</w:t>
        </w:r>
      </w:hyperlink>
      <w:r w:rsidRPr="008A569E">
        <w:rPr>
          <w:rFonts w:ascii="Times New Roman" w:hAnsi="Times New Roman" w:cs="Times New Roman"/>
          <w:sz w:val="24"/>
          <w:szCs w:val="24"/>
        </w:rPr>
        <w:t xml:space="preserve">  (Accessed: 12</w:t>
      </w:r>
      <w:r w:rsidRPr="008A569E">
        <w:rPr>
          <w:rFonts w:ascii="Times New Roman" w:hAnsi="Times New Roman" w:cs="Times New Roman"/>
          <w:sz w:val="24"/>
          <w:szCs w:val="24"/>
          <w:vertAlign w:val="superscript"/>
        </w:rPr>
        <w:t>th</w:t>
      </w:r>
      <w:r w:rsidRPr="008A569E">
        <w:rPr>
          <w:rFonts w:ascii="Times New Roman" w:hAnsi="Times New Roman" w:cs="Times New Roman"/>
          <w:sz w:val="24"/>
          <w:szCs w:val="24"/>
        </w:rPr>
        <w:t xml:space="preserve"> May 2019)</w:t>
      </w:r>
    </w:p>
    <w:p w14:paraId="471A6416" w14:textId="77777777" w:rsidR="008A569E" w:rsidRPr="008A569E" w:rsidRDefault="008A569E" w:rsidP="008A569E">
      <w:pPr>
        <w:pStyle w:val="NormalWeb"/>
        <w:spacing w:before="58" w:beforeAutospacing="0" w:after="0" w:afterAutospacing="0" w:line="360" w:lineRule="auto"/>
        <w:jc w:val="both"/>
      </w:pPr>
      <w:bookmarkStart w:id="7" w:name="_Hlk15923400"/>
      <w:proofErr w:type="spellStart"/>
      <w:r w:rsidRPr="008A569E">
        <w:rPr>
          <w:rFonts w:eastAsiaTheme="minorEastAsia"/>
          <w:kern w:val="24"/>
          <w:lang w:val="en-US"/>
        </w:rPr>
        <w:t>Cheminais</w:t>
      </w:r>
      <w:bookmarkEnd w:id="7"/>
      <w:proofErr w:type="spellEnd"/>
      <w:r w:rsidRPr="008A569E">
        <w:rPr>
          <w:rFonts w:eastAsiaTheme="minorEastAsia"/>
          <w:kern w:val="24"/>
          <w:lang w:val="en-US"/>
        </w:rPr>
        <w:t xml:space="preserve">, R. (2009) </w:t>
      </w:r>
      <w:r w:rsidRPr="008A569E">
        <w:rPr>
          <w:rFonts w:eastAsiaTheme="minorEastAsia"/>
          <w:i/>
          <w:iCs/>
          <w:kern w:val="24"/>
          <w:lang w:val="en-US"/>
        </w:rPr>
        <w:t xml:space="preserve">Effective multi-agency </w:t>
      </w:r>
      <w:proofErr w:type="gramStart"/>
      <w:r w:rsidRPr="008A569E">
        <w:rPr>
          <w:rFonts w:eastAsiaTheme="minorEastAsia"/>
          <w:i/>
          <w:iCs/>
          <w:kern w:val="24"/>
          <w:lang w:val="en-US"/>
        </w:rPr>
        <w:t>partnerships :</w:t>
      </w:r>
      <w:proofErr w:type="gramEnd"/>
      <w:r w:rsidRPr="008A569E">
        <w:rPr>
          <w:rFonts w:eastAsiaTheme="minorEastAsia"/>
          <w:i/>
          <w:iCs/>
          <w:kern w:val="24"/>
          <w:lang w:val="en-US"/>
        </w:rPr>
        <w:t xml:space="preserve"> putting every child matters into practice</w:t>
      </w:r>
      <w:r w:rsidRPr="008A569E">
        <w:rPr>
          <w:rFonts w:eastAsiaTheme="minorEastAsia"/>
          <w:kern w:val="24"/>
          <w:lang w:val="en-US"/>
        </w:rPr>
        <w:t xml:space="preserve"> London: SAGE.</w:t>
      </w:r>
    </w:p>
    <w:p w14:paraId="5A7E733C" w14:textId="77777777" w:rsidR="008A569E" w:rsidRPr="008A569E" w:rsidRDefault="008A569E" w:rsidP="008A569E">
      <w:pPr>
        <w:pStyle w:val="Heading1"/>
        <w:shd w:val="clear" w:color="auto" w:fill="FCFCFC"/>
        <w:spacing w:before="0" w:beforeAutospacing="0" w:after="120" w:afterAutospacing="0"/>
        <w:jc w:val="both"/>
        <w:rPr>
          <w:b w:val="0"/>
          <w:sz w:val="24"/>
          <w:szCs w:val="24"/>
        </w:rPr>
      </w:pPr>
      <w:r w:rsidRPr="008A569E">
        <w:rPr>
          <w:b w:val="0"/>
          <w:sz w:val="24"/>
          <w:szCs w:val="24"/>
        </w:rPr>
        <w:t>Diener, E. Suh, E (1997</w:t>
      </w:r>
      <w:r w:rsidRPr="008A569E">
        <w:rPr>
          <w:sz w:val="24"/>
          <w:szCs w:val="24"/>
        </w:rPr>
        <w:t xml:space="preserve">) </w:t>
      </w:r>
      <w:r w:rsidRPr="008A569E">
        <w:rPr>
          <w:b w:val="0"/>
          <w:i/>
          <w:sz w:val="24"/>
          <w:szCs w:val="24"/>
        </w:rPr>
        <w:t xml:space="preserve">Measuring Quality of Life: Economic, Social and Subjective Indicators. </w:t>
      </w:r>
      <w:r w:rsidRPr="008A569E">
        <w:rPr>
          <w:b w:val="0"/>
          <w:sz w:val="24"/>
          <w:szCs w:val="24"/>
        </w:rPr>
        <w:t xml:space="preserve">Available at: </w:t>
      </w:r>
      <w:r w:rsidRPr="008A569E">
        <w:rPr>
          <w:b w:val="0"/>
          <w:bCs w:val="0"/>
          <w:sz w:val="24"/>
          <w:szCs w:val="24"/>
        </w:rPr>
        <w:t xml:space="preserve">https://link.springer.com/article/10.1023%2FA%3A1006859511756  </w:t>
      </w:r>
      <w:r w:rsidRPr="008A569E">
        <w:rPr>
          <w:b w:val="0"/>
          <w:sz w:val="24"/>
          <w:szCs w:val="24"/>
        </w:rPr>
        <w:t>(Accessed: 13</w:t>
      </w:r>
      <w:r w:rsidRPr="008A569E">
        <w:rPr>
          <w:b w:val="0"/>
          <w:sz w:val="24"/>
          <w:szCs w:val="24"/>
          <w:vertAlign w:val="superscript"/>
        </w:rPr>
        <w:t>th</w:t>
      </w:r>
      <w:r w:rsidRPr="008A569E">
        <w:rPr>
          <w:b w:val="0"/>
          <w:sz w:val="24"/>
          <w:szCs w:val="24"/>
        </w:rPr>
        <w:t xml:space="preserve"> May 2019).</w:t>
      </w:r>
    </w:p>
    <w:p w14:paraId="4017BD6F" w14:textId="77777777" w:rsidR="008A569E" w:rsidRPr="008A569E" w:rsidRDefault="008A569E" w:rsidP="008A569E">
      <w:pPr>
        <w:pStyle w:val="Heading1"/>
        <w:shd w:val="clear" w:color="auto" w:fill="FCFCFC"/>
        <w:spacing w:before="0" w:beforeAutospacing="0" w:after="120" w:afterAutospacing="0"/>
        <w:jc w:val="both"/>
        <w:rPr>
          <w:b w:val="0"/>
          <w:sz w:val="24"/>
          <w:szCs w:val="24"/>
        </w:rPr>
      </w:pPr>
      <w:r w:rsidRPr="008A569E">
        <w:rPr>
          <w:b w:val="0"/>
          <w:i/>
          <w:iCs/>
          <w:sz w:val="24"/>
          <w:szCs w:val="24"/>
        </w:rPr>
        <w:t>Every Child Matters 2003</w:t>
      </w:r>
      <w:r w:rsidRPr="008A569E">
        <w:rPr>
          <w:b w:val="0"/>
          <w:sz w:val="24"/>
          <w:szCs w:val="24"/>
        </w:rPr>
        <w:t xml:space="preserve"> Available at: </w:t>
      </w:r>
      <w:r w:rsidRPr="008A569E">
        <w:rPr>
          <w:b w:val="0"/>
          <w:bCs w:val="0"/>
          <w:sz w:val="24"/>
          <w:szCs w:val="24"/>
        </w:rPr>
        <w:t>https://assets.publishing.service.gov.uk/government/uploads/system/uploads/attachment_data/file/272064/58</w:t>
      </w:r>
      <w:r w:rsidRPr="008A569E">
        <w:rPr>
          <w:b w:val="0"/>
          <w:bCs w:val="0"/>
          <w:sz w:val="24"/>
          <w:szCs w:val="24"/>
        </w:rPr>
        <w:t>6</w:t>
      </w:r>
      <w:r w:rsidRPr="008A569E">
        <w:rPr>
          <w:b w:val="0"/>
          <w:bCs w:val="0"/>
          <w:sz w:val="24"/>
          <w:szCs w:val="24"/>
        </w:rPr>
        <w:t>0.pdf</w:t>
      </w:r>
      <w:r w:rsidRPr="008A569E">
        <w:rPr>
          <w:b w:val="0"/>
          <w:sz w:val="24"/>
          <w:szCs w:val="24"/>
        </w:rPr>
        <w:t xml:space="preserve">  (Accessed: 19</w:t>
      </w:r>
      <w:r w:rsidRPr="008A569E">
        <w:rPr>
          <w:b w:val="0"/>
          <w:sz w:val="24"/>
          <w:szCs w:val="24"/>
          <w:vertAlign w:val="superscript"/>
        </w:rPr>
        <w:t>th</w:t>
      </w:r>
      <w:r w:rsidRPr="008A569E">
        <w:rPr>
          <w:b w:val="0"/>
          <w:sz w:val="24"/>
          <w:szCs w:val="24"/>
        </w:rPr>
        <w:t xml:space="preserve"> May 2019).</w:t>
      </w:r>
    </w:p>
    <w:p w14:paraId="69CB0FBB" w14:textId="77777777" w:rsidR="008A569E" w:rsidRPr="008A569E" w:rsidRDefault="008A569E" w:rsidP="008A569E">
      <w:pPr>
        <w:pStyle w:val="Heading1"/>
        <w:shd w:val="clear" w:color="auto" w:fill="FCFCFC"/>
        <w:spacing w:before="0" w:beforeAutospacing="0" w:after="120" w:afterAutospacing="0"/>
        <w:jc w:val="both"/>
        <w:rPr>
          <w:b w:val="0"/>
          <w:sz w:val="24"/>
          <w:szCs w:val="24"/>
        </w:rPr>
      </w:pPr>
      <w:bookmarkStart w:id="8" w:name="_Hlk15927976"/>
      <w:r w:rsidRPr="008A569E">
        <w:rPr>
          <w:b w:val="0"/>
          <w:sz w:val="24"/>
          <w:szCs w:val="24"/>
        </w:rPr>
        <w:t>Gasper, M. (2010)</w:t>
      </w:r>
      <w:bookmarkEnd w:id="8"/>
      <w:r w:rsidRPr="008A569E">
        <w:rPr>
          <w:b w:val="0"/>
          <w:sz w:val="24"/>
          <w:szCs w:val="24"/>
        </w:rPr>
        <w:t xml:space="preserve"> </w:t>
      </w:r>
      <w:r w:rsidRPr="008A569E">
        <w:rPr>
          <w:b w:val="0"/>
          <w:i/>
          <w:sz w:val="24"/>
          <w:szCs w:val="24"/>
        </w:rPr>
        <w:t xml:space="preserve">Multi Agency Working in the Early Years; Challenges and Opportunities. </w:t>
      </w:r>
      <w:r w:rsidRPr="008A569E">
        <w:rPr>
          <w:b w:val="0"/>
          <w:sz w:val="24"/>
          <w:szCs w:val="24"/>
        </w:rPr>
        <w:t>London: Sage Publications.</w:t>
      </w:r>
    </w:p>
    <w:p w14:paraId="2E2772EB" w14:textId="77777777" w:rsidR="008A569E" w:rsidRPr="008A569E" w:rsidRDefault="008A569E" w:rsidP="008A569E">
      <w:pPr>
        <w:pStyle w:val="Heading1"/>
        <w:shd w:val="clear" w:color="auto" w:fill="FCFCFC"/>
        <w:spacing w:before="0" w:beforeAutospacing="0" w:after="120" w:afterAutospacing="0"/>
        <w:jc w:val="both"/>
        <w:rPr>
          <w:b w:val="0"/>
          <w:bCs w:val="0"/>
          <w:sz w:val="24"/>
          <w:szCs w:val="24"/>
        </w:rPr>
      </w:pPr>
      <w:bookmarkStart w:id="9" w:name="_Hlk15939012"/>
      <w:r w:rsidRPr="008A569E">
        <w:rPr>
          <w:b w:val="0"/>
          <w:bCs w:val="0"/>
          <w:sz w:val="24"/>
          <w:szCs w:val="24"/>
          <w:shd w:val="clear" w:color="auto" w:fill="FFFFFF"/>
        </w:rPr>
        <w:t xml:space="preserve">Gentile, M.C. </w:t>
      </w:r>
      <w:r w:rsidRPr="008A569E">
        <w:rPr>
          <w:b w:val="0"/>
          <w:bCs w:val="0"/>
          <w:sz w:val="24"/>
          <w:szCs w:val="24"/>
          <w:shd w:val="clear" w:color="auto" w:fill="FFFFFF"/>
        </w:rPr>
        <w:t>(</w:t>
      </w:r>
      <w:r w:rsidRPr="008A569E">
        <w:rPr>
          <w:b w:val="0"/>
          <w:bCs w:val="0"/>
          <w:sz w:val="24"/>
          <w:szCs w:val="24"/>
          <w:shd w:val="clear" w:color="auto" w:fill="FFFFFF"/>
        </w:rPr>
        <w:t>2012</w:t>
      </w:r>
      <w:bookmarkEnd w:id="9"/>
      <w:r w:rsidRPr="008A569E">
        <w:rPr>
          <w:b w:val="0"/>
          <w:bCs w:val="0"/>
          <w:sz w:val="24"/>
          <w:szCs w:val="24"/>
          <w:shd w:val="clear" w:color="auto" w:fill="FFFFFF"/>
        </w:rPr>
        <w:t>)</w:t>
      </w:r>
      <w:r w:rsidRPr="008A569E">
        <w:rPr>
          <w:b w:val="0"/>
          <w:bCs w:val="0"/>
          <w:sz w:val="24"/>
          <w:szCs w:val="24"/>
          <w:shd w:val="clear" w:color="auto" w:fill="FFFFFF"/>
        </w:rPr>
        <w:t> </w:t>
      </w:r>
      <w:r w:rsidRPr="008A569E">
        <w:rPr>
          <w:b w:val="0"/>
          <w:bCs w:val="0"/>
          <w:i/>
          <w:iCs/>
          <w:sz w:val="24"/>
          <w:szCs w:val="24"/>
          <w:shd w:val="clear" w:color="auto" w:fill="FFFFFF"/>
        </w:rPr>
        <w:t>Giving voice to values : how to speak your mind when you know what's right</w:t>
      </w:r>
      <w:r w:rsidRPr="008A569E">
        <w:rPr>
          <w:b w:val="0"/>
          <w:bCs w:val="0"/>
          <w:sz w:val="24"/>
          <w:szCs w:val="24"/>
          <w:shd w:val="clear" w:color="auto" w:fill="FFFFFF"/>
        </w:rPr>
        <w:t xml:space="preserve">. </w:t>
      </w:r>
      <w:r w:rsidRPr="008A569E">
        <w:rPr>
          <w:b w:val="0"/>
          <w:bCs w:val="0"/>
          <w:sz w:val="24"/>
          <w:szCs w:val="24"/>
          <w:shd w:val="clear" w:color="auto" w:fill="FFFFFF"/>
        </w:rPr>
        <w:t>London: Yale University Press</w:t>
      </w:r>
      <w:r w:rsidRPr="008A569E">
        <w:rPr>
          <w:b w:val="0"/>
          <w:bCs w:val="0"/>
          <w:sz w:val="24"/>
          <w:szCs w:val="24"/>
          <w:shd w:val="clear" w:color="auto" w:fill="FFFFFF"/>
        </w:rPr>
        <w:t>.</w:t>
      </w:r>
    </w:p>
    <w:p w14:paraId="3A70701F" w14:textId="77777777" w:rsidR="008A569E" w:rsidRPr="008A569E" w:rsidRDefault="008A569E" w:rsidP="008A569E">
      <w:pPr>
        <w:pStyle w:val="Heading1"/>
        <w:shd w:val="clear" w:color="auto" w:fill="FCFCFC"/>
        <w:spacing w:before="0" w:beforeAutospacing="0" w:after="120" w:afterAutospacing="0"/>
        <w:jc w:val="both"/>
        <w:rPr>
          <w:b w:val="0"/>
          <w:sz w:val="24"/>
          <w:szCs w:val="24"/>
        </w:rPr>
      </w:pPr>
      <w:r w:rsidRPr="008A569E">
        <w:rPr>
          <w:b w:val="0"/>
          <w:sz w:val="24"/>
          <w:szCs w:val="24"/>
        </w:rPr>
        <w:t xml:space="preserve">Goldstein, C. (2019) </w:t>
      </w:r>
      <w:r w:rsidRPr="008A569E">
        <w:rPr>
          <w:b w:val="0"/>
          <w:i/>
          <w:iCs/>
          <w:sz w:val="24"/>
          <w:szCs w:val="24"/>
        </w:rPr>
        <w:t xml:space="preserve">‘What to Do (and Not Do) When Children Are Anxious’. </w:t>
      </w:r>
      <w:r w:rsidRPr="008A569E">
        <w:rPr>
          <w:b w:val="0"/>
          <w:sz w:val="24"/>
          <w:szCs w:val="24"/>
        </w:rPr>
        <w:t>Available at: https://childmind.org/article/what-to-do-and-not-do-when-children-are-anxious/ (</w:t>
      </w:r>
      <w:bookmarkStart w:id="10" w:name="_Hlk15929268"/>
      <w:r w:rsidRPr="008A569E">
        <w:rPr>
          <w:b w:val="0"/>
          <w:sz w:val="24"/>
          <w:szCs w:val="24"/>
        </w:rPr>
        <w:t>Accessed: 4</w:t>
      </w:r>
      <w:r w:rsidRPr="008A569E">
        <w:rPr>
          <w:b w:val="0"/>
          <w:sz w:val="24"/>
          <w:szCs w:val="24"/>
          <w:vertAlign w:val="superscript"/>
        </w:rPr>
        <w:t>th</w:t>
      </w:r>
      <w:r w:rsidRPr="008A569E">
        <w:rPr>
          <w:b w:val="0"/>
          <w:sz w:val="24"/>
          <w:szCs w:val="24"/>
        </w:rPr>
        <w:t xml:space="preserve"> August 2019).</w:t>
      </w:r>
    </w:p>
    <w:bookmarkEnd w:id="10"/>
    <w:p w14:paraId="068A2B6F" w14:textId="77777777" w:rsidR="008A569E" w:rsidRPr="008A569E" w:rsidRDefault="008A569E" w:rsidP="008A569E">
      <w:pPr>
        <w:pStyle w:val="Heading1"/>
        <w:shd w:val="clear" w:color="auto" w:fill="FCFCFC"/>
        <w:spacing w:before="0" w:beforeAutospacing="0" w:after="120" w:afterAutospacing="0"/>
        <w:jc w:val="both"/>
        <w:rPr>
          <w:b w:val="0"/>
          <w:sz w:val="24"/>
          <w:szCs w:val="24"/>
        </w:rPr>
      </w:pPr>
      <w:r w:rsidRPr="008A569E">
        <w:rPr>
          <w:b w:val="0"/>
          <w:sz w:val="24"/>
          <w:szCs w:val="24"/>
        </w:rPr>
        <w:t xml:space="preserve">Laming (2003) </w:t>
      </w:r>
      <w:r w:rsidRPr="008A569E">
        <w:rPr>
          <w:b w:val="0"/>
          <w:i/>
          <w:sz w:val="24"/>
          <w:szCs w:val="24"/>
        </w:rPr>
        <w:t xml:space="preserve">The Victoria Climbie Inquiry. </w:t>
      </w:r>
      <w:r w:rsidRPr="008A569E">
        <w:rPr>
          <w:b w:val="0"/>
          <w:sz w:val="24"/>
          <w:szCs w:val="24"/>
        </w:rPr>
        <w:t xml:space="preserve">Available at </w:t>
      </w:r>
      <w:r w:rsidRPr="008A569E">
        <w:rPr>
          <w:b w:val="0"/>
          <w:bCs w:val="0"/>
          <w:sz w:val="24"/>
          <w:szCs w:val="24"/>
        </w:rPr>
        <w:t>https://assets.publishing.service.gov.uk/government/uploads/system/uploads/attachment_data/file/273183/5730.pdf</w:t>
      </w:r>
      <w:r w:rsidRPr="008A569E">
        <w:rPr>
          <w:b w:val="0"/>
          <w:sz w:val="24"/>
          <w:szCs w:val="24"/>
        </w:rPr>
        <w:t xml:space="preserve"> (Accessed: 17</w:t>
      </w:r>
      <w:r w:rsidRPr="008A569E">
        <w:rPr>
          <w:b w:val="0"/>
          <w:sz w:val="24"/>
          <w:szCs w:val="24"/>
          <w:vertAlign w:val="superscript"/>
        </w:rPr>
        <w:t>th</w:t>
      </w:r>
      <w:r w:rsidRPr="008A569E">
        <w:rPr>
          <w:b w:val="0"/>
          <w:sz w:val="24"/>
          <w:szCs w:val="24"/>
        </w:rPr>
        <w:t xml:space="preserve"> May 2019).</w:t>
      </w:r>
    </w:p>
    <w:p w14:paraId="7DB0F073" w14:textId="77777777" w:rsidR="008A569E" w:rsidRPr="008A569E" w:rsidRDefault="008A569E" w:rsidP="008A569E">
      <w:pPr>
        <w:jc w:val="both"/>
        <w:rPr>
          <w:rFonts w:ascii="Times New Roman" w:hAnsi="Times New Roman" w:cs="Times New Roman"/>
          <w:sz w:val="24"/>
          <w:szCs w:val="24"/>
        </w:rPr>
      </w:pPr>
      <w:r w:rsidRPr="008A569E">
        <w:rPr>
          <w:rFonts w:ascii="Times New Roman" w:hAnsi="Times New Roman" w:cs="Times New Roman"/>
          <w:sz w:val="24"/>
          <w:szCs w:val="24"/>
        </w:rPr>
        <w:t xml:space="preserve">Marks and Shah (2004) </w:t>
      </w:r>
      <w:r w:rsidRPr="008A569E">
        <w:rPr>
          <w:rFonts w:ascii="Times New Roman" w:hAnsi="Times New Roman" w:cs="Times New Roman"/>
          <w:i/>
          <w:sz w:val="24"/>
          <w:szCs w:val="24"/>
        </w:rPr>
        <w:t xml:space="preserve">A Well-Being Manifesto for a flourishing society.  </w:t>
      </w:r>
      <w:r w:rsidRPr="008A569E">
        <w:rPr>
          <w:rFonts w:ascii="Times New Roman" w:hAnsi="Times New Roman" w:cs="Times New Roman"/>
          <w:sz w:val="24"/>
          <w:szCs w:val="24"/>
        </w:rPr>
        <w:t xml:space="preserve">Available at: </w:t>
      </w:r>
      <w:hyperlink r:id="rId7" w:history="1">
        <w:r w:rsidRPr="008A569E">
          <w:rPr>
            <w:rStyle w:val="Hyperlink"/>
            <w:rFonts w:ascii="Times New Roman" w:hAnsi="Times New Roman" w:cs="Times New Roman"/>
            <w:color w:val="auto"/>
            <w:sz w:val="24"/>
            <w:szCs w:val="24"/>
          </w:rPr>
          <w:t>https://b.3cdn.net/nefoundation/813660812dc0c82af5_vkm6vve98.pdf</w:t>
        </w:r>
      </w:hyperlink>
      <w:r w:rsidRPr="008A569E">
        <w:rPr>
          <w:rFonts w:ascii="Times New Roman" w:hAnsi="Times New Roman" w:cs="Times New Roman"/>
          <w:sz w:val="24"/>
          <w:szCs w:val="24"/>
        </w:rPr>
        <w:t xml:space="preserve"> (Accessed: 3</w:t>
      </w:r>
      <w:r w:rsidRPr="008A569E">
        <w:rPr>
          <w:rFonts w:ascii="Times New Roman" w:hAnsi="Times New Roman" w:cs="Times New Roman"/>
          <w:sz w:val="24"/>
          <w:szCs w:val="24"/>
          <w:vertAlign w:val="superscript"/>
        </w:rPr>
        <w:t>rd</w:t>
      </w:r>
      <w:r w:rsidRPr="008A569E">
        <w:rPr>
          <w:rFonts w:ascii="Times New Roman" w:hAnsi="Times New Roman" w:cs="Times New Roman"/>
          <w:sz w:val="24"/>
          <w:szCs w:val="24"/>
        </w:rPr>
        <w:t xml:space="preserve">  June 2019).</w:t>
      </w:r>
    </w:p>
    <w:p w14:paraId="080575A6" w14:textId="77777777" w:rsidR="008A569E" w:rsidRPr="008A569E" w:rsidRDefault="008A569E" w:rsidP="008A569E">
      <w:pPr>
        <w:pStyle w:val="Heading1"/>
        <w:shd w:val="clear" w:color="auto" w:fill="FCFCFC"/>
        <w:spacing w:before="0" w:beforeAutospacing="0" w:after="120" w:afterAutospacing="0"/>
        <w:jc w:val="both"/>
        <w:rPr>
          <w:rFonts w:eastAsiaTheme="minorHAnsi"/>
          <w:b w:val="0"/>
          <w:bCs w:val="0"/>
          <w:kern w:val="0"/>
          <w:sz w:val="24"/>
          <w:szCs w:val="24"/>
          <w:lang w:eastAsia="en-US"/>
        </w:rPr>
      </w:pPr>
      <w:r w:rsidRPr="008A569E">
        <w:rPr>
          <w:b w:val="0"/>
          <w:sz w:val="24"/>
          <w:szCs w:val="24"/>
        </w:rPr>
        <w:t xml:space="preserve">Outcomes Star (2019) </w:t>
      </w:r>
      <w:r w:rsidRPr="008A569E">
        <w:rPr>
          <w:b w:val="0"/>
          <w:i/>
          <w:iCs/>
          <w:sz w:val="24"/>
          <w:szCs w:val="24"/>
        </w:rPr>
        <w:t>What is the Outcomes Star™?</w:t>
      </w:r>
      <w:r w:rsidRPr="008A569E">
        <w:rPr>
          <w:b w:val="0"/>
          <w:i/>
          <w:iCs/>
          <w:sz w:val="24"/>
          <w:szCs w:val="24"/>
        </w:rPr>
        <w:t xml:space="preserve"> </w:t>
      </w:r>
      <w:r w:rsidRPr="008A569E">
        <w:rPr>
          <w:b w:val="0"/>
          <w:sz w:val="24"/>
          <w:szCs w:val="24"/>
        </w:rPr>
        <w:t xml:space="preserve">Available at: </w:t>
      </w:r>
      <w:r w:rsidRPr="008A569E">
        <w:rPr>
          <w:rFonts w:eastAsiaTheme="minorHAnsi"/>
          <w:b w:val="0"/>
          <w:bCs w:val="0"/>
          <w:kern w:val="0"/>
          <w:sz w:val="24"/>
          <w:szCs w:val="24"/>
          <w:u w:val="single"/>
          <w:lang w:eastAsia="en-US"/>
        </w:rPr>
        <w:t>http://www.outcomesstar.org.uk/about-the-star/what-is-the-outcomes-star/</w:t>
      </w:r>
      <w:r w:rsidRPr="008A569E">
        <w:rPr>
          <w:rFonts w:eastAsiaTheme="minorHAnsi"/>
          <w:b w:val="0"/>
          <w:bCs w:val="0"/>
          <w:kern w:val="0"/>
          <w:sz w:val="24"/>
          <w:szCs w:val="24"/>
          <w:lang w:eastAsia="en-US"/>
        </w:rPr>
        <w:t xml:space="preserve"> (Accessed: 4</w:t>
      </w:r>
      <w:r w:rsidRPr="008A569E">
        <w:rPr>
          <w:rFonts w:eastAsiaTheme="minorHAnsi"/>
          <w:b w:val="0"/>
          <w:bCs w:val="0"/>
          <w:kern w:val="0"/>
          <w:sz w:val="24"/>
          <w:szCs w:val="24"/>
          <w:vertAlign w:val="superscript"/>
          <w:lang w:eastAsia="en-US"/>
        </w:rPr>
        <w:t>th</w:t>
      </w:r>
      <w:r w:rsidRPr="008A569E">
        <w:rPr>
          <w:rFonts w:eastAsiaTheme="minorHAnsi"/>
          <w:b w:val="0"/>
          <w:bCs w:val="0"/>
          <w:kern w:val="0"/>
          <w:sz w:val="24"/>
          <w:szCs w:val="24"/>
          <w:lang w:eastAsia="en-US"/>
        </w:rPr>
        <w:t xml:space="preserve"> August 2019).</w:t>
      </w:r>
    </w:p>
    <w:p w14:paraId="547F1D2C" w14:textId="77777777" w:rsidR="008A569E" w:rsidRPr="008A569E" w:rsidRDefault="008A569E" w:rsidP="008A569E">
      <w:pPr>
        <w:jc w:val="both"/>
        <w:rPr>
          <w:rFonts w:ascii="Times New Roman" w:hAnsi="Times New Roman" w:cs="Times New Roman"/>
          <w:sz w:val="24"/>
          <w:szCs w:val="24"/>
        </w:rPr>
      </w:pPr>
      <w:r w:rsidRPr="008A569E">
        <w:rPr>
          <w:rFonts w:ascii="Times New Roman" w:hAnsi="Times New Roman" w:cs="Times New Roman"/>
          <w:i/>
          <w:iCs/>
          <w:sz w:val="24"/>
          <w:szCs w:val="24"/>
        </w:rPr>
        <w:t>Social Services and Well-Being (Wales) Act (2014)</w:t>
      </w:r>
      <w:r w:rsidRPr="008A569E">
        <w:rPr>
          <w:rFonts w:ascii="Times New Roman" w:hAnsi="Times New Roman" w:cs="Times New Roman"/>
          <w:sz w:val="24"/>
          <w:szCs w:val="24"/>
        </w:rPr>
        <w:t xml:space="preserve"> Available at</w:t>
      </w:r>
      <w:r w:rsidRPr="008A569E">
        <w:rPr>
          <w:rFonts w:ascii="Times New Roman" w:hAnsi="Times New Roman" w:cs="Times New Roman"/>
          <w:sz w:val="24"/>
          <w:szCs w:val="24"/>
        </w:rPr>
        <w:t>:</w:t>
      </w:r>
      <w:r w:rsidRPr="008A569E">
        <w:rPr>
          <w:rFonts w:ascii="Times New Roman" w:hAnsi="Times New Roman" w:cs="Times New Roman"/>
          <w:sz w:val="24"/>
          <w:szCs w:val="24"/>
        </w:rPr>
        <w:t xml:space="preserve"> </w:t>
      </w:r>
      <w:hyperlink r:id="rId8" w:history="1">
        <w:r w:rsidRPr="008A569E">
          <w:rPr>
            <w:rStyle w:val="Hyperlink"/>
            <w:rFonts w:ascii="Times New Roman" w:hAnsi="Times New Roman" w:cs="Times New Roman"/>
            <w:color w:val="auto"/>
            <w:sz w:val="24"/>
            <w:szCs w:val="24"/>
          </w:rPr>
          <w:t>https://www.legislation.gov.uk/anaw/2014/4/contents</w:t>
        </w:r>
      </w:hyperlink>
      <w:r w:rsidRPr="008A569E">
        <w:rPr>
          <w:rFonts w:ascii="Times New Roman" w:hAnsi="Times New Roman" w:cs="Times New Roman"/>
          <w:sz w:val="24"/>
          <w:szCs w:val="24"/>
        </w:rPr>
        <w:t xml:space="preserve"> </w:t>
      </w:r>
      <w:r w:rsidRPr="008A569E">
        <w:rPr>
          <w:rFonts w:ascii="Times New Roman" w:hAnsi="Times New Roman" w:cs="Times New Roman"/>
          <w:sz w:val="24"/>
          <w:szCs w:val="24"/>
        </w:rPr>
        <w:t>(</w:t>
      </w:r>
      <w:r w:rsidRPr="008A569E">
        <w:rPr>
          <w:rFonts w:ascii="Times New Roman" w:hAnsi="Times New Roman" w:cs="Times New Roman"/>
          <w:sz w:val="24"/>
          <w:szCs w:val="24"/>
        </w:rPr>
        <w:t>Accessed</w:t>
      </w:r>
      <w:r w:rsidRPr="008A569E">
        <w:rPr>
          <w:rFonts w:ascii="Times New Roman" w:hAnsi="Times New Roman" w:cs="Times New Roman"/>
          <w:sz w:val="24"/>
          <w:szCs w:val="24"/>
        </w:rPr>
        <w:t>: 2</w:t>
      </w:r>
      <w:r w:rsidRPr="008A569E">
        <w:rPr>
          <w:rFonts w:ascii="Times New Roman" w:hAnsi="Times New Roman" w:cs="Times New Roman"/>
          <w:sz w:val="24"/>
          <w:szCs w:val="24"/>
          <w:vertAlign w:val="superscript"/>
        </w:rPr>
        <w:t>nd</w:t>
      </w:r>
      <w:r w:rsidRPr="008A569E">
        <w:rPr>
          <w:rFonts w:ascii="Times New Roman" w:hAnsi="Times New Roman" w:cs="Times New Roman"/>
          <w:sz w:val="24"/>
          <w:szCs w:val="24"/>
        </w:rPr>
        <w:t xml:space="preserve"> June</w:t>
      </w:r>
      <w:r w:rsidRPr="008A569E">
        <w:rPr>
          <w:rFonts w:ascii="Times New Roman" w:hAnsi="Times New Roman" w:cs="Times New Roman"/>
          <w:sz w:val="24"/>
          <w:szCs w:val="24"/>
        </w:rPr>
        <w:t xml:space="preserve"> 2019</w:t>
      </w:r>
      <w:r w:rsidRPr="008A569E">
        <w:rPr>
          <w:rFonts w:ascii="Times New Roman" w:hAnsi="Times New Roman" w:cs="Times New Roman"/>
          <w:sz w:val="24"/>
          <w:szCs w:val="24"/>
        </w:rPr>
        <w:t>).</w:t>
      </w:r>
    </w:p>
    <w:p w14:paraId="2B8EFFD8" w14:textId="77777777" w:rsidR="008A569E" w:rsidRPr="008A569E" w:rsidRDefault="008A569E" w:rsidP="008A569E">
      <w:pPr>
        <w:jc w:val="both"/>
        <w:rPr>
          <w:rFonts w:ascii="Times New Roman" w:hAnsi="Times New Roman" w:cs="Times New Roman"/>
          <w:sz w:val="24"/>
          <w:szCs w:val="24"/>
        </w:rPr>
      </w:pPr>
      <w:r w:rsidRPr="008A569E">
        <w:rPr>
          <w:rFonts w:ascii="Times New Roman" w:hAnsi="Times New Roman" w:cs="Times New Roman"/>
          <w:sz w:val="24"/>
          <w:szCs w:val="24"/>
        </w:rPr>
        <w:t>Wales Council for Voluntary Action (no date</w:t>
      </w:r>
      <w:r w:rsidRPr="008A569E">
        <w:rPr>
          <w:rFonts w:ascii="Times New Roman" w:hAnsi="Times New Roman" w:cs="Times New Roman"/>
          <w:i/>
          <w:sz w:val="24"/>
          <w:szCs w:val="24"/>
        </w:rPr>
        <w:t>). The Well-being of Future Generations (Wales) Act- All you need to know.</w:t>
      </w:r>
      <w:r w:rsidRPr="008A569E">
        <w:rPr>
          <w:rFonts w:ascii="Times New Roman" w:hAnsi="Times New Roman" w:cs="Times New Roman"/>
          <w:sz w:val="24"/>
          <w:szCs w:val="24"/>
        </w:rPr>
        <w:t xml:space="preserve"> Available at: </w:t>
      </w:r>
      <w:hyperlink r:id="rId9" w:history="1">
        <w:r w:rsidRPr="008A569E">
          <w:rPr>
            <w:rStyle w:val="Hyperlink"/>
            <w:rFonts w:ascii="Times New Roman" w:hAnsi="Times New Roman" w:cs="Times New Roman"/>
            <w:color w:val="auto"/>
            <w:sz w:val="24"/>
            <w:szCs w:val="24"/>
          </w:rPr>
          <w:t>https://www.wcva.org.uk/what-we-do/the-future-generations-(wales)-act-all-you-need-to-know</w:t>
        </w:r>
      </w:hyperlink>
      <w:r w:rsidRPr="008A569E">
        <w:rPr>
          <w:rFonts w:ascii="Times New Roman" w:hAnsi="Times New Roman" w:cs="Times New Roman"/>
          <w:sz w:val="24"/>
          <w:szCs w:val="24"/>
        </w:rPr>
        <w:t xml:space="preserve"> (Accessed: 12</w:t>
      </w:r>
      <w:r w:rsidRPr="008A569E">
        <w:rPr>
          <w:rFonts w:ascii="Times New Roman" w:hAnsi="Times New Roman" w:cs="Times New Roman"/>
          <w:sz w:val="24"/>
          <w:szCs w:val="24"/>
          <w:vertAlign w:val="superscript"/>
        </w:rPr>
        <w:t>th</w:t>
      </w:r>
      <w:r w:rsidRPr="008A569E">
        <w:rPr>
          <w:rFonts w:ascii="Times New Roman" w:hAnsi="Times New Roman" w:cs="Times New Roman"/>
          <w:sz w:val="24"/>
          <w:szCs w:val="24"/>
        </w:rPr>
        <w:t xml:space="preserve"> May</w:t>
      </w:r>
      <w:bookmarkStart w:id="11" w:name="_Hlk15928878"/>
      <w:r w:rsidRPr="008A569E">
        <w:rPr>
          <w:rFonts w:ascii="Times New Roman" w:hAnsi="Times New Roman" w:cs="Times New Roman"/>
          <w:sz w:val="24"/>
          <w:szCs w:val="24"/>
        </w:rPr>
        <w:t xml:space="preserve"> </w:t>
      </w:r>
      <w:bookmarkEnd w:id="11"/>
      <w:r w:rsidRPr="008A569E">
        <w:rPr>
          <w:rFonts w:ascii="Times New Roman" w:hAnsi="Times New Roman" w:cs="Times New Roman"/>
          <w:sz w:val="24"/>
          <w:szCs w:val="24"/>
        </w:rPr>
        <w:t>2019).</w:t>
      </w:r>
    </w:p>
    <w:p w14:paraId="27F9D9A9" w14:textId="77777777" w:rsidR="008A569E" w:rsidRPr="008A569E" w:rsidRDefault="008A569E" w:rsidP="008A569E">
      <w:pPr>
        <w:jc w:val="both"/>
        <w:rPr>
          <w:rFonts w:ascii="Times New Roman" w:hAnsi="Times New Roman" w:cs="Times New Roman"/>
          <w:sz w:val="24"/>
          <w:szCs w:val="24"/>
        </w:rPr>
      </w:pPr>
      <w:r w:rsidRPr="008A569E">
        <w:rPr>
          <w:rFonts w:ascii="Times New Roman" w:hAnsi="Times New Roman" w:cs="Times New Roman"/>
          <w:sz w:val="24"/>
          <w:szCs w:val="24"/>
        </w:rPr>
        <w:lastRenderedPageBreak/>
        <w:t xml:space="preserve">Welsh Government (2015) </w:t>
      </w:r>
      <w:r w:rsidRPr="008A569E">
        <w:rPr>
          <w:rFonts w:ascii="Times New Roman" w:hAnsi="Times New Roman" w:cs="Times New Roman"/>
          <w:i/>
          <w:sz w:val="24"/>
          <w:szCs w:val="24"/>
        </w:rPr>
        <w:t xml:space="preserve">Programme for Children and Young People; Comprehensive version, core aims 1 to 7. </w:t>
      </w:r>
      <w:r w:rsidRPr="008A569E">
        <w:rPr>
          <w:rFonts w:ascii="Times New Roman" w:hAnsi="Times New Roman" w:cs="Times New Roman"/>
          <w:sz w:val="24"/>
          <w:szCs w:val="24"/>
        </w:rPr>
        <w:t xml:space="preserve">Available at: </w:t>
      </w:r>
      <w:hyperlink r:id="rId10" w:history="1">
        <w:r w:rsidRPr="008A569E">
          <w:rPr>
            <w:rStyle w:val="Hyperlink"/>
            <w:rFonts w:ascii="Times New Roman" w:hAnsi="Times New Roman" w:cs="Times New Roman"/>
            <w:color w:val="auto"/>
            <w:sz w:val="24"/>
            <w:szCs w:val="24"/>
          </w:rPr>
          <w:t>https://gov.wales/sites/default/files/publications/2019-06/seven-core-aims-for-children-and-young-people.pdf</w:t>
        </w:r>
      </w:hyperlink>
      <w:r w:rsidRPr="008A569E">
        <w:rPr>
          <w:rFonts w:ascii="Times New Roman" w:hAnsi="Times New Roman" w:cs="Times New Roman"/>
          <w:sz w:val="24"/>
          <w:szCs w:val="24"/>
        </w:rPr>
        <w:t xml:space="preserve"> (Accessed: 15</w:t>
      </w:r>
      <w:r w:rsidRPr="008A569E">
        <w:rPr>
          <w:rFonts w:ascii="Times New Roman" w:hAnsi="Times New Roman" w:cs="Times New Roman"/>
          <w:sz w:val="24"/>
          <w:szCs w:val="24"/>
          <w:vertAlign w:val="superscript"/>
        </w:rPr>
        <w:t>th</w:t>
      </w:r>
      <w:r w:rsidRPr="008A569E">
        <w:rPr>
          <w:rFonts w:ascii="Times New Roman" w:hAnsi="Times New Roman" w:cs="Times New Roman"/>
          <w:sz w:val="24"/>
          <w:szCs w:val="24"/>
        </w:rPr>
        <w:t xml:space="preserve"> June 2019).</w:t>
      </w:r>
    </w:p>
    <w:p w14:paraId="5A660299" w14:textId="443716BF" w:rsidR="00A044B7" w:rsidRPr="0025409E" w:rsidRDefault="00A044B7" w:rsidP="00A044B7">
      <w:pPr>
        <w:pStyle w:val="Heading1"/>
        <w:shd w:val="clear" w:color="auto" w:fill="FCFCFC"/>
        <w:spacing w:after="120"/>
        <w:rPr>
          <w:rFonts w:asciiTheme="minorHAnsi" w:hAnsiTheme="minorHAnsi" w:cstheme="minorHAnsi"/>
          <w:b w:val="0"/>
          <w:sz w:val="22"/>
          <w:szCs w:val="22"/>
        </w:rPr>
      </w:pPr>
    </w:p>
    <w:p w14:paraId="22DC9D81" w14:textId="77777777" w:rsidR="00D01780" w:rsidRPr="00700565" w:rsidRDefault="00D01780" w:rsidP="00B949B5">
      <w:pPr>
        <w:pStyle w:val="Heading1"/>
        <w:shd w:val="clear" w:color="auto" w:fill="FCFCFC"/>
        <w:spacing w:before="0" w:beforeAutospacing="0" w:after="120" w:afterAutospacing="0"/>
        <w:rPr>
          <w:rFonts w:asciiTheme="minorHAnsi" w:hAnsiTheme="minorHAnsi" w:cstheme="minorHAnsi"/>
          <w:b w:val="0"/>
          <w:sz w:val="22"/>
          <w:szCs w:val="22"/>
        </w:rPr>
      </w:pPr>
    </w:p>
    <w:p w14:paraId="36631E5D" w14:textId="77777777" w:rsidR="00B949B5" w:rsidRPr="00E05BAC" w:rsidRDefault="00B949B5" w:rsidP="00B34B01">
      <w:pPr>
        <w:rPr>
          <w:rFonts w:cstheme="minorHAnsi"/>
        </w:rPr>
      </w:pPr>
    </w:p>
    <w:p w14:paraId="50205A74" w14:textId="77777777" w:rsidR="00933B78" w:rsidRPr="008C034D" w:rsidRDefault="00933B78" w:rsidP="008C034D">
      <w:pPr>
        <w:spacing w:line="360" w:lineRule="auto"/>
        <w:jc w:val="both"/>
        <w:rPr>
          <w:rFonts w:ascii="Times New Roman" w:hAnsi="Times New Roman" w:cs="Times New Roman"/>
          <w:sz w:val="24"/>
          <w:szCs w:val="24"/>
        </w:rPr>
      </w:pPr>
    </w:p>
    <w:sectPr w:rsidR="00933B78" w:rsidRPr="008C03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D33AF"/>
    <w:multiLevelType w:val="multilevel"/>
    <w:tmpl w:val="F6A6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C147B4"/>
    <w:multiLevelType w:val="multilevel"/>
    <w:tmpl w:val="3532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4B6581"/>
    <w:multiLevelType w:val="multilevel"/>
    <w:tmpl w:val="A944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AF200E"/>
    <w:multiLevelType w:val="multilevel"/>
    <w:tmpl w:val="03BA5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9F7606"/>
    <w:multiLevelType w:val="multilevel"/>
    <w:tmpl w:val="0D62A6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BD5583"/>
    <w:multiLevelType w:val="multilevel"/>
    <w:tmpl w:val="ABCE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6503DD"/>
    <w:multiLevelType w:val="multilevel"/>
    <w:tmpl w:val="CC22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A85729"/>
    <w:multiLevelType w:val="multilevel"/>
    <w:tmpl w:val="2D661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697CEA"/>
    <w:multiLevelType w:val="hybridMultilevel"/>
    <w:tmpl w:val="E6782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A5455D"/>
    <w:multiLevelType w:val="multilevel"/>
    <w:tmpl w:val="8780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0934D2"/>
    <w:multiLevelType w:val="multilevel"/>
    <w:tmpl w:val="3B00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33F08BE"/>
    <w:multiLevelType w:val="multilevel"/>
    <w:tmpl w:val="1810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02798A"/>
    <w:multiLevelType w:val="multilevel"/>
    <w:tmpl w:val="D8BE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8"/>
  </w:num>
  <w:num w:numId="3">
    <w:abstractNumId w:val="3"/>
  </w:num>
  <w:num w:numId="4">
    <w:abstractNumId w:val="5"/>
  </w:num>
  <w:num w:numId="5">
    <w:abstractNumId w:val="11"/>
  </w:num>
  <w:num w:numId="6">
    <w:abstractNumId w:val="0"/>
  </w:num>
  <w:num w:numId="7">
    <w:abstractNumId w:val="9"/>
  </w:num>
  <w:num w:numId="8">
    <w:abstractNumId w:val="10"/>
  </w:num>
  <w:num w:numId="9">
    <w:abstractNumId w:val="12"/>
  </w:num>
  <w:num w:numId="10">
    <w:abstractNumId w:val="1"/>
  </w:num>
  <w:num w:numId="11">
    <w:abstractNumId w:val="6"/>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AC7"/>
    <w:rsid w:val="00086513"/>
    <w:rsid w:val="00146086"/>
    <w:rsid w:val="00157EFC"/>
    <w:rsid w:val="001664CD"/>
    <w:rsid w:val="001C574C"/>
    <w:rsid w:val="0025409E"/>
    <w:rsid w:val="002717B0"/>
    <w:rsid w:val="00281421"/>
    <w:rsid w:val="00457B55"/>
    <w:rsid w:val="00535193"/>
    <w:rsid w:val="00563982"/>
    <w:rsid w:val="006B0F7C"/>
    <w:rsid w:val="006C0A0C"/>
    <w:rsid w:val="007D4AC7"/>
    <w:rsid w:val="0085564C"/>
    <w:rsid w:val="00883E1B"/>
    <w:rsid w:val="008A569E"/>
    <w:rsid w:val="008C034D"/>
    <w:rsid w:val="00912A56"/>
    <w:rsid w:val="00933B78"/>
    <w:rsid w:val="0095177A"/>
    <w:rsid w:val="00975AE2"/>
    <w:rsid w:val="009F3CD7"/>
    <w:rsid w:val="00A044B7"/>
    <w:rsid w:val="00A9535A"/>
    <w:rsid w:val="00AC386A"/>
    <w:rsid w:val="00B34B01"/>
    <w:rsid w:val="00B366D4"/>
    <w:rsid w:val="00B73D57"/>
    <w:rsid w:val="00B949B5"/>
    <w:rsid w:val="00BA0B1C"/>
    <w:rsid w:val="00BC1FA4"/>
    <w:rsid w:val="00C804D3"/>
    <w:rsid w:val="00C9698E"/>
    <w:rsid w:val="00D01780"/>
    <w:rsid w:val="00D60B8D"/>
    <w:rsid w:val="00DD0FF7"/>
    <w:rsid w:val="00EF104D"/>
    <w:rsid w:val="00FA3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B811A"/>
  <w15:chartTrackingRefBased/>
  <w15:docId w15:val="{556AEF31-82DE-4EF3-99FE-D64EE46F8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3B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B7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33B78"/>
    <w:rPr>
      <w:strike w:val="0"/>
      <w:dstrike w:val="0"/>
      <w:color w:val="363F44"/>
      <w:u w:val="none"/>
      <w:effect w:val="none"/>
      <w:shd w:val="clear" w:color="auto" w:fill="auto"/>
    </w:rPr>
  </w:style>
  <w:style w:type="character" w:styleId="FollowedHyperlink">
    <w:name w:val="FollowedHyperlink"/>
    <w:basedOn w:val="DefaultParagraphFont"/>
    <w:uiPriority w:val="99"/>
    <w:semiHidden/>
    <w:unhideWhenUsed/>
    <w:rsid w:val="00B949B5"/>
    <w:rPr>
      <w:color w:val="954F72" w:themeColor="followedHyperlink"/>
      <w:u w:val="single"/>
    </w:rPr>
  </w:style>
  <w:style w:type="character" w:styleId="UnresolvedMention">
    <w:name w:val="Unresolved Mention"/>
    <w:basedOn w:val="DefaultParagraphFont"/>
    <w:uiPriority w:val="99"/>
    <w:semiHidden/>
    <w:unhideWhenUsed/>
    <w:rsid w:val="00D01780"/>
    <w:rPr>
      <w:color w:val="605E5C"/>
      <w:shd w:val="clear" w:color="auto" w:fill="E1DFDD"/>
    </w:rPr>
  </w:style>
  <w:style w:type="paragraph" w:styleId="NormalWeb">
    <w:name w:val="Normal (Web)"/>
    <w:basedOn w:val="Normal"/>
    <w:uiPriority w:val="99"/>
    <w:semiHidden/>
    <w:unhideWhenUsed/>
    <w:rsid w:val="001460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5177A"/>
    <w:pPr>
      <w:ind w:left="720"/>
      <w:contextualSpacing/>
    </w:pPr>
  </w:style>
  <w:style w:type="paragraph" w:customStyle="1" w:styleId="paragraph">
    <w:name w:val="paragraph"/>
    <w:basedOn w:val="Normal"/>
    <w:rsid w:val="00B73D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73D57"/>
  </w:style>
  <w:style w:type="character" w:customStyle="1" w:styleId="eop">
    <w:name w:val="eop"/>
    <w:basedOn w:val="DefaultParagraphFont"/>
    <w:rsid w:val="00B73D57"/>
  </w:style>
  <w:style w:type="character" w:styleId="Emphasis">
    <w:name w:val="Emphasis"/>
    <w:basedOn w:val="DefaultParagraphFont"/>
    <w:uiPriority w:val="20"/>
    <w:qFormat/>
    <w:rsid w:val="00C804D3"/>
    <w:rPr>
      <w:i/>
      <w:iCs/>
    </w:rPr>
  </w:style>
  <w:style w:type="character" w:styleId="Strong">
    <w:name w:val="Strong"/>
    <w:basedOn w:val="DefaultParagraphFont"/>
    <w:uiPriority w:val="22"/>
    <w:qFormat/>
    <w:rsid w:val="00C804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275">
      <w:bodyDiv w:val="1"/>
      <w:marLeft w:val="0"/>
      <w:marRight w:val="0"/>
      <w:marTop w:val="0"/>
      <w:marBottom w:val="0"/>
      <w:divBdr>
        <w:top w:val="none" w:sz="0" w:space="0" w:color="auto"/>
        <w:left w:val="none" w:sz="0" w:space="0" w:color="auto"/>
        <w:bottom w:val="none" w:sz="0" w:space="0" w:color="auto"/>
        <w:right w:val="none" w:sz="0" w:space="0" w:color="auto"/>
      </w:divBdr>
      <w:divsChild>
        <w:div w:id="767197114">
          <w:marLeft w:val="0"/>
          <w:marRight w:val="0"/>
          <w:marTop w:val="0"/>
          <w:marBottom w:val="0"/>
          <w:divBdr>
            <w:top w:val="none" w:sz="0" w:space="0" w:color="auto"/>
            <w:left w:val="none" w:sz="0" w:space="0" w:color="auto"/>
            <w:bottom w:val="none" w:sz="0" w:space="0" w:color="auto"/>
            <w:right w:val="none" w:sz="0" w:space="0" w:color="auto"/>
          </w:divBdr>
        </w:div>
        <w:div w:id="668337522">
          <w:marLeft w:val="0"/>
          <w:marRight w:val="0"/>
          <w:marTop w:val="0"/>
          <w:marBottom w:val="0"/>
          <w:divBdr>
            <w:top w:val="none" w:sz="0" w:space="0" w:color="auto"/>
            <w:left w:val="none" w:sz="0" w:space="0" w:color="auto"/>
            <w:bottom w:val="none" w:sz="0" w:space="0" w:color="auto"/>
            <w:right w:val="none" w:sz="0" w:space="0" w:color="auto"/>
          </w:divBdr>
        </w:div>
        <w:div w:id="2143771737">
          <w:marLeft w:val="0"/>
          <w:marRight w:val="0"/>
          <w:marTop w:val="0"/>
          <w:marBottom w:val="0"/>
          <w:divBdr>
            <w:top w:val="none" w:sz="0" w:space="0" w:color="auto"/>
            <w:left w:val="none" w:sz="0" w:space="0" w:color="auto"/>
            <w:bottom w:val="none" w:sz="0" w:space="0" w:color="auto"/>
            <w:right w:val="none" w:sz="0" w:space="0" w:color="auto"/>
          </w:divBdr>
        </w:div>
        <w:div w:id="1855217993">
          <w:marLeft w:val="0"/>
          <w:marRight w:val="0"/>
          <w:marTop w:val="0"/>
          <w:marBottom w:val="0"/>
          <w:divBdr>
            <w:top w:val="none" w:sz="0" w:space="0" w:color="auto"/>
            <w:left w:val="none" w:sz="0" w:space="0" w:color="auto"/>
            <w:bottom w:val="none" w:sz="0" w:space="0" w:color="auto"/>
            <w:right w:val="none" w:sz="0" w:space="0" w:color="auto"/>
          </w:divBdr>
        </w:div>
        <w:div w:id="1526794503">
          <w:marLeft w:val="0"/>
          <w:marRight w:val="0"/>
          <w:marTop w:val="0"/>
          <w:marBottom w:val="0"/>
          <w:divBdr>
            <w:top w:val="none" w:sz="0" w:space="0" w:color="auto"/>
            <w:left w:val="none" w:sz="0" w:space="0" w:color="auto"/>
            <w:bottom w:val="none" w:sz="0" w:space="0" w:color="auto"/>
            <w:right w:val="none" w:sz="0" w:space="0" w:color="auto"/>
          </w:divBdr>
        </w:div>
        <w:div w:id="1238783562">
          <w:marLeft w:val="0"/>
          <w:marRight w:val="0"/>
          <w:marTop w:val="0"/>
          <w:marBottom w:val="0"/>
          <w:divBdr>
            <w:top w:val="none" w:sz="0" w:space="0" w:color="auto"/>
            <w:left w:val="none" w:sz="0" w:space="0" w:color="auto"/>
            <w:bottom w:val="none" w:sz="0" w:space="0" w:color="auto"/>
            <w:right w:val="none" w:sz="0" w:space="0" w:color="auto"/>
          </w:divBdr>
        </w:div>
        <w:div w:id="1597326919">
          <w:marLeft w:val="0"/>
          <w:marRight w:val="0"/>
          <w:marTop w:val="0"/>
          <w:marBottom w:val="0"/>
          <w:divBdr>
            <w:top w:val="none" w:sz="0" w:space="0" w:color="auto"/>
            <w:left w:val="none" w:sz="0" w:space="0" w:color="auto"/>
            <w:bottom w:val="none" w:sz="0" w:space="0" w:color="auto"/>
            <w:right w:val="none" w:sz="0" w:space="0" w:color="auto"/>
          </w:divBdr>
        </w:div>
        <w:div w:id="748700580">
          <w:marLeft w:val="0"/>
          <w:marRight w:val="0"/>
          <w:marTop w:val="0"/>
          <w:marBottom w:val="0"/>
          <w:divBdr>
            <w:top w:val="none" w:sz="0" w:space="0" w:color="auto"/>
            <w:left w:val="none" w:sz="0" w:space="0" w:color="auto"/>
            <w:bottom w:val="none" w:sz="0" w:space="0" w:color="auto"/>
            <w:right w:val="none" w:sz="0" w:space="0" w:color="auto"/>
          </w:divBdr>
        </w:div>
        <w:div w:id="2079817531">
          <w:marLeft w:val="0"/>
          <w:marRight w:val="0"/>
          <w:marTop w:val="0"/>
          <w:marBottom w:val="0"/>
          <w:divBdr>
            <w:top w:val="none" w:sz="0" w:space="0" w:color="auto"/>
            <w:left w:val="none" w:sz="0" w:space="0" w:color="auto"/>
            <w:bottom w:val="none" w:sz="0" w:space="0" w:color="auto"/>
            <w:right w:val="none" w:sz="0" w:space="0" w:color="auto"/>
          </w:divBdr>
        </w:div>
        <w:div w:id="360783574">
          <w:marLeft w:val="0"/>
          <w:marRight w:val="0"/>
          <w:marTop w:val="0"/>
          <w:marBottom w:val="0"/>
          <w:divBdr>
            <w:top w:val="none" w:sz="0" w:space="0" w:color="auto"/>
            <w:left w:val="none" w:sz="0" w:space="0" w:color="auto"/>
            <w:bottom w:val="none" w:sz="0" w:space="0" w:color="auto"/>
            <w:right w:val="none" w:sz="0" w:space="0" w:color="auto"/>
          </w:divBdr>
        </w:div>
        <w:div w:id="2048798736">
          <w:marLeft w:val="0"/>
          <w:marRight w:val="0"/>
          <w:marTop w:val="0"/>
          <w:marBottom w:val="0"/>
          <w:divBdr>
            <w:top w:val="none" w:sz="0" w:space="0" w:color="auto"/>
            <w:left w:val="none" w:sz="0" w:space="0" w:color="auto"/>
            <w:bottom w:val="none" w:sz="0" w:space="0" w:color="auto"/>
            <w:right w:val="none" w:sz="0" w:space="0" w:color="auto"/>
          </w:divBdr>
        </w:div>
        <w:div w:id="955452194">
          <w:marLeft w:val="0"/>
          <w:marRight w:val="0"/>
          <w:marTop w:val="0"/>
          <w:marBottom w:val="0"/>
          <w:divBdr>
            <w:top w:val="none" w:sz="0" w:space="0" w:color="auto"/>
            <w:left w:val="none" w:sz="0" w:space="0" w:color="auto"/>
            <w:bottom w:val="none" w:sz="0" w:space="0" w:color="auto"/>
            <w:right w:val="none" w:sz="0" w:space="0" w:color="auto"/>
          </w:divBdr>
        </w:div>
        <w:div w:id="353504450">
          <w:marLeft w:val="0"/>
          <w:marRight w:val="0"/>
          <w:marTop w:val="0"/>
          <w:marBottom w:val="0"/>
          <w:divBdr>
            <w:top w:val="none" w:sz="0" w:space="0" w:color="auto"/>
            <w:left w:val="none" w:sz="0" w:space="0" w:color="auto"/>
            <w:bottom w:val="none" w:sz="0" w:space="0" w:color="auto"/>
            <w:right w:val="none" w:sz="0" w:space="0" w:color="auto"/>
          </w:divBdr>
        </w:div>
      </w:divsChild>
    </w:div>
    <w:div w:id="29113069">
      <w:bodyDiv w:val="1"/>
      <w:marLeft w:val="0"/>
      <w:marRight w:val="0"/>
      <w:marTop w:val="0"/>
      <w:marBottom w:val="0"/>
      <w:divBdr>
        <w:top w:val="none" w:sz="0" w:space="0" w:color="auto"/>
        <w:left w:val="none" w:sz="0" w:space="0" w:color="auto"/>
        <w:bottom w:val="none" w:sz="0" w:space="0" w:color="auto"/>
        <w:right w:val="none" w:sz="0" w:space="0" w:color="auto"/>
      </w:divBdr>
    </w:div>
    <w:div w:id="169298285">
      <w:bodyDiv w:val="1"/>
      <w:marLeft w:val="0"/>
      <w:marRight w:val="0"/>
      <w:marTop w:val="0"/>
      <w:marBottom w:val="0"/>
      <w:divBdr>
        <w:top w:val="none" w:sz="0" w:space="0" w:color="auto"/>
        <w:left w:val="none" w:sz="0" w:space="0" w:color="auto"/>
        <w:bottom w:val="none" w:sz="0" w:space="0" w:color="auto"/>
        <w:right w:val="none" w:sz="0" w:space="0" w:color="auto"/>
      </w:divBdr>
    </w:div>
    <w:div w:id="305940560">
      <w:bodyDiv w:val="1"/>
      <w:marLeft w:val="0"/>
      <w:marRight w:val="0"/>
      <w:marTop w:val="0"/>
      <w:marBottom w:val="0"/>
      <w:divBdr>
        <w:top w:val="none" w:sz="0" w:space="0" w:color="auto"/>
        <w:left w:val="none" w:sz="0" w:space="0" w:color="auto"/>
        <w:bottom w:val="none" w:sz="0" w:space="0" w:color="auto"/>
        <w:right w:val="none" w:sz="0" w:space="0" w:color="auto"/>
      </w:divBdr>
    </w:div>
    <w:div w:id="1208184655">
      <w:bodyDiv w:val="1"/>
      <w:marLeft w:val="0"/>
      <w:marRight w:val="0"/>
      <w:marTop w:val="0"/>
      <w:marBottom w:val="0"/>
      <w:divBdr>
        <w:top w:val="none" w:sz="0" w:space="0" w:color="auto"/>
        <w:left w:val="none" w:sz="0" w:space="0" w:color="auto"/>
        <w:bottom w:val="none" w:sz="0" w:space="0" w:color="auto"/>
        <w:right w:val="none" w:sz="0" w:space="0" w:color="auto"/>
      </w:divBdr>
    </w:div>
    <w:div w:id="1484615283">
      <w:bodyDiv w:val="1"/>
      <w:marLeft w:val="0"/>
      <w:marRight w:val="0"/>
      <w:marTop w:val="0"/>
      <w:marBottom w:val="0"/>
      <w:divBdr>
        <w:top w:val="none" w:sz="0" w:space="0" w:color="auto"/>
        <w:left w:val="none" w:sz="0" w:space="0" w:color="auto"/>
        <w:bottom w:val="none" w:sz="0" w:space="0" w:color="auto"/>
        <w:right w:val="none" w:sz="0" w:space="0" w:color="auto"/>
      </w:divBdr>
      <w:divsChild>
        <w:div w:id="104346245">
          <w:marLeft w:val="0"/>
          <w:marRight w:val="0"/>
          <w:marTop w:val="0"/>
          <w:marBottom w:val="0"/>
          <w:divBdr>
            <w:top w:val="none" w:sz="0" w:space="0" w:color="auto"/>
            <w:left w:val="none" w:sz="0" w:space="0" w:color="auto"/>
            <w:bottom w:val="none" w:sz="0" w:space="0" w:color="auto"/>
            <w:right w:val="none" w:sz="0" w:space="0" w:color="auto"/>
          </w:divBdr>
        </w:div>
        <w:div w:id="785273815">
          <w:marLeft w:val="0"/>
          <w:marRight w:val="0"/>
          <w:marTop w:val="0"/>
          <w:marBottom w:val="0"/>
          <w:divBdr>
            <w:top w:val="none" w:sz="0" w:space="0" w:color="auto"/>
            <w:left w:val="none" w:sz="0" w:space="0" w:color="auto"/>
            <w:bottom w:val="none" w:sz="0" w:space="0" w:color="auto"/>
            <w:right w:val="none" w:sz="0" w:space="0" w:color="auto"/>
          </w:divBdr>
        </w:div>
        <w:div w:id="1861356511">
          <w:marLeft w:val="0"/>
          <w:marRight w:val="0"/>
          <w:marTop w:val="0"/>
          <w:marBottom w:val="0"/>
          <w:divBdr>
            <w:top w:val="none" w:sz="0" w:space="0" w:color="auto"/>
            <w:left w:val="none" w:sz="0" w:space="0" w:color="auto"/>
            <w:bottom w:val="none" w:sz="0" w:space="0" w:color="auto"/>
            <w:right w:val="none" w:sz="0" w:space="0" w:color="auto"/>
          </w:divBdr>
        </w:div>
        <w:div w:id="1749188204">
          <w:marLeft w:val="0"/>
          <w:marRight w:val="0"/>
          <w:marTop w:val="0"/>
          <w:marBottom w:val="0"/>
          <w:divBdr>
            <w:top w:val="none" w:sz="0" w:space="0" w:color="auto"/>
            <w:left w:val="none" w:sz="0" w:space="0" w:color="auto"/>
            <w:bottom w:val="none" w:sz="0" w:space="0" w:color="auto"/>
            <w:right w:val="none" w:sz="0" w:space="0" w:color="auto"/>
          </w:divBdr>
        </w:div>
      </w:divsChild>
    </w:div>
    <w:div w:id="1488664639">
      <w:bodyDiv w:val="1"/>
      <w:marLeft w:val="0"/>
      <w:marRight w:val="0"/>
      <w:marTop w:val="0"/>
      <w:marBottom w:val="0"/>
      <w:divBdr>
        <w:top w:val="none" w:sz="0" w:space="0" w:color="auto"/>
        <w:left w:val="none" w:sz="0" w:space="0" w:color="auto"/>
        <w:bottom w:val="none" w:sz="0" w:space="0" w:color="auto"/>
        <w:right w:val="none" w:sz="0" w:space="0" w:color="auto"/>
      </w:divBdr>
    </w:div>
    <w:div w:id="1509368963">
      <w:bodyDiv w:val="1"/>
      <w:marLeft w:val="0"/>
      <w:marRight w:val="0"/>
      <w:marTop w:val="0"/>
      <w:marBottom w:val="0"/>
      <w:divBdr>
        <w:top w:val="none" w:sz="0" w:space="0" w:color="auto"/>
        <w:left w:val="none" w:sz="0" w:space="0" w:color="auto"/>
        <w:bottom w:val="none" w:sz="0" w:space="0" w:color="auto"/>
        <w:right w:val="none" w:sz="0" w:space="0" w:color="auto"/>
      </w:divBdr>
      <w:divsChild>
        <w:div w:id="1569876685">
          <w:marLeft w:val="0"/>
          <w:marRight w:val="0"/>
          <w:marTop w:val="0"/>
          <w:marBottom w:val="0"/>
          <w:divBdr>
            <w:top w:val="none" w:sz="0" w:space="0" w:color="auto"/>
            <w:left w:val="none" w:sz="0" w:space="0" w:color="auto"/>
            <w:bottom w:val="none" w:sz="0" w:space="0" w:color="auto"/>
            <w:right w:val="none" w:sz="0" w:space="0" w:color="auto"/>
          </w:divBdr>
        </w:div>
        <w:div w:id="1493176220">
          <w:marLeft w:val="0"/>
          <w:marRight w:val="0"/>
          <w:marTop w:val="0"/>
          <w:marBottom w:val="0"/>
          <w:divBdr>
            <w:top w:val="none" w:sz="0" w:space="0" w:color="auto"/>
            <w:left w:val="none" w:sz="0" w:space="0" w:color="auto"/>
            <w:bottom w:val="none" w:sz="0" w:space="0" w:color="auto"/>
            <w:right w:val="none" w:sz="0" w:space="0" w:color="auto"/>
          </w:divBdr>
        </w:div>
        <w:div w:id="1411927352">
          <w:marLeft w:val="0"/>
          <w:marRight w:val="0"/>
          <w:marTop w:val="0"/>
          <w:marBottom w:val="0"/>
          <w:divBdr>
            <w:top w:val="none" w:sz="0" w:space="0" w:color="auto"/>
            <w:left w:val="none" w:sz="0" w:space="0" w:color="auto"/>
            <w:bottom w:val="none" w:sz="0" w:space="0" w:color="auto"/>
            <w:right w:val="none" w:sz="0" w:space="0" w:color="auto"/>
          </w:divBdr>
        </w:div>
        <w:div w:id="90401015">
          <w:marLeft w:val="0"/>
          <w:marRight w:val="0"/>
          <w:marTop w:val="0"/>
          <w:marBottom w:val="0"/>
          <w:divBdr>
            <w:top w:val="none" w:sz="0" w:space="0" w:color="auto"/>
            <w:left w:val="none" w:sz="0" w:space="0" w:color="auto"/>
            <w:bottom w:val="none" w:sz="0" w:space="0" w:color="auto"/>
            <w:right w:val="none" w:sz="0" w:space="0" w:color="auto"/>
          </w:divBdr>
        </w:div>
      </w:divsChild>
    </w:div>
    <w:div w:id="2113433949">
      <w:bodyDiv w:val="1"/>
      <w:marLeft w:val="0"/>
      <w:marRight w:val="0"/>
      <w:marTop w:val="0"/>
      <w:marBottom w:val="0"/>
      <w:divBdr>
        <w:top w:val="none" w:sz="0" w:space="0" w:color="auto"/>
        <w:left w:val="none" w:sz="0" w:space="0" w:color="auto"/>
        <w:bottom w:val="none" w:sz="0" w:space="0" w:color="auto"/>
        <w:right w:val="none" w:sz="0" w:space="0" w:color="auto"/>
      </w:divBdr>
    </w:div>
    <w:div w:id="213898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4/4/contents" TargetMode="External"/><Relationship Id="rId3" Type="http://schemas.openxmlformats.org/officeDocument/2006/relationships/styles" Target="styles.xml"/><Relationship Id="rId7" Type="http://schemas.openxmlformats.org/officeDocument/2006/relationships/hyperlink" Target="https://b.3cdn.net/nefoundation/813660812dc0c82af5_vkm6vve98.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fer.ac.uk/nfer/publications/mad01/mad01.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gov.wales/sites/default/files/publications/2019-06/seven-core-aims-for-children-and-young-people.pdf" TargetMode="External"/><Relationship Id="rId4" Type="http://schemas.openxmlformats.org/officeDocument/2006/relationships/settings" Target="settings.xml"/><Relationship Id="rId9" Type="http://schemas.openxmlformats.org/officeDocument/2006/relationships/hyperlink" Target="https://www.wcva.org.uk/what-we-do/the-future-generations-(wales)-act-all-you-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5C338-93A8-4043-9E14-44594E5C0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2600</Words>
  <Characters>14822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Morgan (1602970)</dc:creator>
  <cp:keywords/>
  <dc:description/>
  <cp:lastModifiedBy>Lucy Morgan (1602970)</cp:lastModifiedBy>
  <cp:revision>2</cp:revision>
  <dcterms:created xsi:type="dcterms:W3CDTF">2019-08-05T22:23:00Z</dcterms:created>
  <dcterms:modified xsi:type="dcterms:W3CDTF">2019-08-05T22:23:00Z</dcterms:modified>
</cp:coreProperties>
</file>