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71042619"/>
        <w:docPartObj>
          <w:docPartGallery w:val="Cover Pages"/>
          <w:docPartUnique/>
        </w:docPartObj>
      </w:sdtPr>
      <w:sdtContent>
        <w:p w14:paraId="4AB19F0B" w14:textId="3215EAFE" w:rsidR="0084623A" w:rsidRDefault="0084623A">
          <w:r>
            <w:rPr>
              <w:noProof/>
            </w:rPr>
            <mc:AlternateContent>
              <mc:Choice Requires="wpg">
                <w:drawing>
                  <wp:anchor distT="0" distB="0" distL="114300" distR="114300" simplePos="0" relativeHeight="251662336" behindDoc="0" locked="0" layoutInCell="1" allowOverlap="1" wp14:anchorId="1B2F4AB5" wp14:editId="0051AFD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9EBA2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8D3736A" wp14:editId="42FF9F12">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27C3E47" w14:textId="4729459A" w:rsidR="0084623A" w:rsidRDefault="0084623A">
                                    <w:pPr>
                                      <w:pStyle w:val="NoSpacing"/>
                                      <w:jc w:val="right"/>
                                      <w:rPr>
                                        <w:color w:val="595959" w:themeColor="text1" w:themeTint="A6"/>
                                        <w:sz w:val="28"/>
                                        <w:szCs w:val="28"/>
                                      </w:rPr>
                                    </w:pPr>
                                    <w:r>
                                      <w:rPr>
                                        <w:color w:val="595959" w:themeColor="text1" w:themeTint="A6"/>
                                        <w:sz w:val="28"/>
                                        <w:szCs w:val="28"/>
                                      </w:rPr>
                                      <w:t>Caitlin Selby (1800061)</w:t>
                                    </w:r>
                                  </w:p>
                                </w:sdtContent>
                              </w:sdt>
                              <w:p w14:paraId="636DFD09" w14:textId="2F014A26" w:rsidR="0084623A" w:rsidRDefault="0084623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4C059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8D3736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27C3E47" w14:textId="4729459A" w:rsidR="0084623A" w:rsidRDefault="0084623A">
                              <w:pPr>
                                <w:pStyle w:val="NoSpacing"/>
                                <w:jc w:val="right"/>
                                <w:rPr>
                                  <w:color w:val="595959" w:themeColor="text1" w:themeTint="A6"/>
                                  <w:sz w:val="28"/>
                                  <w:szCs w:val="28"/>
                                </w:rPr>
                              </w:pPr>
                              <w:r>
                                <w:rPr>
                                  <w:color w:val="595959" w:themeColor="text1" w:themeTint="A6"/>
                                  <w:sz w:val="28"/>
                                  <w:szCs w:val="28"/>
                                </w:rPr>
                                <w:t>Caitlin Selby (1800061)</w:t>
                              </w:r>
                            </w:p>
                          </w:sdtContent>
                        </w:sdt>
                        <w:p w14:paraId="636DFD09" w14:textId="2F014A26" w:rsidR="0084623A" w:rsidRDefault="0084623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4C0590">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B3EAA5F" wp14:editId="0DE4D018">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D54A36" w14:textId="33E42397" w:rsidR="0084623A" w:rsidRDefault="0084623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 critical analysis of the first attending officer’s role at a crime scene and the recovery and examination of evidence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08CF579" w14:textId="38FD1E96" w:rsidR="0084623A" w:rsidRDefault="0084623A">
                                    <w:pPr>
                                      <w:jc w:val="right"/>
                                      <w:rPr>
                                        <w:smallCaps/>
                                        <w:color w:val="404040" w:themeColor="text1" w:themeTint="BF"/>
                                        <w:sz w:val="36"/>
                                        <w:szCs w:val="36"/>
                                      </w:rPr>
                                    </w:pPr>
                                    <w:r>
                                      <w:rPr>
                                        <w:color w:val="404040" w:themeColor="text1" w:themeTint="BF"/>
                                        <w:sz w:val="36"/>
                                        <w:szCs w:val="36"/>
                                      </w:rPr>
                                      <w:t>Forensic Recovery and Examination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B3EAA5F"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Ypcgw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" filled="f" stroked="f" strokeweight=".5pt">
                    <v:textbox inset="126pt,0,54pt,0">
                      <w:txbxContent>
                        <w:p w14:paraId="6BD54A36" w14:textId="33E42397" w:rsidR="0084623A" w:rsidRDefault="0084623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 critical analysis of the first attending officer’s role at a crime scene and the recovery and examination of evidence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08CF579" w14:textId="38FD1E96" w:rsidR="0084623A" w:rsidRDefault="0084623A">
                              <w:pPr>
                                <w:jc w:val="right"/>
                                <w:rPr>
                                  <w:smallCaps/>
                                  <w:color w:val="404040" w:themeColor="text1" w:themeTint="BF"/>
                                  <w:sz w:val="36"/>
                                  <w:szCs w:val="36"/>
                                </w:rPr>
                              </w:pPr>
                              <w:r>
                                <w:rPr>
                                  <w:color w:val="404040" w:themeColor="text1" w:themeTint="BF"/>
                                  <w:sz w:val="36"/>
                                  <w:szCs w:val="36"/>
                                </w:rPr>
                                <w:t>Forensic Recovery and Examination</w:t>
                              </w:r>
                            </w:p>
                          </w:sdtContent>
                        </w:sdt>
                      </w:txbxContent>
                    </v:textbox>
                    <w10:wrap type="square" anchorx="page" anchory="page"/>
                  </v:shape>
                </w:pict>
              </mc:Fallback>
            </mc:AlternateContent>
          </w:r>
        </w:p>
        <w:p w14:paraId="7B9A644C" w14:textId="044A24A2" w:rsidR="0084623A" w:rsidRDefault="0084623A">
          <w:r>
            <w:br w:type="page"/>
          </w:r>
        </w:p>
      </w:sdtContent>
    </w:sdt>
    <w:p w14:paraId="030F177F" w14:textId="32D33FC2" w:rsidR="0084623A" w:rsidRPr="0084623A" w:rsidRDefault="0084623A" w:rsidP="000A10F1">
      <w:pPr>
        <w:spacing w:line="480" w:lineRule="auto"/>
        <w:rPr>
          <w:b/>
          <w:bCs/>
          <w:sz w:val="28"/>
          <w:szCs w:val="28"/>
          <w:u w:val="single"/>
        </w:rPr>
      </w:pPr>
      <w:r w:rsidRPr="0084623A">
        <w:rPr>
          <w:b/>
          <w:bCs/>
          <w:sz w:val="28"/>
          <w:szCs w:val="28"/>
          <w:u w:val="single"/>
        </w:rPr>
        <w:lastRenderedPageBreak/>
        <w:t>Contents:</w:t>
      </w:r>
    </w:p>
    <w:p w14:paraId="4BC0B860" w14:textId="1A106D96" w:rsidR="0084623A" w:rsidRPr="0084623A" w:rsidRDefault="0084623A" w:rsidP="000A10F1">
      <w:pPr>
        <w:spacing w:line="480" w:lineRule="auto"/>
        <w:rPr>
          <w:sz w:val="28"/>
          <w:szCs w:val="28"/>
        </w:rPr>
      </w:pPr>
      <w:r w:rsidRPr="0084623A">
        <w:rPr>
          <w:sz w:val="28"/>
          <w:szCs w:val="28"/>
        </w:rPr>
        <w:t xml:space="preserve">Part A – critically evaluating the role of the First Attending Officer         </w:t>
      </w:r>
      <w:r w:rsidRPr="0084623A">
        <w:rPr>
          <w:sz w:val="28"/>
          <w:szCs w:val="28"/>
        </w:rPr>
        <w:tab/>
        <w:t>2</w:t>
      </w:r>
    </w:p>
    <w:p w14:paraId="498A3AD0" w14:textId="5A012809" w:rsidR="0084623A" w:rsidRPr="0084623A" w:rsidRDefault="0084623A" w:rsidP="000A10F1">
      <w:pPr>
        <w:spacing w:line="480" w:lineRule="auto"/>
        <w:rPr>
          <w:sz w:val="28"/>
          <w:szCs w:val="28"/>
        </w:rPr>
      </w:pPr>
      <w:r w:rsidRPr="0084623A">
        <w:rPr>
          <w:sz w:val="28"/>
          <w:szCs w:val="28"/>
        </w:rPr>
        <w:t>Part B – critical analysis of forensic recovery and examination</w:t>
      </w:r>
      <w:r w:rsidRPr="0084623A">
        <w:rPr>
          <w:sz w:val="28"/>
          <w:szCs w:val="28"/>
        </w:rPr>
        <w:tab/>
      </w:r>
      <w:r>
        <w:rPr>
          <w:sz w:val="28"/>
          <w:szCs w:val="28"/>
        </w:rPr>
        <w:tab/>
      </w:r>
      <w:r w:rsidRPr="0084623A">
        <w:rPr>
          <w:sz w:val="28"/>
          <w:szCs w:val="28"/>
        </w:rPr>
        <w:tab/>
        <w:t>7</w:t>
      </w:r>
    </w:p>
    <w:p w14:paraId="1CD6883C" w14:textId="7969CE96" w:rsidR="0084623A" w:rsidRPr="0084623A" w:rsidRDefault="0084623A" w:rsidP="000A10F1">
      <w:pPr>
        <w:spacing w:line="480" w:lineRule="auto"/>
        <w:rPr>
          <w:sz w:val="28"/>
          <w:szCs w:val="28"/>
        </w:rPr>
      </w:pPr>
      <w:r w:rsidRPr="0084623A">
        <w:rPr>
          <w:sz w:val="28"/>
          <w:szCs w:val="28"/>
        </w:rPr>
        <w:t xml:space="preserve">Reference List </w:t>
      </w:r>
      <w:r w:rsidRPr="0084623A">
        <w:rPr>
          <w:sz w:val="28"/>
          <w:szCs w:val="28"/>
        </w:rPr>
        <w:tab/>
      </w:r>
      <w:r w:rsidRPr="0084623A">
        <w:rPr>
          <w:sz w:val="28"/>
          <w:szCs w:val="28"/>
        </w:rPr>
        <w:tab/>
      </w:r>
      <w:r w:rsidRPr="0084623A">
        <w:rPr>
          <w:sz w:val="28"/>
          <w:szCs w:val="28"/>
        </w:rPr>
        <w:tab/>
      </w:r>
      <w:r w:rsidRPr="0084623A">
        <w:rPr>
          <w:sz w:val="28"/>
          <w:szCs w:val="28"/>
        </w:rPr>
        <w:tab/>
      </w:r>
      <w:r w:rsidRPr="0084623A">
        <w:rPr>
          <w:sz w:val="28"/>
          <w:szCs w:val="28"/>
        </w:rPr>
        <w:tab/>
      </w:r>
      <w:r w:rsidRPr="0084623A">
        <w:rPr>
          <w:sz w:val="28"/>
          <w:szCs w:val="28"/>
        </w:rPr>
        <w:tab/>
      </w:r>
      <w:r w:rsidRPr="0084623A">
        <w:rPr>
          <w:sz w:val="28"/>
          <w:szCs w:val="28"/>
        </w:rPr>
        <w:tab/>
      </w:r>
      <w:r w:rsidRPr="0084623A">
        <w:rPr>
          <w:sz w:val="28"/>
          <w:szCs w:val="28"/>
        </w:rPr>
        <w:tab/>
      </w:r>
      <w:r w:rsidRPr="0084623A">
        <w:rPr>
          <w:sz w:val="28"/>
          <w:szCs w:val="28"/>
        </w:rPr>
        <w:tab/>
      </w:r>
      <w:r w:rsidRPr="0084623A">
        <w:rPr>
          <w:sz w:val="28"/>
          <w:szCs w:val="28"/>
        </w:rPr>
        <w:tab/>
        <w:t>12</w:t>
      </w:r>
    </w:p>
    <w:p w14:paraId="5FBFD104" w14:textId="77777777" w:rsidR="0084623A" w:rsidRDefault="0084623A" w:rsidP="000A10F1">
      <w:pPr>
        <w:spacing w:line="480" w:lineRule="auto"/>
        <w:rPr>
          <w:b/>
          <w:bCs/>
          <w:u w:val="single"/>
        </w:rPr>
      </w:pPr>
    </w:p>
    <w:p w14:paraId="2CEB75C2" w14:textId="77777777" w:rsidR="0084623A" w:rsidRDefault="0084623A" w:rsidP="000A10F1">
      <w:pPr>
        <w:spacing w:line="480" w:lineRule="auto"/>
        <w:rPr>
          <w:b/>
          <w:bCs/>
          <w:u w:val="single"/>
        </w:rPr>
      </w:pPr>
    </w:p>
    <w:p w14:paraId="14C72EB1" w14:textId="77777777" w:rsidR="0084623A" w:rsidRDefault="0084623A" w:rsidP="000A10F1">
      <w:pPr>
        <w:spacing w:line="480" w:lineRule="auto"/>
        <w:rPr>
          <w:b/>
          <w:bCs/>
          <w:u w:val="single"/>
        </w:rPr>
      </w:pPr>
    </w:p>
    <w:p w14:paraId="7A8FB315" w14:textId="77777777" w:rsidR="0084623A" w:rsidRDefault="0084623A" w:rsidP="000A10F1">
      <w:pPr>
        <w:spacing w:line="480" w:lineRule="auto"/>
        <w:rPr>
          <w:b/>
          <w:bCs/>
          <w:u w:val="single"/>
        </w:rPr>
      </w:pPr>
    </w:p>
    <w:p w14:paraId="3329C8A5" w14:textId="77777777" w:rsidR="0084623A" w:rsidRDefault="0084623A" w:rsidP="000A10F1">
      <w:pPr>
        <w:spacing w:line="480" w:lineRule="auto"/>
        <w:rPr>
          <w:b/>
          <w:bCs/>
          <w:u w:val="single"/>
        </w:rPr>
      </w:pPr>
    </w:p>
    <w:p w14:paraId="48753531" w14:textId="77777777" w:rsidR="0084623A" w:rsidRDefault="0084623A" w:rsidP="000A10F1">
      <w:pPr>
        <w:spacing w:line="480" w:lineRule="auto"/>
        <w:rPr>
          <w:b/>
          <w:bCs/>
          <w:u w:val="single"/>
        </w:rPr>
      </w:pPr>
    </w:p>
    <w:p w14:paraId="6553ACFE" w14:textId="77777777" w:rsidR="0084623A" w:rsidRDefault="0084623A" w:rsidP="000A10F1">
      <w:pPr>
        <w:spacing w:line="480" w:lineRule="auto"/>
        <w:rPr>
          <w:b/>
          <w:bCs/>
          <w:u w:val="single"/>
        </w:rPr>
      </w:pPr>
    </w:p>
    <w:p w14:paraId="37F98A2B" w14:textId="77777777" w:rsidR="0084623A" w:rsidRDefault="0084623A" w:rsidP="000A10F1">
      <w:pPr>
        <w:spacing w:line="480" w:lineRule="auto"/>
        <w:rPr>
          <w:b/>
          <w:bCs/>
          <w:u w:val="single"/>
        </w:rPr>
      </w:pPr>
    </w:p>
    <w:p w14:paraId="709C6A59" w14:textId="77777777" w:rsidR="0084623A" w:rsidRDefault="0084623A" w:rsidP="000A10F1">
      <w:pPr>
        <w:spacing w:line="480" w:lineRule="auto"/>
        <w:rPr>
          <w:b/>
          <w:bCs/>
          <w:u w:val="single"/>
        </w:rPr>
      </w:pPr>
    </w:p>
    <w:p w14:paraId="7CE82316" w14:textId="77777777" w:rsidR="0084623A" w:rsidRDefault="0084623A" w:rsidP="000A10F1">
      <w:pPr>
        <w:spacing w:line="480" w:lineRule="auto"/>
        <w:rPr>
          <w:b/>
          <w:bCs/>
          <w:u w:val="single"/>
        </w:rPr>
      </w:pPr>
    </w:p>
    <w:p w14:paraId="6DC9B6AB" w14:textId="77777777" w:rsidR="0084623A" w:rsidRDefault="0084623A" w:rsidP="000A10F1">
      <w:pPr>
        <w:spacing w:line="480" w:lineRule="auto"/>
        <w:rPr>
          <w:b/>
          <w:bCs/>
          <w:u w:val="single"/>
        </w:rPr>
      </w:pPr>
    </w:p>
    <w:p w14:paraId="1A1B64DF" w14:textId="77777777" w:rsidR="0084623A" w:rsidRDefault="0084623A" w:rsidP="000A10F1">
      <w:pPr>
        <w:spacing w:line="480" w:lineRule="auto"/>
        <w:rPr>
          <w:b/>
          <w:bCs/>
          <w:u w:val="single"/>
        </w:rPr>
      </w:pPr>
    </w:p>
    <w:p w14:paraId="2902E791" w14:textId="77777777" w:rsidR="0084623A" w:rsidRDefault="0084623A" w:rsidP="000A10F1">
      <w:pPr>
        <w:spacing w:line="480" w:lineRule="auto"/>
        <w:rPr>
          <w:b/>
          <w:bCs/>
          <w:u w:val="single"/>
        </w:rPr>
      </w:pPr>
    </w:p>
    <w:p w14:paraId="444AB860" w14:textId="77777777" w:rsidR="0084623A" w:rsidRDefault="0084623A" w:rsidP="000A10F1">
      <w:pPr>
        <w:spacing w:line="480" w:lineRule="auto"/>
        <w:rPr>
          <w:b/>
          <w:bCs/>
          <w:u w:val="single"/>
        </w:rPr>
      </w:pPr>
    </w:p>
    <w:p w14:paraId="0D441B81" w14:textId="77777777" w:rsidR="0084623A" w:rsidRDefault="0084623A" w:rsidP="000A10F1">
      <w:pPr>
        <w:spacing w:line="480" w:lineRule="auto"/>
        <w:rPr>
          <w:b/>
          <w:bCs/>
          <w:u w:val="single"/>
        </w:rPr>
      </w:pPr>
    </w:p>
    <w:p w14:paraId="0E943EF0" w14:textId="77777777" w:rsidR="0084623A" w:rsidRDefault="0084623A" w:rsidP="000A10F1">
      <w:pPr>
        <w:spacing w:line="480" w:lineRule="auto"/>
        <w:rPr>
          <w:b/>
          <w:bCs/>
          <w:u w:val="single"/>
        </w:rPr>
      </w:pPr>
    </w:p>
    <w:p w14:paraId="5B44CAFA" w14:textId="77777777" w:rsidR="0084623A" w:rsidRDefault="0084623A" w:rsidP="000A10F1">
      <w:pPr>
        <w:spacing w:line="480" w:lineRule="auto"/>
        <w:rPr>
          <w:b/>
          <w:bCs/>
          <w:u w:val="single"/>
        </w:rPr>
      </w:pPr>
    </w:p>
    <w:p w14:paraId="1D15A7B2" w14:textId="77777777" w:rsidR="0084623A" w:rsidRDefault="0084623A" w:rsidP="000A10F1">
      <w:pPr>
        <w:spacing w:line="480" w:lineRule="auto"/>
        <w:rPr>
          <w:b/>
          <w:bCs/>
          <w:u w:val="single"/>
        </w:rPr>
      </w:pPr>
    </w:p>
    <w:p w14:paraId="40E77C54" w14:textId="77777777" w:rsidR="0084623A" w:rsidRDefault="0084623A" w:rsidP="000A10F1">
      <w:pPr>
        <w:spacing w:line="480" w:lineRule="auto"/>
        <w:rPr>
          <w:b/>
          <w:bCs/>
          <w:u w:val="single"/>
        </w:rPr>
      </w:pPr>
    </w:p>
    <w:p w14:paraId="47FD8460" w14:textId="6E4D6AEC" w:rsidR="000A10F1" w:rsidRPr="0084623A" w:rsidRDefault="000A10F1" w:rsidP="000A10F1">
      <w:pPr>
        <w:spacing w:line="480" w:lineRule="auto"/>
        <w:rPr>
          <w:b/>
          <w:bCs/>
          <w:u w:val="single"/>
        </w:rPr>
      </w:pPr>
      <w:r w:rsidRPr="0084623A">
        <w:rPr>
          <w:b/>
          <w:bCs/>
          <w:u w:val="single"/>
        </w:rPr>
        <w:lastRenderedPageBreak/>
        <w:t>Part A</w:t>
      </w:r>
    </w:p>
    <w:p w14:paraId="20218B8D" w14:textId="77777777" w:rsidR="004C0590" w:rsidRDefault="004C0590" w:rsidP="000A10F1">
      <w:pPr>
        <w:spacing w:line="480" w:lineRule="auto"/>
      </w:pPr>
    </w:p>
    <w:p w14:paraId="2A4D9B79" w14:textId="71CB524F" w:rsidR="000A10F1" w:rsidRDefault="000A10F1" w:rsidP="000A10F1">
      <w:pPr>
        <w:spacing w:line="480" w:lineRule="auto"/>
      </w:pPr>
      <w:r>
        <w:t>It Is fundamentally important for the First Attending Officer at a crime scene to take control of the scene and follow strict policies and procedures to limit contamination (Police Service of Northern Ireland 2016). The Forensic Science Regulator (2015) defines contamination as: ‘the introduction of DNA, or biological material containing DNA, to an exhibit at or after the point when a controlled forensic process starts.’ According to Balk (2015) if evidence from a crime scene is contaminated it has the power to alter the outcome of a criminal investigation and cause a miscarriage of justice or for the perpetrator to avoid detection and punishment. Bradbury and Feist (2005) elucidated that crime scenes are managed and organised in different ways worldwide; for some countries it falls to front-line police officers to attend and control crime scenes, for other countries it is the role of specially trained police officers or dedicated specialists. Some common procedures that First Attending Officers complete is ensuring personnel entering the scene has correct personal protective equipment (Police Service of Northern Ireland 2016), putting up cordons to preserve the crime scene (College of Policing 2013) and to photograph and sketch the crime scene (College of Policing 2015).</w:t>
      </w:r>
    </w:p>
    <w:p w14:paraId="746A3CBE" w14:textId="2AA93A83" w:rsidR="000A10F1" w:rsidRDefault="000A10F1" w:rsidP="000A10F1">
      <w:pPr>
        <w:spacing w:line="480" w:lineRule="auto"/>
      </w:pPr>
    </w:p>
    <w:p w14:paraId="29081E9C" w14:textId="1BF711F6" w:rsidR="000A10F1" w:rsidRDefault="000A10F1" w:rsidP="000A10F1">
      <w:pPr>
        <w:spacing w:line="480" w:lineRule="auto"/>
      </w:pPr>
      <w:r>
        <w:t xml:space="preserve">One fundamental procedure which the First Attending Officer on scene should consider completing early on is cordoning off the crime scene, according to the College of Policing (2013) the objective of a cordon is to protect the scene and the people present, control unauthorised entry onto the scene and preserve evidence on the scene from contamination. The Police Service of Northern Ireland (2016) elucidated that the First Attending Officer should establish an inner cordon by putting red and white police tape around the perimeter, </w:t>
      </w:r>
      <w:r>
        <w:lastRenderedPageBreak/>
        <w:t xml:space="preserve">this is done to limit any unauthorised person from entering the inner cordon of the scene and potentially destroying evidence. During the Manchester Arena terror attack in 2017 the police erected cordons to block off the crime scene early on in the incident which allowed evidence within the crime scene to be preserved for examination at a later date (Thompson 2017). This was argued to be accomplished very efficiently by Greater Manchester Police as they made this process a priority when first attending the crime scene which consequently limited contamination (Kerslake Report 2017). However, even though erecting cordons is a policy in most police forces worldwide, the Portuguese Police have been criticised for their failure to cordon off the crime scene in the Madeleine McCann case (Collins 2017). According to Laville (2011) vital evidence in the crime scene was contaminated due to the failure to cordon the incident off, that evidence is missing due to the First Attending Officer not sealing off the crime scene. Collins (2017) discovered that when British police arrived, they called the scene the ‘worst preserved ever’ due to the lack of forensic evidence obtained and the apartment block not being cordoned off. The British police officers who later attended the scene did attempt to rectify the mistakes made by the Portuguese Police; Cobain (2017) elucidated that only a small number of police personnel and scientists could enter the crime scene provided that they were wearing appropriate personal protective equipment. </w:t>
      </w:r>
    </w:p>
    <w:p w14:paraId="6C9993B8" w14:textId="77777777" w:rsidR="000A10F1" w:rsidRDefault="000A10F1" w:rsidP="000A10F1">
      <w:pPr>
        <w:spacing w:line="480" w:lineRule="auto"/>
      </w:pPr>
    </w:p>
    <w:p w14:paraId="3936863D" w14:textId="3C1032D1" w:rsidR="000A10F1" w:rsidRDefault="000A10F1" w:rsidP="000A10F1">
      <w:pPr>
        <w:spacing w:line="480" w:lineRule="auto"/>
      </w:pPr>
      <w:r>
        <w:t xml:space="preserve">According to the College of Policing (2015) a crime scene log is a procedure which goes hand in hand with a cordon and is used in most cases. After removing all unauthorised personnel from the crime scene, it is important for the First Attending Officer to create a document to monitor the movement of people in and out of the scene (College of Policing 2015). A dedicated Scene Log Officer will be in charge of the log and keep note of the following </w:t>
      </w:r>
      <w:r>
        <w:lastRenderedPageBreak/>
        <w:t xml:space="preserve">information: the officers name, rank and number, the date and time in which they entered and exited the crime scene, the reason for their entry onto the scene, if they were wearing appropriate personal protective equipment and their signature to confirm the information (Police Service of Northern Ireland 2016). Gehl (2016) explained that any person who refuses to exit a crime scene can be arrested and charged with obstructing a police officer, this procedure is in place to assist police officers with the ability to control a crime scene efficiently. According to the BBC (2011) during the Amanda Knox case police personnel did not wear the correct personal protective equipment which in turn has caused potential contamination of the crime scene; this example shows how important it is for First Attending Officers to not only ensure they are wearing suitable PPE themselves, but ensuring other people entering the crime scene also wears the correct equipment. The Police Service of Northern Ireland (2016) elucidated the minimum levels of personal protective equipment which everyone entering a crime scene is required to wear, these include a disposable suit with a hood, a face mask, two pairs of disposable gloves, disposable covers on their shoes. </w:t>
      </w:r>
    </w:p>
    <w:p w14:paraId="411EF1C3" w14:textId="5B2D9A0F" w:rsidR="000A10F1" w:rsidRDefault="000A10F1" w:rsidP="000A10F1">
      <w:pPr>
        <w:spacing w:line="480" w:lineRule="auto"/>
      </w:pPr>
    </w:p>
    <w:p w14:paraId="24B7CAE4" w14:textId="355134D7" w:rsidR="000A10F1" w:rsidRDefault="000A10F1" w:rsidP="000A10F1">
      <w:pPr>
        <w:spacing w:line="480" w:lineRule="auto"/>
      </w:pPr>
      <w:r>
        <w:t xml:space="preserve">Bradbury and Feist (2005) found that the First Attending Officer on scene often did not have the correct amount of training in forensic awareness in order to limit contamination of the scene, this is a drawback of having response police officers investigating crime scenes. It was found that they not only had the role of searching and preserving the scene but also the fundamental decision of whether to call Scenes of Crime to the incident or not. A study was conducted on police officer’s knowledge and awareness of forensic information, a sample of eight police forces in the United Kingdom were used with police officer’s being asked twelve different types of forensic materials. The study found that the respondents whose main job </w:t>
      </w:r>
      <w:r>
        <w:lastRenderedPageBreak/>
        <w:t xml:space="preserve">was the First Attending Officer on scene described their knowledge of forensic material awareness to be ‘at least occasionally insufficient’ (Bradbury and Feist 2005). This investigation argues that police officers do not have the desired level of training for forensic science which consequently can cause cross contamination at a crime scene. This is supported by the contamination discovered during the Jeremy Bamber case, Hattenstone (2020) found that whilst police officers were attempting to reconstruct the crime scene to better understand what had occurred, they had contaminated the scene. It is clarified by the Forensic Science Regulator (2015) that there are two types of contamination, direct and indirect. Direct contamination is when bodily substances like saliva, blood or dandruff falls onto an exhibit; indirect contamination tends to be a mistake whereby someone does not change their gloves after handling evidence, it can be when substances on the outside of packaging is transferred onto an exhibit. Regardless of how strict the First Attending Officer is on scene with following policies and procedures, cross contamination can never fully by avoided. It is acknowledged by the Forensic Science Regulator (2015) that DNA contamination can never be fully eradicated. This is supported by Balk (2015), she found that due to the advancement of modern-day technology and the improvement of DNA evidence, even the smallest amount of DNA can be detected by forensic scientists. </w:t>
      </w:r>
    </w:p>
    <w:p w14:paraId="0764EE75" w14:textId="461CA385" w:rsidR="000A10F1" w:rsidRDefault="000A10F1" w:rsidP="000A10F1">
      <w:pPr>
        <w:spacing w:line="480" w:lineRule="auto"/>
      </w:pPr>
    </w:p>
    <w:p w14:paraId="14C112D5" w14:textId="128B5E3C" w:rsidR="000A10F1" w:rsidRDefault="000A10F1" w:rsidP="000A10F1">
      <w:pPr>
        <w:spacing w:line="480" w:lineRule="auto"/>
      </w:pPr>
      <w:r>
        <w:t xml:space="preserve">According to the College of Policing (2015) an important process which the First Attending Officer should undertake to minimalize the risk of cross contamination is photographing the crime scene. It is also described that this includes taking pictures and videos of a victim’s injuries at the first possibility. Abate et al (2018) stated that when cold cases are reopened it is a lot easier to understand and imagine the crime scene if initial pictures and videos were captured; this also allows contamination to be picked up on if it occurred. Furthermore, it is </w:t>
      </w:r>
      <w:r>
        <w:lastRenderedPageBreak/>
        <w:t xml:space="preserve">important for the First Attending Officer to risk assess the scene inadeptly as it could be the only risk assessment done throughout the process, this is fundamental in limiting unnecessary contamination (College of Policing 2015). </w:t>
      </w:r>
    </w:p>
    <w:p w14:paraId="07AACC1D" w14:textId="3E651D5F" w:rsidR="000A10F1" w:rsidRDefault="000A10F1" w:rsidP="000A10F1">
      <w:pPr>
        <w:spacing w:line="480" w:lineRule="auto"/>
      </w:pPr>
    </w:p>
    <w:p w14:paraId="48249F20" w14:textId="13F805F9" w:rsidR="000A10F1" w:rsidRDefault="000A10F1" w:rsidP="000A10F1">
      <w:pPr>
        <w:spacing w:line="480" w:lineRule="auto"/>
      </w:pPr>
      <w:r>
        <w:t xml:space="preserve">In conclusion, Bradbury and Feist (2005) found that within the 43 police forces in England and Wales, there were 26 variations in how police officers deal with crime scenes. This shows that despite there being understood policies and procedures, these differentiate between forces and there is no best practice overall as long as contamination issues are minimalised. The Police Service of Northern Ireland (2016) elucidated that all police personnel entering a crime scene should provide a sample of their DNA to eliminate themselves from the findings, it is merely impossible to limit all contamination between the crime scene and those that work on it. Abate et al (2018) stated that police officers are becoming much more aware and sensitive to contamination prevention and have improved over recent years, this is shown by the clear training received on the topic. According to North Wales Police (2014) every First Attending Officer must have a high standard of awareness about the procedures they need to undertake when attending a crime scene, including cordons, personal protective equipment and preserving evidence. </w:t>
      </w:r>
    </w:p>
    <w:p w14:paraId="314CBE9E" w14:textId="77777777" w:rsidR="0084623A" w:rsidRDefault="0084623A" w:rsidP="000A10F1">
      <w:pPr>
        <w:spacing w:line="480" w:lineRule="auto"/>
        <w:rPr>
          <w:b/>
          <w:bCs/>
          <w:u w:val="single"/>
        </w:rPr>
      </w:pPr>
    </w:p>
    <w:p w14:paraId="0250F5D2" w14:textId="77777777" w:rsidR="0084623A" w:rsidRDefault="0084623A" w:rsidP="000A10F1">
      <w:pPr>
        <w:spacing w:line="480" w:lineRule="auto"/>
        <w:rPr>
          <w:b/>
          <w:bCs/>
          <w:u w:val="single"/>
        </w:rPr>
      </w:pPr>
    </w:p>
    <w:p w14:paraId="68D2BAD8" w14:textId="77777777" w:rsidR="0084623A" w:rsidRDefault="0084623A" w:rsidP="000A10F1">
      <w:pPr>
        <w:spacing w:line="480" w:lineRule="auto"/>
        <w:rPr>
          <w:b/>
          <w:bCs/>
          <w:u w:val="single"/>
        </w:rPr>
      </w:pPr>
    </w:p>
    <w:p w14:paraId="58B5BDB2" w14:textId="77777777" w:rsidR="0084623A" w:rsidRDefault="0084623A" w:rsidP="000A10F1">
      <w:pPr>
        <w:spacing w:line="480" w:lineRule="auto"/>
        <w:rPr>
          <w:b/>
          <w:bCs/>
          <w:u w:val="single"/>
        </w:rPr>
      </w:pPr>
    </w:p>
    <w:p w14:paraId="2F409B04" w14:textId="77777777" w:rsidR="0084623A" w:rsidRDefault="0084623A" w:rsidP="000A10F1">
      <w:pPr>
        <w:spacing w:line="480" w:lineRule="auto"/>
        <w:rPr>
          <w:b/>
          <w:bCs/>
          <w:u w:val="single"/>
        </w:rPr>
      </w:pPr>
    </w:p>
    <w:p w14:paraId="5D1EE0F9" w14:textId="77777777" w:rsidR="0084623A" w:rsidRDefault="0084623A" w:rsidP="000A10F1">
      <w:pPr>
        <w:spacing w:line="480" w:lineRule="auto"/>
        <w:rPr>
          <w:b/>
          <w:bCs/>
          <w:u w:val="single"/>
        </w:rPr>
      </w:pPr>
    </w:p>
    <w:p w14:paraId="76FD5959" w14:textId="77777777" w:rsidR="0084623A" w:rsidRDefault="0084623A" w:rsidP="000A10F1">
      <w:pPr>
        <w:spacing w:line="480" w:lineRule="auto"/>
        <w:rPr>
          <w:b/>
          <w:bCs/>
          <w:u w:val="single"/>
        </w:rPr>
      </w:pPr>
    </w:p>
    <w:p w14:paraId="39674BEA" w14:textId="77777777" w:rsidR="0084623A" w:rsidRDefault="0084623A" w:rsidP="000A10F1">
      <w:pPr>
        <w:spacing w:line="480" w:lineRule="auto"/>
        <w:rPr>
          <w:b/>
          <w:bCs/>
          <w:u w:val="single"/>
        </w:rPr>
      </w:pPr>
    </w:p>
    <w:p w14:paraId="6C397C4F" w14:textId="23EC0F97" w:rsidR="0084623A" w:rsidRDefault="0084623A" w:rsidP="000A10F1">
      <w:pPr>
        <w:spacing w:line="480" w:lineRule="auto"/>
        <w:rPr>
          <w:b/>
          <w:bCs/>
          <w:u w:val="single"/>
        </w:rPr>
      </w:pPr>
      <w:r w:rsidRPr="0084623A">
        <w:rPr>
          <w:b/>
          <w:bCs/>
          <w:u w:val="single"/>
        </w:rPr>
        <w:t>Part B</w:t>
      </w:r>
    </w:p>
    <w:p w14:paraId="62CD1C80" w14:textId="77777777" w:rsidR="004C0590" w:rsidRDefault="004C0590" w:rsidP="0084623A">
      <w:pPr>
        <w:spacing w:line="480" w:lineRule="auto"/>
      </w:pPr>
    </w:p>
    <w:p w14:paraId="64613C10" w14:textId="7078BBE4" w:rsidR="0084623A" w:rsidRDefault="0084623A" w:rsidP="0084623A">
      <w:pPr>
        <w:spacing w:line="480" w:lineRule="auto"/>
      </w:pPr>
      <w:r>
        <w:t xml:space="preserve">Forensic recovery and examination </w:t>
      </w:r>
      <w:proofErr w:type="gramStart"/>
      <w:r>
        <w:t>is</w:t>
      </w:r>
      <w:proofErr w:type="gramEnd"/>
      <w:r>
        <w:t xml:space="preserve"> a topic which receives intense scrutiny when mistakes are made due to the sensitive and vital position it holds within the criminal justice system (Forensic Science Regulator 2011). The House of Lords (2019) elucidated forensic science to be applying ‘scientific methods to the recovery, analysis and interpretation of relevant materials and data in criminal investigations.’ This is overseen by the Forensic Science Regulator, which is made up of five civil servants whose job it is to manage the running and legitimacy of forensic science in the United Kingdom (British Government 2019). The United Nations Office on Drugs and Crime (2009) stated that appropriate methods for recovering forensic evidence are in place to limit loss, damage and contamination. </w:t>
      </w:r>
    </w:p>
    <w:p w14:paraId="014A1EB0" w14:textId="77777777" w:rsidR="0084623A" w:rsidRDefault="0084623A" w:rsidP="0084623A">
      <w:pPr>
        <w:spacing w:line="480" w:lineRule="auto"/>
      </w:pPr>
    </w:p>
    <w:p w14:paraId="1387F67E" w14:textId="77777777" w:rsidR="0084623A" w:rsidRDefault="0084623A" w:rsidP="0084623A">
      <w:pPr>
        <w:spacing w:line="480" w:lineRule="auto"/>
      </w:pPr>
      <w:r>
        <w:t xml:space="preserve">One vital feature of recovering forensic evidence which is enshrined in the Code of Practice is bagging and packaging evidence efficiently; this policy states that it is the job of the forensic provider to ensure a piece of evidence is packed correctly to avoid contamination or damage to the item (Forensic Science Regulator 2011). According to Fryer (2012) it is a fundamental procedure to limit the amount of times you handle evidence and to bag it into the correct evidence bags as soon as is practicable. The Home Office (2020) stated that tamper evident bags are available to all police and forensic personnel to not only preserve the evidence inside but also to display evidence in court; this allows members of the court to examine and interpret evidence without getting their own DNA on there. It is elucidated by Fryer (2012) that when recovering evidence, it is essential for the investigation to ensure that evidence packaging is sealed down properly. All police officers are taught the strategy </w:t>
      </w:r>
      <w:r>
        <w:lastRenderedPageBreak/>
        <w:t>of sealing an evidence bag with adhesive tape around all of the edges to limit any unwanted substance getting in or out of the bag (Fryer 2012). Often a difficulty with forensic recovery is what to recover for evidence and what to leave at the crime scene, it is a common problem during the procedure to leave evidence behind that is not obvious to see (United Nations Office on Drugs and Crime 2009).</w:t>
      </w:r>
    </w:p>
    <w:p w14:paraId="62080E39" w14:textId="77777777" w:rsidR="0084623A" w:rsidRDefault="0084623A" w:rsidP="0084623A">
      <w:pPr>
        <w:spacing w:line="480" w:lineRule="auto"/>
      </w:pPr>
    </w:p>
    <w:p w14:paraId="6A168CDD" w14:textId="77777777" w:rsidR="0084623A" w:rsidRDefault="0084623A" w:rsidP="0084623A">
      <w:pPr>
        <w:spacing w:line="480" w:lineRule="auto"/>
      </w:pPr>
      <w:r>
        <w:t xml:space="preserve">According to the Forensic Science Regulator (2011) it is best practice by the Code of Practice manual to close any evidence bags which are not currently being worked on to prevent contamination, this in practice can be difficult especially when working on multiple different cases. However, not all police staff consider the possibility of cross contamination when they undertake forensic recovery procedures; Gill (2014) discovered that in the Amanda Knox case someone moved the evidential knife from its envelope after searching the suspect’s room, this arguably put the suspect’s DNA onto the murder weapon due to a flaw in the method they used to move evidence. The Forensic Science Regulator (2011) stated that it is important for the agencies within the criminal justice system to get these methods and procedures correct as it restores public confidence. This allows the public to trust the system and believe that it works efficiently. According to the United Nations Office on Drugs and Crime (2009) it is a policy to use items such as ‘adhesive tape, tweezers or cotton tips’ to recover evidence from a crime scene. The Home Office (2020) included methods to avoid in their report, stating that you should never turn evidence bags inside out, blow into an evidence bag or put your arms or hands in without gloves on to prevent contamination. </w:t>
      </w:r>
    </w:p>
    <w:p w14:paraId="7E26EEDF" w14:textId="77777777" w:rsidR="0084623A" w:rsidRDefault="0084623A" w:rsidP="0084623A">
      <w:pPr>
        <w:spacing w:line="480" w:lineRule="auto"/>
      </w:pPr>
    </w:p>
    <w:p w14:paraId="36A6D321" w14:textId="77777777" w:rsidR="0084623A" w:rsidRDefault="0084623A" w:rsidP="0084623A">
      <w:pPr>
        <w:spacing w:line="480" w:lineRule="auto"/>
      </w:pPr>
      <w:r>
        <w:t xml:space="preserve">Bodziak (2008) looked into the recovery and examination of tyres and how that can assist an investigation if the correct methods are undertaken. This is done by taking impressions of </w:t>
      </w:r>
      <w:r>
        <w:lastRenderedPageBreak/>
        <w:t xml:space="preserve">the tyres and tracks to examine whether they were made by the same vehicle, this type of forensic evidence has proved successful in many cases. Similarly, footwear recovery and examination has been used for many years to connect suspects to crime scenes. Bodziak (2017) elucidated that due to few personnel attending crime scenes being trained sufficiently in footwear forensics, they often either do not think about it as being important or contaminate the footprints by walking over them. One method of recovering footprints, where it would not be possible to do so at the scene of the crime, would be to take a large section of the tiling or wood into a lab to examine it there. A study into the certainty of footprint impressions was completed in Finland, it found that in cases where the original footprint impression was used, they could identify the footprint as being a definite match in 19.7% of cases (Bodziak 2017). According to the Forensic Science Regulator (2020) a piece of legislation which supports the recovery of evidence is the Police and Criminal Evidence Act 1984, this allows a police officer to lawfully seize anything from a crime scene which they believe could be used as evidence in a criminal investigation. This evidence can be kept by the police for however long the criminal investigation goes on for. </w:t>
      </w:r>
    </w:p>
    <w:p w14:paraId="38FE650B" w14:textId="77777777" w:rsidR="0084623A" w:rsidRDefault="0084623A" w:rsidP="0084623A">
      <w:pPr>
        <w:spacing w:line="480" w:lineRule="auto"/>
      </w:pPr>
    </w:p>
    <w:p w14:paraId="1277187D" w14:textId="77777777" w:rsidR="0084623A" w:rsidRDefault="0084623A" w:rsidP="0084623A">
      <w:pPr>
        <w:spacing w:line="480" w:lineRule="auto"/>
      </w:pPr>
      <w:r>
        <w:t xml:space="preserve">On the contrary, rape and sexual assault is a crime that requires a very different kind of forensic recovery and examination due to the sensitivity of the crime. A ‘top to toe’ forensic examination should take place by a Forensic Physician and in-depth notes of their findings should be documented as a form of evidence (Crown Prosecution Service 2017). When dealing with a victim of sexual assault or rape it is very important to recover physical evidence wherever possible, this includes taking external and internal swabs in order to attempt to prove their allegation (Crown Prosecution Service 2017). The procedures in place to examine a sexual assault victim is different if they are under 18 </w:t>
      </w:r>
      <w:proofErr w:type="gramStart"/>
      <w:r>
        <w:t>due</w:t>
      </w:r>
      <w:proofErr w:type="gramEnd"/>
      <w:r>
        <w:t xml:space="preserve"> to their vulnerability, </w:t>
      </w:r>
      <w:r>
        <w:lastRenderedPageBreak/>
        <w:t xml:space="preserve">it is often completed in a hospital by a paediatrician instead of a Forensic Physician. However, there is evidence to suggest that some forensic examinations are not completed following these strict policies as stated by Dodd et al (2012). A private forensic recovery contaminated evidence in the lab and consequently accused the wrong person of rape; this proves that when the correct methods are not followed in forensic examination it has significant repercussions on innocent members of the public and the legitimacy of the forensic organisation. </w:t>
      </w:r>
    </w:p>
    <w:p w14:paraId="7DF31D71" w14:textId="77777777" w:rsidR="0084623A" w:rsidRDefault="0084623A" w:rsidP="0084623A">
      <w:pPr>
        <w:spacing w:line="480" w:lineRule="auto"/>
      </w:pPr>
    </w:p>
    <w:p w14:paraId="72BD746E" w14:textId="77777777" w:rsidR="0084623A" w:rsidRDefault="0084623A" w:rsidP="0084623A">
      <w:pPr>
        <w:spacing w:line="480" w:lineRule="auto"/>
      </w:pPr>
      <w:r>
        <w:t xml:space="preserve">Due to the nature of crimes like these, this type of forensic recovery is vastly different to the ever-increasing cybercrime which takes place now. The Secretary of State (2016) found that forensic recovery and examination of technology is extremely difficult due to how fast technology updates. It has posed unique challenges on the forensic science world as their methods need to keep up with a ‘constant evolution of technology’ (Secretary of State 2016). According to the College of Policing (2017) digital evidence examination can assist an investigation immensely, and evidence such as communications on a mobile phone, personal data on digital devices, SD cards and external storage devices are only a fraction of the data which forensic teams can examine. </w:t>
      </w:r>
    </w:p>
    <w:p w14:paraId="69288DE1" w14:textId="77777777" w:rsidR="0084623A" w:rsidRDefault="0084623A" w:rsidP="0084623A">
      <w:pPr>
        <w:spacing w:line="480" w:lineRule="auto"/>
      </w:pPr>
    </w:p>
    <w:p w14:paraId="53D7DC8F" w14:textId="77777777" w:rsidR="0084623A" w:rsidRDefault="0084623A" w:rsidP="0084623A">
      <w:pPr>
        <w:spacing w:line="480" w:lineRule="auto"/>
      </w:pPr>
      <w:r>
        <w:t xml:space="preserve">Fryer (2012) stated that it is policy for all parts of the forensic examination to be extensively documented including video notes, written notes, sketches, photographs and diagrams to prove the continuity of the evidence. The Forensic Science Regulator revealed that she is not currently satisfied with the work within the forensic science organisation due to a major cut in the funding of the service; this has caused the service to decline dramatically (The House of Lords 2019). The Secretary of State (2016) discovered that to improve the overall </w:t>
      </w:r>
      <w:r>
        <w:lastRenderedPageBreak/>
        <w:t xml:space="preserve">service of forensic examiners across the country, police forces could merge their funding to assist; this sharing of resources has caused parts of the service to flourish again as they aim to ‘combine innovative yet practical approaches to policing to make the region a safer place’.  The defence team in a trial can request to investigate evidence if they suspect anything wrong with it, this has caused added pressure onto forensic scientists as when they are examining evidence, they have to be extra thorough and efficient (Crown Prosecution Service 2018). This was not the case during the Amanda Knox trial, Hooper (2011) found that the correct procedures regarding forensic recovery were not undertaken by the investigators. It was discovered that a vital piece of DNA evidence found at the crime scene could have ended up there due to a contaminated crime scene; this mishap is one which arguably would not have taken place if the correct policies and strategies were completed from the offset (Hooper 2011). </w:t>
      </w:r>
    </w:p>
    <w:p w14:paraId="1B354267" w14:textId="77777777" w:rsidR="0084623A" w:rsidRDefault="0084623A" w:rsidP="0084623A">
      <w:pPr>
        <w:spacing w:line="480" w:lineRule="auto"/>
      </w:pPr>
    </w:p>
    <w:p w14:paraId="321ED86B" w14:textId="654124D6" w:rsidR="0084623A" w:rsidRPr="0084623A" w:rsidRDefault="0084623A" w:rsidP="0084623A">
      <w:pPr>
        <w:spacing w:line="480" w:lineRule="auto"/>
        <w:rPr>
          <w:b/>
          <w:bCs/>
          <w:u w:val="single"/>
        </w:rPr>
      </w:pPr>
      <w:r>
        <w:t>In conclusion, it is argued that some of the strategies and policies in place to assist with forensic recovery and examination need to be updated to remain in line with the current funding and organisational level (Dodd 2020). Bodziak (2017) supported that when stating ‘poorly recovered evidence has a great impact on forensic examination results’; this means that these forensic techniques are linked, and it is expected that they both should be at high standards. Fryer (2012) found that to limit contamination all forensic examinations of one scene should be completed before any other cases are dealt with. The Forensic Science Regulator believed that when mistakes are made during the recovery and examination stages of an investigation, it causes innocent people to be wrongly convicted or criminals getting away with</w:t>
      </w:r>
    </w:p>
    <w:p w14:paraId="7070559C" w14:textId="20913789" w:rsidR="000A10F1" w:rsidRPr="000A10F1" w:rsidRDefault="000A10F1" w:rsidP="000A10F1"/>
    <w:p w14:paraId="7E0C51F7" w14:textId="39B170B5" w:rsidR="000A10F1" w:rsidRPr="000A10F1" w:rsidRDefault="000A10F1" w:rsidP="000A10F1"/>
    <w:p w14:paraId="673DB2E2" w14:textId="45046DDB" w:rsidR="000A10F1" w:rsidRPr="000A10F1" w:rsidRDefault="000A10F1" w:rsidP="000A10F1"/>
    <w:p w14:paraId="55F737A9" w14:textId="081F24B7" w:rsidR="000A10F1" w:rsidRPr="000A10F1" w:rsidRDefault="000A10F1" w:rsidP="000A10F1"/>
    <w:p w14:paraId="2DD03D8C" w14:textId="28D5FF20" w:rsidR="000A10F1" w:rsidRPr="000A10F1" w:rsidRDefault="000A10F1" w:rsidP="000A10F1"/>
    <w:p w14:paraId="28E63303" w14:textId="42D635C5" w:rsidR="000A10F1" w:rsidRDefault="000A10F1" w:rsidP="0084623A">
      <w:pPr>
        <w:tabs>
          <w:tab w:val="left" w:pos="3834"/>
        </w:tabs>
      </w:pPr>
      <w:r>
        <w:t xml:space="preserve">References: </w:t>
      </w:r>
    </w:p>
    <w:p w14:paraId="58D864FA" w14:textId="77777777" w:rsidR="000A10F1" w:rsidRPr="000A10F1" w:rsidRDefault="000A10F1" w:rsidP="000A10F1">
      <w:pPr>
        <w:tabs>
          <w:tab w:val="left" w:pos="3834"/>
        </w:tabs>
      </w:pPr>
    </w:p>
    <w:p w14:paraId="3C12DC28" w14:textId="77777777" w:rsidR="0084623A" w:rsidRDefault="0084623A" w:rsidP="000A10F1">
      <w:pPr>
        <w:pStyle w:val="ListParagraph"/>
        <w:numPr>
          <w:ilvl w:val="0"/>
          <w:numId w:val="1"/>
        </w:numPr>
        <w:tabs>
          <w:tab w:val="left" w:pos="3834"/>
        </w:tabs>
        <w:spacing w:line="480" w:lineRule="auto"/>
      </w:pPr>
      <w:r>
        <w:t xml:space="preserve">Abate, D et al (2018) ‘Panoramic images, 2D feature-based and change detection methods for the documentation of contaminated crime scenes’ 42(2), available at: </w:t>
      </w:r>
      <w:hyperlink r:id="rId9" w:history="1">
        <w:r w:rsidRPr="00C35936">
          <w:rPr>
            <w:rStyle w:val="Hyperlink"/>
          </w:rPr>
          <w:t>https://www.int-arch-photogramm-remote-sens-spatial-inf-sci.net/XLII-2/1/2018/isprs-archives-XLII-2-1-2018.pdf</w:t>
        </w:r>
      </w:hyperlink>
      <w:r>
        <w:t xml:space="preserve"> (accessed on 30.10.2020)</w:t>
      </w:r>
    </w:p>
    <w:p w14:paraId="3A94B011" w14:textId="77777777" w:rsidR="0084623A" w:rsidRDefault="0084623A" w:rsidP="000A10F1">
      <w:pPr>
        <w:pStyle w:val="ListParagraph"/>
        <w:numPr>
          <w:ilvl w:val="0"/>
          <w:numId w:val="1"/>
        </w:numPr>
        <w:tabs>
          <w:tab w:val="left" w:pos="3834"/>
        </w:tabs>
        <w:spacing w:line="480" w:lineRule="auto"/>
      </w:pPr>
      <w:r>
        <w:t xml:space="preserve">Balk, C (2015) ‘Reducing Contamination in Forensic </w:t>
      </w:r>
      <w:proofErr w:type="spellStart"/>
      <w:r>
        <w:t>Sceince</w:t>
      </w:r>
      <w:proofErr w:type="spellEnd"/>
      <w:r>
        <w:t xml:space="preserve">’ </w:t>
      </w:r>
      <w:r>
        <w:rPr>
          <w:i/>
          <w:iCs/>
        </w:rPr>
        <w:t xml:space="preserve">Journal of Justice Studies and Forensic, </w:t>
      </w:r>
      <w:r>
        <w:t xml:space="preserve">3(12). Available at: </w:t>
      </w:r>
      <w:hyperlink r:id="rId10" w:history="1">
        <w:r w:rsidRPr="00C35936">
          <w:rPr>
            <w:rStyle w:val="Hyperlink"/>
          </w:rPr>
          <w:t>https://scholarworks.sjsu.edu/cgi/viewcontent.cgi?referer=https://www.google.com/&amp;httpsredir=1&amp;article=1033&amp;context=themis</w:t>
        </w:r>
      </w:hyperlink>
      <w:r>
        <w:t xml:space="preserve"> (accessed on 30.10.2020)</w:t>
      </w:r>
    </w:p>
    <w:p w14:paraId="7533453A" w14:textId="77777777" w:rsidR="0084623A" w:rsidRDefault="0084623A" w:rsidP="000A10F1">
      <w:pPr>
        <w:pStyle w:val="ListParagraph"/>
        <w:numPr>
          <w:ilvl w:val="0"/>
          <w:numId w:val="1"/>
        </w:numPr>
        <w:tabs>
          <w:tab w:val="left" w:pos="3834"/>
        </w:tabs>
        <w:spacing w:line="480" w:lineRule="auto"/>
      </w:pPr>
      <w:r>
        <w:t xml:space="preserve">BBC (2011) ‘Amanda Knox: DNA evidence may be contaminated’ </w:t>
      </w:r>
      <w:r>
        <w:rPr>
          <w:i/>
          <w:iCs/>
        </w:rPr>
        <w:t xml:space="preserve">BBC News, </w:t>
      </w:r>
      <w:r>
        <w:t>(25</w:t>
      </w:r>
      <w:r w:rsidRPr="000A10F1">
        <w:rPr>
          <w:vertAlign w:val="superscript"/>
        </w:rPr>
        <w:t>th</w:t>
      </w:r>
      <w:r>
        <w:t xml:space="preserve"> July). Available at: </w:t>
      </w:r>
      <w:hyperlink r:id="rId11" w:history="1">
        <w:r w:rsidRPr="00C35936">
          <w:rPr>
            <w:rStyle w:val="Hyperlink"/>
          </w:rPr>
          <w:t>https://www.bbc.co.uk/news/uk-14282751</w:t>
        </w:r>
      </w:hyperlink>
      <w:r>
        <w:t xml:space="preserve"> (accessed on 30.10.2020)</w:t>
      </w:r>
    </w:p>
    <w:p w14:paraId="4AF3C618" w14:textId="77777777" w:rsidR="0084623A" w:rsidRDefault="0084623A" w:rsidP="0084623A">
      <w:pPr>
        <w:pStyle w:val="ListParagraph"/>
        <w:numPr>
          <w:ilvl w:val="0"/>
          <w:numId w:val="1"/>
        </w:numPr>
        <w:spacing w:line="480" w:lineRule="auto"/>
      </w:pPr>
      <w:r>
        <w:t xml:space="preserve">Bodziak, W.J (2008) </w:t>
      </w:r>
      <w:r w:rsidRPr="00946116">
        <w:rPr>
          <w:i/>
          <w:iCs/>
        </w:rPr>
        <w:t>‘Tire Tread and Tire Track Evidence’</w:t>
      </w:r>
      <w:r>
        <w:t xml:space="preserve"> Taylor and Francis: Florida. Available at: </w:t>
      </w:r>
      <w:hyperlink r:id="rId12" w:history="1">
        <w:r w:rsidRPr="00C35936">
          <w:rPr>
            <w:rStyle w:val="Hyperlink"/>
          </w:rPr>
          <w:t>https://books.google.co.uk/books?id=yRsHlttaMrMC&amp;printsec=frontcover&amp;dq=forensic+recovery+and+examination&amp;hl=en&amp;sa=X&amp;ved=2ahUKEwjzjPW_7eTsAhXcQEEAHaMbBzIQ6AEwAXoECAMQAg#v=onepage&amp;q=forensic%20recovery%20and%20examination&amp;f=false</w:t>
        </w:r>
      </w:hyperlink>
      <w:r>
        <w:t xml:space="preserve"> (accessed on 30.10.2020)</w:t>
      </w:r>
    </w:p>
    <w:p w14:paraId="050362A9" w14:textId="77777777" w:rsidR="0084623A" w:rsidRDefault="0084623A" w:rsidP="0084623A">
      <w:pPr>
        <w:pStyle w:val="ListParagraph"/>
        <w:numPr>
          <w:ilvl w:val="0"/>
          <w:numId w:val="1"/>
        </w:numPr>
        <w:spacing w:line="480" w:lineRule="auto"/>
      </w:pPr>
      <w:r>
        <w:t>Bodziak, W.J (2017) ‘</w:t>
      </w:r>
      <w:r>
        <w:rPr>
          <w:i/>
          <w:iCs/>
        </w:rPr>
        <w:t xml:space="preserve">Forensic Footwear Evidence’ </w:t>
      </w:r>
      <w:r>
        <w:t xml:space="preserve">Taylor and Francis: Florida. Available at: </w:t>
      </w:r>
      <w:hyperlink r:id="rId13" w:history="1">
        <w:r w:rsidRPr="00C35936">
          <w:rPr>
            <w:rStyle w:val="Hyperlink"/>
          </w:rPr>
          <w:t>https://books.google.co.uk/books?id=7RVjDAAAQBAJ&amp;printsec=frontcover&amp;dq=forensic+recovery+and+examination&amp;hl=en&amp;sa=X&amp;ved=2ahUKEwjzjPW_7eTsAhXcQEEA</w:t>
        </w:r>
        <w:r w:rsidRPr="00C35936">
          <w:rPr>
            <w:rStyle w:val="Hyperlink"/>
          </w:rPr>
          <w:lastRenderedPageBreak/>
          <w:t>HaMbBzIQ6AEwAnoECAUQAg#v=onepage&amp;q=forensic%20recovery%20and%20examination&amp;f=false</w:t>
        </w:r>
      </w:hyperlink>
      <w:r>
        <w:t xml:space="preserve"> (accessed on 30.10.2020)</w:t>
      </w:r>
    </w:p>
    <w:p w14:paraId="6DEC9BFF" w14:textId="77777777" w:rsidR="0084623A" w:rsidRDefault="0084623A" w:rsidP="000A10F1">
      <w:pPr>
        <w:pStyle w:val="ListParagraph"/>
        <w:numPr>
          <w:ilvl w:val="0"/>
          <w:numId w:val="1"/>
        </w:numPr>
        <w:tabs>
          <w:tab w:val="left" w:pos="3834"/>
        </w:tabs>
        <w:spacing w:line="480" w:lineRule="auto"/>
      </w:pPr>
      <w:r>
        <w:t xml:space="preserve">Bradbury, S and Feist, A (2005) ‘The use of forensic science in volume crime investigations: a review of the research literature’ The Home Office. Available at: </w:t>
      </w:r>
      <w:hyperlink r:id="rId14" w:history="1">
        <w:r w:rsidRPr="00C35936">
          <w:rPr>
            <w:rStyle w:val="Hyperlink"/>
          </w:rPr>
          <w:t>https://assets.publishing.service.gov.uk/government/uploads/system/uploads/attachment_data/file/115849/hoor4305.pdf</w:t>
        </w:r>
      </w:hyperlink>
      <w:r>
        <w:t xml:space="preserve"> (accessed on 30.10.2020)</w:t>
      </w:r>
    </w:p>
    <w:p w14:paraId="29298517" w14:textId="77777777" w:rsidR="0084623A" w:rsidRDefault="0084623A" w:rsidP="0084623A">
      <w:pPr>
        <w:pStyle w:val="ListParagraph"/>
        <w:numPr>
          <w:ilvl w:val="0"/>
          <w:numId w:val="1"/>
        </w:numPr>
        <w:spacing w:line="480" w:lineRule="auto"/>
      </w:pPr>
      <w:r>
        <w:t xml:space="preserve">British Government (2019) ‘About Us’ available at: </w:t>
      </w:r>
      <w:hyperlink r:id="rId15" w:history="1">
        <w:r w:rsidRPr="00C35936">
          <w:rPr>
            <w:rStyle w:val="Hyperlink"/>
          </w:rPr>
          <w:t>https://www.gov.uk/government/organisations/forensic-science-regulator/about</w:t>
        </w:r>
      </w:hyperlink>
      <w:r>
        <w:t xml:space="preserve"> (accessed 30.10.2020)</w:t>
      </w:r>
    </w:p>
    <w:p w14:paraId="38E39C25" w14:textId="77777777" w:rsidR="0084623A" w:rsidRDefault="0084623A" w:rsidP="000A10F1">
      <w:pPr>
        <w:pStyle w:val="ListParagraph"/>
        <w:numPr>
          <w:ilvl w:val="0"/>
          <w:numId w:val="1"/>
        </w:numPr>
        <w:tabs>
          <w:tab w:val="left" w:pos="3834"/>
        </w:tabs>
        <w:spacing w:line="480" w:lineRule="auto"/>
      </w:pPr>
      <w:r>
        <w:t xml:space="preserve">Cobain, I (2007) ‘Advances in the lab have to be matched by care at the crime scene, says experts’ </w:t>
      </w:r>
      <w:r>
        <w:rPr>
          <w:i/>
          <w:iCs/>
        </w:rPr>
        <w:t xml:space="preserve">The Guardian, </w:t>
      </w:r>
      <w:r>
        <w:t>(15</w:t>
      </w:r>
      <w:r w:rsidRPr="000A10F1">
        <w:rPr>
          <w:vertAlign w:val="superscript"/>
        </w:rPr>
        <w:t>th</w:t>
      </w:r>
      <w:r>
        <w:t xml:space="preserve"> September). Available at: </w:t>
      </w:r>
      <w:hyperlink r:id="rId16" w:history="1">
        <w:r w:rsidRPr="00C35936">
          <w:rPr>
            <w:rStyle w:val="Hyperlink"/>
          </w:rPr>
          <w:t>https://www.theguardian.com/science/2007/sep/15/crime</w:t>
        </w:r>
      </w:hyperlink>
      <w:r>
        <w:t xml:space="preserve"> (accessed on 30.10.2020)</w:t>
      </w:r>
    </w:p>
    <w:p w14:paraId="0EEA1AA6" w14:textId="77777777" w:rsidR="0084623A" w:rsidRDefault="0084623A" w:rsidP="000A10F1">
      <w:pPr>
        <w:pStyle w:val="ListParagraph"/>
        <w:numPr>
          <w:ilvl w:val="0"/>
          <w:numId w:val="1"/>
        </w:numPr>
        <w:tabs>
          <w:tab w:val="left" w:pos="3834"/>
        </w:tabs>
        <w:spacing w:line="480" w:lineRule="auto"/>
      </w:pPr>
      <w:r>
        <w:t>College of Policing (2013) ‘Civil Emergencies – response and recovery’ (23</w:t>
      </w:r>
      <w:r w:rsidRPr="000A10F1">
        <w:rPr>
          <w:vertAlign w:val="superscript"/>
        </w:rPr>
        <w:t>rd</w:t>
      </w:r>
      <w:r>
        <w:t xml:space="preserve"> October) available at: </w:t>
      </w:r>
      <w:hyperlink r:id="rId17" w:history="1">
        <w:r w:rsidRPr="00C35936">
          <w:rPr>
            <w:rStyle w:val="Hyperlink"/>
          </w:rPr>
          <w:t>https://www.app.college.police.uk/app-content/civil-emergencies/civil-contingencies/response-and-recovery/</w:t>
        </w:r>
      </w:hyperlink>
      <w:r>
        <w:t xml:space="preserve"> (accessed on 30.10.2020)</w:t>
      </w:r>
    </w:p>
    <w:p w14:paraId="460D18AA" w14:textId="77777777" w:rsidR="0084623A" w:rsidRDefault="0084623A" w:rsidP="000A10F1">
      <w:pPr>
        <w:pStyle w:val="ListParagraph"/>
        <w:numPr>
          <w:ilvl w:val="0"/>
          <w:numId w:val="1"/>
        </w:numPr>
        <w:tabs>
          <w:tab w:val="left" w:pos="3834"/>
        </w:tabs>
        <w:spacing w:line="480" w:lineRule="auto"/>
      </w:pPr>
      <w:r>
        <w:t>College of Policing (2015) ‘Major investigation and public protection – First response’ (16</w:t>
      </w:r>
      <w:r w:rsidRPr="000A10F1">
        <w:rPr>
          <w:vertAlign w:val="superscript"/>
        </w:rPr>
        <w:t>th</w:t>
      </w:r>
      <w:r>
        <w:t xml:space="preserve"> September) available at: </w:t>
      </w:r>
      <w:hyperlink r:id="rId18" w:anchor="carry-out-an-initial-investigation" w:history="1">
        <w:r w:rsidRPr="00C35936">
          <w:rPr>
            <w:rStyle w:val="Hyperlink"/>
          </w:rPr>
          <w:t>https://www.app.college.police.uk/app-content/major-investigation-and-public-protection/domestic-abuse/first-response/#carry-out-an-initial-investigation</w:t>
        </w:r>
      </w:hyperlink>
      <w:r>
        <w:t xml:space="preserve"> (accessed on 30.10.2020)</w:t>
      </w:r>
    </w:p>
    <w:p w14:paraId="7F77FABC" w14:textId="77777777" w:rsidR="0084623A" w:rsidRDefault="0084623A" w:rsidP="0084623A">
      <w:pPr>
        <w:pStyle w:val="ListParagraph"/>
        <w:numPr>
          <w:ilvl w:val="0"/>
          <w:numId w:val="1"/>
        </w:numPr>
        <w:spacing w:line="480" w:lineRule="auto"/>
      </w:pPr>
      <w:r>
        <w:t>College of Policing (2017) ‘investigation – forensics’ (3</w:t>
      </w:r>
      <w:r w:rsidRPr="00946116">
        <w:rPr>
          <w:vertAlign w:val="superscript"/>
        </w:rPr>
        <w:t>rd</w:t>
      </w:r>
      <w:r>
        <w:t xml:space="preserve"> July). Available at: </w:t>
      </w:r>
      <w:hyperlink r:id="rId19" w:history="1">
        <w:r w:rsidRPr="00C35936">
          <w:rPr>
            <w:rStyle w:val="Hyperlink"/>
          </w:rPr>
          <w:t>https://www.app.college.police.uk/app-content/investigations/forensics/</w:t>
        </w:r>
      </w:hyperlink>
      <w:r>
        <w:t xml:space="preserve"> (accessed on 30.10.2020)</w:t>
      </w:r>
    </w:p>
    <w:p w14:paraId="38DAFB5A" w14:textId="77777777" w:rsidR="0084623A" w:rsidRDefault="0084623A" w:rsidP="000A10F1">
      <w:pPr>
        <w:pStyle w:val="ListParagraph"/>
        <w:numPr>
          <w:ilvl w:val="0"/>
          <w:numId w:val="1"/>
        </w:numPr>
        <w:tabs>
          <w:tab w:val="left" w:pos="3834"/>
        </w:tabs>
        <w:spacing w:line="480" w:lineRule="auto"/>
      </w:pPr>
      <w:r>
        <w:lastRenderedPageBreak/>
        <w:t xml:space="preserve">Collins, D (2017) ‘Madeleine McCann – The Disappearance’ John Blake, available at: </w:t>
      </w:r>
      <w:hyperlink r:id="rId20" w:anchor="v=onepage&amp;q=madeleine%20mccann%20initial%20investigation&amp;f=false" w:history="1">
        <w:r w:rsidRPr="00C35936">
          <w:rPr>
            <w:rStyle w:val="Hyperlink"/>
          </w:rPr>
          <w:t>https://books.google.co.uk/books?id=szmtDwAAQBAJ&amp;printsec=frontcover&amp;dq=madeleine+mccann+initial+investigation&amp;hl=en&amp;sa=X&amp;ved=2ahUKEwjy3O2FwtzsAhWUQEEAHTm2Dj4Q6AEwA3oECAQQAg#v=onepage&amp;q=madeleine%20mccann%20initial%20investigation&amp;f=false</w:t>
        </w:r>
      </w:hyperlink>
      <w:r>
        <w:t xml:space="preserve"> (accessed on 30.10.2020)</w:t>
      </w:r>
    </w:p>
    <w:p w14:paraId="43E98BAE" w14:textId="77777777" w:rsidR="0084623A" w:rsidRDefault="0084623A" w:rsidP="0084623A">
      <w:pPr>
        <w:pStyle w:val="ListParagraph"/>
        <w:numPr>
          <w:ilvl w:val="0"/>
          <w:numId w:val="1"/>
        </w:numPr>
        <w:spacing w:line="480" w:lineRule="auto"/>
      </w:pPr>
      <w:r>
        <w:t xml:space="preserve">Crown Prosecution Service (2017) ‘Rape and Sexual Offences – Chapter 9: Forensic, Scientific and Medical Evidence’ available at: </w:t>
      </w:r>
      <w:hyperlink r:id="rId21" w:history="1">
        <w:r w:rsidRPr="00C35936">
          <w:rPr>
            <w:rStyle w:val="Hyperlink"/>
          </w:rPr>
          <w:t>https://www.cps.gov.uk/legal-guidance/rape-and-sexual-offences-chapter-9-forensic-scientific-and-medical-evidence</w:t>
        </w:r>
      </w:hyperlink>
      <w:r>
        <w:t xml:space="preserve"> (accessed on 30.10.2020)</w:t>
      </w:r>
    </w:p>
    <w:p w14:paraId="71A05FD5" w14:textId="77777777" w:rsidR="0084623A" w:rsidRDefault="0084623A" w:rsidP="0084623A">
      <w:pPr>
        <w:pStyle w:val="ListParagraph"/>
        <w:numPr>
          <w:ilvl w:val="0"/>
          <w:numId w:val="1"/>
        </w:numPr>
        <w:spacing w:line="480" w:lineRule="auto"/>
      </w:pPr>
      <w:r>
        <w:t xml:space="preserve">Crown Prosecution Service (2018) ‘Exhibits’ available at: </w:t>
      </w:r>
      <w:hyperlink r:id="rId22" w:history="1">
        <w:r w:rsidRPr="00C35936">
          <w:rPr>
            <w:rStyle w:val="Hyperlink"/>
          </w:rPr>
          <w:t>https://www.cps.gov.uk/legal-guidance/exhibits</w:t>
        </w:r>
      </w:hyperlink>
      <w:r>
        <w:t xml:space="preserve"> (accessed on 30.10.2020)</w:t>
      </w:r>
    </w:p>
    <w:p w14:paraId="3089757A" w14:textId="77777777" w:rsidR="0084623A" w:rsidRDefault="0084623A" w:rsidP="0084623A">
      <w:pPr>
        <w:pStyle w:val="ListParagraph"/>
        <w:numPr>
          <w:ilvl w:val="0"/>
          <w:numId w:val="1"/>
        </w:numPr>
        <w:spacing w:line="480" w:lineRule="auto"/>
      </w:pPr>
      <w:r>
        <w:t xml:space="preserve">Dodd, V (2020) ‘Forensic Science Failures Putting Justice at Risk, Says Regulator’ </w:t>
      </w:r>
      <w:r>
        <w:rPr>
          <w:i/>
          <w:iCs/>
        </w:rPr>
        <w:t xml:space="preserve">The Guardian, </w:t>
      </w:r>
      <w:r>
        <w:t>(25</w:t>
      </w:r>
      <w:r w:rsidRPr="00946116">
        <w:rPr>
          <w:vertAlign w:val="superscript"/>
        </w:rPr>
        <w:t>th</w:t>
      </w:r>
      <w:r>
        <w:t xml:space="preserve"> February). Available at: </w:t>
      </w:r>
      <w:hyperlink r:id="rId23" w:history="1">
        <w:r w:rsidRPr="00C35936">
          <w:rPr>
            <w:rStyle w:val="Hyperlink"/>
          </w:rPr>
          <w:t>https://www.theguardian.com/science/2020/feb/25/forensic-science-failures-putting-justice-at-risk-says-regulator</w:t>
        </w:r>
      </w:hyperlink>
      <w:r>
        <w:t xml:space="preserve"> (accessed on 30.10.2020)</w:t>
      </w:r>
    </w:p>
    <w:p w14:paraId="246C8FFB" w14:textId="77777777" w:rsidR="0084623A" w:rsidRDefault="0084623A" w:rsidP="0084623A">
      <w:pPr>
        <w:pStyle w:val="ListParagraph"/>
        <w:numPr>
          <w:ilvl w:val="0"/>
          <w:numId w:val="1"/>
        </w:numPr>
        <w:spacing w:line="480" w:lineRule="auto"/>
      </w:pPr>
      <w:r>
        <w:t xml:space="preserve">Dodd, V et al (2012) ‘Forensics firm investigated over DNA blunder in rape case’ </w:t>
      </w:r>
      <w:r>
        <w:rPr>
          <w:i/>
          <w:iCs/>
        </w:rPr>
        <w:t xml:space="preserve">The Guardian, </w:t>
      </w:r>
      <w:r>
        <w:t>(9</w:t>
      </w:r>
      <w:r w:rsidRPr="00946116">
        <w:rPr>
          <w:vertAlign w:val="superscript"/>
        </w:rPr>
        <w:t>th</w:t>
      </w:r>
      <w:r>
        <w:t xml:space="preserve"> March). Available at: </w:t>
      </w:r>
      <w:hyperlink r:id="rId24" w:history="1">
        <w:r w:rsidRPr="00C35936">
          <w:rPr>
            <w:rStyle w:val="Hyperlink"/>
          </w:rPr>
          <w:t>https://www.theguardian.com/law/2012/mar/09/forensics-firm-investigated-dna</w:t>
        </w:r>
      </w:hyperlink>
      <w:r>
        <w:t xml:space="preserve"> (accessed on 30.10.2020)</w:t>
      </w:r>
    </w:p>
    <w:p w14:paraId="73DC4EAC" w14:textId="77777777" w:rsidR="0084623A" w:rsidRDefault="0084623A" w:rsidP="0084623A">
      <w:pPr>
        <w:pStyle w:val="ListParagraph"/>
        <w:numPr>
          <w:ilvl w:val="0"/>
          <w:numId w:val="1"/>
        </w:numPr>
        <w:spacing w:line="480" w:lineRule="auto"/>
      </w:pPr>
      <w:r>
        <w:t xml:space="preserve">Forensic Science Regulator (2011) ‘Codes of Practice and Conduct’ available at: </w:t>
      </w:r>
      <w:hyperlink r:id="rId25" w:history="1">
        <w:r w:rsidRPr="00C35936">
          <w:rPr>
            <w:rStyle w:val="Hyperlink"/>
          </w:rPr>
          <w:t>https://assets.publishing.service.gov.uk/government/uploads/system/uploads/attachment_data/file/118949/codes-practice-conduct.pdf</w:t>
        </w:r>
      </w:hyperlink>
      <w:r>
        <w:t xml:space="preserve"> (accessed on 30.10.2020)</w:t>
      </w:r>
    </w:p>
    <w:p w14:paraId="65C3090E" w14:textId="77777777" w:rsidR="0084623A" w:rsidRDefault="0084623A" w:rsidP="000A10F1">
      <w:pPr>
        <w:pStyle w:val="ListParagraph"/>
        <w:numPr>
          <w:ilvl w:val="0"/>
          <w:numId w:val="1"/>
        </w:numPr>
        <w:tabs>
          <w:tab w:val="left" w:pos="3834"/>
        </w:tabs>
        <w:spacing w:line="480" w:lineRule="auto"/>
      </w:pPr>
      <w:r>
        <w:t xml:space="preserve">Forensic Science Regulator (2015) ‘The Control and Avoidance of Contamination in Crime Scene Examination involving DNA Evidence Recovery’ available at: </w:t>
      </w:r>
      <w:hyperlink r:id="rId26" w:history="1">
        <w:r w:rsidRPr="00C35936">
          <w:rPr>
            <w:rStyle w:val="Hyperlink"/>
          </w:rPr>
          <w:t>https://assets.publishing.service.gov.uk/government/uploads/system/uploads/attachment_data/file/393866/206_FSR_SOC_contamination_consultation.pdf</w:t>
        </w:r>
      </w:hyperlink>
      <w:r>
        <w:t xml:space="preserve"> (accessed on 30.10.2020)</w:t>
      </w:r>
    </w:p>
    <w:p w14:paraId="063F3F92" w14:textId="77777777" w:rsidR="0084623A" w:rsidRDefault="0084623A" w:rsidP="0084623A">
      <w:pPr>
        <w:pStyle w:val="ListParagraph"/>
        <w:numPr>
          <w:ilvl w:val="0"/>
          <w:numId w:val="1"/>
        </w:numPr>
        <w:spacing w:line="480" w:lineRule="auto"/>
      </w:pPr>
      <w:r>
        <w:t xml:space="preserve">Forensic Science Regulator (2020) ‘Forensic Science Regulator Guidance’ available at: </w:t>
      </w:r>
      <w:hyperlink r:id="rId27" w:history="1">
        <w:r w:rsidRPr="00C35936">
          <w:rPr>
            <w:rStyle w:val="Hyperlink"/>
          </w:rPr>
          <w:t>https://assets.publishing.service.gov.uk/government/uploads/system/uploads/attachment_data/file/910183/Legal_Issues_in_Forensic_Pathology_and_Tissue_Retention_Issue_4.pdf</w:t>
        </w:r>
      </w:hyperlink>
      <w:r>
        <w:t xml:space="preserve"> (accessed on 30.10.2020)</w:t>
      </w:r>
    </w:p>
    <w:p w14:paraId="43768394" w14:textId="77777777" w:rsidR="0084623A" w:rsidRDefault="0084623A" w:rsidP="0084623A">
      <w:pPr>
        <w:pStyle w:val="ListParagraph"/>
        <w:numPr>
          <w:ilvl w:val="0"/>
          <w:numId w:val="1"/>
        </w:numPr>
        <w:spacing w:line="480" w:lineRule="auto"/>
      </w:pPr>
      <w:r>
        <w:t xml:space="preserve">Fryer, K (2012) ‘Scenes of Crime Examination Best Practice Manual’ available at: </w:t>
      </w:r>
      <w:hyperlink r:id="rId28" w:history="1">
        <w:r w:rsidRPr="00C35936">
          <w:rPr>
            <w:rStyle w:val="Hyperlink"/>
          </w:rPr>
          <w:t>http://library.college.police.uk/docs/appref/ENFSI-BPM-v1_0.pdf</w:t>
        </w:r>
      </w:hyperlink>
      <w:r>
        <w:t xml:space="preserve"> (accessed on 30.10.2020)</w:t>
      </w:r>
    </w:p>
    <w:p w14:paraId="34A29FCE" w14:textId="77777777" w:rsidR="0084623A" w:rsidRDefault="0084623A" w:rsidP="000A10F1">
      <w:pPr>
        <w:pStyle w:val="ListParagraph"/>
        <w:numPr>
          <w:ilvl w:val="0"/>
          <w:numId w:val="1"/>
        </w:numPr>
        <w:tabs>
          <w:tab w:val="left" w:pos="3834"/>
        </w:tabs>
        <w:spacing w:line="480" w:lineRule="auto"/>
      </w:pPr>
      <w:r>
        <w:t xml:space="preserve">Gehl, R (2016) ‘Introduction to Criminal Investigation: Processes, Practices and Thinking’ Justice Institute of British Columbia: New Westminster. Available at: </w:t>
      </w:r>
      <w:hyperlink r:id="rId29" w:history="1">
        <w:r w:rsidRPr="00C35936">
          <w:rPr>
            <w:rStyle w:val="Hyperlink"/>
          </w:rPr>
          <w:t>https://pressbooks.bccampus.ca/criminalinvestigation/chapter/chapter-8-crime-scene-management/</w:t>
        </w:r>
      </w:hyperlink>
      <w:r>
        <w:t xml:space="preserve"> (accessed on 30.10.2020)</w:t>
      </w:r>
    </w:p>
    <w:p w14:paraId="5DD96FE9" w14:textId="77777777" w:rsidR="0084623A" w:rsidRDefault="0084623A" w:rsidP="0084623A">
      <w:pPr>
        <w:pStyle w:val="ListParagraph"/>
        <w:numPr>
          <w:ilvl w:val="0"/>
          <w:numId w:val="1"/>
        </w:numPr>
        <w:spacing w:line="480" w:lineRule="auto"/>
      </w:pPr>
      <w:r>
        <w:t xml:space="preserve">Gill, P (2014) ‘Misleading DNA Evidence – Reasons for Miscarriages of Justice’ Elsevier Science &amp; Technology Books. Available at: </w:t>
      </w:r>
      <w:hyperlink r:id="rId30" w:history="1">
        <w:r w:rsidRPr="00C35936">
          <w:rPr>
            <w:rStyle w:val="Hyperlink"/>
          </w:rPr>
          <w:t>https://books.google.co.uk/books?id=MdjEAgAAQBAJ&amp;printsec=frontcover&amp;dq=amanda+knox+contamination&amp;hl=en&amp;sa=X&amp;ved=2ahUKEwjbhtb1vefsAhUpRhUIHZEhA-YQ6AEwBHoECAQQAg#v=onepage&amp;q=amanda%20knox%20contamination&amp;f=false</w:t>
        </w:r>
      </w:hyperlink>
      <w:r>
        <w:t xml:space="preserve"> (accessed on 30.10.2020)</w:t>
      </w:r>
    </w:p>
    <w:p w14:paraId="79A721D2" w14:textId="77777777" w:rsidR="0084623A" w:rsidRDefault="0084623A" w:rsidP="000A10F1">
      <w:pPr>
        <w:pStyle w:val="ListParagraph"/>
        <w:numPr>
          <w:ilvl w:val="0"/>
          <w:numId w:val="1"/>
        </w:numPr>
        <w:tabs>
          <w:tab w:val="left" w:pos="3834"/>
        </w:tabs>
        <w:spacing w:line="480" w:lineRule="auto"/>
      </w:pPr>
      <w:r>
        <w:t xml:space="preserve">Hattenstone, S (2020) ‘Jeremy Bamber lawyers say new evidence undermines conviction’ </w:t>
      </w:r>
      <w:r>
        <w:rPr>
          <w:i/>
          <w:iCs/>
        </w:rPr>
        <w:t xml:space="preserve">The Guardian, </w:t>
      </w:r>
      <w:r>
        <w:t>(11</w:t>
      </w:r>
      <w:r w:rsidRPr="000A10F1">
        <w:rPr>
          <w:vertAlign w:val="superscript"/>
        </w:rPr>
        <w:t>th</w:t>
      </w:r>
      <w:r>
        <w:t xml:space="preserve"> February). Available at: </w:t>
      </w:r>
      <w:hyperlink r:id="rId31" w:history="1">
        <w:r w:rsidRPr="00C35936">
          <w:rPr>
            <w:rStyle w:val="Hyperlink"/>
          </w:rPr>
          <w:t>https://www.theguardian.com/uk-news/2020/feb/11/jeremy-bamber-lawyers-say-new-evidence-undermines-conviction</w:t>
        </w:r>
      </w:hyperlink>
      <w:r>
        <w:t xml:space="preserve"> (accessed on 30.10.2020)</w:t>
      </w:r>
    </w:p>
    <w:p w14:paraId="1BC96FE0" w14:textId="77777777" w:rsidR="0084623A" w:rsidRDefault="0084623A" w:rsidP="0084623A">
      <w:pPr>
        <w:pStyle w:val="ListParagraph"/>
        <w:numPr>
          <w:ilvl w:val="0"/>
          <w:numId w:val="1"/>
        </w:numPr>
        <w:spacing w:line="480" w:lineRule="auto"/>
      </w:pPr>
      <w:r>
        <w:lastRenderedPageBreak/>
        <w:t xml:space="preserve">Home Office (2020) ‘Tamper evident bags’ available at: </w:t>
      </w:r>
      <w:hyperlink r:id="rId32" w:history="1">
        <w:r w:rsidRPr="00C35936">
          <w:rPr>
            <w:rStyle w:val="Hyperlink"/>
          </w:rPr>
          <w:t>https://assets.publishing.service.gov.uk/government/uploads/system/uploads/attachment_data/file/919585/tamper-evident-bags-v6.0.pdf</w:t>
        </w:r>
      </w:hyperlink>
      <w:r>
        <w:t xml:space="preserve"> (accessed on 30.10.2020)</w:t>
      </w:r>
    </w:p>
    <w:p w14:paraId="19D59E26" w14:textId="77777777" w:rsidR="0084623A" w:rsidRDefault="0084623A" w:rsidP="0084623A">
      <w:pPr>
        <w:pStyle w:val="ListParagraph"/>
        <w:numPr>
          <w:ilvl w:val="0"/>
          <w:numId w:val="1"/>
        </w:numPr>
        <w:spacing w:line="480" w:lineRule="auto"/>
      </w:pPr>
      <w:r>
        <w:t xml:space="preserve">Hooper, J (2011) ‘Amanda Knox prosecution evidence unreliable, appeal court hears’ </w:t>
      </w:r>
      <w:r>
        <w:rPr>
          <w:i/>
          <w:iCs/>
        </w:rPr>
        <w:t xml:space="preserve">The Guardian, </w:t>
      </w:r>
      <w:r>
        <w:t>(29</w:t>
      </w:r>
      <w:r w:rsidRPr="00946116">
        <w:rPr>
          <w:vertAlign w:val="superscript"/>
        </w:rPr>
        <w:t>th</w:t>
      </w:r>
      <w:r>
        <w:t xml:space="preserve"> June). Available at: </w:t>
      </w:r>
      <w:hyperlink r:id="rId33" w:history="1">
        <w:r w:rsidRPr="00C35936">
          <w:rPr>
            <w:rStyle w:val="Hyperlink"/>
          </w:rPr>
          <w:t>https://www.theguardian.com/world/2011/jun/29/amanda-knox-dna-evidence-contaminated</w:t>
        </w:r>
      </w:hyperlink>
      <w:r>
        <w:t xml:space="preserve"> (accessed on 30.10.2020)</w:t>
      </w:r>
    </w:p>
    <w:p w14:paraId="3320CD01" w14:textId="77777777" w:rsidR="0084623A" w:rsidRDefault="0084623A" w:rsidP="0084623A">
      <w:pPr>
        <w:pStyle w:val="ListParagraph"/>
        <w:numPr>
          <w:ilvl w:val="0"/>
          <w:numId w:val="1"/>
        </w:numPr>
        <w:spacing w:line="480" w:lineRule="auto"/>
      </w:pPr>
      <w:r>
        <w:t xml:space="preserve">House of Lords (2019) ‘Forensic science and the criminal justice system: a blueprint for change’ available at: </w:t>
      </w:r>
      <w:hyperlink r:id="rId34" w:history="1">
        <w:r w:rsidRPr="00C35936">
          <w:rPr>
            <w:rStyle w:val="Hyperlink"/>
          </w:rPr>
          <w:t>https://publications.parliament.uk/pa/ld201719/ldselect/ldsctech/333/333.pdf</w:t>
        </w:r>
      </w:hyperlink>
      <w:r>
        <w:t xml:space="preserve"> (accessed on 30.10.2020)</w:t>
      </w:r>
    </w:p>
    <w:p w14:paraId="0C6577DB" w14:textId="77777777" w:rsidR="0084623A" w:rsidRDefault="0084623A" w:rsidP="000A10F1">
      <w:pPr>
        <w:pStyle w:val="ListParagraph"/>
        <w:numPr>
          <w:ilvl w:val="0"/>
          <w:numId w:val="1"/>
        </w:numPr>
        <w:tabs>
          <w:tab w:val="left" w:pos="3834"/>
        </w:tabs>
        <w:spacing w:line="480" w:lineRule="auto"/>
      </w:pPr>
      <w:r>
        <w:t xml:space="preserve">Kerslake Report (2017) ‘The Kerslake </w:t>
      </w:r>
      <w:proofErr w:type="spellStart"/>
      <w:r>
        <w:t>Reprot</w:t>
      </w:r>
      <w:proofErr w:type="spellEnd"/>
      <w:r>
        <w:t xml:space="preserve">’ available at: </w:t>
      </w:r>
      <w:hyperlink r:id="rId35" w:history="1">
        <w:r w:rsidRPr="00C35936">
          <w:rPr>
            <w:rStyle w:val="Hyperlink"/>
          </w:rPr>
          <w:t>https://www.jesip.org.uk/uploads/media/Documents%20Products/Kerslake_Report_Manchester_Are.pdf</w:t>
        </w:r>
      </w:hyperlink>
      <w:r>
        <w:t xml:space="preserve"> (accessed on 30.10.2020)</w:t>
      </w:r>
    </w:p>
    <w:p w14:paraId="2BB3D3E4" w14:textId="77777777" w:rsidR="0084623A" w:rsidRDefault="0084623A" w:rsidP="000A10F1">
      <w:pPr>
        <w:pStyle w:val="ListParagraph"/>
        <w:numPr>
          <w:ilvl w:val="0"/>
          <w:numId w:val="1"/>
        </w:numPr>
        <w:tabs>
          <w:tab w:val="left" w:pos="3834"/>
        </w:tabs>
        <w:spacing w:line="480" w:lineRule="auto"/>
      </w:pPr>
      <w:r>
        <w:t xml:space="preserve">Laville, S (2011) ‘Madeleine McCann case to receive help from Met’ </w:t>
      </w:r>
      <w:r>
        <w:rPr>
          <w:i/>
          <w:iCs/>
        </w:rPr>
        <w:t xml:space="preserve">The Guardian, </w:t>
      </w:r>
      <w:r>
        <w:t>(12</w:t>
      </w:r>
      <w:r w:rsidRPr="000A10F1">
        <w:rPr>
          <w:vertAlign w:val="superscript"/>
        </w:rPr>
        <w:t>th</w:t>
      </w:r>
      <w:r>
        <w:t xml:space="preserve"> May). Available at: </w:t>
      </w:r>
      <w:hyperlink r:id="rId36" w:history="1">
        <w:r w:rsidRPr="00C35936">
          <w:rPr>
            <w:rStyle w:val="Hyperlink"/>
          </w:rPr>
          <w:t>https://www.theguardian.com/uk/2011/may/12/madeleine-mccann-case-met-police</w:t>
        </w:r>
      </w:hyperlink>
      <w:r>
        <w:t xml:space="preserve"> (accessed on 30.10.2020)</w:t>
      </w:r>
    </w:p>
    <w:p w14:paraId="2CD4A8AC" w14:textId="77777777" w:rsidR="0084623A" w:rsidRDefault="0084623A" w:rsidP="000A10F1">
      <w:pPr>
        <w:pStyle w:val="ListParagraph"/>
        <w:numPr>
          <w:ilvl w:val="0"/>
          <w:numId w:val="1"/>
        </w:numPr>
        <w:tabs>
          <w:tab w:val="left" w:pos="3834"/>
        </w:tabs>
        <w:spacing w:line="480" w:lineRule="auto"/>
      </w:pPr>
      <w:r>
        <w:t xml:space="preserve">North Wales Police (2014) ‘Crime Scene Attendance Guide’ available at: </w:t>
      </w:r>
      <w:hyperlink r:id="rId37" w:history="1">
        <w:r w:rsidRPr="00C35936">
          <w:rPr>
            <w:rStyle w:val="Hyperlink"/>
          </w:rPr>
          <w:t>https://www.north-wales.police.uk/media/539955/crime-scene-attendance-guidance.pdf</w:t>
        </w:r>
      </w:hyperlink>
      <w:r>
        <w:t xml:space="preserve"> (accessed on 30.10.2020)</w:t>
      </w:r>
    </w:p>
    <w:p w14:paraId="755795F7" w14:textId="77777777" w:rsidR="0084623A" w:rsidRDefault="0084623A" w:rsidP="000A10F1">
      <w:pPr>
        <w:pStyle w:val="ListParagraph"/>
        <w:numPr>
          <w:ilvl w:val="0"/>
          <w:numId w:val="1"/>
        </w:numPr>
        <w:tabs>
          <w:tab w:val="left" w:pos="3834"/>
        </w:tabs>
        <w:spacing w:line="480" w:lineRule="auto"/>
      </w:pPr>
      <w:r>
        <w:t>Police Service of Northern Ireland (2016) ‘Serious Crime Scenes’ (24</w:t>
      </w:r>
      <w:r w:rsidRPr="000A10F1">
        <w:rPr>
          <w:vertAlign w:val="superscript"/>
        </w:rPr>
        <w:t>th</w:t>
      </w:r>
      <w:r>
        <w:t xml:space="preserve"> November) available at: </w:t>
      </w:r>
      <w:hyperlink r:id="rId38" w:history="1">
        <w:r w:rsidRPr="00C35936">
          <w:rPr>
            <w:rStyle w:val="Hyperlink"/>
          </w:rPr>
          <w:t>https://www.psni.police.uk/globalassets/advice--information/our-</w:t>
        </w:r>
        <w:r w:rsidRPr="00C35936">
          <w:rPr>
            <w:rStyle w:val="Hyperlink"/>
          </w:rPr>
          <w:lastRenderedPageBreak/>
          <w:t>publications/policies-and-service-procedures/serious-crime-scenes-231116.pdf</w:t>
        </w:r>
      </w:hyperlink>
      <w:r>
        <w:t xml:space="preserve"> (accessed on 30.10.2020)</w:t>
      </w:r>
    </w:p>
    <w:p w14:paraId="3C210982" w14:textId="77777777" w:rsidR="0084623A" w:rsidRDefault="0084623A" w:rsidP="0084623A">
      <w:pPr>
        <w:pStyle w:val="ListParagraph"/>
        <w:numPr>
          <w:ilvl w:val="0"/>
          <w:numId w:val="1"/>
        </w:numPr>
        <w:spacing w:line="480" w:lineRule="auto"/>
      </w:pPr>
      <w:r>
        <w:t xml:space="preserve">Secretary of State (2016) ‘Forensic Science Strategy’ available at: </w:t>
      </w:r>
      <w:hyperlink r:id="rId39" w:history="1">
        <w:r w:rsidRPr="00C35936">
          <w:rPr>
            <w:rStyle w:val="Hyperlink"/>
          </w:rPr>
          <w:t>https://assets.publishing.service.gov.uk/government/uploads/system/uploads/attachment_data/file/506683/54493_Cm_9217_Forensic_Science_Strategy_Print_ready.pdf</w:t>
        </w:r>
      </w:hyperlink>
      <w:r>
        <w:t xml:space="preserve"> (accessed on 30.10.2020)</w:t>
      </w:r>
    </w:p>
    <w:p w14:paraId="5A76A5E7" w14:textId="77777777" w:rsidR="0084623A" w:rsidRDefault="0084623A" w:rsidP="000A10F1">
      <w:pPr>
        <w:pStyle w:val="ListParagraph"/>
        <w:numPr>
          <w:ilvl w:val="0"/>
          <w:numId w:val="1"/>
        </w:numPr>
        <w:tabs>
          <w:tab w:val="left" w:pos="3834"/>
        </w:tabs>
        <w:spacing w:line="480" w:lineRule="auto"/>
      </w:pPr>
      <w:r>
        <w:t xml:space="preserve">Thompson, D (2017) ‘Emergency Services React to the Manchester Arena Explosion – in pictures’ </w:t>
      </w:r>
      <w:r>
        <w:rPr>
          <w:i/>
          <w:iCs/>
        </w:rPr>
        <w:t xml:space="preserve">The Guardian, </w:t>
      </w:r>
      <w:r>
        <w:t>(23</w:t>
      </w:r>
      <w:r w:rsidRPr="000A10F1">
        <w:rPr>
          <w:vertAlign w:val="superscript"/>
        </w:rPr>
        <w:t>rd</w:t>
      </w:r>
      <w:r>
        <w:t xml:space="preserve"> May). Available at: </w:t>
      </w:r>
      <w:hyperlink r:id="rId40" w:history="1">
        <w:r w:rsidRPr="00C35936">
          <w:rPr>
            <w:rStyle w:val="Hyperlink"/>
          </w:rPr>
          <w:t>https://www.theguardian.com/uk-news/gallery/2017/may/23/manchester-arena-explosion-emergency-services-react-in-pictures</w:t>
        </w:r>
      </w:hyperlink>
      <w:r>
        <w:t xml:space="preserve"> (accessed on 30.10.2020)</w:t>
      </w:r>
    </w:p>
    <w:p w14:paraId="14C77B6B" w14:textId="77777777" w:rsidR="0084623A" w:rsidRDefault="0084623A" w:rsidP="0084623A">
      <w:pPr>
        <w:pStyle w:val="ListParagraph"/>
        <w:numPr>
          <w:ilvl w:val="0"/>
          <w:numId w:val="1"/>
        </w:numPr>
        <w:spacing w:line="480" w:lineRule="auto"/>
      </w:pPr>
      <w:r>
        <w:t xml:space="preserve">United Nations Office on Drugs and Crime (2009) ‘Crime Scene and Physical Evidence Awareness for Non-Forensic Personnel’ available at: </w:t>
      </w:r>
      <w:hyperlink r:id="rId41" w:history="1">
        <w:r w:rsidRPr="00C35936">
          <w:rPr>
            <w:rStyle w:val="Hyperlink"/>
          </w:rPr>
          <w:t>https://www.unodc.org/documents/scientific/Crime_scene_awareness__Ebook.pdf</w:t>
        </w:r>
      </w:hyperlink>
      <w:r>
        <w:t xml:space="preserve"> (accessed on 30.10.2020)</w:t>
      </w:r>
    </w:p>
    <w:p w14:paraId="5A1D1452" w14:textId="77777777" w:rsidR="0084623A" w:rsidRDefault="0084623A" w:rsidP="0084623A">
      <w:pPr>
        <w:pStyle w:val="ListParagraph"/>
        <w:tabs>
          <w:tab w:val="left" w:pos="3834"/>
        </w:tabs>
        <w:spacing w:line="480" w:lineRule="auto"/>
      </w:pPr>
    </w:p>
    <w:sectPr w:rsidR="0084623A" w:rsidSect="0084623A">
      <w:footerReference w:type="even" r:id="rId42"/>
      <w:footerReference w:type="default" r:id="rId4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EE5792" w14:textId="77777777" w:rsidR="008F62F5" w:rsidRDefault="008F62F5" w:rsidP="0084623A">
      <w:r>
        <w:separator/>
      </w:r>
    </w:p>
  </w:endnote>
  <w:endnote w:type="continuationSeparator" w:id="0">
    <w:p w14:paraId="2F254B34" w14:textId="77777777" w:rsidR="008F62F5" w:rsidRDefault="008F62F5" w:rsidP="00846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47265873"/>
      <w:docPartObj>
        <w:docPartGallery w:val="Page Numbers (Bottom of Page)"/>
        <w:docPartUnique/>
      </w:docPartObj>
    </w:sdtPr>
    <w:sdtContent>
      <w:p w14:paraId="6AD9EC19" w14:textId="466DAD68" w:rsidR="0084623A" w:rsidRDefault="0084623A" w:rsidP="00C359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37AC4D" w14:textId="77777777" w:rsidR="0084623A" w:rsidRDefault="0084623A" w:rsidP="008462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89290926"/>
      <w:docPartObj>
        <w:docPartGallery w:val="Page Numbers (Bottom of Page)"/>
        <w:docPartUnique/>
      </w:docPartObj>
    </w:sdtPr>
    <w:sdtContent>
      <w:p w14:paraId="26FE8791" w14:textId="5E163034" w:rsidR="0084623A" w:rsidRDefault="0084623A" w:rsidP="00C359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928B81" w14:textId="77777777" w:rsidR="0084623A" w:rsidRDefault="0084623A" w:rsidP="008462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473593" w14:textId="77777777" w:rsidR="008F62F5" w:rsidRDefault="008F62F5" w:rsidP="0084623A">
      <w:r>
        <w:separator/>
      </w:r>
    </w:p>
  </w:footnote>
  <w:footnote w:type="continuationSeparator" w:id="0">
    <w:p w14:paraId="5F93B454" w14:textId="77777777" w:rsidR="008F62F5" w:rsidRDefault="008F62F5" w:rsidP="008462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583AE9"/>
    <w:multiLevelType w:val="hybridMultilevel"/>
    <w:tmpl w:val="769E0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B01950"/>
    <w:multiLevelType w:val="hybridMultilevel"/>
    <w:tmpl w:val="98128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0F1"/>
    <w:rsid w:val="000A10F1"/>
    <w:rsid w:val="004C0590"/>
    <w:rsid w:val="005403EB"/>
    <w:rsid w:val="006A16E8"/>
    <w:rsid w:val="0084623A"/>
    <w:rsid w:val="008F62F5"/>
    <w:rsid w:val="00EC2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79F88"/>
  <w15:chartTrackingRefBased/>
  <w15:docId w15:val="{46D331CC-12D5-AC4B-987D-AD692226B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0F1"/>
    <w:pPr>
      <w:ind w:left="720"/>
      <w:contextualSpacing/>
    </w:pPr>
  </w:style>
  <w:style w:type="character" w:styleId="Hyperlink">
    <w:name w:val="Hyperlink"/>
    <w:basedOn w:val="DefaultParagraphFont"/>
    <w:uiPriority w:val="99"/>
    <w:unhideWhenUsed/>
    <w:rsid w:val="000A10F1"/>
    <w:rPr>
      <w:color w:val="0563C1" w:themeColor="hyperlink"/>
      <w:u w:val="single"/>
    </w:rPr>
  </w:style>
  <w:style w:type="character" w:styleId="UnresolvedMention">
    <w:name w:val="Unresolved Mention"/>
    <w:basedOn w:val="DefaultParagraphFont"/>
    <w:uiPriority w:val="99"/>
    <w:semiHidden/>
    <w:unhideWhenUsed/>
    <w:rsid w:val="000A10F1"/>
    <w:rPr>
      <w:color w:val="605E5C"/>
      <w:shd w:val="clear" w:color="auto" w:fill="E1DFDD"/>
    </w:rPr>
  </w:style>
  <w:style w:type="paragraph" w:styleId="Footer">
    <w:name w:val="footer"/>
    <w:basedOn w:val="Normal"/>
    <w:link w:val="FooterChar"/>
    <w:uiPriority w:val="99"/>
    <w:unhideWhenUsed/>
    <w:rsid w:val="0084623A"/>
    <w:pPr>
      <w:tabs>
        <w:tab w:val="center" w:pos="4513"/>
        <w:tab w:val="right" w:pos="9026"/>
      </w:tabs>
    </w:pPr>
  </w:style>
  <w:style w:type="character" w:customStyle="1" w:styleId="FooterChar">
    <w:name w:val="Footer Char"/>
    <w:basedOn w:val="DefaultParagraphFont"/>
    <w:link w:val="Footer"/>
    <w:uiPriority w:val="99"/>
    <w:rsid w:val="0084623A"/>
  </w:style>
  <w:style w:type="character" w:styleId="PageNumber">
    <w:name w:val="page number"/>
    <w:basedOn w:val="DefaultParagraphFont"/>
    <w:uiPriority w:val="99"/>
    <w:semiHidden/>
    <w:unhideWhenUsed/>
    <w:rsid w:val="0084623A"/>
  </w:style>
  <w:style w:type="paragraph" w:styleId="NoSpacing">
    <w:name w:val="No Spacing"/>
    <w:link w:val="NoSpacingChar"/>
    <w:uiPriority w:val="1"/>
    <w:qFormat/>
    <w:rsid w:val="0084623A"/>
    <w:rPr>
      <w:rFonts w:eastAsiaTheme="minorEastAsia"/>
      <w:sz w:val="22"/>
      <w:szCs w:val="22"/>
      <w:lang w:val="en-US" w:eastAsia="zh-CN"/>
    </w:rPr>
  </w:style>
  <w:style w:type="character" w:customStyle="1" w:styleId="NoSpacingChar">
    <w:name w:val="No Spacing Char"/>
    <w:basedOn w:val="DefaultParagraphFont"/>
    <w:link w:val="NoSpacing"/>
    <w:uiPriority w:val="1"/>
    <w:rsid w:val="0084623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id=7RVjDAAAQBAJ&amp;printsec=frontcover&amp;dq=forensic+recovery+and+examination&amp;hl=en&amp;sa=X&amp;ved=2ahUKEwjzjPW_7eTsAhXcQEEAHaMbBzIQ6AEwAnoECAUQAg#v=onepage&amp;q=forensic%20recovery%20and%20examination&amp;f=false" TargetMode="External"/><Relationship Id="rId18" Type="http://schemas.openxmlformats.org/officeDocument/2006/relationships/hyperlink" Target="https://www.app.college.police.uk/app-content/major-investigation-and-public-protection/domestic-abuse/first-response/" TargetMode="External"/><Relationship Id="rId26" Type="http://schemas.openxmlformats.org/officeDocument/2006/relationships/hyperlink" Target="https://assets.publishing.service.gov.uk/government/uploads/system/uploads/attachment_data/file/393866/206_FSR_SOC_contamination_consultation.pdf" TargetMode="External"/><Relationship Id="rId39" Type="http://schemas.openxmlformats.org/officeDocument/2006/relationships/hyperlink" Target="https://assets.publishing.service.gov.uk/government/uploads/system/uploads/attachment_data/file/506683/54493_Cm_9217_Forensic_Science_Strategy_Print_ready.pdf" TargetMode="External"/><Relationship Id="rId21" Type="http://schemas.openxmlformats.org/officeDocument/2006/relationships/hyperlink" Target="https://www.cps.gov.uk/legal-guidance/rape-and-sexual-offences-chapter-9-forensic-scientific-and-medical-evidence" TargetMode="External"/><Relationship Id="rId34" Type="http://schemas.openxmlformats.org/officeDocument/2006/relationships/hyperlink" Target="https://publications.parliament.uk/pa/ld201719/ldselect/ldsctech/333/333.pdf"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theguardian.com/science/2007/sep/15/crime" TargetMode="External"/><Relationship Id="rId29" Type="http://schemas.openxmlformats.org/officeDocument/2006/relationships/hyperlink" Target="https://pressbooks.bccampus.ca/criminalinvestigation/chapter/chapter-8-crime-scene-man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14282751" TargetMode="External"/><Relationship Id="rId24" Type="http://schemas.openxmlformats.org/officeDocument/2006/relationships/hyperlink" Target="https://www.theguardian.com/law/2012/mar/09/forensics-firm-investigated-dna" TargetMode="External"/><Relationship Id="rId32" Type="http://schemas.openxmlformats.org/officeDocument/2006/relationships/hyperlink" Target="https://assets.publishing.service.gov.uk/government/uploads/system/uploads/attachment_data/file/919585/tamper-evident-bags-v6.0.pdf" TargetMode="External"/><Relationship Id="rId37" Type="http://schemas.openxmlformats.org/officeDocument/2006/relationships/hyperlink" Target="https://www.north-wales.police.uk/media/539955/crime-scene-attendance-guidance.pdf" TargetMode="External"/><Relationship Id="rId40" Type="http://schemas.openxmlformats.org/officeDocument/2006/relationships/hyperlink" Target="https://www.theguardian.com/uk-news/gallery/2017/may/23/manchester-arena-explosion-emergency-services-react-in-pictures"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organisations/forensic-science-regulator/about" TargetMode="External"/><Relationship Id="rId23" Type="http://schemas.openxmlformats.org/officeDocument/2006/relationships/hyperlink" Target="https://www.theguardian.com/science/2020/feb/25/forensic-science-failures-putting-justice-at-risk-says-regulator" TargetMode="External"/><Relationship Id="rId28" Type="http://schemas.openxmlformats.org/officeDocument/2006/relationships/hyperlink" Target="http://library.college.police.uk/docs/appref/ENFSI-BPM-v1_0.pdf" TargetMode="External"/><Relationship Id="rId36" Type="http://schemas.openxmlformats.org/officeDocument/2006/relationships/hyperlink" Target="https://www.theguardian.com/uk/2011/may/12/madeleine-mccann-case-met-police" TargetMode="External"/><Relationship Id="rId10" Type="http://schemas.openxmlformats.org/officeDocument/2006/relationships/hyperlink" Target="https://scholarworks.sjsu.edu/cgi/viewcontent.cgi?referer=https://www.google.com/&amp;httpsredir=1&amp;article=1033&amp;context=themis" TargetMode="External"/><Relationship Id="rId19" Type="http://schemas.openxmlformats.org/officeDocument/2006/relationships/hyperlink" Target="https://www.app.college.police.uk/app-content/investigations/forensics/" TargetMode="External"/><Relationship Id="rId31" Type="http://schemas.openxmlformats.org/officeDocument/2006/relationships/hyperlink" Target="https://www.theguardian.com/uk-news/2020/feb/11/jeremy-bamber-lawyers-say-new-evidence-undermines-conviction"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t-arch-photogramm-remote-sens-spatial-inf-sci.net/XLII-2/1/2018/isprs-archives-XLII-2-1-2018.pdf" TargetMode="External"/><Relationship Id="rId14" Type="http://schemas.openxmlformats.org/officeDocument/2006/relationships/hyperlink" Target="https://assets.publishing.service.gov.uk/government/uploads/system/uploads/attachment_data/file/115849/hoor4305.pdf" TargetMode="External"/><Relationship Id="rId22" Type="http://schemas.openxmlformats.org/officeDocument/2006/relationships/hyperlink" Target="https://www.cps.gov.uk/legal-guidance/exhibits" TargetMode="External"/><Relationship Id="rId27" Type="http://schemas.openxmlformats.org/officeDocument/2006/relationships/hyperlink" Target="https://assets.publishing.service.gov.uk/government/uploads/system/uploads/attachment_data/file/910183/Legal_Issues_in_Forensic_Pathology_and_Tissue_Retention_Issue_4.pdf" TargetMode="External"/><Relationship Id="rId30" Type="http://schemas.openxmlformats.org/officeDocument/2006/relationships/hyperlink" Target="https://books.google.co.uk/books?id=MdjEAgAAQBAJ&amp;printsec=frontcover&amp;dq=amanda+knox+contamination&amp;hl=en&amp;sa=X&amp;ved=2ahUKEwjbhtb1vefsAhUpRhUIHZEhA-YQ6AEwBHoECAQQAg#v=onepage&amp;q=amanda%20knox%20contamination&amp;f=false" TargetMode="External"/><Relationship Id="rId35" Type="http://schemas.openxmlformats.org/officeDocument/2006/relationships/hyperlink" Target="https://www.jesip.org.uk/uploads/media/Documents%20Products/Kerslake_Report_Manchester_Are.pdf" TargetMode="External"/><Relationship Id="rId43" Type="http://schemas.openxmlformats.org/officeDocument/2006/relationships/footer" Target="footer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books.google.co.uk/books?id=yRsHlttaMrMC&amp;printsec=frontcover&amp;dq=forensic+recovery+and+examination&amp;hl=en&amp;sa=X&amp;ved=2ahUKEwjzjPW_7eTsAhXcQEEAHaMbBzIQ6AEwAXoECAMQAg#v=onepage&amp;q=forensic%20recovery%20and%20examination&amp;f=false" TargetMode="External"/><Relationship Id="rId17" Type="http://schemas.openxmlformats.org/officeDocument/2006/relationships/hyperlink" Target="https://www.app.college.police.uk/app-content/civil-emergencies/civil-contingencies/response-and-recovery/" TargetMode="External"/><Relationship Id="rId25" Type="http://schemas.openxmlformats.org/officeDocument/2006/relationships/hyperlink" Target="https://assets.publishing.service.gov.uk/government/uploads/system/uploads/attachment_data/file/118949/codes-practice-conduct.pdf" TargetMode="External"/><Relationship Id="rId33" Type="http://schemas.openxmlformats.org/officeDocument/2006/relationships/hyperlink" Target="https://www.theguardian.com/world/2011/jun/29/amanda-knox-dna-evidence-contaminated" TargetMode="External"/><Relationship Id="rId38" Type="http://schemas.openxmlformats.org/officeDocument/2006/relationships/hyperlink" Target="https://www.psni.police.uk/globalassets/advice--information/our-publications/policies-and-service-procedures/serious-crime-scenes-231116.pdf" TargetMode="External"/><Relationship Id="rId20" Type="http://schemas.openxmlformats.org/officeDocument/2006/relationships/hyperlink" Target="https://books.google.co.uk/books?id=szmtDwAAQBAJ&amp;printsec=frontcover&amp;dq=madeleine+mccann+initial+investigation&amp;hl=en&amp;sa=X&amp;ved=2ahUKEwjy3O2FwtzsAhWUQEEAHTm2Dj4Q6AEwA3oECAQQAg" TargetMode="External"/><Relationship Id="rId41" Type="http://schemas.openxmlformats.org/officeDocument/2006/relationships/hyperlink" Target="https://www.unodc.org/documents/scientific/Crime_scene_awareness__Eboo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18</Pages>
  <Words>4724</Words>
  <Characters>26927</Characters>
  <Application>Microsoft Office Word</Application>
  <DocSecurity>0</DocSecurity>
  <Lines>224</Lines>
  <Paragraphs>63</Paragraphs>
  <ScaleCrop>false</ScaleCrop>
  <Company/>
  <LinksUpToDate>false</LinksUpToDate>
  <CharactersWithSpaces>31588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the first attending officer’s role at a crime scene and the recovery and examination of evidence</dc:title>
  <dc:subject>Forensic Recovery and Examination</dc:subject>
  <dc:creator>Caitlin Selby (1800061)</dc:creator>
  <cp:keywords/>
  <dc:description/>
  <cp:lastModifiedBy>Caitlin Selby (1800061)</cp:lastModifiedBy>
  <cp:revision>4</cp:revision>
  <dcterms:created xsi:type="dcterms:W3CDTF">2020-11-03T09:50:00Z</dcterms:created>
  <dcterms:modified xsi:type="dcterms:W3CDTF">2020-11-05T18:11:00Z</dcterms:modified>
</cp:coreProperties>
</file>