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2561007"/>
        <w:docPartObj>
          <w:docPartGallery w:val="Cover Pages"/>
          <w:docPartUnique/>
        </w:docPartObj>
      </w:sdtPr>
      <w:sdtEndPr>
        <w:rPr>
          <w:sz w:val="22"/>
          <w:szCs w:val="22"/>
        </w:rPr>
      </w:sdtEndPr>
      <w:sdtContent>
        <w:p w14:paraId="79658883" w14:textId="7AD967BC" w:rsidR="000079E1" w:rsidRDefault="00B25F6A">
          <w:r>
            <w:rPr>
              <w:noProof/>
            </w:rPr>
            <mc:AlternateContent>
              <mc:Choice Requires="wpg">
                <w:drawing>
                  <wp:anchor distT="0" distB="0" distL="114300" distR="114300" simplePos="0" relativeHeight="251664896" behindDoc="0" locked="0" layoutInCell="1" allowOverlap="1" wp14:anchorId="473305BF" wp14:editId="265E8682">
                    <wp:simplePos x="0" y="0"/>
                    <wp:positionH relativeFrom="margin">
                      <wp:posOffset>-690562</wp:posOffset>
                    </wp:positionH>
                    <wp:positionV relativeFrom="page">
                      <wp:align>top</wp:align>
                    </wp:positionV>
                    <wp:extent cx="7315200" cy="957263"/>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95726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7620111" id="Group 157" o:spid="_x0000_s1026" style="position:absolute;margin-left:-54.35pt;margin-top:0;width:8in;height:75.4pt;z-index:251664896;mso-width-percent:941;mso-position-horizontal-relative:margin;mso-position-vertical:top;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cbTrneAAAACgEAAA8AAABkcnMvZG93&#10;bnJldi54bWxMj8FOwzAQRO9I/IO1SNxauxTaKI1TVQi4VAhR+AA33joR8TqK3ST9e7YnuO1oRrNv&#10;iu3kWzFgH5tAGhZzBQKpCrYhp+H763WWgYjJkDVtINRwwQjb8vamMLkNI33icEhOcAnF3GioU+py&#10;KWNVozdxHjok9k6h9yax7J20vRm53LfyQamV9KYh/lCbDp9rrH4OZ6/BXWS/TlX4GPZv48ru9uP7&#10;8OK0vr+bdhsQCaf0F4YrPqNDyUzHcCYbRathtlDZmrMaeNLVV4/LJYgjX08qA1kW8v+E8hc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CSthYhgwUAAH0bAAAOAAAA&#10;AAAAAAAAAAAAADoCAABkcnMvZTJvRG9jLnhtbFBLAQItAAoAAAAAAAAAIQCbGxQRaGQAAGhkAAAU&#10;AAAAAAAAAAAAAAAAAOkHAABkcnMvbWVkaWEvaW1hZ2UxLnBuZ1BLAQItABQABgAIAAAAIQD3G065&#10;3gAAAAoBAAAPAAAAAAAAAAAAAAAAAIN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margin" anchory="page"/>
                  </v:group>
                </w:pict>
              </mc:Fallback>
            </mc:AlternateContent>
          </w:r>
          <w:r>
            <w:rPr>
              <w:rFonts w:ascii="Arial" w:hAnsi="Arial" w:cs="Arial"/>
              <w:noProof/>
            </w:rPr>
            <w:drawing>
              <wp:inline distT="0" distB="0" distL="0" distR="0" wp14:anchorId="5DF620AA" wp14:editId="06026009">
                <wp:extent cx="1928982" cy="923290"/>
                <wp:effectExtent l="0" t="0" r="0" b="0"/>
                <wp:docPr id="171743472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rcRect/>
                        <a:stretch>
                          <a:fillRect/>
                        </a:stretch>
                      </pic:blipFill>
                      <pic:spPr>
                        <a:xfrm>
                          <a:off x="0" y="0"/>
                          <a:ext cx="2059173" cy="985605"/>
                        </a:xfrm>
                        <a:prstGeom prst="rect">
                          <a:avLst/>
                        </a:prstGeom>
                        <a:noFill/>
                        <a:ln>
                          <a:noFill/>
                          <a:prstDash/>
                        </a:ln>
                      </pic:spPr>
                    </pic:pic>
                  </a:graphicData>
                </a:graphic>
              </wp:inline>
            </w:drawing>
          </w:r>
          <w:r w:rsidR="000079E1">
            <w:rPr>
              <w:noProof/>
            </w:rPr>
            <mc:AlternateContent>
              <mc:Choice Requires="wps">
                <w:drawing>
                  <wp:anchor distT="0" distB="0" distL="114300" distR="114300" simplePos="0" relativeHeight="251655680" behindDoc="0" locked="0" layoutInCell="1" allowOverlap="1" wp14:anchorId="6DBFA608" wp14:editId="197DCD7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549ADE" w14:textId="7E1106A5" w:rsidR="000079E1" w:rsidRDefault="000079E1">
                                    <w:pPr>
                                      <w:pStyle w:val="NoSpacing"/>
                                      <w:jc w:val="right"/>
                                      <w:rPr>
                                        <w:color w:val="595959" w:themeColor="text1" w:themeTint="A6"/>
                                        <w:sz w:val="28"/>
                                        <w:szCs w:val="28"/>
                                      </w:rPr>
                                    </w:pPr>
                                    <w:r>
                                      <w:rPr>
                                        <w:color w:val="595959" w:themeColor="text1" w:themeTint="A6"/>
                                        <w:sz w:val="28"/>
                                        <w:szCs w:val="28"/>
                                      </w:rPr>
                                      <w:t>Catherine Tambot Catacutan (2530824)</w:t>
                                    </w:r>
                                  </w:p>
                                </w:sdtContent>
                              </w:sdt>
                              <w:p w14:paraId="6FC6265D" w14:textId="5F413FBE" w:rsidR="000079E1" w:rsidRDefault="008F255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079E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BFA608" id="_x0000_t202" coordsize="21600,21600" o:spt="202" path="m,l,21600r21600,l21600,xe">
                    <v:stroke joinstyle="miter"/>
                    <v:path gradientshapeok="t" o:connecttype="rect"/>
                  </v:shapetype>
                  <v:shape id="Text Box 159" o:spid="_x0000_s1026" type="#_x0000_t202" style="position:absolute;margin-left:0;margin-top:0;width:8in;height:1in;z-index:2516556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3549ADE" w14:textId="7E1106A5" w:rsidR="000079E1" w:rsidRDefault="000079E1">
                              <w:pPr>
                                <w:pStyle w:val="NoSpacing"/>
                                <w:jc w:val="right"/>
                                <w:rPr>
                                  <w:color w:val="595959" w:themeColor="text1" w:themeTint="A6"/>
                                  <w:sz w:val="28"/>
                                  <w:szCs w:val="28"/>
                                </w:rPr>
                              </w:pPr>
                              <w:r>
                                <w:rPr>
                                  <w:color w:val="595959" w:themeColor="text1" w:themeTint="A6"/>
                                  <w:sz w:val="28"/>
                                  <w:szCs w:val="28"/>
                                </w:rPr>
                                <w:t>Catherine Tambot Catacutan (2530824)</w:t>
                              </w:r>
                            </w:p>
                          </w:sdtContent>
                        </w:sdt>
                        <w:p w14:paraId="6FC6265D" w14:textId="5F413FBE" w:rsidR="000079E1" w:rsidRDefault="008F255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0079E1">
                                <w:rPr>
                                  <w:color w:val="595959" w:themeColor="text1" w:themeTint="A6"/>
                                  <w:sz w:val="18"/>
                                  <w:szCs w:val="18"/>
                                </w:rPr>
                                <w:t xml:space="preserve">     </w:t>
                              </w:r>
                            </w:sdtContent>
                          </w:sdt>
                        </w:p>
                      </w:txbxContent>
                    </v:textbox>
                    <w10:wrap type="square" anchorx="page" anchory="page"/>
                  </v:shape>
                </w:pict>
              </mc:Fallback>
            </mc:AlternateContent>
          </w:r>
          <w:r w:rsidR="000079E1">
            <w:rPr>
              <w:noProof/>
            </w:rPr>
            <mc:AlternateContent>
              <mc:Choice Requires="wps">
                <w:drawing>
                  <wp:anchor distT="0" distB="0" distL="114300" distR="114300" simplePos="0" relativeHeight="251658752" behindDoc="0" locked="0" layoutInCell="1" allowOverlap="1" wp14:anchorId="0E2EDCC9" wp14:editId="36D8B44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17903E" w14:textId="46D10D51" w:rsidR="000079E1" w:rsidRDefault="000079E1">
                                <w:pPr>
                                  <w:pStyle w:val="NoSpacing"/>
                                  <w:jc w:val="right"/>
                                  <w:rPr>
                                    <w:color w:val="156082" w:themeColor="accent1"/>
                                    <w:sz w:val="28"/>
                                    <w:szCs w:val="28"/>
                                  </w:rPr>
                                </w:pPr>
                                <w:r>
                                  <w:rPr>
                                    <w:color w:val="156082" w:themeColor="accent1"/>
                                    <w:sz w:val="28"/>
                                    <w:szCs w:val="28"/>
                                  </w:rPr>
                                  <w:t>MUHAMMAD ALIYU</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80570FD" w14:textId="0FAE80E2" w:rsidR="000079E1" w:rsidRDefault="000079E1" w:rsidP="000079E1">
                                    <w:pPr>
                                      <w:pStyle w:val="NoSpacing"/>
                                      <w:spacing w:line="360" w:lineRule="auto"/>
                                      <w:jc w:val="right"/>
                                      <w:rPr>
                                        <w:color w:val="595959" w:themeColor="text1" w:themeTint="A6"/>
                                        <w:sz w:val="20"/>
                                        <w:szCs w:val="20"/>
                                      </w:rPr>
                                    </w:pPr>
                                    <w:r>
                                      <w:rPr>
                                        <w:color w:val="595959" w:themeColor="text1" w:themeTint="A6"/>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2EDCC9" id="Text Box 161" o:spid="_x0000_s1027"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17903E" w14:textId="46D10D51" w:rsidR="000079E1" w:rsidRDefault="000079E1">
                          <w:pPr>
                            <w:pStyle w:val="NoSpacing"/>
                            <w:jc w:val="right"/>
                            <w:rPr>
                              <w:color w:val="156082" w:themeColor="accent1"/>
                              <w:sz w:val="28"/>
                              <w:szCs w:val="28"/>
                            </w:rPr>
                          </w:pPr>
                          <w:r>
                            <w:rPr>
                              <w:color w:val="156082" w:themeColor="accent1"/>
                              <w:sz w:val="28"/>
                              <w:szCs w:val="28"/>
                            </w:rPr>
                            <w:t>MUHAMMAD ALIYU</w:t>
                          </w:r>
                        </w:p>
                        <w:sdt>
                          <w:sdtPr>
                            <w:rPr>
                              <w:color w:val="595959" w:themeColor="text1" w:themeTint="A6"/>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80570FD" w14:textId="0FAE80E2" w:rsidR="000079E1" w:rsidRDefault="000079E1" w:rsidP="000079E1">
                              <w:pPr>
                                <w:pStyle w:val="NoSpacing"/>
                                <w:spacing w:line="360" w:lineRule="auto"/>
                                <w:jc w:val="right"/>
                                <w:rPr>
                                  <w:color w:val="595959" w:themeColor="text1" w:themeTint="A6"/>
                                  <w:sz w:val="20"/>
                                  <w:szCs w:val="20"/>
                                </w:rPr>
                              </w:pPr>
                              <w:r>
                                <w:rPr>
                                  <w:color w:val="595959" w:themeColor="text1" w:themeTint="A6"/>
                                </w:rPr>
                                <w:t xml:space="preserve">     </w:t>
                              </w:r>
                            </w:p>
                          </w:sdtContent>
                        </w:sdt>
                      </w:txbxContent>
                    </v:textbox>
                    <w10:wrap type="square" anchorx="page" anchory="page"/>
                  </v:shape>
                </w:pict>
              </mc:Fallback>
            </mc:AlternateContent>
          </w:r>
          <w:r w:rsidR="000079E1">
            <w:rPr>
              <w:noProof/>
            </w:rPr>
            <mc:AlternateContent>
              <mc:Choice Requires="wps">
                <w:drawing>
                  <wp:anchor distT="0" distB="0" distL="114300" distR="114300" simplePos="0" relativeHeight="251652608" behindDoc="0" locked="0" layoutInCell="1" allowOverlap="1" wp14:anchorId="3289F166" wp14:editId="70FEA07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07F5E3" w14:textId="07D1C92E" w:rsidR="000079E1" w:rsidRDefault="008F2553" w:rsidP="000079E1">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79E1">
                                      <w:rPr>
                                        <w:caps/>
                                        <w:color w:val="156082" w:themeColor="accent1"/>
                                        <w:sz w:val="64"/>
                                        <w:szCs w:val="64"/>
                                      </w:rPr>
                                      <w:t>INTRODUCTION TO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70F02A" w14:textId="6764C171" w:rsidR="000079E1" w:rsidRDefault="000079E1">
                                    <w:pPr>
                                      <w:jc w:val="right"/>
                                      <w:rPr>
                                        <w:smallCaps/>
                                        <w:color w:val="404040" w:themeColor="text1" w:themeTint="BF"/>
                                        <w:sz w:val="36"/>
                                        <w:szCs w:val="36"/>
                                      </w:rPr>
                                    </w:pPr>
                                    <w:r>
                                      <w:rPr>
                                        <w:color w:val="404040" w:themeColor="text1" w:themeTint="BF"/>
                                        <w:sz w:val="36"/>
                                        <w:szCs w:val="36"/>
                                      </w:rPr>
                                      <w:t>LCHS4003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289F166" id="Text Box 163" o:spid="_x0000_s1028"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907F5E3" w14:textId="07D1C92E" w:rsidR="000079E1" w:rsidRDefault="008F2553" w:rsidP="000079E1">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079E1">
                                <w:rPr>
                                  <w:caps/>
                                  <w:color w:val="156082" w:themeColor="accent1"/>
                                  <w:sz w:val="64"/>
                                  <w:szCs w:val="64"/>
                                </w:rPr>
                                <w:t>INTRODUCTION TO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170F02A" w14:textId="6764C171" w:rsidR="000079E1" w:rsidRDefault="000079E1">
                              <w:pPr>
                                <w:jc w:val="right"/>
                                <w:rPr>
                                  <w:smallCaps/>
                                  <w:color w:val="404040" w:themeColor="text1" w:themeTint="BF"/>
                                  <w:sz w:val="36"/>
                                  <w:szCs w:val="36"/>
                                </w:rPr>
                              </w:pPr>
                              <w:r>
                                <w:rPr>
                                  <w:color w:val="404040" w:themeColor="text1" w:themeTint="BF"/>
                                  <w:sz w:val="36"/>
                                  <w:szCs w:val="36"/>
                                </w:rPr>
                                <w:t>LCHS4003</w:t>
                              </w:r>
                            </w:p>
                          </w:sdtContent>
                        </w:sdt>
                      </w:txbxContent>
                    </v:textbox>
                    <w10:wrap type="square" anchorx="page" anchory="page"/>
                  </v:shape>
                </w:pict>
              </mc:Fallback>
            </mc:AlternateContent>
          </w:r>
        </w:p>
        <w:p w14:paraId="411D8C0D" w14:textId="77777777" w:rsidR="00ED14FA" w:rsidRDefault="000079E1" w:rsidP="0005592C">
          <w:pPr>
            <w:spacing w:line="360" w:lineRule="auto"/>
            <w:rPr>
              <w:rFonts w:ascii="Arial" w:hAnsi="Arial" w:cs="Arial"/>
              <w:b/>
              <w:bCs/>
              <w:sz w:val="22"/>
              <w:szCs w:val="22"/>
            </w:rPr>
          </w:pPr>
          <w:r>
            <w:rPr>
              <w:sz w:val="22"/>
              <w:szCs w:val="22"/>
            </w:rPr>
            <w:br w:type="page"/>
          </w:r>
          <w:r w:rsidR="002903D7">
            <w:rPr>
              <w:rFonts w:ascii="Arial" w:hAnsi="Arial" w:cs="Arial"/>
              <w:b/>
              <w:bCs/>
              <w:sz w:val="22"/>
              <w:szCs w:val="22"/>
            </w:rPr>
            <w:lastRenderedPageBreak/>
            <w:t>TABLE OF CONTENT</w:t>
          </w:r>
          <w:r w:rsidR="00ED14FA">
            <w:rPr>
              <w:rFonts w:ascii="Arial" w:hAnsi="Arial" w:cs="Arial"/>
              <w:b/>
              <w:bCs/>
              <w:sz w:val="22"/>
              <w:szCs w:val="22"/>
            </w:rPr>
            <w:t>:</w:t>
          </w:r>
        </w:p>
        <w:p w14:paraId="54CBFF94" w14:textId="474CAFA4" w:rsidR="0060213E" w:rsidRDefault="0060213E" w:rsidP="0005592C">
          <w:pPr>
            <w:spacing w:line="360" w:lineRule="auto"/>
            <w:rPr>
              <w:rFonts w:ascii="Arial" w:hAnsi="Arial" w:cs="Arial"/>
              <w:b/>
              <w:bCs/>
              <w:sz w:val="22"/>
              <w:szCs w:val="22"/>
            </w:rPr>
          </w:pPr>
          <w:r>
            <w:rPr>
              <w:rFonts w:ascii="Arial" w:hAnsi="Arial" w:cs="Arial"/>
              <w:b/>
              <w:bCs/>
              <w:sz w:val="22"/>
              <w:szCs w:val="22"/>
            </w:rPr>
            <w:t>Introduction</w:t>
          </w:r>
          <w:r w:rsidR="008346CB">
            <w:rPr>
              <w:rFonts w:ascii="Arial" w:hAnsi="Arial" w:cs="Arial"/>
              <w:b/>
              <w:bCs/>
              <w:sz w:val="22"/>
              <w:szCs w:val="22"/>
            </w:rPr>
            <w:t xml:space="preserve"> ………………………………………………………………………………</w:t>
          </w:r>
          <w:r w:rsidR="000073AF">
            <w:rPr>
              <w:rFonts w:ascii="Arial" w:hAnsi="Arial" w:cs="Arial"/>
              <w:b/>
              <w:bCs/>
              <w:sz w:val="22"/>
              <w:szCs w:val="22"/>
            </w:rPr>
            <w:t>.</w:t>
          </w:r>
          <w:r w:rsidR="00B42797">
            <w:rPr>
              <w:rFonts w:ascii="Arial" w:hAnsi="Arial" w:cs="Arial"/>
              <w:b/>
              <w:bCs/>
              <w:sz w:val="22"/>
              <w:szCs w:val="22"/>
            </w:rPr>
            <w:t xml:space="preserve"> </w:t>
          </w:r>
          <w:r w:rsidR="008346CB">
            <w:rPr>
              <w:rFonts w:ascii="Arial" w:hAnsi="Arial" w:cs="Arial"/>
              <w:b/>
              <w:bCs/>
              <w:sz w:val="22"/>
              <w:szCs w:val="22"/>
            </w:rPr>
            <w:t>pg.</w:t>
          </w:r>
          <w:r w:rsidR="008D117A">
            <w:rPr>
              <w:rFonts w:ascii="Arial" w:hAnsi="Arial" w:cs="Arial"/>
              <w:b/>
              <w:bCs/>
              <w:sz w:val="22"/>
              <w:szCs w:val="22"/>
            </w:rPr>
            <w:t>2</w:t>
          </w:r>
        </w:p>
        <w:p w14:paraId="206C7EF1" w14:textId="0E9291A1" w:rsidR="00502129" w:rsidRDefault="00502129" w:rsidP="0005592C">
          <w:pPr>
            <w:spacing w:line="360" w:lineRule="auto"/>
            <w:rPr>
              <w:rFonts w:ascii="Arial" w:hAnsi="Arial" w:cs="Arial"/>
              <w:b/>
              <w:bCs/>
              <w:sz w:val="22"/>
              <w:szCs w:val="22"/>
            </w:rPr>
          </w:pPr>
          <w:r w:rsidRPr="000079E1">
            <w:rPr>
              <w:rFonts w:ascii="Arial" w:hAnsi="Arial" w:cs="Arial"/>
              <w:b/>
              <w:bCs/>
              <w:sz w:val="22"/>
              <w:szCs w:val="22"/>
            </w:rPr>
            <w:t>Importance of Effective Communication</w:t>
          </w:r>
          <w:r w:rsidR="00EF13E3">
            <w:rPr>
              <w:rFonts w:ascii="Arial" w:hAnsi="Arial" w:cs="Arial"/>
              <w:b/>
              <w:bCs/>
              <w:sz w:val="22"/>
              <w:szCs w:val="22"/>
            </w:rPr>
            <w:t xml:space="preserve"> ……………………………………………</w:t>
          </w:r>
          <w:r w:rsidR="00F00D41">
            <w:rPr>
              <w:rFonts w:ascii="Arial" w:hAnsi="Arial" w:cs="Arial"/>
              <w:b/>
              <w:bCs/>
              <w:sz w:val="22"/>
              <w:szCs w:val="22"/>
            </w:rPr>
            <w:t>.</w:t>
          </w:r>
          <w:r w:rsidR="00EF13E3">
            <w:rPr>
              <w:rFonts w:ascii="Arial" w:hAnsi="Arial" w:cs="Arial"/>
              <w:b/>
              <w:bCs/>
              <w:sz w:val="22"/>
              <w:szCs w:val="22"/>
            </w:rPr>
            <w:t xml:space="preserve"> pg.</w:t>
          </w:r>
          <w:r w:rsidR="008D117A">
            <w:rPr>
              <w:rFonts w:ascii="Arial" w:hAnsi="Arial" w:cs="Arial"/>
              <w:b/>
              <w:bCs/>
              <w:sz w:val="22"/>
              <w:szCs w:val="22"/>
            </w:rPr>
            <w:t>2</w:t>
          </w:r>
        </w:p>
        <w:p w14:paraId="444A3B7E" w14:textId="1EBE2548" w:rsidR="00C94BA7" w:rsidRDefault="00C94BA7" w:rsidP="0005592C">
          <w:pPr>
            <w:spacing w:line="360" w:lineRule="auto"/>
            <w:rPr>
              <w:rFonts w:ascii="Arial" w:hAnsi="Arial" w:cs="Arial"/>
              <w:b/>
              <w:bCs/>
              <w:sz w:val="22"/>
              <w:szCs w:val="22"/>
            </w:rPr>
          </w:pPr>
          <w:r w:rsidRPr="000079E1">
            <w:rPr>
              <w:rFonts w:ascii="Arial" w:hAnsi="Arial" w:cs="Arial"/>
              <w:b/>
              <w:bCs/>
              <w:sz w:val="22"/>
              <w:szCs w:val="22"/>
            </w:rPr>
            <w:t>Importance of Good Administrative Skills Within Professional Practic</w:t>
          </w:r>
          <w:r w:rsidR="008D117A">
            <w:rPr>
              <w:rFonts w:ascii="Arial" w:hAnsi="Arial" w:cs="Arial"/>
              <w:b/>
              <w:bCs/>
              <w:sz w:val="22"/>
              <w:szCs w:val="22"/>
            </w:rPr>
            <w:t>e ……... pg.4</w:t>
          </w:r>
        </w:p>
        <w:p w14:paraId="067BB768" w14:textId="5024451A" w:rsidR="00AB3D39" w:rsidRDefault="00AB3D39" w:rsidP="0005592C">
          <w:pPr>
            <w:spacing w:line="360" w:lineRule="auto"/>
            <w:rPr>
              <w:rFonts w:ascii="Arial" w:hAnsi="Arial" w:cs="Arial"/>
              <w:b/>
              <w:bCs/>
              <w:sz w:val="22"/>
              <w:szCs w:val="22"/>
            </w:rPr>
          </w:pPr>
          <w:r w:rsidRPr="000079E1">
            <w:rPr>
              <w:rFonts w:ascii="Arial" w:hAnsi="Arial" w:cs="Arial"/>
              <w:b/>
              <w:bCs/>
              <w:sz w:val="22"/>
              <w:szCs w:val="22"/>
            </w:rPr>
            <w:t>Importance of Collaborative Working in Mrs Thompson's Car</w:t>
          </w:r>
          <w:r w:rsidR="0038652E">
            <w:rPr>
              <w:rFonts w:ascii="Arial" w:hAnsi="Arial" w:cs="Arial"/>
              <w:b/>
              <w:bCs/>
              <w:sz w:val="22"/>
              <w:szCs w:val="22"/>
            </w:rPr>
            <w:t>e ………………... pg.5</w:t>
          </w:r>
        </w:p>
        <w:p w14:paraId="687171FC" w14:textId="756F8FE2" w:rsidR="00872738" w:rsidRDefault="00872738" w:rsidP="0005592C">
          <w:pPr>
            <w:spacing w:line="360" w:lineRule="auto"/>
            <w:rPr>
              <w:rFonts w:ascii="Arial" w:hAnsi="Arial" w:cs="Arial"/>
              <w:b/>
              <w:bCs/>
              <w:sz w:val="22"/>
              <w:szCs w:val="22"/>
            </w:rPr>
          </w:pPr>
          <w:r w:rsidRPr="000079E1">
            <w:rPr>
              <w:rFonts w:ascii="Arial" w:hAnsi="Arial" w:cs="Arial"/>
              <w:b/>
              <w:bCs/>
              <w:sz w:val="22"/>
              <w:szCs w:val="22"/>
            </w:rPr>
            <w:t>Conclusio</w:t>
          </w:r>
          <w:r>
            <w:rPr>
              <w:rFonts w:ascii="Arial" w:hAnsi="Arial" w:cs="Arial"/>
              <w:b/>
              <w:bCs/>
              <w:sz w:val="22"/>
              <w:szCs w:val="22"/>
            </w:rPr>
            <w:t>n ………………………………………………………………………………... pg.6</w:t>
          </w:r>
        </w:p>
        <w:p w14:paraId="1887022E" w14:textId="4BF4514A" w:rsidR="00A16C37" w:rsidRDefault="00A16C37" w:rsidP="0005592C">
          <w:pPr>
            <w:spacing w:line="360" w:lineRule="auto"/>
            <w:rPr>
              <w:rFonts w:ascii="Arial" w:hAnsi="Arial" w:cs="Arial"/>
              <w:b/>
              <w:bCs/>
              <w:sz w:val="22"/>
              <w:szCs w:val="22"/>
            </w:rPr>
          </w:pPr>
          <w:r w:rsidRPr="000079E1">
            <w:rPr>
              <w:rFonts w:ascii="Arial" w:hAnsi="Arial" w:cs="Arial"/>
              <w:b/>
              <w:bCs/>
              <w:sz w:val="22"/>
              <w:szCs w:val="22"/>
            </w:rPr>
            <w:t>Reference List</w:t>
          </w:r>
          <w:r w:rsidR="00A44AA3">
            <w:rPr>
              <w:rFonts w:ascii="Arial" w:hAnsi="Arial" w:cs="Arial"/>
              <w:b/>
              <w:bCs/>
              <w:sz w:val="22"/>
              <w:szCs w:val="22"/>
            </w:rPr>
            <w:t xml:space="preserve"> …………………………………………………………………………….</w:t>
          </w:r>
          <w:r w:rsidR="00B649C2">
            <w:rPr>
              <w:rFonts w:ascii="Arial" w:hAnsi="Arial" w:cs="Arial"/>
              <w:b/>
              <w:bCs/>
              <w:sz w:val="22"/>
              <w:szCs w:val="22"/>
            </w:rPr>
            <w:t xml:space="preserve"> P</w:t>
          </w:r>
          <w:r w:rsidR="00A44AA3">
            <w:rPr>
              <w:rFonts w:ascii="Arial" w:hAnsi="Arial" w:cs="Arial"/>
              <w:b/>
              <w:bCs/>
              <w:sz w:val="22"/>
              <w:szCs w:val="22"/>
            </w:rPr>
            <w:t>g</w:t>
          </w:r>
          <w:r w:rsidR="00B649C2">
            <w:rPr>
              <w:rFonts w:ascii="Arial" w:hAnsi="Arial" w:cs="Arial"/>
              <w:b/>
              <w:bCs/>
              <w:sz w:val="22"/>
              <w:szCs w:val="22"/>
            </w:rPr>
            <w:t>.7</w:t>
          </w:r>
        </w:p>
        <w:p w14:paraId="2D1E33A2" w14:textId="77777777" w:rsidR="008D117A" w:rsidRDefault="008D117A" w:rsidP="0005592C">
          <w:pPr>
            <w:spacing w:line="360" w:lineRule="auto"/>
            <w:rPr>
              <w:rFonts w:ascii="Arial" w:hAnsi="Arial" w:cs="Arial"/>
              <w:b/>
              <w:bCs/>
              <w:sz w:val="22"/>
              <w:szCs w:val="22"/>
            </w:rPr>
          </w:pPr>
        </w:p>
        <w:p w14:paraId="260867A5" w14:textId="77777777" w:rsidR="003720B2" w:rsidRDefault="003720B2" w:rsidP="0005592C">
          <w:pPr>
            <w:spacing w:line="360" w:lineRule="auto"/>
            <w:rPr>
              <w:rFonts w:ascii="Arial" w:hAnsi="Arial" w:cs="Arial"/>
              <w:b/>
              <w:bCs/>
              <w:sz w:val="22"/>
              <w:szCs w:val="22"/>
            </w:rPr>
          </w:pPr>
        </w:p>
        <w:p w14:paraId="5C3F40C8" w14:textId="77777777" w:rsidR="00B42797" w:rsidRDefault="00B42797" w:rsidP="0005592C">
          <w:pPr>
            <w:spacing w:line="360" w:lineRule="auto"/>
            <w:rPr>
              <w:rFonts w:ascii="Arial" w:hAnsi="Arial" w:cs="Arial"/>
              <w:b/>
              <w:bCs/>
              <w:sz w:val="22"/>
              <w:szCs w:val="22"/>
            </w:rPr>
          </w:pPr>
        </w:p>
        <w:p w14:paraId="1C713F50" w14:textId="224FE14D" w:rsidR="00247FAE" w:rsidRPr="0005592C" w:rsidRDefault="00247FAE" w:rsidP="0005592C">
          <w:pPr>
            <w:spacing w:line="360" w:lineRule="auto"/>
            <w:rPr>
              <w:rFonts w:ascii="Arial" w:hAnsi="Arial" w:cs="Arial"/>
              <w:sz w:val="22"/>
              <w:szCs w:val="22"/>
            </w:rPr>
          </w:pPr>
          <w:r>
            <w:rPr>
              <w:sz w:val="22"/>
              <w:szCs w:val="22"/>
            </w:rPr>
            <w:br w:type="page"/>
          </w:r>
        </w:p>
        <w:p w14:paraId="2FE0E17B" w14:textId="77777777" w:rsidR="00B25F6A" w:rsidRDefault="00B25F6A">
          <w:pPr>
            <w:rPr>
              <w:sz w:val="22"/>
              <w:szCs w:val="22"/>
            </w:rPr>
          </w:pPr>
        </w:p>
        <w:p w14:paraId="0C9194B1" w14:textId="060F8516" w:rsidR="000079E1" w:rsidRDefault="008F2553" w:rsidP="00B25F6A">
          <w:pPr>
            <w:spacing w:line="360" w:lineRule="auto"/>
            <w:rPr>
              <w:sz w:val="22"/>
              <w:szCs w:val="22"/>
            </w:rPr>
          </w:pPr>
        </w:p>
      </w:sdtContent>
    </w:sdt>
    <w:p w14:paraId="40C54FDB" w14:textId="77777777"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t>Communication, Administration and Collaborative Working in the Care of Mrs Thompson</w:t>
      </w:r>
    </w:p>
    <w:p w14:paraId="6C955B53" w14:textId="516C263E"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t xml:space="preserve">Introduction </w:t>
      </w:r>
    </w:p>
    <w:p w14:paraId="38DD6608"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Mrs Thompson is an 84-year-old woman living alone in sheltered accommodation following discharge from hospital after treatment for pneumonia. She receives domiciliary care twice daily and has mild dementia, which affects her memory and ability to manage medication independently. Recent incidents involving missed medication and unsafe wandering outdoors without appropriate clothing have raised concerns regarding her wellbeing, safety, and ongoing care needs. The missed medication resulted in increased confusion and prompted a medication review through the service's incident reporting procedures. Furthermore, concerns regarding her safety have been escalated to the local council for further investigation.</w:t>
      </w:r>
    </w:p>
    <w:p w14:paraId="20A00385"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This case highlights several key areas of health and social care practice, including effective communication, accurate administration and record keeping, and collaborative multi-agency working. These aspects are essential for ensuring person-centred care, safeguarding vulnerable adults, promoting independence, and maintaining high standards of professional practice. This report examines these areas within the context of Mrs Thompson's care while drawing upon relevant legislation, policy frameworks, and academic literature.</w:t>
      </w:r>
    </w:p>
    <w:p w14:paraId="35B3CB27" w14:textId="77777777" w:rsidR="000079E1" w:rsidRPr="000079E1" w:rsidRDefault="008F2553" w:rsidP="000079E1">
      <w:pPr>
        <w:spacing w:line="360" w:lineRule="auto"/>
        <w:rPr>
          <w:rFonts w:ascii="Arial" w:hAnsi="Arial" w:cs="Arial"/>
          <w:sz w:val="22"/>
          <w:szCs w:val="22"/>
        </w:rPr>
      </w:pPr>
      <w:r>
        <w:rPr>
          <w:rFonts w:ascii="Arial" w:hAnsi="Arial" w:cs="Arial"/>
          <w:sz w:val="22"/>
          <w:szCs w:val="22"/>
        </w:rPr>
        <w:pict w14:anchorId="2EC3DB46">
          <v:rect id="_x0000_i1025" style="width:0;height:1.5pt" o:hralign="center" o:hrstd="t" o:hr="t" fillcolor="#a0a0a0" stroked="f"/>
        </w:pict>
      </w:r>
    </w:p>
    <w:p w14:paraId="4D8555BC" w14:textId="4021CD2E"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t xml:space="preserve">1. Importance of Effective Communication in Mrs Thompson's Care </w:t>
      </w:r>
    </w:p>
    <w:p w14:paraId="0F36DA7A"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Effective communication is fundamental to delivering safe, person-centred care, particularly for older adults living with dementia. Communication enables professionals to understand an individual's needs, preferences, concerns, and wishes while supporting informed decision-making and promoting dignity (NICE, 2018).</w:t>
      </w:r>
    </w:p>
    <w:p w14:paraId="4668313E"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In Mrs Thompson's case, communication is particularly important because mild dementia may affect her memory, understanding, and ability to recall information. Care workers should therefore communicate clearly, using simple language, short sentences, and appropriate non-verbal communication such as eye contact and reassuring body language. Information about medication should be repeated when necessary and supported through reminders, written prompts, or medication administration records.</w:t>
      </w:r>
    </w:p>
    <w:p w14:paraId="2635F6D6"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lastRenderedPageBreak/>
        <w:t>Communication with family members is equally important. Families often possess detailed knowledge about a service user's routines, behaviours, and preferences. Obtaining information from relatives can help professionals identify changes in Mrs Thompson's condition and support appropriate interventions. However, practitioners must balance family involvement with Mrs Thompson's right to confidentiality and autonomy, ensuring information is only shared appropriately and with consent where possible.</w:t>
      </w:r>
    </w:p>
    <w:p w14:paraId="7F4B2503" w14:textId="76842106"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The Equality Act 2010 provides an important framework for communication within health and social care settings. The Act protects individuals from discrimination based on protected characteristics, including age and disability. Dementia may be recognised as a disability under the Act, meaning care providers have a duty to make reasonable adjustments to ensure Mrs Thompson can access services effectively and participate fully in decisions about her care. The legislation also emphasises dignity, inclusion, equal treatment, and respect for individual differences. Care staff should therefore adapt communication methods to meet her cognitive needs and avoid assumptions based solely on age or disability.</w:t>
      </w:r>
    </w:p>
    <w:p w14:paraId="00D7E9EA"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One useful communication model applicable to this case is the </w:t>
      </w:r>
      <w:r w:rsidRPr="000079E1">
        <w:rPr>
          <w:rFonts w:ascii="Arial" w:hAnsi="Arial" w:cs="Arial"/>
          <w:b/>
          <w:bCs/>
          <w:sz w:val="22"/>
          <w:szCs w:val="22"/>
        </w:rPr>
        <w:t>Transactional Model of Communication</w:t>
      </w:r>
      <w:r w:rsidRPr="000079E1">
        <w:rPr>
          <w:rFonts w:ascii="Arial" w:hAnsi="Arial" w:cs="Arial"/>
          <w:sz w:val="22"/>
          <w:szCs w:val="22"/>
        </w:rPr>
        <w:t xml:space="preserve"> (</w:t>
      </w:r>
      <w:proofErr w:type="spellStart"/>
      <w:r w:rsidRPr="000079E1">
        <w:rPr>
          <w:rFonts w:ascii="Arial" w:hAnsi="Arial" w:cs="Arial"/>
          <w:sz w:val="22"/>
          <w:szCs w:val="22"/>
        </w:rPr>
        <w:t>Barnlund</w:t>
      </w:r>
      <w:proofErr w:type="spellEnd"/>
      <w:r w:rsidRPr="000079E1">
        <w:rPr>
          <w:rFonts w:ascii="Arial" w:hAnsi="Arial" w:cs="Arial"/>
          <w:sz w:val="22"/>
          <w:szCs w:val="22"/>
        </w:rPr>
        <w:t>, 2008). This model views communication as a two-way process in which both individuals simultaneously send and receive messages. The model recognises that communication is influenced by personal experiences, emotions, environmental factors, and feedback.</w:t>
      </w:r>
    </w:p>
    <w:p w14:paraId="7635795E"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Applying the transactional model to Mrs Thompson's care highlights the importance of active listening and observation. For example, a domiciliary care worker discussing medication adherence should not simply deliver instructions but should assess Mrs Thompson's understanding through feedback and clarification. Non-verbal cues such as confusion, anxiety, or uncertainty may indicate that information has not been fully understood. Similarly, care workers should create a calm environment free from distractions to reduce communication barriers associated with dementia.</w:t>
      </w:r>
    </w:p>
    <w:p w14:paraId="7C7DF04D"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Effective communication also contributes to safeguarding. Care staff must communicate concerns promptly through appropriate reporting channels when risks arise, such as medication omissions or wandering behaviour. Timely and accurate communication between professionals, service users, and family members promotes coordinated interventions and reduces the likelihood of harm.</w:t>
      </w:r>
    </w:p>
    <w:p w14:paraId="0678A79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Overall, effective communication supports safety, dignity, equality, and person-centred care while enabling Mrs Thompson to remain as independent as possible.</w:t>
      </w:r>
    </w:p>
    <w:p w14:paraId="5DC2422A" w14:textId="77777777" w:rsidR="000079E1" w:rsidRPr="000079E1" w:rsidRDefault="008F2553" w:rsidP="000079E1">
      <w:pPr>
        <w:spacing w:line="360" w:lineRule="auto"/>
        <w:rPr>
          <w:rFonts w:ascii="Arial" w:hAnsi="Arial" w:cs="Arial"/>
          <w:sz w:val="22"/>
          <w:szCs w:val="22"/>
        </w:rPr>
      </w:pPr>
      <w:r>
        <w:rPr>
          <w:rFonts w:ascii="Arial" w:hAnsi="Arial" w:cs="Arial"/>
          <w:sz w:val="22"/>
          <w:szCs w:val="22"/>
        </w:rPr>
        <w:pict w14:anchorId="2ABFCF7E">
          <v:rect id="_x0000_i1026" style="width:0;height:1.5pt" o:hralign="center" o:hrstd="t" o:hr="t" fillcolor="#a0a0a0" stroked="f"/>
        </w:pict>
      </w:r>
    </w:p>
    <w:p w14:paraId="00713E32" w14:textId="38D40AC3"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lastRenderedPageBreak/>
        <w:t xml:space="preserve">2. Importance of Good Administrative Skills Within Professional Practice </w:t>
      </w:r>
    </w:p>
    <w:p w14:paraId="136BBE16"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Good administrative skills are essential within health and social care practice because they contribute directly to the delivery of safe, accountable, and high-quality care. In Mrs Thompson's case, effective administration is particularly important due to concerns regarding medication management, safeguarding risks, and the involvement of multiple agencies.</w:t>
      </w:r>
    </w:p>
    <w:p w14:paraId="27681522"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A key aspect of administration is </w:t>
      </w:r>
      <w:r w:rsidRPr="000079E1">
        <w:rPr>
          <w:rFonts w:ascii="Arial" w:hAnsi="Arial" w:cs="Arial"/>
          <w:b/>
          <w:bCs/>
          <w:sz w:val="22"/>
          <w:szCs w:val="22"/>
        </w:rPr>
        <w:t>accurate record keeping</w:t>
      </w:r>
      <w:r w:rsidRPr="000079E1">
        <w:rPr>
          <w:rFonts w:ascii="Arial" w:hAnsi="Arial" w:cs="Arial"/>
          <w:sz w:val="22"/>
          <w:szCs w:val="22"/>
        </w:rPr>
        <w:t>. Health and social care professionals are required to maintain clear, factual, timely, and legible records. Records provide evidence of care delivered, support continuity of care, and enable professionals to monitor changes in a service user's condition. In Mrs Thompson's case, documentation relating to medication administration, missed doses, increased confusion, and safeguarding concerns is essential to support clinical decision-making and risk management.</w:t>
      </w:r>
    </w:p>
    <w:p w14:paraId="5EFF6EBD"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The discovery that Mrs Thompson missed two days of medication demonstrates the importance of accurate Medication Administration Records (MAR charts). Recording missed doses enabled staff to identify a potential health risk and initiate a medication review. Similarly, recording the incident involving unsuitable clothing and wandering outdoors provides evidence for safeguarding investigations and future care planning.</w:t>
      </w:r>
    </w:p>
    <w:p w14:paraId="08481F65"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Record keeping is supported by professional guidance from the Care Quality Commission (CQC), the Nursing and Midwifery Council (NMC), and NICE. These organisations emphasise that records should be accurate, contemporaneous, and maintained securely to ensure safe practice and accountability.</w:t>
      </w:r>
    </w:p>
    <w:p w14:paraId="51E90F80" w14:textId="351F9E1D"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The </w:t>
      </w:r>
      <w:r w:rsidRPr="000079E1">
        <w:rPr>
          <w:rFonts w:ascii="Arial" w:hAnsi="Arial" w:cs="Arial"/>
          <w:b/>
          <w:bCs/>
          <w:sz w:val="22"/>
          <w:szCs w:val="22"/>
        </w:rPr>
        <w:t>Data Protection Act 2018</w:t>
      </w:r>
      <w:r w:rsidRPr="000079E1">
        <w:rPr>
          <w:rFonts w:ascii="Arial" w:hAnsi="Arial" w:cs="Arial"/>
          <w:sz w:val="22"/>
          <w:szCs w:val="22"/>
        </w:rPr>
        <w:t xml:space="preserve"> and the UK General Data Protection Regulation (UK GDPR) govern how personal information is collected, stored, processed, and shared. Health and social care organisations must ensure that personal data is handled lawfully, fairly, and transparently. The legislation requires information to be accurate, relevant, limited to what is necessary, and protected from unauthorised access.</w:t>
      </w:r>
    </w:p>
    <w:p w14:paraId="750488F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In relation to Mrs Thompson, care staff may need to share information with her GP, community nurse, pharmacist, family members, and local authority safeguarding team. Information sharing should only occur for legitimate professional reasons and according to organisational policies. Staff must ensure that confidential records are stored securely, whether electronically or in paper format, and that access is restricted to authorised personnel.</w:t>
      </w:r>
    </w:p>
    <w:p w14:paraId="4A07B2BD"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Another important policy framework is the </w:t>
      </w:r>
      <w:r w:rsidRPr="000079E1">
        <w:rPr>
          <w:rFonts w:ascii="Arial" w:hAnsi="Arial" w:cs="Arial"/>
          <w:b/>
          <w:bCs/>
          <w:sz w:val="22"/>
          <w:szCs w:val="22"/>
        </w:rPr>
        <w:t>Care Act 2014</w:t>
      </w:r>
      <w:r w:rsidRPr="000079E1">
        <w:rPr>
          <w:rFonts w:ascii="Arial" w:hAnsi="Arial" w:cs="Arial"/>
          <w:sz w:val="22"/>
          <w:szCs w:val="22"/>
        </w:rPr>
        <w:t xml:space="preserve">, which places safeguarding duties on local authorities and reinforces the importance of recording and responding to concerns about adults who may be at risk of abuse or neglect. The incident involving Mrs Thompson </w:t>
      </w:r>
      <w:r w:rsidRPr="000079E1">
        <w:rPr>
          <w:rFonts w:ascii="Arial" w:hAnsi="Arial" w:cs="Arial"/>
          <w:sz w:val="22"/>
          <w:szCs w:val="22"/>
        </w:rPr>
        <w:lastRenderedPageBreak/>
        <w:t>being found outdoors inadequately dressed may indicate potential self-neglect, a recognised safeguarding concern under Care Act guidance.</w:t>
      </w:r>
    </w:p>
    <w:p w14:paraId="2460E74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Effective administrative skills also support communication and continuity between professionals. Comprehensive records allow staff working different shifts or across different organisations to access accurate information, ensuring consistent care delivery. Poor documentation can contribute to medication errors, duplication of work, missed interventions, and compromised patient safety.</w:t>
      </w:r>
    </w:p>
    <w:p w14:paraId="3495A134"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Therefore, strong administrative practice, supported by legislation and professional standards, is essential in ensuring Mrs Thompson receives safe, coordinated, and legally compliant care.</w:t>
      </w:r>
    </w:p>
    <w:p w14:paraId="6B561EE1" w14:textId="77777777" w:rsidR="000079E1" w:rsidRPr="000079E1" w:rsidRDefault="008F2553" w:rsidP="000079E1">
      <w:pPr>
        <w:spacing w:line="360" w:lineRule="auto"/>
        <w:rPr>
          <w:rFonts w:ascii="Arial" w:hAnsi="Arial" w:cs="Arial"/>
          <w:sz w:val="22"/>
          <w:szCs w:val="22"/>
        </w:rPr>
      </w:pPr>
      <w:r>
        <w:rPr>
          <w:rFonts w:ascii="Arial" w:hAnsi="Arial" w:cs="Arial"/>
          <w:sz w:val="22"/>
          <w:szCs w:val="22"/>
        </w:rPr>
        <w:pict w14:anchorId="1B87DE0E">
          <v:rect id="_x0000_i1027" style="width:0;height:1.5pt" o:hralign="center" o:hrstd="t" o:hr="t" fillcolor="#a0a0a0" stroked="f"/>
        </w:pict>
      </w:r>
    </w:p>
    <w:p w14:paraId="61EB9985" w14:textId="20470D17"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t xml:space="preserve">3. Importance of Collaborative Working in Mrs Thompson's Care </w:t>
      </w:r>
    </w:p>
    <w:p w14:paraId="266D5FDB"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Collaborative working is essential in health and social care because many service users have complex needs that cannot be addressed by a single professional or organisation. Mrs Thompson's physical health needs, dementia-related challenges, medication concerns, and safeguarding issues require coordinated input from several professionals.</w:t>
      </w:r>
    </w:p>
    <w:p w14:paraId="4D03148C"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Key professionals involved in her care may include the GP, community nurse, pharmacist, domiciliary care workers, social worker, safeguarding team, and family members. Each professional contributes specialist knowledge and expertise to support holistic and person-centred care.</w:t>
      </w:r>
    </w:p>
    <w:p w14:paraId="0A381D5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Several approaches can promote effective collaboration. Regular multidisciplinary team (MDT) meetings allow professionals to discuss concerns, review care plans, and agree interventions. Shared care records and clear referral pathways also facilitate effective information exchange and continuity of care. Open communication and mutual respect between professionals are essential for maintaining positive working relationships.</w:t>
      </w:r>
    </w:p>
    <w:p w14:paraId="25CA94AF"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For example, after the medication incident, domiciliary care staff can communicate concerns to the GP and pharmacist, who can review her medication regimen and consider additional support measures such as blister packs or electronic reminders. Likewise, concerns about wandering behaviour may require collaboration between social services, community nursing teams, and family members to assess risks and implement safeguarding measures.</w:t>
      </w:r>
    </w:p>
    <w:p w14:paraId="67B6BDA3"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Despite its benefits, multi-agency working can encounter challenges. Common barriers include poor communication, differing professional priorities, unclear roles and </w:t>
      </w:r>
      <w:r w:rsidRPr="000079E1">
        <w:rPr>
          <w:rFonts w:ascii="Arial" w:hAnsi="Arial" w:cs="Arial"/>
          <w:sz w:val="22"/>
          <w:szCs w:val="22"/>
        </w:rPr>
        <w:lastRenderedPageBreak/>
        <w:t>responsibilities, and information-sharing concerns. These issues can result in delays in decision-making and fragmented care.</w:t>
      </w:r>
    </w:p>
    <w:p w14:paraId="6895FBAA"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Strategies for overcoming such challenges include establishing clear communication channels, using shared documentation systems, adopting agreed protocols for information sharing, and promoting regular multidisciplinary meetings. Interprofessional training can also improve understanding of professional roles and encourage collaborative practice.</w:t>
      </w:r>
    </w:p>
    <w:p w14:paraId="5CE4A6B6"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The Care Act 2014 and NHS integrated care principles emphasise partnership working to promote wellbeing, prevent harm, and improve outcomes for individuals with complex care needs. Through effective collaboration, professionals can identify risks early, coordinate interventions efficiently, and ensure that Mrs Thompson receives safe, consistent, and person-centred support.</w:t>
      </w:r>
    </w:p>
    <w:p w14:paraId="4ADC7AEB" w14:textId="77777777" w:rsidR="000079E1" w:rsidRPr="000079E1" w:rsidRDefault="008F2553" w:rsidP="000079E1">
      <w:pPr>
        <w:spacing w:line="360" w:lineRule="auto"/>
        <w:rPr>
          <w:rFonts w:ascii="Arial" w:hAnsi="Arial" w:cs="Arial"/>
          <w:sz w:val="22"/>
          <w:szCs w:val="22"/>
        </w:rPr>
      </w:pPr>
      <w:r>
        <w:rPr>
          <w:rFonts w:ascii="Arial" w:hAnsi="Arial" w:cs="Arial"/>
          <w:sz w:val="22"/>
          <w:szCs w:val="22"/>
        </w:rPr>
        <w:pict w14:anchorId="465E8B4A">
          <v:rect id="_x0000_i1028" style="width:0;height:1.5pt" o:hralign="center" o:hrstd="t" o:hr="t" fillcolor="#a0a0a0" stroked="f"/>
        </w:pict>
      </w:r>
    </w:p>
    <w:p w14:paraId="07646B4E" w14:textId="6121DC0A" w:rsidR="000079E1" w:rsidRPr="000079E1" w:rsidRDefault="000079E1" w:rsidP="000079E1">
      <w:pPr>
        <w:spacing w:line="360" w:lineRule="auto"/>
        <w:rPr>
          <w:rFonts w:ascii="Arial" w:hAnsi="Arial" w:cs="Arial"/>
          <w:b/>
          <w:bCs/>
          <w:sz w:val="22"/>
          <w:szCs w:val="22"/>
        </w:rPr>
      </w:pPr>
      <w:r w:rsidRPr="000079E1">
        <w:rPr>
          <w:rFonts w:ascii="Arial" w:hAnsi="Arial" w:cs="Arial"/>
          <w:b/>
          <w:bCs/>
          <w:sz w:val="22"/>
          <w:szCs w:val="22"/>
        </w:rPr>
        <w:t xml:space="preserve">Conclusion </w:t>
      </w:r>
    </w:p>
    <w:p w14:paraId="32755253"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Mrs Thompson's case illustrates the interconnected importance of communication, administration, and collaborative working within contemporary health and social care practice. Effective communication enables professionals to understand her needs, support informed decision-making, and ensure care is delivered in accordance with the principles of equality, dignity, and person-centred practice. Good administrative skills, particularly accurate record keeping and compliance with data protection legislation, support accountability, continuity of care, and safeguarding responsibilities. Equally, collaborative working enables professionals from different disciplines to coordinate </w:t>
      </w:r>
      <w:proofErr w:type="gramStart"/>
      <w:r w:rsidRPr="000079E1">
        <w:rPr>
          <w:rFonts w:ascii="Arial" w:hAnsi="Arial" w:cs="Arial"/>
          <w:sz w:val="22"/>
          <w:szCs w:val="22"/>
        </w:rPr>
        <w:t>interventions</w:t>
      </w:r>
      <w:proofErr w:type="gramEnd"/>
      <w:r w:rsidRPr="000079E1">
        <w:rPr>
          <w:rFonts w:ascii="Arial" w:hAnsi="Arial" w:cs="Arial"/>
          <w:sz w:val="22"/>
          <w:szCs w:val="22"/>
        </w:rPr>
        <w:t xml:space="preserve"> and address complex needs effectively.</w:t>
      </w:r>
    </w:p>
    <w:p w14:paraId="59E3FC76"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The incidents involving missed medication and unsafe wandering behaviour demonstrate how failures in any one area can increase risks to vulnerable individuals. By adhering to legislative requirements, professional standards, and evidence-based practice, health and social care professionals can work together to promote Mrs Thompson's wellbeing, independence, and safety. Ultimately, integrated and person-centred approaches remain essential for achieving positive outcomes for individuals with complex health and social care needs.</w:t>
      </w:r>
    </w:p>
    <w:p w14:paraId="1A59318E" w14:textId="77777777" w:rsidR="000079E1" w:rsidRPr="000079E1" w:rsidRDefault="008F2553" w:rsidP="000079E1">
      <w:pPr>
        <w:spacing w:line="360" w:lineRule="auto"/>
        <w:rPr>
          <w:rFonts w:ascii="Arial" w:hAnsi="Arial" w:cs="Arial"/>
          <w:sz w:val="22"/>
          <w:szCs w:val="22"/>
        </w:rPr>
      </w:pPr>
      <w:r>
        <w:rPr>
          <w:rFonts w:ascii="Arial" w:hAnsi="Arial" w:cs="Arial"/>
          <w:sz w:val="22"/>
          <w:szCs w:val="22"/>
        </w:rPr>
        <w:pict w14:anchorId="3412654F">
          <v:rect id="_x0000_i1029" style="width:0;height:1.5pt" o:hralign="center" o:hrstd="t" o:hr="t" fillcolor="#a0a0a0" stroked="f"/>
        </w:pict>
      </w:r>
    </w:p>
    <w:p w14:paraId="6ACEE3A2" w14:textId="699A6DED" w:rsidR="000079E1" w:rsidRPr="000079E1" w:rsidRDefault="000079E1" w:rsidP="000079E1">
      <w:pPr>
        <w:spacing w:line="360" w:lineRule="auto"/>
        <w:rPr>
          <w:rFonts w:ascii="Arial" w:hAnsi="Arial" w:cs="Arial"/>
          <w:b/>
          <w:bCs/>
          <w:sz w:val="22"/>
          <w:szCs w:val="22"/>
        </w:rPr>
      </w:pPr>
    </w:p>
    <w:p w14:paraId="1C40DE44" w14:textId="27BD3D6A" w:rsidR="00A16C37" w:rsidRDefault="00F61269" w:rsidP="000079E1">
      <w:pPr>
        <w:spacing w:line="360" w:lineRule="auto"/>
        <w:rPr>
          <w:rFonts w:ascii="Arial" w:hAnsi="Arial" w:cs="Arial"/>
          <w:b/>
          <w:bCs/>
          <w:sz w:val="22"/>
          <w:szCs w:val="22"/>
        </w:rPr>
      </w:pPr>
      <w:r w:rsidRPr="000079E1">
        <w:rPr>
          <w:rFonts w:ascii="Arial" w:hAnsi="Arial" w:cs="Arial"/>
          <w:b/>
          <w:bCs/>
          <w:sz w:val="22"/>
          <w:szCs w:val="22"/>
        </w:rPr>
        <w:t xml:space="preserve">Reference List </w:t>
      </w:r>
    </w:p>
    <w:p w14:paraId="1DFFAFE5" w14:textId="539F2AFC" w:rsidR="000079E1" w:rsidRPr="00A16C37" w:rsidRDefault="000079E1" w:rsidP="000079E1">
      <w:pPr>
        <w:spacing w:line="360" w:lineRule="auto"/>
        <w:rPr>
          <w:rFonts w:ascii="Arial" w:hAnsi="Arial" w:cs="Arial"/>
          <w:b/>
          <w:bCs/>
          <w:sz w:val="22"/>
          <w:szCs w:val="22"/>
        </w:rPr>
      </w:pPr>
      <w:proofErr w:type="spellStart"/>
      <w:r w:rsidRPr="000079E1">
        <w:rPr>
          <w:rFonts w:ascii="Arial" w:hAnsi="Arial" w:cs="Arial"/>
          <w:sz w:val="22"/>
          <w:szCs w:val="22"/>
        </w:rPr>
        <w:lastRenderedPageBreak/>
        <w:t>Barnlund</w:t>
      </w:r>
      <w:proofErr w:type="spellEnd"/>
      <w:r w:rsidRPr="000079E1">
        <w:rPr>
          <w:rFonts w:ascii="Arial" w:hAnsi="Arial" w:cs="Arial"/>
          <w:sz w:val="22"/>
          <w:szCs w:val="22"/>
        </w:rPr>
        <w:t xml:space="preserve">, D.C. (2008) </w:t>
      </w:r>
      <w:r w:rsidRPr="000079E1">
        <w:rPr>
          <w:rFonts w:ascii="Arial" w:hAnsi="Arial" w:cs="Arial"/>
          <w:i/>
          <w:iCs/>
          <w:sz w:val="22"/>
          <w:szCs w:val="22"/>
        </w:rPr>
        <w:t>A Transactional Model of Communication</w:t>
      </w:r>
      <w:r w:rsidRPr="000079E1">
        <w:rPr>
          <w:rFonts w:ascii="Arial" w:hAnsi="Arial" w:cs="Arial"/>
          <w:sz w:val="22"/>
          <w:szCs w:val="22"/>
        </w:rPr>
        <w:t xml:space="preserve">. In: Mortensen, C.D. (ed.) Communication Theory. 2nd </w:t>
      </w:r>
      <w:proofErr w:type="spellStart"/>
      <w:r w:rsidRPr="000079E1">
        <w:rPr>
          <w:rFonts w:ascii="Arial" w:hAnsi="Arial" w:cs="Arial"/>
          <w:sz w:val="22"/>
          <w:szCs w:val="22"/>
        </w:rPr>
        <w:t>edn</w:t>
      </w:r>
      <w:proofErr w:type="spellEnd"/>
      <w:r w:rsidRPr="000079E1">
        <w:rPr>
          <w:rFonts w:ascii="Arial" w:hAnsi="Arial" w:cs="Arial"/>
          <w:sz w:val="22"/>
          <w:szCs w:val="22"/>
        </w:rPr>
        <w:t>. New Brunswick: Transaction.</w:t>
      </w:r>
    </w:p>
    <w:p w14:paraId="750BA95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Care Act 2014. London: HMSO.</w:t>
      </w:r>
    </w:p>
    <w:p w14:paraId="5B6CAE45"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Data Protection Act 2018. London: HMSO.</w:t>
      </w:r>
    </w:p>
    <w:p w14:paraId="73667F7B"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Equality Act 2010. London: HMSO. Available at: https://www.legislation.gov.uk/ukpga/2010/15/contents</w:t>
      </w:r>
    </w:p>
    <w:p w14:paraId="3E357989"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NICE (2018) </w:t>
      </w:r>
      <w:r w:rsidRPr="000079E1">
        <w:rPr>
          <w:rFonts w:ascii="Arial" w:hAnsi="Arial" w:cs="Arial"/>
          <w:i/>
          <w:iCs/>
          <w:sz w:val="22"/>
          <w:szCs w:val="22"/>
        </w:rPr>
        <w:t>Dementia: Assessment, Management and Support for People Living with Dementia and their Carers (NG97)</w:t>
      </w:r>
      <w:r w:rsidRPr="000079E1">
        <w:rPr>
          <w:rFonts w:ascii="Arial" w:hAnsi="Arial" w:cs="Arial"/>
          <w:sz w:val="22"/>
          <w:szCs w:val="22"/>
        </w:rPr>
        <w:t>. London: National Institute for Health and Care Excellence.</w:t>
      </w:r>
    </w:p>
    <w:p w14:paraId="24844D52"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Nursing and Midwifery Council (2018) </w:t>
      </w:r>
      <w:r w:rsidRPr="000079E1">
        <w:rPr>
          <w:rFonts w:ascii="Arial" w:hAnsi="Arial" w:cs="Arial"/>
          <w:i/>
          <w:iCs/>
          <w:sz w:val="22"/>
          <w:szCs w:val="22"/>
        </w:rPr>
        <w:t>The Code: Professional Standards of Practice and Behaviour for Nurses, Midwives and Nursing Associates</w:t>
      </w:r>
      <w:r w:rsidRPr="000079E1">
        <w:rPr>
          <w:rFonts w:ascii="Arial" w:hAnsi="Arial" w:cs="Arial"/>
          <w:sz w:val="22"/>
          <w:szCs w:val="22"/>
        </w:rPr>
        <w:t>. London: NMC.</w:t>
      </w:r>
    </w:p>
    <w:p w14:paraId="02970062"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Trevithick, P. (2017) </w:t>
      </w:r>
      <w:r w:rsidRPr="000079E1">
        <w:rPr>
          <w:rFonts w:ascii="Arial" w:hAnsi="Arial" w:cs="Arial"/>
          <w:i/>
          <w:iCs/>
          <w:sz w:val="22"/>
          <w:szCs w:val="22"/>
        </w:rPr>
        <w:t>Social Work Skills and Knowledge: A Practice Handbook</w:t>
      </w:r>
      <w:r w:rsidRPr="000079E1">
        <w:rPr>
          <w:rFonts w:ascii="Arial" w:hAnsi="Arial" w:cs="Arial"/>
          <w:sz w:val="22"/>
          <w:szCs w:val="22"/>
        </w:rPr>
        <w:t xml:space="preserve">. 4th </w:t>
      </w:r>
      <w:proofErr w:type="spellStart"/>
      <w:r w:rsidRPr="000079E1">
        <w:rPr>
          <w:rFonts w:ascii="Arial" w:hAnsi="Arial" w:cs="Arial"/>
          <w:sz w:val="22"/>
          <w:szCs w:val="22"/>
        </w:rPr>
        <w:t>edn</w:t>
      </w:r>
      <w:proofErr w:type="spellEnd"/>
      <w:r w:rsidRPr="000079E1">
        <w:rPr>
          <w:rFonts w:ascii="Arial" w:hAnsi="Arial" w:cs="Arial"/>
          <w:sz w:val="22"/>
          <w:szCs w:val="22"/>
        </w:rPr>
        <w:t>. Maidenhead: Open University Press.</w:t>
      </w:r>
    </w:p>
    <w:p w14:paraId="75F66EEA"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Thompson, N. (2021) </w:t>
      </w:r>
      <w:r w:rsidRPr="000079E1">
        <w:rPr>
          <w:rFonts w:ascii="Arial" w:hAnsi="Arial" w:cs="Arial"/>
          <w:i/>
          <w:iCs/>
          <w:sz w:val="22"/>
          <w:szCs w:val="22"/>
        </w:rPr>
        <w:t>Theories of Communication</w:t>
      </w:r>
      <w:r w:rsidRPr="000079E1">
        <w:rPr>
          <w:rFonts w:ascii="Arial" w:hAnsi="Arial" w:cs="Arial"/>
          <w:sz w:val="22"/>
          <w:szCs w:val="22"/>
        </w:rPr>
        <w:t xml:space="preserve">. 3rd </w:t>
      </w:r>
      <w:proofErr w:type="spellStart"/>
      <w:r w:rsidRPr="000079E1">
        <w:rPr>
          <w:rFonts w:ascii="Arial" w:hAnsi="Arial" w:cs="Arial"/>
          <w:sz w:val="22"/>
          <w:szCs w:val="22"/>
        </w:rPr>
        <w:t>edn</w:t>
      </w:r>
      <w:proofErr w:type="spellEnd"/>
      <w:r w:rsidRPr="000079E1">
        <w:rPr>
          <w:rFonts w:ascii="Arial" w:hAnsi="Arial" w:cs="Arial"/>
          <w:sz w:val="22"/>
          <w:szCs w:val="22"/>
        </w:rPr>
        <w:t>. London: Palgrave Macmillan.</w:t>
      </w:r>
    </w:p>
    <w:p w14:paraId="0A09F383" w14:textId="77777777"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Health and Care Professions Council (2024) </w:t>
      </w:r>
      <w:r w:rsidRPr="000079E1">
        <w:rPr>
          <w:rFonts w:ascii="Arial" w:hAnsi="Arial" w:cs="Arial"/>
          <w:i/>
          <w:iCs/>
          <w:sz w:val="22"/>
          <w:szCs w:val="22"/>
        </w:rPr>
        <w:t>Standards of Conduct, Performance and Ethics</w:t>
      </w:r>
      <w:r w:rsidRPr="000079E1">
        <w:rPr>
          <w:rFonts w:ascii="Arial" w:hAnsi="Arial" w:cs="Arial"/>
          <w:sz w:val="22"/>
          <w:szCs w:val="22"/>
        </w:rPr>
        <w:t>. London: HCPC.</w:t>
      </w:r>
    </w:p>
    <w:p w14:paraId="520CC681" w14:textId="486E4510" w:rsidR="000079E1" w:rsidRPr="000079E1" w:rsidRDefault="000079E1" w:rsidP="000079E1">
      <w:pPr>
        <w:spacing w:line="360" w:lineRule="auto"/>
        <w:rPr>
          <w:rFonts w:ascii="Arial" w:hAnsi="Arial" w:cs="Arial"/>
          <w:sz w:val="22"/>
          <w:szCs w:val="22"/>
        </w:rPr>
      </w:pPr>
      <w:r w:rsidRPr="000079E1">
        <w:rPr>
          <w:rFonts w:ascii="Arial" w:hAnsi="Arial" w:cs="Arial"/>
          <w:sz w:val="22"/>
          <w:szCs w:val="22"/>
        </w:rPr>
        <w:t xml:space="preserve">Care Quality Commission (2024) </w:t>
      </w:r>
      <w:r w:rsidRPr="000079E1">
        <w:rPr>
          <w:rFonts w:ascii="Arial" w:hAnsi="Arial" w:cs="Arial"/>
          <w:i/>
          <w:iCs/>
          <w:sz w:val="22"/>
          <w:szCs w:val="22"/>
        </w:rPr>
        <w:t>Fundamental Standards</w:t>
      </w:r>
      <w:r w:rsidRPr="000079E1">
        <w:rPr>
          <w:rFonts w:ascii="Arial" w:hAnsi="Arial" w:cs="Arial"/>
          <w:sz w:val="22"/>
          <w:szCs w:val="22"/>
        </w:rPr>
        <w:t>. London: CQC.</w:t>
      </w:r>
    </w:p>
    <w:sectPr w:rsidR="000079E1" w:rsidRPr="000079E1" w:rsidSect="000079E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084E9D" w14:textId="77777777" w:rsidR="008F2553" w:rsidRDefault="008F2553" w:rsidP="00784903">
      <w:pPr>
        <w:spacing w:after="0" w:line="240" w:lineRule="auto"/>
      </w:pPr>
      <w:r>
        <w:separator/>
      </w:r>
    </w:p>
  </w:endnote>
  <w:endnote w:type="continuationSeparator" w:id="0">
    <w:p w14:paraId="0A48F70D" w14:textId="77777777" w:rsidR="008F2553" w:rsidRDefault="008F2553" w:rsidP="007849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166225"/>
      <w:docPartObj>
        <w:docPartGallery w:val="Page Numbers (Bottom of Page)"/>
        <w:docPartUnique/>
      </w:docPartObj>
    </w:sdtPr>
    <w:sdtEndPr>
      <w:rPr>
        <w:noProof/>
      </w:rPr>
    </w:sdtEndPr>
    <w:sdtContent>
      <w:p w14:paraId="216622B2" w14:textId="512F6EA0" w:rsidR="00784903" w:rsidRDefault="007849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D4CCA1" w14:textId="77777777" w:rsidR="00784903" w:rsidRDefault="007849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7E9AC" w14:textId="77777777" w:rsidR="008F2553" w:rsidRDefault="008F2553" w:rsidP="00784903">
      <w:pPr>
        <w:spacing w:after="0" w:line="240" w:lineRule="auto"/>
      </w:pPr>
      <w:r>
        <w:separator/>
      </w:r>
    </w:p>
  </w:footnote>
  <w:footnote w:type="continuationSeparator" w:id="0">
    <w:p w14:paraId="64EEFCC8" w14:textId="77777777" w:rsidR="008F2553" w:rsidRDefault="008F2553" w:rsidP="0078490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9E1"/>
    <w:rsid w:val="000073AF"/>
    <w:rsid w:val="000079E1"/>
    <w:rsid w:val="0005592C"/>
    <w:rsid w:val="001C1699"/>
    <w:rsid w:val="00247FAE"/>
    <w:rsid w:val="002903D7"/>
    <w:rsid w:val="002B5398"/>
    <w:rsid w:val="003720B2"/>
    <w:rsid w:val="0038652E"/>
    <w:rsid w:val="00502129"/>
    <w:rsid w:val="0060213E"/>
    <w:rsid w:val="00784903"/>
    <w:rsid w:val="008346CB"/>
    <w:rsid w:val="00834805"/>
    <w:rsid w:val="00872738"/>
    <w:rsid w:val="00894381"/>
    <w:rsid w:val="008D117A"/>
    <w:rsid w:val="008D3FD1"/>
    <w:rsid w:val="008F2553"/>
    <w:rsid w:val="00A16C37"/>
    <w:rsid w:val="00A44AA3"/>
    <w:rsid w:val="00AB3D39"/>
    <w:rsid w:val="00B25F6A"/>
    <w:rsid w:val="00B42797"/>
    <w:rsid w:val="00B649C2"/>
    <w:rsid w:val="00BC314D"/>
    <w:rsid w:val="00C94BA7"/>
    <w:rsid w:val="00E17C3D"/>
    <w:rsid w:val="00ED14FA"/>
    <w:rsid w:val="00EF13E3"/>
    <w:rsid w:val="00F00D41"/>
    <w:rsid w:val="00F61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4F647"/>
  <w15:chartTrackingRefBased/>
  <w15:docId w15:val="{841AA6B0-66B5-40DD-B4EA-BF3CB85F3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9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79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9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9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9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9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9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9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9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9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79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9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9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9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9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9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9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9E1"/>
    <w:rPr>
      <w:rFonts w:eastAsiaTheme="majorEastAsia" w:cstheme="majorBidi"/>
      <w:color w:val="272727" w:themeColor="text1" w:themeTint="D8"/>
    </w:rPr>
  </w:style>
  <w:style w:type="paragraph" w:styleId="Title">
    <w:name w:val="Title"/>
    <w:basedOn w:val="Normal"/>
    <w:next w:val="Normal"/>
    <w:link w:val="TitleChar"/>
    <w:uiPriority w:val="10"/>
    <w:qFormat/>
    <w:rsid w:val="000079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9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9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9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9E1"/>
    <w:pPr>
      <w:spacing w:before="160"/>
      <w:jc w:val="center"/>
    </w:pPr>
    <w:rPr>
      <w:i/>
      <w:iCs/>
      <w:color w:val="404040" w:themeColor="text1" w:themeTint="BF"/>
    </w:rPr>
  </w:style>
  <w:style w:type="character" w:customStyle="1" w:styleId="QuoteChar">
    <w:name w:val="Quote Char"/>
    <w:basedOn w:val="DefaultParagraphFont"/>
    <w:link w:val="Quote"/>
    <w:uiPriority w:val="29"/>
    <w:rsid w:val="000079E1"/>
    <w:rPr>
      <w:i/>
      <w:iCs/>
      <w:color w:val="404040" w:themeColor="text1" w:themeTint="BF"/>
    </w:rPr>
  </w:style>
  <w:style w:type="paragraph" w:styleId="ListParagraph">
    <w:name w:val="List Paragraph"/>
    <w:basedOn w:val="Normal"/>
    <w:uiPriority w:val="34"/>
    <w:qFormat/>
    <w:rsid w:val="000079E1"/>
    <w:pPr>
      <w:ind w:left="720"/>
      <w:contextualSpacing/>
    </w:pPr>
  </w:style>
  <w:style w:type="character" w:styleId="IntenseEmphasis">
    <w:name w:val="Intense Emphasis"/>
    <w:basedOn w:val="DefaultParagraphFont"/>
    <w:uiPriority w:val="21"/>
    <w:qFormat/>
    <w:rsid w:val="000079E1"/>
    <w:rPr>
      <w:i/>
      <w:iCs/>
      <w:color w:val="0F4761" w:themeColor="accent1" w:themeShade="BF"/>
    </w:rPr>
  </w:style>
  <w:style w:type="paragraph" w:styleId="IntenseQuote">
    <w:name w:val="Intense Quote"/>
    <w:basedOn w:val="Normal"/>
    <w:next w:val="Normal"/>
    <w:link w:val="IntenseQuoteChar"/>
    <w:uiPriority w:val="30"/>
    <w:qFormat/>
    <w:rsid w:val="000079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9E1"/>
    <w:rPr>
      <w:i/>
      <w:iCs/>
      <w:color w:val="0F4761" w:themeColor="accent1" w:themeShade="BF"/>
    </w:rPr>
  </w:style>
  <w:style w:type="character" w:styleId="IntenseReference">
    <w:name w:val="Intense Reference"/>
    <w:basedOn w:val="DefaultParagraphFont"/>
    <w:uiPriority w:val="32"/>
    <w:qFormat/>
    <w:rsid w:val="000079E1"/>
    <w:rPr>
      <w:b/>
      <w:bCs/>
      <w:smallCaps/>
      <w:color w:val="0F4761" w:themeColor="accent1" w:themeShade="BF"/>
      <w:spacing w:val="5"/>
    </w:rPr>
  </w:style>
  <w:style w:type="paragraph" w:styleId="NoSpacing">
    <w:name w:val="No Spacing"/>
    <w:link w:val="NoSpacingChar"/>
    <w:uiPriority w:val="1"/>
    <w:qFormat/>
    <w:rsid w:val="000079E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079E1"/>
    <w:rPr>
      <w:rFonts w:eastAsiaTheme="minorEastAsia"/>
      <w:kern w:val="0"/>
      <w:sz w:val="22"/>
      <w:szCs w:val="22"/>
      <w:lang w:val="en-US"/>
      <w14:ligatures w14:val="none"/>
    </w:rPr>
  </w:style>
  <w:style w:type="character" w:styleId="Hyperlink">
    <w:name w:val="Hyperlink"/>
    <w:basedOn w:val="DefaultParagraphFont"/>
    <w:uiPriority w:val="99"/>
    <w:unhideWhenUsed/>
    <w:rsid w:val="000079E1"/>
    <w:rPr>
      <w:color w:val="467886" w:themeColor="hyperlink"/>
      <w:u w:val="single"/>
    </w:rPr>
  </w:style>
  <w:style w:type="character" w:styleId="UnresolvedMention">
    <w:name w:val="Unresolved Mention"/>
    <w:basedOn w:val="DefaultParagraphFont"/>
    <w:uiPriority w:val="99"/>
    <w:semiHidden/>
    <w:unhideWhenUsed/>
    <w:rsid w:val="000079E1"/>
    <w:rPr>
      <w:color w:val="605E5C"/>
      <w:shd w:val="clear" w:color="auto" w:fill="E1DFDD"/>
    </w:rPr>
  </w:style>
  <w:style w:type="paragraph" w:styleId="Header">
    <w:name w:val="header"/>
    <w:basedOn w:val="Normal"/>
    <w:link w:val="HeaderChar"/>
    <w:uiPriority w:val="99"/>
    <w:unhideWhenUsed/>
    <w:rsid w:val="007849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4903"/>
  </w:style>
  <w:style w:type="paragraph" w:styleId="Footer">
    <w:name w:val="footer"/>
    <w:basedOn w:val="Normal"/>
    <w:link w:val="FooterChar"/>
    <w:uiPriority w:val="99"/>
    <w:unhideWhenUsed/>
    <w:rsid w:val="007849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49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ab4b2a340ea862dc0c835084603120cd">
  <xsd:schema xmlns:xsd="http://www.w3.org/2001/XMLSchema" xmlns:xs="http://www.w3.org/2001/XMLSchema" xmlns:p="http://schemas.microsoft.com/office/2006/metadata/properties" xmlns:ns3="3a45fc47-eb9b-4e12-9db8-9c54afcdd495" targetNamespace="http://schemas.microsoft.com/office/2006/metadata/properties" ma:root="true" ma:fieldsID="b9d03cf3d06800becc8a55bf60b70b54"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40B9C1-35C4-4043-B7E0-E91508D348FC}">
  <ds:schemaRefs>
    <ds:schemaRef ds:uri="http://schemas.microsoft.com/office/2006/metadata/properties"/>
    <ds:schemaRef ds:uri="http://schemas.microsoft.com/office/infopath/2007/PartnerControls"/>
    <ds:schemaRef ds:uri="3a45fc47-eb9b-4e12-9db8-9c54afcdd495"/>
  </ds:schemaRefs>
</ds:datastoreItem>
</file>

<file path=customXml/itemProps3.xml><?xml version="1.0" encoding="utf-8"?>
<ds:datastoreItem xmlns:ds="http://schemas.openxmlformats.org/officeDocument/2006/customXml" ds:itemID="{013F67EE-8D95-45E7-8B71-68FA19F0704F}">
  <ds:schemaRefs>
    <ds:schemaRef ds:uri="http://schemas.microsoft.com/sharepoint/v3/contenttype/forms"/>
  </ds:schemaRefs>
</ds:datastoreItem>
</file>

<file path=customXml/itemProps4.xml><?xml version="1.0" encoding="utf-8"?>
<ds:datastoreItem xmlns:ds="http://schemas.openxmlformats.org/officeDocument/2006/customXml" ds:itemID="{9CD6807D-A412-4041-AD8D-C8480DBA86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2043</Words>
  <Characters>11647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LCHS4003</dc:subject>
  <dc:creator>Catherine Tambot Catacutan (2530824)</dc:creator>
  <cp:keywords/>
  <dc:description/>
  <cp:lastModifiedBy>Catherine Tambot Catacutan (2530824)</cp:lastModifiedBy>
  <cp:revision>2</cp:revision>
  <dcterms:created xsi:type="dcterms:W3CDTF">2026-08-05T09:26:00Z</dcterms:created>
  <dcterms:modified xsi:type="dcterms:W3CDTF">2026-08-05T09:26:00Z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