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2DE" w:rsidRPr="009E709A" w:rsidRDefault="00A95D75">
      <w:pPr>
        <w:rPr>
          <w:u w:val="single"/>
        </w:rPr>
      </w:pPr>
      <w:r w:rsidRPr="009E709A">
        <w:rPr>
          <w:u w:val="single"/>
        </w:rPr>
        <w:t xml:space="preserve">Matthew Alexander Simons </w:t>
      </w:r>
    </w:p>
    <w:p w:rsidR="00A95D75" w:rsidRPr="009E709A" w:rsidRDefault="00A95D75">
      <w:pPr>
        <w:rPr>
          <w:u w:val="single"/>
        </w:rPr>
      </w:pPr>
      <w:r w:rsidRPr="009E709A">
        <w:rPr>
          <w:u w:val="single"/>
        </w:rPr>
        <w:t>Student Number - 1704660</w:t>
      </w:r>
    </w:p>
    <w:p w:rsidR="00A95D75" w:rsidRPr="009E709A" w:rsidRDefault="00A95D75">
      <w:pPr>
        <w:rPr>
          <w:u w:val="single"/>
        </w:rPr>
      </w:pPr>
      <w:r w:rsidRPr="009E709A">
        <w:rPr>
          <w:u w:val="single"/>
        </w:rPr>
        <w:t xml:space="preserve">Policing, Powers, Models &amp; Society </w:t>
      </w:r>
    </w:p>
    <w:p w:rsidR="00A95D75" w:rsidRDefault="00A95D75"/>
    <w:p w:rsidR="00A95D75" w:rsidRDefault="00A95D75"/>
    <w:p w:rsidR="00A95D75" w:rsidRDefault="009E709A">
      <w:pPr>
        <w:rPr>
          <w:u w:val="single"/>
        </w:rPr>
      </w:pPr>
      <w:r w:rsidRPr="009E709A">
        <w:rPr>
          <w:u w:val="single"/>
        </w:rPr>
        <w:t xml:space="preserve">Historical Theories of Crime </w:t>
      </w:r>
    </w:p>
    <w:p w:rsidR="009E709A" w:rsidRDefault="009E709A">
      <w:pPr>
        <w:rPr>
          <w:u w:val="single"/>
        </w:rPr>
      </w:pPr>
    </w:p>
    <w:p w:rsidR="002755E2" w:rsidRPr="008B45B3" w:rsidRDefault="009E709A" w:rsidP="002755E2">
      <w:pPr>
        <w:rPr>
          <w:rFonts w:ascii="Calibri" w:hAnsi="Calibri" w:cs="Calibri"/>
          <w:color w:val="000000"/>
          <w:szCs w:val="20"/>
          <w:shd w:val="clear" w:color="auto" w:fill="FFFFFF"/>
        </w:rPr>
      </w:pPr>
      <w:r w:rsidRPr="008B45B3">
        <w:rPr>
          <w:rFonts w:ascii="Calibri" w:hAnsi="Calibri" w:cs="Calibri"/>
        </w:rPr>
        <w:t xml:space="preserve">For as long as societal law has been in place and subsequently broken, </w:t>
      </w:r>
      <w:r w:rsidR="00B54B73" w:rsidRPr="008B45B3">
        <w:rPr>
          <w:rFonts w:ascii="Calibri" w:hAnsi="Calibri" w:cs="Calibri"/>
        </w:rPr>
        <w:t>scholars</w:t>
      </w:r>
      <w:r w:rsidRPr="008B45B3">
        <w:rPr>
          <w:rFonts w:ascii="Calibri" w:hAnsi="Calibri" w:cs="Calibri"/>
        </w:rPr>
        <w:t xml:space="preserve"> have theorized why people break </w:t>
      </w:r>
      <w:r w:rsidR="00B54B73" w:rsidRPr="008B45B3">
        <w:rPr>
          <w:rFonts w:ascii="Calibri" w:hAnsi="Calibri" w:cs="Calibri"/>
        </w:rPr>
        <w:t xml:space="preserve">the law and have sought deeper knowledge into the minds of criminals in order to understand and prevent future crime. </w:t>
      </w:r>
      <w:r w:rsidR="002358CE" w:rsidRPr="008B45B3">
        <w:rPr>
          <w:rFonts w:ascii="Calibri" w:hAnsi="Calibri" w:cs="Calibri"/>
        </w:rPr>
        <w:t xml:space="preserve">The first theory of crime, which stood unchallenged until 1700 AD was the Demonic Perspective. </w:t>
      </w:r>
      <w:r w:rsidR="00B912CF" w:rsidRPr="008B45B3">
        <w:rPr>
          <w:rFonts w:ascii="Calibri" w:hAnsi="Calibri" w:cs="Calibri"/>
        </w:rPr>
        <w:t xml:space="preserve">The demonic perspective is the belief that crime was caused by super-natural forces. People who subscribed to the belief of the demonic perspective believed that people who committed crimes were possessed by the devil or </w:t>
      </w:r>
      <w:r w:rsidR="002755E2" w:rsidRPr="008B45B3">
        <w:rPr>
          <w:rFonts w:ascii="Calibri" w:hAnsi="Calibri" w:cs="Calibri"/>
        </w:rPr>
        <w:t xml:space="preserve">that they were </w:t>
      </w:r>
      <w:r w:rsidR="00B912CF" w:rsidRPr="008B45B3">
        <w:rPr>
          <w:rFonts w:ascii="Calibri" w:hAnsi="Calibri" w:cs="Calibri"/>
        </w:rPr>
        <w:t xml:space="preserve">even </w:t>
      </w:r>
      <w:r w:rsidR="002755E2" w:rsidRPr="008B45B3">
        <w:rPr>
          <w:rFonts w:ascii="Calibri" w:hAnsi="Calibri" w:cs="Calibri"/>
        </w:rPr>
        <w:t xml:space="preserve">witches. </w:t>
      </w:r>
      <w:r w:rsidR="002755E2" w:rsidRPr="008B45B3">
        <w:rPr>
          <w:rFonts w:ascii="Calibri" w:hAnsi="Calibri" w:cs="Calibri"/>
          <w:color w:val="000000"/>
          <w:sz w:val="20"/>
          <w:szCs w:val="20"/>
          <w:shd w:val="clear" w:color="auto" w:fill="FFFFFF"/>
        </w:rPr>
        <w:t xml:space="preserve">(Demonology in criminology, 2014) </w:t>
      </w:r>
      <w:r w:rsidR="002755E2" w:rsidRPr="008B45B3">
        <w:rPr>
          <w:rFonts w:ascii="Calibri" w:hAnsi="Calibri" w:cs="Calibri"/>
          <w:color w:val="000000"/>
          <w:szCs w:val="20"/>
          <w:shd w:val="clear" w:color="auto" w:fill="FFFFFF"/>
        </w:rPr>
        <w:t xml:space="preserve">The authorities of the time preferred punishment and eradication of these supposed evil spirits rather than any kind of rehabilitation, and made sure to torture and kill those who have committed crimes in order to expel the evil spirits that they believed were inside them. </w:t>
      </w:r>
      <w:r w:rsidR="001552BA" w:rsidRPr="008B45B3">
        <w:rPr>
          <w:rFonts w:ascii="Calibri" w:hAnsi="Calibri" w:cs="Calibri"/>
          <w:color w:val="000000"/>
          <w:szCs w:val="20"/>
          <w:shd w:val="clear" w:color="auto" w:fill="FFFFFF"/>
        </w:rPr>
        <w:t xml:space="preserve">These tortures and executions were often done in a public manner in order to ward off evil spirits that might have possessed the people in the crowds. </w:t>
      </w:r>
    </w:p>
    <w:p w:rsidR="00C506CE" w:rsidRDefault="001552BA" w:rsidP="00C506CE">
      <w:pPr>
        <w:rPr>
          <w:rFonts w:ascii="Calibri" w:hAnsi="Calibri" w:cs="Calibri"/>
          <w:color w:val="000000"/>
          <w:szCs w:val="20"/>
          <w:shd w:val="clear" w:color="auto" w:fill="FFFFFF"/>
        </w:rPr>
      </w:pPr>
      <w:r w:rsidRPr="008B45B3">
        <w:rPr>
          <w:rFonts w:ascii="Calibri" w:hAnsi="Calibri" w:cs="Calibri"/>
          <w:color w:val="000000"/>
          <w:szCs w:val="20"/>
          <w:shd w:val="clear" w:color="auto" w:fill="FFFFFF"/>
        </w:rPr>
        <w:t xml:space="preserve">The first modern crime theory was introduced in 1764 </w:t>
      </w:r>
      <w:r w:rsidR="00C506CE" w:rsidRPr="008B45B3">
        <w:rPr>
          <w:rFonts w:ascii="Calibri" w:hAnsi="Calibri" w:cs="Calibri"/>
          <w:color w:val="000000"/>
          <w:szCs w:val="20"/>
          <w:shd w:val="clear" w:color="auto" w:fill="FFFFFF"/>
        </w:rPr>
        <w:t>by Cesare Beccaria and is called the Classical Theory. The Classical Theory essentially states that people want</w:t>
      </w:r>
      <w:r w:rsidR="00C506CE">
        <w:rPr>
          <w:rFonts w:ascii="Calibri" w:hAnsi="Calibri" w:cs="Calibri"/>
          <w:color w:val="000000"/>
          <w:szCs w:val="20"/>
          <w:shd w:val="clear" w:color="auto" w:fill="FFFFFF"/>
        </w:rPr>
        <w:t xml:space="preserve"> to pursue their own selfish interests and that they would only be deterred by committing a crime that furthered their interests if the punishment was swift, certain and severe. </w:t>
      </w:r>
      <w:r w:rsidR="00C506CE" w:rsidRPr="00C506CE">
        <w:rPr>
          <w:rFonts w:ascii="Arial" w:hAnsi="Arial" w:cs="Arial"/>
          <w:color w:val="000000"/>
          <w:sz w:val="20"/>
          <w:szCs w:val="20"/>
          <w:shd w:val="clear" w:color="auto" w:fill="FFFFFF"/>
        </w:rPr>
        <w:t>(Cullen and Wilcox, 2010)</w:t>
      </w:r>
      <w:r w:rsidR="00C506CE">
        <w:rPr>
          <w:rFonts w:ascii="Arial" w:hAnsi="Arial" w:cs="Arial"/>
          <w:color w:val="000000"/>
          <w:sz w:val="20"/>
          <w:szCs w:val="20"/>
          <w:shd w:val="clear" w:color="auto" w:fill="FFFFFF"/>
        </w:rPr>
        <w:t xml:space="preserve"> </w:t>
      </w:r>
      <w:r w:rsidR="00C506CE" w:rsidRPr="00C506CE">
        <w:rPr>
          <w:rFonts w:ascii="Calibri" w:hAnsi="Calibri" w:cs="Calibri"/>
          <w:color w:val="000000"/>
          <w:szCs w:val="20"/>
          <w:shd w:val="clear" w:color="auto" w:fill="FFFFFF"/>
        </w:rPr>
        <w:t xml:space="preserve">Beccaria is </w:t>
      </w:r>
      <w:r w:rsidR="00022D4B">
        <w:rPr>
          <w:rFonts w:ascii="Calibri" w:hAnsi="Calibri" w:cs="Calibri"/>
          <w:color w:val="000000"/>
          <w:szCs w:val="20"/>
          <w:shd w:val="clear" w:color="auto" w:fill="FFFFFF"/>
        </w:rPr>
        <w:t xml:space="preserve">subsequently questioning whether people are inherently good or evil with his theory, as the Classical Theory says that without that swift, certain and severe punishment being there, people would commit crimes to further their own selfish interests. </w:t>
      </w:r>
      <w:r w:rsidR="00324A2C">
        <w:rPr>
          <w:rFonts w:ascii="Calibri" w:hAnsi="Calibri" w:cs="Calibri"/>
          <w:color w:val="000000"/>
          <w:szCs w:val="20"/>
          <w:shd w:val="clear" w:color="auto" w:fill="FFFFFF"/>
        </w:rPr>
        <w:t xml:space="preserve">The change in theory from </w:t>
      </w:r>
      <w:r w:rsidR="007063A0">
        <w:rPr>
          <w:rFonts w:ascii="Calibri" w:hAnsi="Calibri" w:cs="Calibri"/>
          <w:color w:val="000000"/>
          <w:szCs w:val="20"/>
          <w:shd w:val="clear" w:color="auto" w:fill="FFFFFF"/>
        </w:rPr>
        <w:t xml:space="preserve">the Demonic Perspective to the Classical Theory is a huge shift in perspective as scholars transitioned from believing that criminals were influenced by external factors like demons and evil spirits, to internal factors and human greed. </w:t>
      </w:r>
    </w:p>
    <w:p w:rsidR="0009563C" w:rsidRDefault="007063A0" w:rsidP="00C506CE">
      <w:p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In 1876, Cesare </w:t>
      </w:r>
      <w:proofErr w:type="spellStart"/>
      <w:r>
        <w:rPr>
          <w:rFonts w:ascii="Calibri" w:hAnsi="Calibri" w:cs="Calibri"/>
          <w:color w:val="000000"/>
          <w:szCs w:val="20"/>
          <w:shd w:val="clear" w:color="auto" w:fill="FFFFFF"/>
        </w:rPr>
        <w:t>Lombrosso</w:t>
      </w:r>
      <w:proofErr w:type="spellEnd"/>
      <w:r>
        <w:rPr>
          <w:rFonts w:ascii="Calibri" w:hAnsi="Calibri" w:cs="Calibri"/>
          <w:color w:val="000000"/>
          <w:szCs w:val="20"/>
          <w:shd w:val="clear" w:color="auto" w:fill="FFFFFF"/>
        </w:rPr>
        <w:t xml:space="preserve"> published the Positivist Theory. This theory suggested that people committed crimes because their </w:t>
      </w:r>
      <w:r w:rsidR="0009563C">
        <w:rPr>
          <w:rFonts w:ascii="Calibri" w:hAnsi="Calibri" w:cs="Calibri"/>
          <w:color w:val="000000"/>
          <w:szCs w:val="20"/>
          <w:shd w:val="clear" w:color="auto" w:fill="FFFFFF"/>
        </w:rPr>
        <w:t xml:space="preserve">genetic makeup, more specifically, their relation to Neanderthals. </w:t>
      </w:r>
      <w:proofErr w:type="spellStart"/>
      <w:r w:rsidR="0009563C">
        <w:rPr>
          <w:rFonts w:ascii="Calibri" w:hAnsi="Calibri" w:cs="Calibri"/>
          <w:color w:val="000000"/>
          <w:szCs w:val="20"/>
          <w:shd w:val="clear" w:color="auto" w:fill="FFFFFF"/>
        </w:rPr>
        <w:t>Lombrosso</w:t>
      </w:r>
      <w:proofErr w:type="spellEnd"/>
      <w:r w:rsidR="0009563C">
        <w:rPr>
          <w:rFonts w:ascii="Calibri" w:hAnsi="Calibri" w:cs="Calibri"/>
          <w:color w:val="000000"/>
          <w:szCs w:val="20"/>
          <w:shd w:val="clear" w:color="auto" w:fill="FFFFFF"/>
        </w:rPr>
        <w:t xml:space="preserve"> claimed that you could see which people had Neanderthal DNA by characteristics such as:</w:t>
      </w:r>
    </w:p>
    <w:p w:rsidR="0009563C" w:rsidRDefault="0009563C" w:rsidP="0009563C">
      <w:pPr>
        <w:pStyle w:val="ListParagraph"/>
        <w:numPr>
          <w:ilvl w:val="0"/>
          <w:numId w:val="1"/>
        </w:numPr>
        <w:rPr>
          <w:rFonts w:ascii="Calibri" w:hAnsi="Calibri" w:cs="Calibri"/>
          <w:color w:val="000000"/>
          <w:szCs w:val="20"/>
          <w:shd w:val="clear" w:color="auto" w:fill="FFFFFF"/>
        </w:rPr>
      </w:pPr>
      <w:r>
        <w:rPr>
          <w:rFonts w:ascii="Calibri" w:hAnsi="Calibri" w:cs="Calibri"/>
          <w:color w:val="000000"/>
          <w:szCs w:val="20"/>
          <w:shd w:val="clear" w:color="auto" w:fill="FFFFFF"/>
        </w:rPr>
        <w:t>Large jaw and cheek bones</w:t>
      </w:r>
    </w:p>
    <w:p w:rsidR="0009563C" w:rsidRDefault="0009563C" w:rsidP="0009563C">
      <w:pPr>
        <w:pStyle w:val="ListParagraph"/>
        <w:numPr>
          <w:ilvl w:val="0"/>
          <w:numId w:val="1"/>
        </w:num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Swollen/ protruding lips </w:t>
      </w:r>
    </w:p>
    <w:p w:rsidR="0009563C" w:rsidRDefault="0009563C" w:rsidP="0009563C">
      <w:pPr>
        <w:pStyle w:val="ListParagraph"/>
        <w:numPr>
          <w:ilvl w:val="0"/>
          <w:numId w:val="1"/>
        </w:num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An arm span greater than the individual’s height </w:t>
      </w:r>
    </w:p>
    <w:p w:rsidR="0009563C" w:rsidRDefault="0009563C" w:rsidP="0009563C">
      <w:pPr>
        <w:pStyle w:val="ListParagraph"/>
        <w:numPr>
          <w:ilvl w:val="0"/>
          <w:numId w:val="1"/>
        </w:num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Excessive wrinkling </w:t>
      </w:r>
    </w:p>
    <w:p w:rsidR="0009563C" w:rsidRPr="0009563C" w:rsidRDefault="0009563C" w:rsidP="0009563C">
      <w:pPr>
        <w:pStyle w:val="ListParagraph"/>
        <w:numPr>
          <w:ilvl w:val="0"/>
          <w:numId w:val="1"/>
        </w:numPr>
      </w:pPr>
      <w:r w:rsidRPr="0009563C">
        <w:rPr>
          <w:rFonts w:ascii="Calibri" w:hAnsi="Calibri" w:cs="Calibri"/>
          <w:color w:val="000000"/>
          <w:szCs w:val="20"/>
          <w:shd w:val="clear" w:color="auto" w:fill="FFFFFF"/>
        </w:rPr>
        <w:t xml:space="preserve">Prehensile feet </w:t>
      </w:r>
      <w:r w:rsidRPr="0009563C">
        <w:rPr>
          <w:rFonts w:ascii="Arial" w:hAnsi="Arial" w:cs="Arial"/>
          <w:color w:val="000000"/>
          <w:sz w:val="20"/>
          <w:szCs w:val="20"/>
          <w:shd w:val="clear" w:color="auto" w:fill="FFFFFF"/>
        </w:rPr>
        <w:t>(Organized Crime Module 6 Key Issues: Positivism - Environmental Influences, 2019)</w:t>
      </w:r>
    </w:p>
    <w:p w:rsidR="0009563C" w:rsidRDefault="0009563C" w:rsidP="0009563C">
      <w:pPr>
        <w:rPr>
          <w:rFonts w:ascii="Calibri" w:hAnsi="Calibri" w:cs="Calibri"/>
          <w:color w:val="000000"/>
          <w:szCs w:val="20"/>
          <w:shd w:val="clear" w:color="auto" w:fill="FFFFFF"/>
        </w:rPr>
      </w:pPr>
    </w:p>
    <w:p w:rsidR="0009563C" w:rsidRDefault="0009563C" w:rsidP="0009563C">
      <w:p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While </w:t>
      </w:r>
      <w:proofErr w:type="spellStart"/>
      <w:r>
        <w:rPr>
          <w:rFonts w:ascii="Calibri" w:hAnsi="Calibri" w:cs="Calibri"/>
          <w:color w:val="000000"/>
          <w:szCs w:val="20"/>
          <w:shd w:val="clear" w:color="auto" w:fill="FFFFFF"/>
        </w:rPr>
        <w:t>Lombrosso’s</w:t>
      </w:r>
      <w:proofErr w:type="spellEnd"/>
      <w:r>
        <w:rPr>
          <w:rFonts w:ascii="Calibri" w:hAnsi="Calibri" w:cs="Calibri"/>
          <w:color w:val="000000"/>
          <w:szCs w:val="20"/>
          <w:shd w:val="clear" w:color="auto" w:fill="FFFFFF"/>
        </w:rPr>
        <w:t xml:space="preserve"> Positivist Theory cannot be seen in the original sense in today’s society, </w:t>
      </w:r>
      <w:r w:rsidR="00A11F17">
        <w:rPr>
          <w:rFonts w:ascii="Calibri" w:hAnsi="Calibri" w:cs="Calibri"/>
          <w:color w:val="000000"/>
          <w:szCs w:val="20"/>
          <w:shd w:val="clear" w:color="auto" w:fill="FFFFFF"/>
        </w:rPr>
        <w:t xml:space="preserve">there are however similarities that can be drawn from </w:t>
      </w:r>
      <w:proofErr w:type="spellStart"/>
      <w:r w:rsidR="00A11F17">
        <w:rPr>
          <w:rFonts w:ascii="Calibri" w:hAnsi="Calibri" w:cs="Calibri"/>
          <w:color w:val="000000"/>
          <w:szCs w:val="20"/>
          <w:shd w:val="clear" w:color="auto" w:fill="FFFFFF"/>
        </w:rPr>
        <w:t>Lombrosso’s</w:t>
      </w:r>
      <w:proofErr w:type="spellEnd"/>
      <w:r w:rsidR="00A11F17">
        <w:rPr>
          <w:rFonts w:ascii="Calibri" w:hAnsi="Calibri" w:cs="Calibri"/>
          <w:color w:val="000000"/>
          <w:szCs w:val="20"/>
          <w:shd w:val="clear" w:color="auto" w:fill="FFFFFF"/>
        </w:rPr>
        <w:t xml:space="preserve"> theory to the modern day. Instead of judging people’s criminality from physical features, the colour of someone’s skin is often used instead, with racial profiling against black people being rife in Western society. </w:t>
      </w:r>
    </w:p>
    <w:p w:rsidR="00A11F17" w:rsidRDefault="00A11F17" w:rsidP="0009563C">
      <w:pPr>
        <w:rPr>
          <w:rFonts w:ascii="Calibri" w:hAnsi="Calibri" w:cs="Calibri"/>
          <w:color w:val="000000"/>
          <w:szCs w:val="20"/>
          <w:shd w:val="clear" w:color="auto" w:fill="FFFFFF"/>
        </w:rPr>
      </w:pPr>
    </w:p>
    <w:p w:rsidR="00A11F17" w:rsidRDefault="00A11F17" w:rsidP="0009563C">
      <w:pPr>
        <w:rPr>
          <w:rFonts w:ascii="Calibri" w:hAnsi="Calibri" w:cs="Calibri"/>
          <w:color w:val="000000"/>
          <w:szCs w:val="20"/>
          <w:shd w:val="clear" w:color="auto" w:fill="FFFFFF"/>
        </w:rPr>
      </w:pPr>
    </w:p>
    <w:p w:rsidR="00A11F17" w:rsidRDefault="00A11F17" w:rsidP="0009563C">
      <w:pPr>
        <w:rPr>
          <w:rFonts w:ascii="Calibri" w:hAnsi="Calibri" w:cs="Calibri"/>
          <w:color w:val="000000"/>
          <w:szCs w:val="20"/>
          <w:shd w:val="clear" w:color="auto" w:fill="FFFFFF"/>
        </w:rPr>
      </w:pPr>
      <w:r>
        <w:rPr>
          <w:rFonts w:ascii="Calibri" w:hAnsi="Calibri" w:cs="Calibri"/>
          <w:color w:val="000000"/>
          <w:szCs w:val="20"/>
          <w:shd w:val="clear" w:color="auto" w:fill="FFFFFF"/>
        </w:rPr>
        <w:lastRenderedPageBreak/>
        <w:t>In 1939, Sutherland and Cressey published their theory of Differential Association, which suggests that crime is learned from one person to another through inter-personal communication. Edwin Sutherland summarized his theory of Differential Association with 9 different propositions:</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All 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is learned.</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is learned through interactions with others via a process of communication.</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Most learning about 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happens in intimate personal groups and relationships.</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The process of learning 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may include learning about techniques to carry out the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as well as the motives and rationalizations that would justify criminal activity and the attitudes necessary to orient an individual towards such activity.</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The direction of motives and drives towards 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is learned through the interpretation of legal codes in one’s geographical area as </w:t>
      </w:r>
      <w:proofErr w:type="spellStart"/>
      <w:r w:rsidRPr="001E643D">
        <w:rPr>
          <w:rFonts w:ascii="Calibri" w:hAnsi="Calibri" w:cs="Calibri"/>
          <w:i/>
          <w:color w:val="000000" w:themeColor="text1"/>
          <w:sz w:val="21"/>
          <w:szCs w:val="26"/>
        </w:rPr>
        <w:t>favorable</w:t>
      </w:r>
      <w:proofErr w:type="spellEnd"/>
      <w:r w:rsidRPr="001E643D">
        <w:rPr>
          <w:rFonts w:ascii="Calibri" w:hAnsi="Calibri" w:cs="Calibri"/>
          <w:i/>
          <w:color w:val="000000" w:themeColor="text1"/>
          <w:sz w:val="21"/>
          <w:szCs w:val="26"/>
        </w:rPr>
        <w:t xml:space="preserve"> or </w:t>
      </w:r>
      <w:proofErr w:type="spellStart"/>
      <w:r w:rsidRPr="001E643D">
        <w:rPr>
          <w:rFonts w:ascii="Calibri" w:hAnsi="Calibri" w:cs="Calibri"/>
          <w:i/>
          <w:color w:val="000000" w:themeColor="text1"/>
          <w:sz w:val="21"/>
          <w:szCs w:val="26"/>
        </w:rPr>
        <w:t>unfavorable</w:t>
      </w:r>
      <w:proofErr w:type="spellEnd"/>
      <w:r w:rsidRPr="001E643D">
        <w:rPr>
          <w:rFonts w:ascii="Calibri" w:hAnsi="Calibri" w:cs="Calibri"/>
          <w:i/>
          <w:color w:val="000000" w:themeColor="text1"/>
          <w:sz w:val="21"/>
          <w:szCs w:val="26"/>
        </w:rPr>
        <w:t>.</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When the number of </w:t>
      </w:r>
      <w:proofErr w:type="spellStart"/>
      <w:r w:rsidRPr="001E643D">
        <w:rPr>
          <w:rFonts w:ascii="Calibri" w:hAnsi="Calibri" w:cs="Calibri"/>
          <w:i/>
          <w:color w:val="000000" w:themeColor="text1"/>
          <w:sz w:val="21"/>
          <w:szCs w:val="26"/>
        </w:rPr>
        <w:t>favorable</w:t>
      </w:r>
      <w:proofErr w:type="spellEnd"/>
      <w:r w:rsidRPr="001E643D">
        <w:rPr>
          <w:rFonts w:ascii="Calibri" w:hAnsi="Calibri" w:cs="Calibri"/>
          <w:i/>
          <w:color w:val="000000" w:themeColor="text1"/>
          <w:sz w:val="21"/>
          <w:szCs w:val="26"/>
        </w:rPr>
        <w:t xml:space="preserve"> interpretations that support violating the law outweigh the </w:t>
      </w:r>
      <w:proofErr w:type="spellStart"/>
      <w:r w:rsidRPr="001E643D">
        <w:rPr>
          <w:rFonts w:ascii="Calibri" w:hAnsi="Calibri" w:cs="Calibri"/>
          <w:i/>
          <w:color w:val="000000" w:themeColor="text1"/>
          <w:sz w:val="21"/>
          <w:szCs w:val="26"/>
        </w:rPr>
        <w:t>unfavorable</w:t>
      </w:r>
      <w:proofErr w:type="spellEnd"/>
      <w:r w:rsidRPr="001E643D">
        <w:rPr>
          <w:rFonts w:ascii="Calibri" w:hAnsi="Calibri" w:cs="Calibri"/>
          <w:i/>
          <w:color w:val="000000" w:themeColor="text1"/>
          <w:sz w:val="21"/>
          <w:szCs w:val="26"/>
        </w:rPr>
        <w:t xml:space="preserve"> interpretations that don’t, an individual will choose to become a criminal.</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All differential associations aren’t equal. They can vary in frequency, intensity, priority, and duration.</w:t>
      </w:r>
    </w:p>
    <w:p w:rsidR="001E643D" w:rsidRP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The process of learning criminal </w:t>
      </w:r>
      <w:proofErr w:type="spellStart"/>
      <w:r w:rsidRPr="001E643D">
        <w:rPr>
          <w:rFonts w:ascii="Calibri" w:hAnsi="Calibri" w:cs="Calibri"/>
          <w:i/>
          <w:color w:val="000000" w:themeColor="text1"/>
          <w:sz w:val="21"/>
          <w:szCs w:val="26"/>
        </w:rPr>
        <w:t>behaviors</w:t>
      </w:r>
      <w:proofErr w:type="spellEnd"/>
      <w:r w:rsidRPr="001E643D">
        <w:rPr>
          <w:rFonts w:ascii="Calibri" w:hAnsi="Calibri" w:cs="Calibri"/>
          <w:i/>
          <w:color w:val="000000" w:themeColor="text1"/>
          <w:sz w:val="21"/>
          <w:szCs w:val="26"/>
        </w:rPr>
        <w:t xml:space="preserve"> through interactions with others relies on the same mechanisms that are used in learning about any other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w:t>
      </w:r>
    </w:p>
    <w:p w:rsidR="001E643D" w:rsidRDefault="001E643D" w:rsidP="001E643D">
      <w:pPr>
        <w:numPr>
          <w:ilvl w:val="0"/>
          <w:numId w:val="3"/>
        </w:numPr>
        <w:spacing w:before="100" w:beforeAutospacing="1" w:after="100" w:afterAutospacing="1"/>
        <w:textAlignment w:val="baseline"/>
        <w:rPr>
          <w:rFonts w:ascii="Calibri" w:hAnsi="Calibri" w:cs="Calibri"/>
          <w:i/>
          <w:color w:val="000000" w:themeColor="text1"/>
          <w:sz w:val="21"/>
          <w:szCs w:val="26"/>
        </w:rPr>
      </w:pPr>
      <w:r w:rsidRPr="001E643D">
        <w:rPr>
          <w:rFonts w:ascii="Calibri" w:hAnsi="Calibri" w:cs="Calibri"/>
          <w:i/>
          <w:color w:val="000000" w:themeColor="text1"/>
          <w:sz w:val="21"/>
          <w:szCs w:val="26"/>
        </w:rPr>
        <w:t xml:space="preserve">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could be an expression of generalized needs and values, but they don’t explain the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because non-criminal </w:t>
      </w:r>
      <w:proofErr w:type="spellStart"/>
      <w:r w:rsidRPr="001E643D">
        <w:rPr>
          <w:rFonts w:ascii="Calibri" w:hAnsi="Calibri" w:cs="Calibri"/>
          <w:i/>
          <w:color w:val="000000" w:themeColor="text1"/>
          <w:sz w:val="21"/>
          <w:szCs w:val="26"/>
        </w:rPr>
        <w:t>behavior</w:t>
      </w:r>
      <w:proofErr w:type="spellEnd"/>
      <w:r w:rsidRPr="001E643D">
        <w:rPr>
          <w:rFonts w:ascii="Calibri" w:hAnsi="Calibri" w:cs="Calibri"/>
          <w:i/>
          <w:color w:val="000000" w:themeColor="text1"/>
          <w:sz w:val="21"/>
          <w:szCs w:val="26"/>
        </w:rPr>
        <w:t xml:space="preserve"> expresses the same needs and values. (Sutherland, 1939.)</w:t>
      </w:r>
    </w:p>
    <w:p w:rsidR="001E643D" w:rsidRDefault="001E643D" w:rsidP="001E643D">
      <w:pPr>
        <w:rPr>
          <w:rFonts w:ascii="Calibri" w:hAnsi="Calibri" w:cs="Calibri"/>
          <w:color w:val="000000" w:themeColor="text1"/>
          <w:szCs w:val="26"/>
        </w:rPr>
      </w:pPr>
      <w:r>
        <w:rPr>
          <w:rFonts w:ascii="Calibri" w:hAnsi="Calibri" w:cs="Calibri"/>
          <w:color w:val="000000" w:themeColor="text1"/>
          <w:szCs w:val="26"/>
        </w:rPr>
        <w:t xml:space="preserve">Sutherland and Cressey’s theory </w:t>
      </w:r>
      <w:proofErr w:type="gramStart"/>
      <w:r>
        <w:rPr>
          <w:rFonts w:ascii="Calibri" w:hAnsi="Calibri" w:cs="Calibri"/>
          <w:color w:val="000000" w:themeColor="text1"/>
          <w:szCs w:val="26"/>
        </w:rPr>
        <w:t>explains</w:t>
      </w:r>
      <w:proofErr w:type="gramEnd"/>
      <w:r>
        <w:rPr>
          <w:rFonts w:ascii="Calibri" w:hAnsi="Calibri" w:cs="Calibri"/>
          <w:color w:val="000000" w:themeColor="text1"/>
          <w:szCs w:val="26"/>
        </w:rPr>
        <w:t xml:space="preserve"> that criminal behaviour is taught through strictly inter-personal communication and cannot be learned through simply observing criminal activity as an outsider. The Differential Association theory says that young people who interact with delinquents are very likely to become delinquent themselves. </w:t>
      </w:r>
      <w:r w:rsidRPr="001E643D">
        <w:rPr>
          <w:rFonts w:ascii="Arial" w:hAnsi="Arial" w:cs="Arial"/>
          <w:color w:val="000000"/>
          <w:sz w:val="20"/>
          <w:szCs w:val="20"/>
          <w:shd w:val="clear" w:color="auto" w:fill="FFFFFF"/>
        </w:rPr>
        <w:t>(Vinney, 2019)</w:t>
      </w:r>
    </w:p>
    <w:p w:rsidR="001E643D" w:rsidRDefault="001E643D" w:rsidP="001E643D">
      <w:pPr>
        <w:rPr>
          <w:rFonts w:ascii="Calibri" w:hAnsi="Calibri" w:cs="Calibri"/>
          <w:color w:val="000000" w:themeColor="text1"/>
          <w:szCs w:val="26"/>
        </w:rPr>
      </w:pPr>
      <w:r>
        <w:rPr>
          <w:rFonts w:ascii="Calibri" w:hAnsi="Calibri" w:cs="Calibri"/>
          <w:color w:val="000000" w:themeColor="text1"/>
          <w:szCs w:val="26"/>
        </w:rPr>
        <w:t xml:space="preserve">While Sutherland and Cressey’s theory is adamant that one cannot </w:t>
      </w:r>
      <w:r w:rsidR="008D63C5">
        <w:rPr>
          <w:rFonts w:ascii="Calibri" w:hAnsi="Calibri" w:cs="Calibri"/>
          <w:color w:val="000000" w:themeColor="text1"/>
          <w:szCs w:val="26"/>
        </w:rPr>
        <w:t>acquire</w:t>
      </w:r>
      <w:r>
        <w:rPr>
          <w:rFonts w:ascii="Calibri" w:hAnsi="Calibri" w:cs="Calibri"/>
          <w:color w:val="000000" w:themeColor="text1"/>
          <w:szCs w:val="26"/>
        </w:rPr>
        <w:t xml:space="preserve"> criminal behaviour through simple observation of </w:t>
      </w:r>
      <w:r w:rsidR="008D63C5">
        <w:rPr>
          <w:rFonts w:ascii="Calibri" w:hAnsi="Calibri" w:cs="Calibri"/>
          <w:color w:val="000000" w:themeColor="text1"/>
          <w:szCs w:val="26"/>
        </w:rPr>
        <w:t xml:space="preserve">criminal behaviour, it is important to realise that this theory was published before the mass explosion of films and video-games that are gratuitously violent and often marketed to younger and therefore, more impressionable people. </w:t>
      </w:r>
    </w:p>
    <w:p w:rsidR="008D63C5" w:rsidRDefault="008D63C5" w:rsidP="001E643D">
      <w:pPr>
        <w:rPr>
          <w:rFonts w:ascii="Calibri" w:hAnsi="Calibri" w:cs="Calibri"/>
          <w:color w:val="000000" w:themeColor="text1"/>
          <w:szCs w:val="26"/>
        </w:rPr>
      </w:pPr>
    </w:p>
    <w:p w:rsidR="008D63C5" w:rsidRDefault="008D63C5" w:rsidP="001E643D">
      <w:pPr>
        <w:rPr>
          <w:rFonts w:ascii="Calibri" w:hAnsi="Calibri" w:cs="Calibri"/>
          <w:color w:val="000000" w:themeColor="text1"/>
          <w:szCs w:val="26"/>
        </w:rPr>
      </w:pPr>
      <w:r>
        <w:rPr>
          <w:rFonts w:ascii="Calibri" w:hAnsi="Calibri" w:cs="Calibri"/>
          <w:color w:val="000000" w:themeColor="text1"/>
          <w:szCs w:val="26"/>
        </w:rPr>
        <w:t xml:space="preserve">According to a journal published by the American Academy of Paediatrics, there is a link between young people who consume violent media and subsequent violent behaviour. </w:t>
      </w:r>
    </w:p>
    <w:p w:rsidR="008D63C5" w:rsidRPr="008D63C5" w:rsidRDefault="008D63C5" w:rsidP="008D63C5">
      <w:pPr>
        <w:pStyle w:val="Quote"/>
        <w:rPr>
          <w:rFonts w:ascii="Calibri" w:hAnsi="Calibri" w:cs="Calibri"/>
          <w:sz w:val="22"/>
        </w:rPr>
      </w:pPr>
    </w:p>
    <w:p w:rsidR="008D63C5" w:rsidRDefault="008D63C5" w:rsidP="008D63C5">
      <w:pPr>
        <w:jc w:val="center"/>
        <w:rPr>
          <w:rStyle w:val="QuoteChar"/>
        </w:rPr>
      </w:pPr>
      <w:r w:rsidRPr="008D63C5">
        <w:rPr>
          <w:rStyle w:val="QuoteChar"/>
        </w:rPr>
        <w:t xml:space="preserve">‘Five percent of youths reported engaging in seriously violent </w:t>
      </w:r>
      <w:proofErr w:type="spellStart"/>
      <w:r w:rsidRPr="008D63C5">
        <w:rPr>
          <w:rStyle w:val="QuoteChar"/>
        </w:rPr>
        <w:t>behavior</w:t>
      </w:r>
      <w:proofErr w:type="spellEnd"/>
      <w:r w:rsidRPr="008D63C5">
        <w:rPr>
          <w:rStyle w:val="QuoteChar"/>
        </w:rPr>
        <w:t xml:space="preserve"> in the past 12 months. Thirty-eight percent reported exposure to violence online. Exposures to violence in the media, both online and off-line, were associated with significantly elevated odds for concurrently reporting seriously violent </w:t>
      </w:r>
      <w:proofErr w:type="spellStart"/>
      <w:r w:rsidRPr="008D63C5">
        <w:rPr>
          <w:rStyle w:val="QuoteChar"/>
        </w:rPr>
        <w:t>behavior</w:t>
      </w:r>
      <w:proofErr w:type="spellEnd"/>
      <w:r w:rsidRPr="008D63C5">
        <w:rPr>
          <w:rStyle w:val="QuoteChar"/>
        </w:rPr>
        <w:t xml:space="preserve">. Compared with otherwise similar youths, those who indicated that many, most, or all of the Web sites they visited depicted real people engaged in violent </w:t>
      </w:r>
      <w:proofErr w:type="spellStart"/>
      <w:r w:rsidRPr="008D63C5">
        <w:rPr>
          <w:rStyle w:val="QuoteChar"/>
        </w:rPr>
        <w:t>behavior</w:t>
      </w:r>
      <w:proofErr w:type="spellEnd"/>
      <w:r w:rsidRPr="008D63C5">
        <w:rPr>
          <w:rStyle w:val="QuoteChar"/>
        </w:rPr>
        <w:t xml:space="preserve"> were significantly more likely to report seriously violent </w:t>
      </w:r>
      <w:proofErr w:type="spellStart"/>
      <w:r w:rsidRPr="008D63C5">
        <w:rPr>
          <w:rStyle w:val="QuoteChar"/>
        </w:rPr>
        <w:t>behavior</w:t>
      </w:r>
      <w:proofErr w:type="spellEnd"/>
      <w:r w:rsidRPr="008D63C5">
        <w:rPr>
          <w:rStyle w:val="QuoteChar"/>
        </w:rPr>
        <w:t xml:space="preserve">. After adjustment for underlying differences in youth characteristics, respondents' alcohol use, propensity to respond to stimuli with anger, delinquent peers, parental monitoring, and exposures to violence in the community also were associated with significantly increased odds of concurrently reporting seriously violent </w:t>
      </w:r>
      <w:proofErr w:type="spellStart"/>
      <w:r w:rsidRPr="008D63C5">
        <w:rPr>
          <w:rStyle w:val="QuoteChar"/>
        </w:rPr>
        <w:t>behavior</w:t>
      </w:r>
      <w:proofErr w:type="spellEnd"/>
      <w:r w:rsidRPr="008D63C5">
        <w:rPr>
          <w:rStyle w:val="QuoteChar"/>
        </w:rPr>
        <w:t>.’</w:t>
      </w:r>
    </w:p>
    <w:p w:rsidR="008D63C5" w:rsidRPr="008D63C5" w:rsidRDefault="008D63C5" w:rsidP="008D63C5">
      <w:r w:rsidRPr="008D63C5">
        <w:rPr>
          <w:rStyle w:val="QuoteChar"/>
        </w:rPr>
        <w:t>(</w:t>
      </w:r>
      <w:r w:rsidRPr="008D63C5">
        <w:rPr>
          <w:rFonts w:ascii="Arial" w:hAnsi="Arial" w:cs="Arial"/>
          <w:color w:val="000000"/>
          <w:sz w:val="20"/>
          <w:szCs w:val="20"/>
          <w:shd w:val="clear" w:color="auto" w:fill="FFFFFF"/>
        </w:rPr>
        <w:t>Ybarra et al., 2008)</w:t>
      </w:r>
    </w:p>
    <w:p w:rsidR="008D63C5" w:rsidRPr="008D63C5" w:rsidRDefault="008D63C5" w:rsidP="008D63C5">
      <w:pPr>
        <w:pStyle w:val="Quote"/>
        <w:rPr>
          <w:rFonts w:ascii="Calibri" w:hAnsi="Calibri" w:cs="Calibri"/>
          <w:color w:val="000000"/>
          <w:sz w:val="20"/>
          <w:szCs w:val="21"/>
        </w:rPr>
      </w:pPr>
    </w:p>
    <w:p w:rsidR="008D63C5" w:rsidRPr="008D63C5" w:rsidRDefault="008D63C5" w:rsidP="008D63C5"/>
    <w:p w:rsidR="008D63C5" w:rsidRPr="001E643D" w:rsidRDefault="008D63C5" w:rsidP="001E643D">
      <w:pPr>
        <w:rPr>
          <w:rFonts w:ascii="Calibri" w:hAnsi="Calibri" w:cs="Calibri"/>
          <w:color w:val="000000" w:themeColor="text1"/>
          <w:szCs w:val="26"/>
        </w:rPr>
      </w:pPr>
    </w:p>
    <w:p w:rsidR="00232896" w:rsidRPr="00232896" w:rsidRDefault="004E0F4A" w:rsidP="00232896">
      <w:r>
        <w:rPr>
          <w:rFonts w:ascii="Calibri" w:hAnsi="Calibri" w:cs="Calibri"/>
          <w:color w:val="000000"/>
          <w:szCs w:val="20"/>
          <w:shd w:val="clear" w:color="auto" w:fill="FFFFFF"/>
        </w:rPr>
        <w:t xml:space="preserve">The link between consumption of violent media and delinquent behaviour has not just been found in the journal published by the American Academy of </w:t>
      </w:r>
      <w:r w:rsidR="00232896">
        <w:rPr>
          <w:rFonts w:ascii="Calibri" w:hAnsi="Calibri" w:cs="Calibri"/>
          <w:color w:val="000000"/>
          <w:szCs w:val="20"/>
          <w:shd w:val="clear" w:color="auto" w:fill="FFFFFF"/>
        </w:rPr>
        <w:t xml:space="preserve">Paediatrics, but by various other studies as well, including a 2014 journal by the American Psychological Association. </w:t>
      </w:r>
      <w:r w:rsidR="00232896" w:rsidRPr="00232896">
        <w:rPr>
          <w:rFonts w:ascii="Arial" w:hAnsi="Arial" w:cs="Arial"/>
          <w:color w:val="000000"/>
          <w:sz w:val="20"/>
          <w:szCs w:val="20"/>
          <w:shd w:val="clear" w:color="auto" w:fill="FFFFFF"/>
        </w:rPr>
        <w:t>(Bushman, Gollwitzer and Cruz, 2014)</w:t>
      </w:r>
    </w:p>
    <w:p w:rsidR="00A11F17" w:rsidRDefault="00A11F17" w:rsidP="0009563C">
      <w:pPr>
        <w:rPr>
          <w:rFonts w:ascii="Calibri" w:hAnsi="Calibri" w:cs="Calibri"/>
          <w:color w:val="000000"/>
          <w:szCs w:val="20"/>
          <w:shd w:val="clear" w:color="auto" w:fill="FFFFFF"/>
        </w:rPr>
      </w:pPr>
    </w:p>
    <w:p w:rsidR="00232896" w:rsidRDefault="00232896" w:rsidP="0009563C">
      <w:p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While it is important to realise that correlation does not necessarily equal </w:t>
      </w:r>
      <w:r w:rsidR="00811D6A">
        <w:rPr>
          <w:rFonts w:ascii="Calibri" w:hAnsi="Calibri" w:cs="Calibri"/>
          <w:color w:val="000000"/>
          <w:szCs w:val="20"/>
          <w:shd w:val="clear" w:color="auto" w:fill="FFFFFF"/>
        </w:rPr>
        <w:t>causation, the</w:t>
      </w:r>
      <w:r>
        <w:rPr>
          <w:rFonts w:ascii="Calibri" w:hAnsi="Calibri" w:cs="Calibri"/>
          <w:color w:val="000000"/>
          <w:szCs w:val="20"/>
          <w:shd w:val="clear" w:color="auto" w:fill="FFFFFF"/>
        </w:rPr>
        <w:t xml:space="preserve"> findings from these studies seem to contradict Sutherland and Cressey’s theory that criminal behaviour can only be taught through inter-personal communication.</w:t>
      </w:r>
    </w:p>
    <w:p w:rsidR="00811D6A" w:rsidRDefault="00811D6A" w:rsidP="0009563C">
      <w:pPr>
        <w:rPr>
          <w:rFonts w:ascii="Calibri" w:hAnsi="Calibri" w:cs="Calibri"/>
          <w:color w:val="000000"/>
          <w:szCs w:val="20"/>
          <w:shd w:val="clear" w:color="auto" w:fill="FFFFFF"/>
        </w:rPr>
      </w:pPr>
    </w:p>
    <w:p w:rsidR="00C51A7A" w:rsidRDefault="00811D6A" w:rsidP="00C51A7A">
      <w:pPr>
        <w:rPr>
          <w:rFonts w:ascii="Arial" w:hAnsi="Arial" w:cs="Arial"/>
          <w:color w:val="000000"/>
          <w:sz w:val="20"/>
          <w:szCs w:val="20"/>
          <w:shd w:val="clear" w:color="auto" w:fill="FFFFFF"/>
        </w:rPr>
      </w:pPr>
      <w:r>
        <w:rPr>
          <w:rFonts w:ascii="Calibri" w:hAnsi="Calibri" w:cs="Calibri"/>
          <w:color w:val="000000"/>
          <w:szCs w:val="20"/>
          <w:shd w:val="clear" w:color="auto" w:fill="FFFFFF"/>
        </w:rPr>
        <w:t xml:space="preserve">Organized crime is a </w:t>
      </w:r>
      <w:r w:rsidR="00633221">
        <w:rPr>
          <w:rFonts w:ascii="Calibri" w:hAnsi="Calibri" w:cs="Calibri"/>
          <w:color w:val="000000"/>
          <w:szCs w:val="20"/>
          <w:shd w:val="clear" w:color="auto" w:fill="FFFFFF"/>
        </w:rPr>
        <w:t xml:space="preserve">type of criminal activity that is often thought of as having criminal behaviour be taught through the ranks and generations of criminals engaged in it. Organized crime, more specifically, ‘The Mafia’ </w:t>
      </w:r>
      <w:r w:rsidR="00C51A7A">
        <w:rPr>
          <w:rFonts w:ascii="Calibri" w:hAnsi="Calibri" w:cs="Calibri"/>
          <w:color w:val="000000"/>
          <w:szCs w:val="20"/>
          <w:shd w:val="clear" w:color="auto" w:fill="FFFFFF"/>
        </w:rPr>
        <w:t>was at its peak in the United States from the middle of the 1930’s to 1970.</w:t>
      </w:r>
      <w:r w:rsidR="00C51A7A" w:rsidRPr="00C51A7A">
        <w:rPr>
          <w:rFonts w:ascii="Arial" w:hAnsi="Arial" w:cs="Arial"/>
          <w:color w:val="000000"/>
          <w:sz w:val="20"/>
          <w:szCs w:val="20"/>
          <w:shd w:val="clear" w:color="auto" w:fill="FFFFFF"/>
        </w:rPr>
        <w:t xml:space="preserve"> (</w:t>
      </w:r>
      <w:proofErr w:type="spellStart"/>
      <w:r w:rsidR="00C51A7A" w:rsidRPr="00C51A7A">
        <w:rPr>
          <w:rFonts w:ascii="Arial" w:hAnsi="Arial" w:cs="Arial"/>
          <w:color w:val="000000"/>
          <w:sz w:val="20"/>
          <w:szCs w:val="20"/>
          <w:shd w:val="clear" w:color="auto" w:fill="FFFFFF"/>
        </w:rPr>
        <w:t>Fiorentini</w:t>
      </w:r>
      <w:proofErr w:type="spellEnd"/>
      <w:r w:rsidR="00C51A7A" w:rsidRPr="00C51A7A">
        <w:rPr>
          <w:rFonts w:ascii="Arial" w:hAnsi="Arial" w:cs="Arial"/>
          <w:color w:val="000000"/>
          <w:sz w:val="20"/>
          <w:szCs w:val="20"/>
          <w:shd w:val="clear" w:color="auto" w:fill="FFFFFF"/>
        </w:rPr>
        <w:t>, 1997)</w:t>
      </w:r>
      <w:r w:rsidR="002C4FA1">
        <w:rPr>
          <w:rFonts w:ascii="Arial" w:hAnsi="Arial" w:cs="Arial"/>
          <w:color w:val="000000"/>
          <w:sz w:val="20"/>
          <w:szCs w:val="20"/>
          <w:shd w:val="clear" w:color="auto" w:fill="FFFFFF"/>
        </w:rPr>
        <w:t xml:space="preserve"> </w:t>
      </w:r>
    </w:p>
    <w:p w:rsidR="002C4FA1" w:rsidRDefault="002C4FA1" w:rsidP="0009563C">
      <w:pPr>
        <w:rPr>
          <w:rFonts w:ascii="Calibri" w:hAnsi="Calibri" w:cs="Calibri"/>
          <w:color w:val="000000"/>
          <w:szCs w:val="20"/>
          <w:shd w:val="clear" w:color="auto" w:fill="FFFFFF"/>
        </w:rPr>
      </w:pPr>
      <w:r>
        <w:rPr>
          <w:rFonts w:ascii="Calibri" w:hAnsi="Calibri" w:cs="Calibri"/>
          <w:color w:val="000000"/>
          <w:szCs w:val="20"/>
          <w:shd w:val="clear" w:color="auto" w:fill="FFFFFF"/>
        </w:rPr>
        <w:t xml:space="preserve">The Mafia was not just one organisation but a number of separate crime syndicates often competing with each other for control of different geographic locations. </w:t>
      </w:r>
    </w:p>
    <w:p w:rsidR="002C4FA1" w:rsidRPr="002C4FA1" w:rsidRDefault="002C4FA1" w:rsidP="002C4FA1">
      <w:pPr>
        <w:pStyle w:val="Quote"/>
        <w:rPr>
          <w:shd w:val="clear" w:color="auto" w:fill="FFFFFF"/>
        </w:rPr>
      </w:pPr>
    </w:p>
    <w:p w:rsidR="002C4FA1" w:rsidRDefault="00EF7019" w:rsidP="002C4FA1">
      <w:pPr>
        <w:pStyle w:val="Quote"/>
        <w:rPr>
          <w:color w:val="333333"/>
          <w:shd w:val="clear" w:color="auto" w:fill="FFFFFF"/>
        </w:rPr>
      </w:pPr>
      <w:r>
        <w:rPr>
          <w:color w:val="333333"/>
          <w:shd w:val="clear" w:color="auto" w:fill="FFFFFF"/>
        </w:rPr>
        <w:t>“</w:t>
      </w:r>
      <w:r w:rsidR="002C4FA1" w:rsidRPr="002C4FA1">
        <w:rPr>
          <w:color w:val="333333"/>
          <w:shd w:val="clear" w:color="auto" w:fill="FFFFFF"/>
        </w:rPr>
        <w:t xml:space="preserve">By the end of the ‘20s, two primary factions had emerged in the Italian criminal groups in New York. Joseph </w:t>
      </w:r>
      <w:proofErr w:type="spellStart"/>
      <w:r w:rsidR="002C4FA1" w:rsidRPr="002C4FA1">
        <w:rPr>
          <w:color w:val="333333"/>
          <w:shd w:val="clear" w:color="auto" w:fill="FFFFFF"/>
        </w:rPr>
        <w:t>Masseria</w:t>
      </w:r>
      <w:proofErr w:type="spellEnd"/>
      <w:r w:rsidR="002C4FA1" w:rsidRPr="002C4FA1">
        <w:rPr>
          <w:color w:val="333333"/>
          <w:shd w:val="clear" w:color="auto" w:fill="FFFFFF"/>
        </w:rPr>
        <w:t>, who controlled the groups, sparked the so-called “</w:t>
      </w:r>
      <w:proofErr w:type="spellStart"/>
      <w:r w:rsidR="002C4FA1" w:rsidRPr="002C4FA1">
        <w:rPr>
          <w:color w:val="333333"/>
          <w:shd w:val="clear" w:color="auto" w:fill="FFFFFF"/>
        </w:rPr>
        <w:t>Castellammarese</w:t>
      </w:r>
      <w:proofErr w:type="spellEnd"/>
      <w:r w:rsidR="002C4FA1" w:rsidRPr="002C4FA1">
        <w:rPr>
          <w:color w:val="333333"/>
          <w:shd w:val="clear" w:color="auto" w:fill="FFFFFF"/>
        </w:rPr>
        <w:t xml:space="preserve"> War” in 1928 when he tried to gain control of organized crime across the country. The war ended in 1931 when Salvatore </w:t>
      </w:r>
      <w:proofErr w:type="spellStart"/>
      <w:r w:rsidR="002C4FA1" w:rsidRPr="002C4FA1">
        <w:rPr>
          <w:color w:val="333333"/>
          <w:shd w:val="clear" w:color="auto" w:fill="FFFFFF"/>
        </w:rPr>
        <w:t>Maranzano</w:t>
      </w:r>
      <w:proofErr w:type="spellEnd"/>
      <w:r w:rsidR="002C4FA1" w:rsidRPr="002C4FA1">
        <w:rPr>
          <w:color w:val="333333"/>
          <w:shd w:val="clear" w:color="auto" w:fill="FFFFFF"/>
        </w:rPr>
        <w:t xml:space="preserve"> conspired with </w:t>
      </w:r>
      <w:proofErr w:type="spellStart"/>
      <w:r w:rsidR="002C4FA1" w:rsidRPr="002C4FA1">
        <w:rPr>
          <w:color w:val="333333"/>
          <w:shd w:val="clear" w:color="auto" w:fill="FFFFFF"/>
        </w:rPr>
        <w:t>Masseria’s</w:t>
      </w:r>
      <w:proofErr w:type="spellEnd"/>
      <w:r w:rsidR="002C4FA1" w:rsidRPr="002C4FA1">
        <w:rPr>
          <w:color w:val="333333"/>
          <w:shd w:val="clear" w:color="auto" w:fill="FFFFFF"/>
        </w:rPr>
        <w:t xml:space="preserve"> top soldier, Charles “Lucky” Luciano, to have </w:t>
      </w:r>
      <w:proofErr w:type="spellStart"/>
      <w:r w:rsidR="002C4FA1" w:rsidRPr="002C4FA1">
        <w:rPr>
          <w:color w:val="333333"/>
          <w:shd w:val="clear" w:color="auto" w:fill="FFFFFF"/>
        </w:rPr>
        <w:t>Masseria</w:t>
      </w:r>
      <w:proofErr w:type="spellEnd"/>
      <w:r w:rsidR="002C4FA1" w:rsidRPr="002C4FA1">
        <w:rPr>
          <w:color w:val="333333"/>
          <w:shd w:val="clear" w:color="auto" w:fill="FFFFFF"/>
        </w:rPr>
        <w:t xml:space="preserve"> killed. </w:t>
      </w:r>
      <w:proofErr w:type="spellStart"/>
      <w:r w:rsidR="002C4FA1" w:rsidRPr="002C4FA1">
        <w:rPr>
          <w:color w:val="333333"/>
          <w:shd w:val="clear" w:color="auto" w:fill="FFFFFF"/>
        </w:rPr>
        <w:t>Maranzano</w:t>
      </w:r>
      <w:proofErr w:type="spellEnd"/>
      <w:r w:rsidR="002C4FA1" w:rsidRPr="002C4FA1">
        <w:rPr>
          <w:color w:val="333333"/>
          <w:shd w:val="clear" w:color="auto" w:fill="FFFFFF"/>
        </w:rPr>
        <w:t xml:space="preserve"> emerged as the most powerful Mafia boss in the nation, setting up five separate criminal groups in New York and calling himself “Boss of Bosses.”</w:t>
      </w:r>
      <w:r w:rsidR="002C4FA1">
        <w:rPr>
          <w:color w:val="333333"/>
          <w:shd w:val="clear" w:color="auto" w:fill="FFFFFF"/>
        </w:rPr>
        <w:t xml:space="preserve"> (FBI, Undated)</w:t>
      </w:r>
    </w:p>
    <w:p w:rsidR="006804B7" w:rsidRPr="008B7E05" w:rsidRDefault="006804B7" w:rsidP="002C4FA1">
      <w:pPr>
        <w:rPr>
          <w:rFonts w:ascii="Calibri" w:hAnsi="Calibri" w:cs="Calibri"/>
        </w:rPr>
      </w:pPr>
    </w:p>
    <w:p w:rsidR="006E56B9" w:rsidRPr="008B7E05" w:rsidRDefault="006804B7" w:rsidP="006E56B9">
      <w:pPr>
        <w:rPr>
          <w:rFonts w:ascii="Calibri" w:hAnsi="Calibri" w:cs="Calibri"/>
        </w:rPr>
      </w:pPr>
      <w:r w:rsidRPr="008B7E05">
        <w:rPr>
          <w:rFonts w:ascii="Calibri" w:hAnsi="Calibri" w:cs="Calibri"/>
        </w:rPr>
        <w:t xml:space="preserve">In organized crime like the various mafia syndicates in America during this time, there was a set hierarchy and orders trickled down from the top of the family to the </w:t>
      </w:r>
      <w:r w:rsidR="006E56B9" w:rsidRPr="008B7E05">
        <w:rPr>
          <w:rFonts w:ascii="Calibri" w:hAnsi="Calibri" w:cs="Calibri"/>
        </w:rPr>
        <w:t xml:space="preserve">lower level members. These lower level members were often younger and desperate to make money, so they were a perfect combination for more senior members to exploit as they were the ones who actually committed the crimes. </w:t>
      </w:r>
      <w:r w:rsidR="006E56B9" w:rsidRPr="008B7E05">
        <w:rPr>
          <w:rFonts w:ascii="Calibri" w:hAnsi="Calibri" w:cs="Calibri"/>
          <w:color w:val="000000"/>
          <w:sz w:val="20"/>
          <w:szCs w:val="20"/>
          <w:shd w:val="clear" w:color="auto" w:fill="FFFFFF"/>
        </w:rPr>
        <w:t>(Wright, 2013)</w:t>
      </w:r>
    </w:p>
    <w:p w:rsidR="002C4FA1" w:rsidRPr="008B7E05" w:rsidRDefault="002C4FA1" w:rsidP="002C4FA1">
      <w:pPr>
        <w:rPr>
          <w:rFonts w:ascii="Calibri" w:hAnsi="Calibri" w:cs="Calibri"/>
        </w:rPr>
      </w:pPr>
    </w:p>
    <w:p w:rsidR="001B34DE" w:rsidRPr="008B7E05" w:rsidRDefault="00115839" w:rsidP="002C4FA1">
      <w:pPr>
        <w:rPr>
          <w:rFonts w:ascii="Calibri" w:hAnsi="Calibri" w:cs="Calibri"/>
        </w:rPr>
      </w:pPr>
      <w:r w:rsidRPr="008B7E05">
        <w:rPr>
          <w:rFonts w:ascii="Calibri" w:hAnsi="Calibri" w:cs="Calibri"/>
        </w:rPr>
        <w:t>While American crime families of the 20</w:t>
      </w:r>
      <w:r w:rsidRPr="008B7E05">
        <w:rPr>
          <w:rFonts w:ascii="Calibri" w:hAnsi="Calibri" w:cs="Calibri"/>
          <w:vertAlign w:val="superscript"/>
        </w:rPr>
        <w:t>th</w:t>
      </w:r>
      <w:r w:rsidRPr="008B7E05">
        <w:rPr>
          <w:rFonts w:ascii="Calibri" w:hAnsi="Calibri" w:cs="Calibri"/>
        </w:rPr>
        <w:t xml:space="preserve"> century were organized, the current spate of gang violence sweeping the United Kingdom is anything but. However, Sutherland and Cressey’s theory of Differential Association can stil</w:t>
      </w:r>
      <w:r w:rsidR="001B34DE" w:rsidRPr="008B7E05">
        <w:rPr>
          <w:rFonts w:ascii="Calibri" w:hAnsi="Calibri" w:cs="Calibri"/>
        </w:rPr>
        <w:t>l</w:t>
      </w:r>
      <w:r w:rsidRPr="008B7E05">
        <w:rPr>
          <w:rFonts w:ascii="Calibri" w:hAnsi="Calibri" w:cs="Calibri"/>
        </w:rPr>
        <w:t xml:space="preserve"> be applied t</w:t>
      </w:r>
      <w:r w:rsidR="001B34DE" w:rsidRPr="008B7E05">
        <w:rPr>
          <w:rFonts w:ascii="Calibri" w:hAnsi="Calibri" w:cs="Calibri"/>
        </w:rPr>
        <w:t xml:space="preserve">o it, with many gang members only carrying weapons because others are. Richard Garside, the director of Centre for Crime and Justice Studies explains that British youth participate in violent behaviour as an act of retaliation. </w:t>
      </w:r>
    </w:p>
    <w:p w:rsidR="001B34DE" w:rsidRDefault="001B34DE" w:rsidP="002C4FA1"/>
    <w:p w:rsidR="001B34DE" w:rsidRDefault="001B34DE" w:rsidP="001B34DE">
      <w:pPr>
        <w:pStyle w:val="Quote"/>
        <w:rPr>
          <w:shd w:val="clear" w:color="auto" w:fill="FFFFFF"/>
        </w:rPr>
      </w:pPr>
    </w:p>
    <w:p w:rsidR="001B34DE" w:rsidRDefault="001B34DE" w:rsidP="001B34DE">
      <w:pPr>
        <w:pStyle w:val="Quote"/>
        <w:rPr>
          <w:shd w:val="clear" w:color="auto" w:fill="FFFFFF"/>
        </w:rPr>
      </w:pPr>
    </w:p>
    <w:p w:rsidR="008B7E05" w:rsidRDefault="008B7E05" w:rsidP="001B34DE">
      <w:pPr>
        <w:pStyle w:val="Quote"/>
        <w:rPr>
          <w:shd w:val="clear" w:color="auto" w:fill="FFFFFF"/>
        </w:rPr>
      </w:pPr>
    </w:p>
    <w:p w:rsidR="008B7E05" w:rsidRDefault="008B7E05" w:rsidP="001B34DE">
      <w:pPr>
        <w:pStyle w:val="Quote"/>
        <w:rPr>
          <w:shd w:val="clear" w:color="auto" w:fill="FFFFFF"/>
        </w:rPr>
      </w:pPr>
    </w:p>
    <w:p w:rsidR="001B34DE" w:rsidRDefault="001B34DE" w:rsidP="001B34DE">
      <w:pPr>
        <w:pStyle w:val="Quote"/>
        <w:rPr>
          <w:shd w:val="clear" w:color="auto" w:fill="FFFFFF"/>
        </w:rPr>
      </w:pPr>
      <w:r w:rsidRPr="001B34DE">
        <w:rPr>
          <w:shd w:val="clear" w:color="auto" w:fill="FFFFFF"/>
        </w:rPr>
        <w:lastRenderedPageBreak/>
        <w:t>“It’s a social contagion. There’s a stabbing and there’s a retaliation and then a retaliation to that. It’s quite unpredictable, but it’s not entirely random, because we’re talking about specific groups of people in certain areas</w:t>
      </w:r>
      <w:r w:rsidR="00F828D5" w:rsidRPr="001B34DE">
        <w:rPr>
          <w:shd w:val="clear" w:color="auto" w:fill="FFFFFF"/>
        </w:rPr>
        <w:t>.”</w:t>
      </w:r>
      <w:r w:rsidR="00F828D5">
        <w:rPr>
          <w:shd w:val="clear" w:color="auto" w:fill="FFFFFF"/>
        </w:rPr>
        <w:t xml:space="preserve"> (</w:t>
      </w:r>
      <w:r>
        <w:rPr>
          <w:shd w:val="clear" w:color="auto" w:fill="FFFFFF"/>
        </w:rPr>
        <w:t>Garside, 2019)</w:t>
      </w:r>
    </w:p>
    <w:p w:rsidR="00F261B5" w:rsidRPr="001E2A4F" w:rsidRDefault="00F261B5" w:rsidP="001E2A4F">
      <w:pPr>
        <w:spacing w:before="100" w:beforeAutospacing="1" w:after="100" w:afterAutospacing="1"/>
        <w:textAlignment w:val="baseline"/>
        <w:rPr>
          <w:rFonts w:ascii="Calibri" w:hAnsi="Calibri" w:cs="Calibri"/>
          <w:i/>
          <w:color w:val="000000" w:themeColor="text1"/>
          <w:sz w:val="21"/>
          <w:szCs w:val="26"/>
        </w:rPr>
      </w:pPr>
      <w:r w:rsidRPr="001E2A4F">
        <w:rPr>
          <w:rFonts w:ascii="Calibri" w:hAnsi="Calibri" w:cs="Calibri"/>
        </w:rPr>
        <w:t>This gang violence fits in with Edwin Sutherland’s third proposition: ‘</w:t>
      </w:r>
      <w:r w:rsidRPr="001E643D">
        <w:rPr>
          <w:rFonts w:ascii="Calibri" w:hAnsi="Calibri" w:cs="Calibri"/>
          <w:i/>
          <w:color w:val="000000" w:themeColor="text1"/>
          <w:szCs w:val="26"/>
        </w:rPr>
        <w:t xml:space="preserve">Most learning about criminal </w:t>
      </w:r>
      <w:r w:rsidRPr="001E2A4F">
        <w:rPr>
          <w:rFonts w:ascii="Calibri" w:hAnsi="Calibri" w:cs="Calibri"/>
          <w:i/>
          <w:color w:val="000000" w:themeColor="text1"/>
          <w:szCs w:val="26"/>
        </w:rPr>
        <w:t>behaviour</w:t>
      </w:r>
      <w:r w:rsidRPr="001E643D">
        <w:rPr>
          <w:rFonts w:ascii="Calibri" w:hAnsi="Calibri" w:cs="Calibri"/>
          <w:i/>
          <w:color w:val="000000" w:themeColor="text1"/>
          <w:szCs w:val="26"/>
        </w:rPr>
        <w:t xml:space="preserve"> happens in intimate personal groups and relationships</w:t>
      </w:r>
      <w:r w:rsidRPr="001E643D">
        <w:rPr>
          <w:rFonts w:ascii="Calibri" w:hAnsi="Calibri" w:cs="Calibri"/>
          <w:i/>
          <w:color w:val="000000" w:themeColor="text1"/>
          <w:sz w:val="21"/>
          <w:szCs w:val="26"/>
        </w:rPr>
        <w:t>.</w:t>
      </w:r>
      <w:r w:rsidRPr="001E2A4F">
        <w:rPr>
          <w:rFonts w:ascii="Calibri" w:hAnsi="Calibri" w:cs="Calibri"/>
          <w:i/>
          <w:color w:val="000000" w:themeColor="text1"/>
          <w:sz w:val="21"/>
          <w:szCs w:val="26"/>
        </w:rPr>
        <w:t>’</w:t>
      </w:r>
    </w:p>
    <w:p w:rsidR="00E75772" w:rsidRDefault="00F261B5" w:rsidP="00E75772">
      <w:pPr>
        <w:pStyle w:val="NormalWeb"/>
        <w:rPr>
          <w:rFonts w:ascii="Calibri" w:hAnsi="Calibri" w:cs="Calibri"/>
          <w:color w:val="000000"/>
        </w:rPr>
      </w:pPr>
      <w:r>
        <w:rPr>
          <w:rFonts w:ascii="Calibri" w:hAnsi="Calibri" w:cs="Calibri"/>
          <w:color w:val="000000" w:themeColor="text1"/>
          <w:szCs w:val="26"/>
        </w:rPr>
        <w:t xml:space="preserve">Gangs are the perfect breeding ground for criminal behaviour to be taught and passed down as there is often </w:t>
      </w:r>
      <w:r w:rsidR="008B7E05">
        <w:rPr>
          <w:rFonts w:ascii="Calibri" w:hAnsi="Calibri" w:cs="Calibri"/>
          <w:color w:val="000000" w:themeColor="text1"/>
          <w:szCs w:val="26"/>
        </w:rPr>
        <w:t xml:space="preserve">a </w:t>
      </w:r>
      <w:r>
        <w:rPr>
          <w:rFonts w:ascii="Calibri" w:hAnsi="Calibri" w:cs="Calibri"/>
          <w:color w:val="000000" w:themeColor="text1"/>
          <w:szCs w:val="26"/>
        </w:rPr>
        <w:t xml:space="preserve">kinship between </w:t>
      </w:r>
      <w:r w:rsidR="008B7E05">
        <w:rPr>
          <w:rFonts w:ascii="Calibri" w:hAnsi="Calibri" w:cs="Calibri"/>
          <w:color w:val="000000" w:themeColor="text1"/>
          <w:szCs w:val="26"/>
        </w:rPr>
        <w:t xml:space="preserve">gang members. </w:t>
      </w:r>
      <w:r w:rsidR="00932652">
        <w:rPr>
          <w:rFonts w:ascii="Calibri" w:hAnsi="Calibri" w:cs="Calibri"/>
          <w:color w:val="000000" w:themeColor="text1"/>
          <w:szCs w:val="26"/>
        </w:rPr>
        <w:t xml:space="preserve">This kinship </w:t>
      </w:r>
      <w:r w:rsidR="0019058C">
        <w:rPr>
          <w:rFonts w:ascii="Calibri" w:hAnsi="Calibri" w:cs="Calibri"/>
          <w:color w:val="000000" w:themeColor="text1"/>
          <w:szCs w:val="26"/>
        </w:rPr>
        <w:t>was/is prevalent in American crime families as well with many being recruited and coerced into violent behaviour through peer pressure. Ex</w:t>
      </w:r>
      <w:r w:rsidR="00F71EA7">
        <w:rPr>
          <w:rFonts w:ascii="Calibri" w:hAnsi="Calibri" w:cs="Calibri"/>
          <w:color w:val="000000" w:themeColor="text1"/>
          <w:szCs w:val="26"/>
        </w:rPr>
        <w:t xml:space="preserve">-mobster Henry Hill is a prime example of someone who has been introduced to criminal activity at an incredibly young age </w:t>
      </w:r>
      <w:r w:rsidR="00EF26F7">
        <w:rPr>
          <w:rFonts w:ascii="Calibri" w:hAnsi="Calibri" w:cs="Calibri"/>
          <w:color w:val="000000" w:themeColor="text1"/>
          <w:szCs w:val="26"/>
        </w:rPr>
        <w:t xml:space="preserve">and pursued a life of crime due to it. </w:t>
      </w:r>
      <w:r w:rsidR="00B70F81">
        <w:rPr>
          <w:rFonts w:ascii="Calibri" w:hAnsi="Calibri" w:cs="Calibri"/>
          <w:color w:val="000000" w:themeColor="text1"/>
          <w:szCs w:val="26"/>
        </w:rPr>
        <w:t xml:space="preserve">Henry Hill </w:t>
      </w:r>
      <w:r w:rsidR="00A42D7E">
        <w:rPr>
          <w:rFonts w:ascii="Calibri" w:hAnsi="Calibri" w:cs="Calibri"/>
          <w:color w:val="000000" w:themeColor="text1"/>
          <w:szCs w:val="26"/>
        </w:rPr>
        <w:t xml:space="preserve">worked his way up the </w:t>
      </w:r>
      <w:proofErr w:type="spellStart"/>
      <w:r w:rsidR="00A42D7E">
        <w:rPr>
          <w:rFonts w:ascii="Calibri" w:hAnsi="Calibri" w:cs="Calibri"/>
          <w:color w:val="000000" w:themeColor="text1"/>
          <w:szCs w:val="26"/>
        </w:rPr>
        <w:t>Lucchese</w:t>
      </w:r>
      <w:proofErr w:type="spellEnd"/>
      <w:r w:rsidR="00A42D7E">
        <w:rPr>
          <w:rFonts w:ascii="Calibri" w:hAnsi="Calibri" w:cs="Calibri"/>
          <w:color w:val="000000" w:themeColor="text1"/>
          <w:szCs w:val="26"/>
        </w:rPr>
        <w:t xml:space="preserve"> crime family from his early years as a foot soldier for the family to pursuing </w:t>
      </w:r>
      <w:r w:rsidR="004C05EF">
        <w:rPr>
          <w:rFonts w:ascii="Calibri" w:hAnsi="Calibri" w:cs="Calibri"/>
          <w:color w:val="000000" w:themeColor="text1"/>
          <w:szCs w:val="26"/>
        </w:rPr>
        <w:t xml:space="preserve">criminal ventures outside of the crime family which included trafficking cocaine until his arrest and subsequent admission into the witness protection programme. </w:t>
      </w:r>
      <w:r w:rsidR="004C05EF">
        <w:rPr>
          <w:rFonts w:ascii="Arial" w:hAnsi="Arial" w:cs="Arial"/>
          <w:color w:val="000000"/>
          <w:sz w:val="20"/>
          <w:szCs w:val="20"/>
          <w:shd w:val="clear" w:color="auto" w:fill="FFFFFF"/>
        </w:rPr>
        <w:t>(Hill and Simone, n.d.)</w:t>
      </w:r>
      <w:r w:rsidR="001E2A4F">
        <w:rPr>
          <w:rFonts w:ascii="Arial" w:hAnsi="Arial" w:cs="Arial"/>
          <w:color w:val="000000"/>
          <w:sz w:val="20"/>
          <w:szCs w:val="20"/>
          <w:shd w:val="clear" w:color="auto" w:fill="FFFFFF"/>
        </w:rPr>
        <w:t xml:space="preserve"> </w:t>
      </w:r>
      <w:r w:rsidR="001E2A4F" w:rsidRPr="00301B88">
        <w:rPr>
          <w:rFonts w:ascii="Calibri" w:hAnsi="Calibri" w:cs="Calibri"/>
          <w:color w:val="000000"/>
          <w:szCs w:val="20"/>
          <w:shd w:val="clear" w:color="auto" w:fill="FFFFFF"/>
        </w:rPr>
        <w:t>Edwin Sutherland</w:t>
      </w:r>
      <w:r w:rsidR="00486FA2" w:rsidRPr="00301B88">
        <w:rPr>
          <w:rFonts w:ascii="Calibri" w:hAnsi="Calibri" w:cs="Calibri"/>
          <w:color w:val="000000"/>
          <w:szCs w:val="20"/>
          <w:shd w:val="clear" w:color="auto" w:fill="FFFFFF"/>
        </w:rPr>
        <w:t>’s eight proposition states that the same mechanisms people use to learn criminal behaviour are used to learn other behaviours, which would mean that it is easier for younger people to learn criminal activity due to their age.</w:t>
      </w:r>
      <w:r w:rsidR="00486FA2" w:rsidRPr="00E75772">
        <w:rPr>
          <w:rFonts w:ascii="Calibri" w:hAnsi="Calibri" w:cs="Calibri"/>
          <w:color w:val="000000"/>
          <w:szCs w:val="20"/>
          <w:shd w:val="clear" w:color="auto" w:fill="FFFFFF"/>
        </w:rPr>
        <w:t xml:space="preserve"> </w:t>
      </w:r>
      <w:r w:rsidR="00E75772" w:rsidRPr="00E75772">
        <w:rPr>
          <w:rFonts w:ascii="Calibri" w:hAnsi="Calibri" w:cs="Calibri"/>
          <w:color w:val="000000"/>
        </w:rPr>
        <w:t>University of Oxford scientists say that adults may find learning more difficult than children because their brains store memories differently. The study, in the journal Neuron, looked at nerve cell activity - the basis of learning and memory - in rats.</w:t>
      </w:r>
      <w:r w:rsidR="00E75772">
        <w:rPr>
          <w:rFonts w:ascii="Calibri" w:hAnsi="Calibri" w:cs="Calibri"/>
          <w:color w:val="000000"/>
        </w:rPr>
        <w:t xml:space="preserve"> </w:t>
      </w:r>
      <w:r w:rsidR="00E75772" w:rsidRPr="00E75772">
        <w:rPr>
          <w:rFonts w:ascii="Calibri" w:hAnsi="Calibri" w:cs="Calibri"/>
          <w:color w:val="000000"/>
        </w:rPr>
        <w:t>Experts said younger brains may learn things more easily, but older brains may store information more efficiently.</w:t>
      </w:r>
      <w:r w:rsidR="00E75772">
        <w:rPr>
          <w:rFonts w:ascii="Calibri" w:hAnsi="Calibri" w:cs="Calibri"/>
          <w:color w:val="000000"/>
        </w:rPr>
        <w:t xml:space="preserve"> (</w:t>
      </w:r>
      <w:r w:rsidR="00E75772">
        <w:rPr>
          <w:rFonts w:ascii="Calibri" w:hAnsi="Calibri" w:cs="Calibri"/>
          <w:i/>
          <w:color w:val="000000"/>
        </w:rPr>
        <w:t>BBC News, 2006)</w:t>
      </w:r>
      <w:r w:rsidR="00E75772">
        <w:rPr>
          <w:rFonts w:ascii="Calibri" w:hAnsi="Calibri" w:cs="Calibri"/>
          <w:color w:val="000000"/>
        </w:rPr>
        <w:t xml:space="preserve"> </w:t>
      </w:r>
    </w:p>
    <w:p w:rsidR="008B45B3" w:rsidRDefault="008B45B3" w:rsidP="00E75772">
      <w:pPr>
        <w:pStyle w:val="NormalWeb"/>
        <w:rPr>
          <w:rFonts w:ascii="Calibri" w:hAnsi="Calibri" w:cs="Calibri"/>
          <w:color w:val="000000"/>
        </w:rPr>
      </w:pPr>
      <w:r>
        <w:rPr>
          <w:rFonts w:ascii="Calibri" w:hAnsi="Calibri" w:cs="Calibri"/>
          <w:color w:val="000000"/>
        </w:rPr>
        <w:t xml:space="preserve">Elements of the Beccaria’s Classical Theory can be found in Henry Hill’s case as he was given a relatively light punishment for his crimes due to his cooperation with the state and was admitted into the witness protection programme. The lack of a swift, certain and severe punishment may have contributed to Hill </w:t>
      </w:r>
      <w:r w:rsidR="00F55F5A">
        <w:rPr>
          <w:rFonts w:ascii="Calibri" w:hAnsi="Calibri" w:cs="Calibri"/>
          <w:color w:val="000000"/>
        </w:rPr>
        <w:t xml:space="preserve">reoffending again. </w:t>
      </w:r>
    </w:p>
    <w:p w:rsidR="00F55F5A" w:rsidRPr="00F55F5A" w:rsidRDefault="001546C4" w:rsidP="00F55F5A">
      <w:pPr>
        <w:pStyle w:val="Quote"/>
      </w:pPr>
      <w:r>
        <w:rPr>
          <w:shd w:val="clear" w:color="auto" w:fill="FFFFFF"/>
        </w:rPr>
        <w:t>‘</w:t>
      </w:r>
      <w:r w:rsidR="00F55F5A" w:rsidRPr="00F55F5A">
        <w:rPr>
          <w:shd w:val="clear" w:color="auto" w:fill="FFFFFF"/>
        </w:rPr>
        <w:t>(Henry Hill) Was Kicked Out of Witness Protection after his 1980 arrest on a narcotics-trafficking charge, Hill turned "rat" and became an FBI informant. His testimony led to 50 arrests. Hill, his wife Karen and their two children entered the witness protection program, changing their names and relocating to 10 times to places including Omaha, Neb., Independence, Ky., and Redmond, Wash. But in the early 1990s, Hill and his wife were expelled from the program after being arrested several times on narcotics-related charges. After living under aliases such as Martin Lewis and Peter Haines, Hill reassumed his own name.</w:t>
      </w:r>
      <w:r>
        <w:rPr>
          <w:shd w:val="clear" w:color="auto" w:fill="FFFFFF"/>
        </w:rPr>
        <w:t>’</w:t>
      </w:r>
      <w:r w:rsidR="00006639">
        <w:rPr>
          <w:shd w:val="clear" w:color="auto" w:fill="FFFFFF"/>
        </w:rPr>
        <w:t xml:space="preserve"> (ABC News, 2012)</w:t>
      </w:r>
    </w:p>
    <w:p w:rsidR="00F55F5A" w:rsidRDefault="001546C4" w:rsidP="00E75772">
      <w:pPr>
        <w:pStyle w:val="NormalWeb"/>
        <w:rPr>
          <w:rFonts w:ascii="Calibri" w:hAnsi="Calibri" w:cs="Calibri"/>
          <w:color w:val="000000"/>
        </w:rPr>
      </w:pPr>
      <w:r>
        <w:rPr>
          <w:rFonts w:ascii="Calibri" w:hAnsi="Calibri" w:cs="Calibri"/>
          <w:color w:val="000000"/>
        </w:rPr>
        <w:t xml:space="preserve">The fact that Henry Hill cooperated with the authorities saw him get </w:t>
      </w:r>
      <w:r w:rsidR="003D2E6C">
        <w:rPr>
          <w:rFonts w:ascii="Calibri" w:hAnsi="Calibri" w:cs="Calibri"/>
          <w:color w:val="000000"/>
        </w:rPr>
        <w:t>accepted into the witness protection programme. It is impossible to tell if Henry Hill would have continued with his criminal endeavours if he was given a normal prison sentence after testifying on his former colleagues, in fact, it’s rather likely he would have as he was sentenced to 10 years in prison for extortion in 1972 and continued his criminal ventures upon his release. (Hill, 2006)</w:t>
      </w:r>
      <w:r w:rsidR="002A3A8F">
        <w:rPr>
          <w:rFonts w:ascii="Calibri" w:hAnsi="Calibri" w:cs="Calibri"/>
          <w:color w:val="000000"/>
        </w:rPr>
        <w:t xml:space="preserve"> </w:t>
      </w:r>
    </w:p>
    <w:p w:rsidR="003D2E6C" w:rsidRDefault="003D2E6C" w:rsidP="00E75772">
      <w:pPr>
        <w:pStyle w:val="NormalWeb"/>
        <w:rPr>
          <w:rFonts w:ascii="Calibri" w:hAnsi="Calibri" w:cs="Calibri"/>
          <w:color w:val="000000"/>
        </w:rPr>
      </w:pPr>
      <w:r>
        <w:rPr>
          <w:rFonts w:ascii="Calibri" w:hAnsi="Calibri" w:cs="Calibri"/>
          <w:color w:val="000000"/>
        </w:rPr>
        <w:t>The key point of Sutherland and Cressey’s theory of Differential Association is that</w:t>
      </w:r>
      <w:r w:rsidR="00C14DEC">
        <w:rPr>
          <w:rFonts w:ascii="Calibri" w:hAnsi="Calibri" w:cs="Calibri"/>
          <w:color w:val="000000"/>
        </w:rPr>
        <w:t xml:space="preserve"> all</w:t>
      </w:r>
      <w:r>
        <w:rPr>
          <w:rFonts w:ascii="Calibri" w:hAnsi="Calibri" w:cs="Calibri"/>
          <w:color w:val="000000"/>
        </w:rPr>
        <w:t xml:space="preserve"> criminal activity is learned through inter-personal </w:t>
      </w:r>
      <w:r w:rsidR="00C14DEC">
        <w:rPr>
          <w:rFonts w:ascii="Calibri" w:hAnsi="Calibri" w:cs="Calibri"/>
          <w:color w:val="000000"/>
        </w:rPr>
        <w:t xml:space="preserve">communication. Henry Hill clearly was </w:t>
      </w:r>
      <w:r w:rsidR="00C14DEC">
        <w:rPr>
          <w:rFonts w:ascii="Calibri" w:hAnsi="Calibri" w:cs="Calibri"/>
          <w:color w:val="000000"/>
        </w:rPr>
        <w:lastRenderedPageBreak/>
        <w:t xml:space="preserve">taught about all kinds of criminal activity from a young age but what is interesting about Henry Hill’s case is that he later betrayed the same people who taught him so much about the Mafia lifestyle. Although Henry Hill willingly took part and benefited from a life of crime with the </w:t>
      </w:r>
      <w:proofErr w:type="spellStart"/>
      <w:r w:rsidR="00C14DEC">
        <w:rPr>
          <w:rFonts w:ascii="Calibri" w:hAnsi="Calibri" w:cs="Calibri"/>
          <w:color w:val="000000"/>
        </w:rPr>
        <w:t>Lucchese</w:t>
      </w:r>
      <w:proofErr w:type="spellEnd"/>
      <w:r w:rsidR="00C14DEC">
        <w:rPr>
          <w:rFonts w:ascii="Calibri" w:hAnsi="Calibri" w:cs="Calibri"/>
          <w:color w:val="000000"/>
        </w:rPr>
        <w:t xml:space="preserve"> crime family, self-preservation came before loyalty to the men that </w:t>
      </w:r>
      <w:r w:rsidR="003251ED">
        <w:rPr>
          <w:rFonts w:ascii="Calibri" w:hAnsi="Calibri" w:cs="Calibri"/>
          <w:color w:val="000000"/>
        </w:rPr>
        <w:t xml:space="preserve">shaped him into who he was. </w:t>
      </w:r>
    </w:p>
    <w:p w:rsidR="002A3A8F" w:rsidRDefault="002A3A8F" w:rsidP="002A3A8F">
      <w:pPr>
        <w:rPr>
          <w:rFonts w:ascii="Calibri" w:hAnsi="Calibri" w:cs="Calibri"/>
          <w:color w:val="000000"/>
        </w:rPr>
      </w:pPr>
      <w:r>
        <w:rPr>
          <w:rFonts w:ascii="Calibri" w:hAnsi="Calibri" w:cs="Calibri"/>
          <w:color w:val="000000"/>
        </w:rPr>
        <w:t xml:space="preserve">The Rational Choice Theory was published by Cornish and Clarke in 1986. This theory states that individuals are rationale beings when deciding whether or not to commit a crime and that people must first decide whether or not they want to commit a crime before deciding exactly what type of crime to engage in. </w:t>
      </w:r>
    </w:p>
    <w:p w:rsidR="002A3A8F" w:rsidRPr="002A3A8F" w:rsidRDefault="002A3A8F" w:rsidP="002A3A8F">
      <w:pPr>
        <w:pStyle w:val="Quote"/>
        <w:rPr>
          <w:rStyle w:val="Strong"/>
          <w:rFonts w:ascii="Georgia" w:hAnsi="Georgia"/>
          <w:color w:val="1A1A1A"/>
          <w:szCs w:val="30"/>
        </w:rPr>
      </w:pPr>
    </w:p>
    <w:p w:rsidR="002A3A8F" w:rsidRPr="002A3A8F" w:rsidRDefault="002A3A8F" w:rsidP="002A3A8F">
      <w:pPr>
        <w:pStyle w:val="Quote"/>
        <w:rPr>
          <w:rFonts w:ascii="Calibri" w:hAnsi="Calibri" w:cs="Calibri"/>
          <w:color w:val="000000" w:themeColor="text1"/>
          <w:sz w:val="21"/>
        </w:rPr>
      </w:pPr>
      <w:r>
        <w:rPr>
          <w:rStyle w:val="Strong"/>
          <w:rFonts w:ascii="Calibri" w:hAnsi="Calibri" w:cs="Calibri"/>
          <w:b w:val="0"/>
          <w:color w:val="000000" w:themeColor="text1"/>
          <w:szCs w:val="30"/>
        </w:rPr>
        <w:t>‘</w:t>
      </w:r>
      <w:r w:rsidRPr="002A3A8F">
        <w:rPr>
          <w:rStyle w:val="Strong"/>
          <w:rFonts w:ascii="Calibri" w:hAnsi="Calibri" w:cs="Calibri"/>
          <w:b w:val="0"/>
          <w:color w:val="000000" w:themeColor="text1"/>
          <w:szCs w:val="30"/>
        </w:rPr>
        <w:t>Rationale Choice Theory</w:t>
      </w:r>
      <w:r w:rsidRPr="002A3A8F">
        <w:rPr>
          <w:rFonts w:ascii="Calibri" w:hAnsi="Calibri" w:cs="Calibri"/>
          <w:color w:val="000000" w:themeColor="text1"/>
          <w:shd w:val="clear" w:color="auto" w:fill="FFFFFF"/>
        </w:rPr>
        <w:t>, also called</w:t>
      </w:r>
      <w:r w:rsidRPr="002A3A8F">
        <w:rPr>
          <w:rStyle w:val="apple-converted-space"/>
          <w:rFonts w:ascii="Calibri" w:hAnsi="Calibri" w:cs="Calibri"/>
          <w:color w:val="000000" w:themeColor="text1"/>
          <w:szCs w:val="30"/>
          <w:shd w:val="clear" w:color="auto" w:fill="FFFFFF"/>
        </w:rPr>
        <w:t xml:space="preserve"> rational action theory </w:t>
      </w:r>
      <w:r w:rsidRPr="002A3A8F">
        <w:rPr>
          <w:rFonts w:ascii="Calibri" w:hAnsi="Calibri" w:cs="Calibri"/>
          <w:color w:val="000000" w:themeColor="text1"/>
          <w:shd w:val="clear" w:color="auto" w:fill="FFFFFF"/>
        </w:rPr>
        <w:t>or</w:t>
      </w:r>
      <w:r w:rsidRPr="002A3A8F">
        <w:rPr>
          <w:rStyle w:val="apple-converted-space"/>
          <w:rFonts w:ascii="Calibri" w:hAnsi="Calibri" w:cs="Calibri"/>
          <w:color w:val="000000" w:themeColor="text1"/>
          <w:szCs w:val="30"/>
          <w:shd w:val="clear" w:color="auto" w:fill="FFFFFF"/>
        </w:rPr>
        <w:t xml:space="preserve"> choice theory</w:t>
      </w:r>
      <w:r w:rsidRPr="002A3A8F">
        <w:rPr>
          <w:rFonts w:ascii="Calibri" w:hAnsi="Calibri" w:cs="Calibri"/>
          <w:color w:val="000000" w:themeColor="text1"/>
          <w:shd w:val="clear" w:color="auto" w:fill="FFFFFF"/>
        </w:rPr>
        <w:t>, school of thought based on the assumption that individuals choose a course of action that is most in line with their personal preferences. Rational choice theory is used to model human decision making, especially in the context of microeconomics, where it helps economists better understand the behaviour of a society in terms of individual actions as explained through rationality, in which choices are consistent because they are made according to personal preference.</w:t>
      </w:r>
      <w:r>
        <w:rPr>
          <w:rStyle w:val="apple-converted-space"/>
          <w:rFonts w:ascii="Calibri" w:hAnsi="Calibri" w:cs="Calibri"/>
          <w:color w:val="000000" w:themeColor="text1"/>
          <w:szCs w:val="30"/>
          <w:shd w:val="clear" w:color="auto" w:fill="FFFFFF"/>
        </w:rPr>
        <w:t xml:space="preserve">’ (S.M </w:t>
      </w:r>
      <w:proofErr w:type="spellStart"/>
      <w:r>
        <w:rPr>
          <w:rStyle w:val="apple-converted-space"/>
          <w:rFonts w:ascii="Calibri" w:hAnsi="Calibri" w:cs="Calibri"/>
          <w:color w:val="000000" w:themeColor="text1"/>
          <w:szCs w:val="30"/>
          <w:shd w:val="clear" w:color="auto" w:fill="FFFFFF"/>
        </w:rPr>
        <w:t>Amdae</w:t>
      </w:r>
      <w:proofErr w:type="spellEnd"/>
      <w:r>
        <w:rPr>
          <w:rStyle w:val="apple-converted-space"/>
          <w:rFonts w:ascii="Calibri" w:hAnsi="Calibri" w:cs="Calibri"/>
          <w:color w:val="000000" w:themeColor="text1"/>
          <w:szCs w:val="30"/>
          <w:shd w:val="clear" w:color="auto" w:fill="FFFFFF"/>
        </w:rPr>
        <w:t>, 2021)</w:t>
      </w:r>
    </w:p>
    <w:p w:rsidR="002D4B3B" w:rsidRDefault="00F8674A" w:rsidP="002D4B3B">
      <w:pPr>
        <w:pStyle w:val="NormalWeb"/>
        <w:rPr>
          <w:rFonts w:ascii="Calibri" w:hAnsi="Calibri" w:cs="Calibri"/>
          <w:color w:val="000000"/>
        </w:rPr>
      </w:pPr>
      <w:r>
        <w:rPr>
          <w:rFonts w:ascii="Calibri" w:hAnsi="Calibri" w:cs="Calibri"/>
          <w:color w:val="000000"/>
        </w:rPr>
        <w:t xml:space="preserve">This essentially means that when Henry Hill or the </w:t>
      </w:r>
      <w:proofErr w:type="spellStart"/>
      <w:r>
        <w:rPr>
          <w:rFonts w:ascii="Calibri" w:hAnsi="Calibri" w:cs="Calibri"/>
          <w:color w:val="000000"/>
        </w:rPr>
        <w:t>Lucchese</w:t>
      </w:r>
      <w:proofErr w:type="spellEnd"/>
      <w:r>
        <w:rPr>
          <w:rFonts w:ascii="Calibri" w:hAnsi="Calibri" w:cs="Calibri"/>
          <w:color w:val="000000"/>
        </w:rPr>
        <w:t xml:space="preserve"> crime family were planning an illegal activity such as robbery, the target they eventually pick will be one that they think is a scenario where the </w:t>
      </w:r>
      <w:proofErr w:type="gramStart"/>
      <w:r>
        <w:rPr>
          <w:rFonts w:ascii="Calibri" w:hAnsi="Calibri" w:cs="Calibri"/>
          <w:color w:val="000000"/>
        </w:rPr>
        <w:t>pro’s</w:t>
      </w:r>
      <w:proofErr w:type="gramEnd"/>
      <w:r>
        <w:rPr>
          <w:rFonts w:ascii="Calibri" w:hAnsi="Calibri" w:cs="Calibri"/>
          <w:color w:val="000000"/>
        </w:rPr>
        <w:t xml:space="preserve"> outweigh the con’s. Henry Hill and the </w:t>
      </w:r>
      <w:proofErr w:type="spellStart"/>
      <w:r>
        <w:rPr>
          <w:rFonts w:ascii="Calibri" w:hAnsi="Calibri" w:cs="Calibri"/>
          <w:color w:val="000000"/>
        </w:rPr>
        <w:t>Lucchese</w:t>
      </w:r>
      <w:proofErr w:type="spellEnd"/>
      <w:r>
        <w:rPr>
          <w:rFonts w:ascii="Calibri" w:hAnsi="Calibri" w:cs="Calibri"/>
          <w:color w:val="000000"/>
        </w:rPr>
        <w:t xml:space="preserve"> Crime Family would decide this using previous experiences, reliable intel and first-hand surveillance. If the Rationale Choice theory applies to Henry Hill, then </w:t>
      </w:r>
      <w:r w:rsidR="005D3F7C">
        <w:rPr>
          <w:rFonts w:ascii="Calibri" w:hAnsi="Calibri" w:cs="Calibri"/>
          <w:color w:val="000000"/>
        </w:rPr>
        <w:t xml:space="preserve">the reason he reoffended after being in the witness protection programme could be down to him assessing the risks and believing that the benefits are greater. This would mean that Beccaria’s Classical Theory doesn’t apply to Hill as it was not the lack of a swift, certain and severe punishment that brought him back to his criminal ventures, it was him thinking that the benefits outweigh the risks. </w:t>
      </w:r>
      <w:r w:rsidR="003B5BA5">
        <w:rPr>
          <w:rFonts w:ascii="Calibri" w:hAnsi="Calibri" w:cs="Calibri"/>
          <w:color w:val="000000"/>
        </w:rPr>
        <w:t xml:space="preserve">The </w:t>
      </w:r>
      <w:proofErr w:type="spellStart"/>
      <w:r w:rsidR="003B5BA5">
        <w:rPr>
          <w:rFonts w:ascii="Calibri" w:hAnsi="Calibri" w:cs="Calibri"/>
          <w:color w:val="000000"/>
        </w:rPr>
        <w:t>Lucchese</w:t>
      </w:r>
      <w:proofErr w:type="spellEnd"/>
      <w:r w:rsidR="003B5BA5">
        <w:rPr>
          <w:rFonts w:ascii="Calibri" w:hAnsi="Calibri" w:cs="Calibri"/>
          <w:color w:val="000000"/>
        </w:rPr>
        <w:t xml:space="preserve"> </w:t>
      </w:r>
      <w:r w:rsidR="002D4B3B">
        <w:rPr>
          <w:rFonts w:ascii="Calibri" w:hAnsi="Calibri" w:cs="Calibri"/>
          <w:color w:val="000000"/>
        </w:rPr>
        <w:t>crime family pulled off the biggest cash robbery of all time on the 11</w:t>
      </w:r>
      <w:r w:rsidR="002D4B3B" w:rsidRPr="002D4B3B">
        <w:rPr>
          <w:rFonts w:ascii="Calibri" w:hAnsi="Calibri" w:cs="Calibri"/>
          <w:color w:val="000000"/>
          <w:vertAlign w:val="superscript"/>
        </w:rPr>
        <w:t>th</w:t>
      </w:r>
      <w:r w:rsidR="002D4B3B">
        <w:rPr>
          <w:rFonts w:ascii="Calibri" w:hAnsi="Calibri" w:cs="Calibri"/>
          <w:color w:val="000000"/>
        </w:rPr>
        <w:t xml:space="preserve"> December 1978 after they orchestrated a robbery at New York City’s JFK airport. This robbery is popularly called the Lufthansa heist. </w:t>
      </w:r>
    </w:p>
    <w:p w:rsidR="002D4B3B" w:rsidRPr="002D4B3B" w:rsidRDefault="002D4B3B" w:rsidP="002D4B3B">
      <w:pPr>
        <w:pStyle w:val="Quote"/>
        <w:rPr>
          <w:rFonts w:ascii="Calibri" w:hAnsi="Calibri" w:cs="Calibri"/>
          <w:color w:val="000000"/>
        </w:rPr>
      </w:pPr>
      <w:r>
        <w:rPr>
          <w:rFonts w:ascii="Calibri" w:hAnsi="Calibri" w:cs="Calibri"/>
        </w:rPr>
        <w:t>‘</w:t>
      </w:r>
      <w:r w:rsidRPr="002D4B3B">
        <w:rPr>
          <w:rFonts w:ascii="Calibri" w:hAnsi="Calibri" w:cs="Calibri"/>
        </w:rPr>
        <w:t>On December 11, 1978 half a dozen masked robbers raided the Lufthansa Airlines cargo building at JFK Airport in New York, making off with more than</w:t>
      </w:r>
      <w:r w:rsidRPr="002D4B3B">
        <w:rPr>
          <w:rStyle w:val="apple-converted-space"/>
          <w:rFonts w:ascii="Calibri" w:hAnsi="Calibri" w:cs="Calibri"/>
          <w:color w:val="000000" w:themeColor="text1"/>
          <w:spacing w:val="12"/>
          <w:sz w:val="20"/>
          <w:szCs w:val="27"/>
        </w:rPr>
        <w:t> </w:t>
      </w:r>
      <w:hyperlink r:id="rId5" w:tgtFrame="_blank" w:history="1">
        <w:r w:rsidRPr="002D4B3B">
          <w:rPr>
            <w:rStyle w:val="Hyperlink"/>
            <w:rFonts w:ascii="Calibri" w:hAnsi="Calibri" w:cs="Calibri"/>
            <w:color w:val="000000" w:themeColor="text1"/>
            <w:spacing w:val="12"/>
            <w:sz w:val="20"/>
            <w:szCs w:val="27"/>
            <w:u w:val="none"/>
          </w:rPr>
          <w:t>$5 million in cash</w:t>
        </w:r>
      </w:hyperlink>
      <w:r w:rsidRPr="002D4B3B">
        <w:rPr>
          <w:rStyle w:val="apple-converted-space"/>
          <w:rFonts w:ascii="Calibri" w:hAnsi="Calibri" w:cs="Calibri"/>
          <w:color w:val="000000" w:themeColor="text1"/>
          <w:spacing w:val="12"/>
          <w:sz w:val="20"/>
          <w:szCs w:val="27"/>
        </w:rPr>
        <w:t> </w:t>
      </w:r>
      <w:r w:rsidRPr="002D4B3B">
        <w:rPr>
          <w:rFonts w:ascii="Calibri" w:hAnsi="Calibri" w:cs="Calibri"/>
        </w:rPr>
        <w:t xml:space="preserve">($21 million in today's dollars) and almost $1 million in </w:t>
      </w:r>
      <w:proofErr w:type="spellStart"/>
      <w:r w:rsidRPr="002D4B3B">
        <w:rPr>
          <w:rFonts w:ascii="Calibri" w:hAnsi="Calibri" w:cs="Calibri"/>
        </w:rPr>
        <w:t>jewelry</w:t>
      </w:r>
      <w:proofErr w:type="spellEnd"/>
      <w:r w:rsidRPr="002D4B3B">
        <w:rPr>
          <w:rFonts w:ascii="Calibri" w:hAnsi="Calibri" w:cs="Calibri"/>
        </w:rPr>
        <w:t>. To this day,</w:t>
      </w:r>
      <w:r w:rsidRPr="002D4B3B">
        <w:rPr>
          <w:rStyle w:val="apple-converted-space"/>
          <w:rFonts w:ascii="Calibri" w:hAnsi="Calibri" w:cs="Calibri"/>
          <w:color w:val="000000" w:themeColor="text1"/>
          <w:spacing w:val="12"/>
          <w:sz w:val="20"/>
          <w:szCs w:val="27"/>
        </w:rPr>
        <w:t> </w:t>
      </w:r>
      <w:hyperlink r:id="rId6" w:tgtFrame="_blank" w:history="1">
        <w:r w:rsidRPr="002D4B3B">
          <w:rPr>
            <w:rStyle w:val="Hyperlink"/>
            <w:rFonts w:ascii="Calibri" w:hAnsi="Calibri" w:cs="Calibri"/>
            <w:color w:val="000000" w:themeColor="text1"/>
            <w:spacing w:val="12"/>
            <w:sz w:val="20"/>
            <w:szCs w:val="27"/>
            <w:u w:val="none"/>
          </w:rPr>
          <w:t>the Lufthansa heist</w:t>
        </w:r>
      </w:hyperlink>
      <w:r w:rsidRPr="002D4B3B">
        <w:rPr>
          <w:rFonts w:ascii="Calibri" w:hAnsi="Calibri" w:cs="Calibri"/>
        </w:rPr>
        <w:t>, as it is known, is considered one of the greatest in U.S. history.</w:t>
      </w:r>
    </w:p>
    <w:p w:rsidR="002D4B3B" w:rsidRDefault="002D4B3B" w:rsidP="002D4B3B">
      <w:pPr>
        <w:pStyle w:val="Quote"/>
        <w:rPr>
          <w:rFonts w:ascii="Calibri" w:hAnsi="Calibri" w:cs="Calibri"/>
        </w:rPr>
      </w:pPr>
      <w:r w:rsidRPr="002D4B3B">
        <w:rPr>
          <w:rFonts w:ascii="Calibri" w:hAnsi="Calibri" w:cs="Calibri"/>
        </w:rPr>
        <w:t xml:space="preserve">The plan was dreamed up by Peter Gruenewald, a Lufthansa cargo worker at JFK Airport. Gruenewald knew that Lufthansa regularly flew large amounts of unmarked cash from Europe—the U.S. currency exchanged overseas by American tourists and servicemen—to JFK. Typically, this money would immediately be transferred to American banks via Brink’s trucks. However, delays sometimes caused the cash delivery to arrive after the last of the trucks had left for the day, which meant it was stored at the </w:t>
      </w:r>
      <w:r w:rsidRPr="002D4B3B">
        <w:rPr>
          <w:rFonts w:ascii="Calibri" w:hAnsi="Calibri" w:cs="Calibri"/>
        </w:rPr>
        <w:lastRenderedPageBreak/>
        <w:t>airport until the next business day—and vulnerable to theft.</w:t>
      </w:r>
      <w:proofErr w:type="gramStart"/>
      <w:r>
        <w:rPr>
          <w:rFonts w:ascii="Calibri" w:hAnsi="Calibri" w:cs="Calibri"/>
        </w:rPr>
        <w:t>’(</w:t>
      </w:r>
      <w:proofErr w:type="gramEnd"/>
      <w:r>
        <w:rPr>
          <w:rFonts w:ascii="Calibri" w:hAnsi="Calibri" w:cs="Calibri"/>
        </w:rPr>
        <w:t>Lufthansa Heist, 2018)</w:t>
      </w:r>
    </w:p>
    <w:p w:rsidR="00BC726F" w:rsidRDefault="002D4B3B" w:rsidP="001706D0">
      <w:pPr>
        <w:pStyle w:val="NormalWeb"/>
        <w:spacing w:before="0" w:beforeAutospacing="0" w:after="450" w:afterAutospacing="0"/>
        <w:rPr>
          <w:rFonts w:ascii="Calibri" w:hAnsi="Calibri" w:cs="Calibri"/>
          <w:color w:val="000000"/>
        </w:rPr>
      </w:pPr>
      <w:r>
        <w:rPr>
          <w:rFonts w:ascii="Calibri" w:hAnsi="Calibri" w:cs="Calibri"/>
          <w:color w:val="000000"/>
        </w:rPr>
        <w:t xml:space="preserve">The risk </w:t>
      </w:r>
      <w:r w:rsidR="00336964">
        <w:rPr>
          <w:rFonts w:ascii="Calibri" w:hAnsi="Calibri" w:cs="Calibri"/>
          <w:color w:val="000000"/>
        </w:rPr>
        <w:t xml:space="preserve">the </w:t>
      </w:r>
      <w:proofErr w:type="spellStart"/>
      <w:r w:rsidR="00336964">
        <w:rPr>
          <w:rFonts w:ascii="Calibri" w:hAnsi="Calibri" w:cs="Calibri"/>
          <w:color w:val="000000"/>
        </w:rPr>
        <w:t>Lucchese</w:t>
      </w:r>
      <w:proofErr w:type="spellEnd"/>
      <w:r w:rsidR="00336964">
        <w:rPr>
          <w:rFonts w:ascii="Calibri" w:hAnsi="Calibri" w:cs="Calibri"/>
          <w:color w:val="000000"/>
        </w:rPr>
        <w:t xml:space="preserve"> crime family faced while taking Gruenewald’s plan increased due to the size of the heist, but the potential rewards increased in-turn. The </w:t>
      </w:r>
      <w:proofErr w:type="spellStart"/>
      <w:r w:rsidR="00336964">
        <w:rPr>
          <w:rFonts w:ascii="Calibri" w:hAnsi="Calibri" w:cs="Calibri"/>
          <w:color w:val="000000"/>
        </w:rPr>
        <w:t>Lucchese</w:t>
      </w:r>
      <w:proofErr w:type="spellEnd"/>
      <w:r w:rsidR="00336964">
        <w:rPr>
          <w:rFonts w:ascii="Calibri" w:hAnsi="Calibri" w:cs="Calibri"/>
          <w:color w:val="000000"/>
        </w:rPr>
        <w:t xml:space="preserve"> crime family perceived the risk of robbing JFK airport to be acceptable to them</w:t>
      </w:r>
      <w:r w:rsidR="001706D0">
        <w:rPr>
          <w:rFonts w:ascii="Calibri" w:hAnsi="Calibri" w:cs="Calibri"/>
          <w:color w:val="000000"/>
        </w:rPr>
        <w:t xml:space="preserve">, while other people who had decided to commit a robbery would definitely not. The biggest break in the </w:t>
      </w:r>
      <w:proofErr w:type="spellStart"/>
      <w:r w:rsidR="001706D0">
        <w:rPr>
          <w:rFonts w:ascii="Calibri" w:hAnsi="Calibri" w:cs="Calibri"/>
          <w:color w:val="000000"/>
        </w:rPr>
        <w:t>Lufhansa</w:t>
      </w:r>
      <w:proofErr w:type="spellEnd"/>
      <w:r w:rsidR="001706D0">
        <w:rPr>
          <w:rFonts w:ascii="Calibri" w:hAnsi="Calibri" w:cs="Calibri"/>
          <w:color w:val="000000"/>
        </w:rPr>
        <w:t xml:space="preserve"> </w:t>
      </w:r>
      <w:r w:rsidR="00EB7461">
        <w:rPr>
          <w:rFonts w:ascii="Calibri" w:hAnsi="Calibri" w:cs="Calibri"/>
          <w:color w:val="000000"/>
        </w:rPr>
        <w:t xml:space="preserve">heist came in the spring of 1980, when Henry hill was arrested on six counts of drug related crimes. Henry Hill cooperated with the FBI to testify against </w:t>
      </w:r>
      <w:r w:rsidR="000852BD">
        <w:rPr>
          <w:rFonts w:ascii="Calibri" w:hAnsi="Calibri" w:cs="Calibri"/>
          <w:color w:val="000000"/>
        </w:rPr>
        <w:t xml:space="preserve">the </w:t>
      </w:r>
      <w:bookmarkStart w:id="0" w:name="_GoBack"/>
      <w:bookmarkEnd w:id="0"/>
      <w:r w:rsidR="00EB7461">
        <w:rPr>
          <w:rFonts w:ascii="Calibri" w:hAnsi="Calibri" w:cs="Calibri"/>
          <w:color w:val="000000"/>
        </w:rPr>
        <w:t xml:space="preserve">members of the </w:t>
      </w:r>
      <w:proofErr w:type="spellStart"/>
      <w:r w:rsidR="00EB7461">
        <w:rPr>
          <w:rFonts w:ascii="Calibri" w:hAnsi="Calibri" w:cs="Calibri"/>
          <w:color w:val="000000"/>
        </w:rPr>
        <w:t>Lucchese</w:t>
      </w:r>
      <w:proofErr w:type="spellEnd"/>
      <w:r w:rsidR="00EB7461">
        <w:rPr>
          <w:rFonts w:ascii="Calibri" w:hAnsi="Calibri" w:cs="Calibri"/>
          <w:color w:val="000000"/>
        </w:rPr>
        <w:t xml:space="preserve"> crime family involved in the heist, including James Burke and </w:t>
      </w:r>
      <w:proofErr w:type="spellStart"/>
      <w:r w:rsidR="00EB7461">
        <w:rPr>
          <w:rFonts w:ascii="Calibri" w:hAnsi="Calibri" w:cs="Calibri"/>
          <w:color w:val="000000"/>
        </w:rPr>
        <w:t>Lucchese</w:t>
      </w:r>
      <w:proofErr w:type="spellEnd"/>
      <w:r w:rsidR="00EB7461">
        <w:rPr>
          <w:rFonts w:ascii="Calibri" w:hAnsi="Calibri" w:cs="Calibri"/>
          <w:color w:val="000000"/>
        </w:rPr>
        <w:t xml:space="preserve"> family underboss Paul </w:t>
      </w:r>
      <w:proofErr w:type="spellStart"/>
      <w:r w:rsidR="00EB7461">
        <w:rPr>
          <w:rFonts w:ascii="Calibri" w:hAnsi="Calibri" w:cs="Calibri"/>
          <w:color w:val="000000"/>
        </w:rPr>
        <w:t>Vario</w:t>
      </w:r>
      <w:proofErr w:type="spellEnd"/>
      <w:r w:rsidR="00EB7461">
        <w:rPr>
          <w:rFonts w:ascii="Calibri" w:hAnsi="Calibri" w:cs="Calibri"/>
          <w:color w:val="000000"/>
        </w:rPr>
        <w:t xml:space="preserve">. Henry Hill’s testimony led to Burke being convicted as well as </w:t>
      </w:r>
      <w:proofErr w:type="spellStart"/>
      <w:r w:rsidR="00EB7461">
        <w:rPr>
          <w:rFonts w:ascii="Calibri" w:hAnsi="Calibri" w:cs="Calibri"/>
          <w:color w:val="000000"/>
        </w:rPr>
        <w:t>Vario</w:t>
      </w:r>
      <w:proofErr w:type="spellEnd"/>
      <w:r w:rsidR="00EB7461">
        <w:rPr>
          <w:rFonts w:ascii="Calibri" w:hAnsi="Calibri" w:cs="Calibri"/>
          <w:color w:val="000000"/>
        </w:rPr>
        <w:t>. They both died in prison.  (History.com, 2010)</w:t>
      </w:r>
    </w:p>
    <w:p w:rsidR="00BC726F" w:rsidRDefault="00BC726F" w:rsidP="001706D0">
      <w:pPr>
        <w:pStyle w:val="NormalWeb"/>
        <w:spacing w:before="0" w:beforeAutospacing="0" w:after="450" w:afterAutospacing="0"/>
        <w:rPr>
          <w:rFonts w:ascii="Calibri" w:hAnsi="Calibri" w:cs="Calibri"/>
          <w:color w:val="000000"/>
        </w:rPr>
      </w:pPr>
      <w:r>
        <w:rPr>
          <w:rFonts w:ascii="Calibri" w:hAnsi="Calibri" w:cs="Calibri"/>
          <w:color w:val="000000"/>
        </w:rPr>
        <w:t xml:space="preserve">Multiple theories of crime can be </w:t>
      </w:r>
      <w:r w:rsidR="00266A65">
        <w:rPr>
          <w:rFonts w:ascii="Calibri" w:hAnsi="Calibri" w:cs="Calibri"/>
          <w:color w:val="000000"/>
        </w:rPr>
        <w:t xml:space="preserve">used to gain more insight in the case of Henry Hill and the </w:t>
      </w:r>
      <w:proofErr w:type="spellStart"/>
      <w:r w:rsidR="00266A65">
        <w:rPr>
          <w:rFonts w:ascii="Calibri" w:hAnsi="Calibri" w:cs="Calibri"/>
          <w:color w:val="000000"/>
        </w:rPr>
        <w:t>Lucchese</w:t>
      </w:r>
      <w:proofErr w:type="spellEnd"/>
      <w:r w:rsidR="00266A65">
        <w:rPr>
          <w:rFonts w:ascii="Calibri" w:hAnsi="Calibri" w:cs="Calibri"/>
          <w:color w:val="000000"/>
        </w:rPr>
        <w:t xml:space="preserve"> crime family. Sutherland and Cressey’s theory of Differential Association goes a long way in explaining how Henry Hill started engaging in criminal activities, as he spent a lot of time with senior mafia bosses who taught him the ways of organized crime. </w:t>
      </w:r>
      <w:r w:rsidR="009C0683">
        <w:rPr>
          <w:rFonts w:ascii="Calibri" w:hAnsi="Calibri" w:cs="Calibri"/>
          <w:color w:val="000000"/>
        </w:rPr>
        <w:t xml:space="preserve">The inter-personal communication between Henry Hill and the senior members of the </w:t>
      </w:r>
      <w:proofErr w:type="spellStart"/>
      <w:r w:rsidR="009C0683">
        <w:rPr>
          <w:rFonts w:ascii="Calibri" w:hAnsi="Calibri" w:cs="Calibri"/>
          <w:color w:val="000000"/>
        </w:rPr>
        <w:t>Lucchese</w:t>
      </w:r>
      <w:proofErr w:type="spellEnd"/>
      <w:r w:rsidR="009C0683">
        <w:rPr>
          <w:rFonts w:ascii="Calibri" w:hAnsi="Calibri" w:cs="Calibri"/>
          <w:color w:val="000000"/>
        </w:rPr>
        <w:t xml:space="preserve"> crime family was vital to the eventual life of crime that Henry Hill went on to lead. As well as the Differential Association Theory, elements of the Classical Theory and Rational Choice theory can be found in the actions throughout Henry Hill’s life. </w:t>
      </w:r>
    </w:p>
    <w:p w:rsidR="009C0683" w:rsidRDefault="009C0683">
      <w:pPr>
        <w:rPr>
          <w:rFonts w:ascii="Calibri" w:hAnsi="Calibri" w:cs="Calibri"/>
          <w:color w:val="000000"/>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C0683" w:rsidRDefault="009C0683">
      <w:pPr>
        <w:rPr>
          <w:u w:val="single"/>
        </w:rPr>
      </w:pPr>
    </w:p>
    <w:p w:rsidR="009E709A" w:rsidRPr="009C0683" w:rsidRDefault="009E709A">
      <w:pPr>
        <w:rPr>
          <w:rFonts w:ascii="Calibri" w:hAnsi="Calibri" w:cs="Calibri"/>
          <w:color w:val="000000"/>
          <w:szCs w:val="20"/>
          <w:shd w:val="clear" w:color="auto" w:fill="FFFFFF"/>
        </w:rPr>
      </w:pPr>
      <w:r w:rsidRPr="009E709A">
        <w:rPr>
          <w:u w:val="single"/>
        </w:rPr>
        <w:lastRenderedPageBreak/>
        <w:t xml:space="preserve">Bibliography </w:t>
      </w:r>
    </w:p>
    <w:p w:rsidR="002755E2" w:rsidRDefault="002755E2">
      <w:pPr>
        <w:rPr>
          <w:u w:val="single"/>
        </w:rPr>
      </w:pPr>
    </w:p>
    <w:p w:rsidR="002755E2" w:rsidRDefault="002755E2">
      <w:pPr>
        <w:rPr>
          <w:u w:val="single"/>
        </w:rPr>
      </w:pPr>
      <w:r>
        <w:rPr>
          <w:u w:val="single"/>
        </w:rPr>
        <w:t xml:space="preserve">Online Articles </w:t>
      </w:r>
    </w:p>
    <w:p w:rsidR="002755E2" w:rsidRDefault="002755E2">
      <w:pPr>
        <w:rPr>
          <w:u w:val="single"/>
        </w:rPr>
      </w:pPr>
    </w:p>
    <w:p w:rsidR="002755E2" w:rsidRDefault="002755E2" w:rsidP="002755E2">
      <w:pPr>
        <w:rPr>
          <w:rFonts w:ascii="Arial" w:hAnsi="Arial" w:cs="Arial"/>
          <w:color w:val="000000"/>
          <w:sz w:val="20"/>
          <w:szCs w:val="20"/>
          <w:shd w:val="clear" w:color="auto" w:fill="FFFFFF"/>
        </w:rPr>
      </w:pPr>
      <w:r w:rsidRPr="002755E2">
        <w:rPr>
          <w:rFonts w:ascii="Arial" w:hAnsi="Arial" w:cs="Arial"/>
          <w:color w:val="000000"/>
          <w:sz w:val="20"/>
          <w:szCs w:val="20"/>
          <w:shd w:val="clear" w:color="auto" w:fill="FFFFFF"/>
        </w:rPr>
        <w:t>Crime-study.blogspot.com. 2014. </w:t>
      </w:r>
      <w:r w:rsidRPr="002755E2">
        <w:rPr>
          <w:rFonts w:ascii="Arial" w:hAnsi="Arial" w:cs="Arial"/>
          <w:i/>
          <w:iCs/>
          <w:color w:val="000000"/>
          <w:sz w:val="20"/>
          <w:szCs w:val="20"/>
        </w:rPr>
        <w:t>Demonology in criminology</w:t>
      </w:r>
      <w:r w:rsidRPr="002755E2">
        <w:rPr>
          <w:rFonts w:ascii="Arial" w:hAnsi="Arial" w:cs="Arial"/>
          <w:color w:val="000000"/>
          <w:sz w:val="20"/>
          <w:szCs w:val="20"/>
          <w:shd w:val="clear" w:color="auto" w:fill="FFFFFF"/>
        </w:rPr>
        <w:t>. [online] Available at: &lt;http://crime-study.blogspot.com/2010/03/demonology-in-criminology.html&gt; [Accessed 7 March 2021].</w:t>
      </w:r>
    </w:p>
    <w:p w:rsidR="0009563C" w:rsidRDefault="0009563C" w:rsidP="002755E2">
      <w:pPr>
        <w:rPr>
          <w:rFonts w:ascii="Arial" w:hAnsi="Arial" w:cs="Arial"/>
          <w:color w:val="000000"/>
          <w:sz w:val="20"/>
          <w:szCs w:val="20"/>
          <w:shd w:val="clear" w:color="auto" w:fill="FFFFFF"/>
        </w:rPr>
      </w:pPr>
    </w:p>
    <w:p w:rsidR="0009563C" w:rsidRPr="0009563C" w:rsidRDefault="0009563C" w:rsidP="0009563C">
      <w:r w:rsidRPr="0009563C">
        <w:rPr>
          <w:rFonts w:ascii="Arial" w:hAnsi="Arial" w:cs="Arial"/>
          <w:color w:val="000000"/>
          <w:sz w:val="20"/>
          <w:szCs w:val="20"/>
          <w:shd w:val="clear" w:color="auto" w:fill="FFFFFF"/>
        </w:rPr>
        <w:t>Unodc.org. 2019. </w:t>
      </w:r>
      <w:r w:rsidRPr="0009563C">
        <w:rPr>
          <w:rFonts w:ascii="Arial" w:hAnsi="Arial" w:cs="Arial"/>
          <w:i/>
          <w:iCs/>
          <w:color w:val="000000"/>
          <w:sz w:val="20"/>
          <w:szCs w:val="20"/>
        </w:rPr>
        <w:t>Organized Crime Module 6 Key Issues: Positivism - Environmental Influences</w:t>
      </w:r>
      <w:r w:rsidRPr="0009563C">
        <w:rPr>
          <w:rFonts w:ascii="Arial" w:hAnsi="Arial" w:cs="Arial"/>
          <w:color w:val="000000"/>
          <w:sz w:val="20"/>
          <w:szCs w:val="20"/>
          <w:shd w:val="clear" w:color="auto" w:fill="FFFFFF"/>
        </w:rPr>
        <w:t>. [online] Available at: &lt;https://www.unodc.org/e4j/en/organized-crime/module-6/key-issues/positivism-environmental-influences.html&gt; [Accessed 8 March 2021].</w:t>
      </w:r>
    </w:p>
    <w:p w:rsidR="0009563C" w:rsidRDefault="0009563C" w:rsidP="002755E2">
      <w:pPr>
        <w:rPr>
          <w:rFonts w:ascii="Arial" w:hAnsi="Arial" w:cs="Arial"/>
          <w:color w:val="000000"/>
          <w:sz w:val="20"/>
          <w:szCs w:val="20"/>
          <w:shd w:val="clear" w:color="auto" w:fill="FFFFFF"/>
        </w:rPr>
      </w:pPr>
    </w:p>
    <w:p w:rsidR="001E643D" w:rsidRPr="001E643D" w:rsidRDefault="001E643D" w:rsidP="001E643D">
      <w:r w:rsidRPr="001E643D">
        <w:rPr>
          <w:rFonts w:ascii="Arial" w:hAnsi="Arial" w:cs="Arial"/>
          <w:color w:val="000000"/>
          <w:sz w:val="20"/>
          <w:szCs w:val="20"/>
          <w:shd w:val="clear" w:color="auto" w:fill="FFFFFF"/>
        </w:rPr>
        <w:t>Vinney, C., 2019. </w:t>
      </w:r>
      <w:r w:rsidRPr="001E643D">
        <w:rPr>
          <w:rFonts w:ascii="Arial" w:hAnsi="Arial" w:cs="Arial"/>
          <w:i/>
          <w:iCs/>
          <w:color w:val="000000"/>
          <w:sz w:val="20"/>
          <w:szCs w:val="20"/>
        </w:rPr>
        <w:t>Sutherland's Differential Association Theory Explained</w:t>
      </w:r>
      <w:r w:rsidRPr="001E643D">
        <w:rPr>
          <w:rFonts w:ascii="Arial" w:hAnsi="Arial" w:cs="Arial"/>
          <w:color w:val="000000"/>
          <w:sz w:val="20"/>
          <w:szCs w:val="20"/>
          <w:shd w:val="clear" w:color="auto" w:fill="FFFFFF"/>
        </w:rPr>
        <w:t>. [online] ThoughtCo. Available at: &lt;https://www.thoughtco.com/differential-association-theory-4689191&gt; [Accessed 8 March 2021].</w:t>
      </w:r>
    </w:p>
    <w:p w:rsidR="001E643D" w:rsidRDefault="001E643D" w:rsidP="002755E2">
      <w:pPr>
        <w:rPr>
          <w:rFonts w:ascii="Arial" w:hAnsi="Arial" w:cs="Arial"/>
          <w:color w:val="000000"/>
          <w:sz w:val="20"/>
          <w:szCs w:val="20"/>
          <w:shd w:val="clear" w:color="auto" w:fill="FFFFFF"/>
        </w:rPr>
      </w:pPr>
    </w:p>
    <w:p w:rsidR="00F261B5" w:rsidRDefault="00F261B5" w:rsidP="00F261B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Guardian.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‘Children feel peers are armed’: why the UK’s knife attacks are relentless</w:t>
      </w:r>
      <w:r>
        <w:rPr>
          <w:rFonts w:ascii="Arial" w:hAnsi="Arial" w:cs="Arial"/>
          <w:color w:val="000000"/>
          <w:sz w:val="20"/>
          <w:szCs w:val="20"/>
          <w:shd w:val="clear" w:color="auto" w:fill="FFFFFF"/>
        </w:rPr>
        <w:t>. [online] Available at: &lt;https://www.theguardian.com/uk-news/2019/mar/05/children-feel-peers-are-armed-why-the-uk-fatal-stabbings-are-relentless-knife-crime&gt; [Accessed 10 March 2021].</w:t>
      </w:r>
    </w:p>
    <w:p w:rsidR="00E75772" w:rsidRDefault="00E75772" w:rsidP="00F261B5"/>
    <w:p w:rsidR="00E75772" w:rsidRDefault="00E75772" w:rsidP="00E757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News.bbc.co.uk. 2006.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BBC NEWS | Health | Why the young learn more easily</w:t>
      </w:r>
      <w:r>
        <w:rPr>
          <w:rFonts w:ascii="Arial" w:hAnsi="Arial" w:cs="Arial"/>
          <w:color w:val="000000"/>
          <w:sz w:val="20"/>
          <w:szCs w:val="20"/>
          <w:shd w:val="clear" w:color="auto" w:fill="FFFFFF"/>
        </w:rPr>
        <w:t>. [online] Available at: &lt;http://news.bbc.co.uk/1/hi/health/6172048.stm&gt; [Accessed 10 March 2021].</w:t>
      </w:r>
    </w:p>
    <w:p w:rsidR="00006639" w:rsidRDefault="00006639" w:rsidP="00E75772"/>
    <w:p w:rsidR="00006639" w:rsidRDefault="00006639" w:rsidP="00006639">
      <w:r>
        <w:rPr>
          <w:rFonts w:ascii="Arial" w:hAnsi="Arial" w:cs="Arial"/>
          <w:color w:val="000000"/>
          <w:sz w:val="20"/>
          <w:szCs w:val="20"/>
          <w:shd w:val="clear" w:color="auto" w:fill="FFFFFF"/>
        </w:rPr>
        <w:t>News, A., 2012.</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Henry Hill: 7 Things to Know About Infamous 'Goodfella'</w:t>
      </w:r>
      <w:r>
        <w:rPr>
          <w:rFonts w:ascii="Arial" w:hAnsi="Arial" w:cs="Arial"/>
          <w:color w:val="000000"/>
          <w:sz w:val="20"/>
          <w:szCs w:val="20"/>
          <w:shd w:val="clear" w:color="auto" w:fill="FFFFFF"/>
        </w:rPr>
        <w:t>. [online] ABC News. Available at: &lt;https://abcnews.go.com/Entertainment/things-goodfellas-henry-hill/story?id=16557945&gt; [Accessed 11 March 2021].</w:t>
      </w:r>
    </w:p>
    <w:p w:rsidR="00006639" w:rsidRDefault="00006639" w:rsidP="00E75772"/>
    <w:p w:rsidR="002A3A8F" w:rsidRDefault="002A3A8F" w:rsidP="002A3A8F">
      <w:proofErr w:type="spellStart"/>
      <w:r>
        <w:rPr>
          <w:rFonts w:ascii="Arial" w:hAnsi="Arial" w:cs="Arial"/>
          <w:color w:val="000000"/>
          <w:sz w:val="20"/>
          <w:szCs w:val="20"/>
          <w:shd w:val="clear" w:color="auto" w:fill="FFFFFF"/>
        </w:rPr>
        <w:t>Encyclopedia</w:t>
      </w:r>
      <w:proofErr w:type="spellEnd"/>
      <w:r>
        <w:rPr>
          <w:rFonts w:ascii="Arial" w:hAnsi="Arial" w:cs="Arial"/>
          <w:color w:val="000000"/>
          <w:sz w:val="20"/>
          <w:szCs w:val="20"/>
          <w:shd w:val="clear" w:color="auto" w:fill="FFFFFF"/>
        </w:rPr>
        <w:t xml:space="preserve"> Britannica.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rational choice theory | Definition, Examples, &amp; Facts</w:t>
      </w:r>
      <w:r>
        <w:rPr>
          <w:rFonts w:ascii="Arial" w:hAnsi="Arial" w:cs="Arial"/>
          <w:color w:val="000000"/>
          <w:sz w:val="20"/>
          <w:szCs w:val="20"/>
          <w:shd w:val="clear" w:color="auto" w:fill="FFFFFF"/>
        </w:rPr>
        <w:t>. [online] Available at: &lt;https://www.britannica.com/topic/rational-choice-theory&gt; [Accessed 11 March 2021].</w:t>
      </w:r>
    </w:p>
    <w:p w:rsidR="002A3A8F" w:rsidRDefault="002A3A8F" w:rsidP="00E75772"/>
    <w:p w:rsidR="002D4B3B" w:rsidRDefault="002D4B3B" w:rsidP="002D4B3B">
      <w:r>
        <w:rPr>
          <w:rFonts w:ascii="Arial" w:hAnsi="Arial" w:cs="Arial"/>
          <w:color w:val="000000"/>
          <w:sz w:val="20"/>
          <w:szCs w:val="20"/>
          <w:shd w:val="clear" w:color="auto" w:fill="FFFFFF"/>
        </w:rPr>
        <w:t>HISTORY.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Millions stolen from JFK Airport in infamous 'Lufthansa heist'</w:t>
      </w:r>
      <w:r>
        <w:rPr>
          <w:rFonts w:ascii="Arial" w:hAnsi="Arial" w:cs="Arial"/>
          <w:color w:val="000000"/>
          <w:sz w:val="20"/>
          <w:szCs w:val="20"/>
          <w:shd w:val="clear" w:color="auto" w:fill="FFFFFF"/>
        </w:rPr>
        <w:t>. [online] Available at: &lt;https://www.history.com/this-day-in-history/lufthansa-heist-jfk-airport-goodfellas-henry-hill&gt; [Accessed 12 March 2021].</w:t>
      </w:r>
    </w:p>
    <w:p w:rsidR="002D4B3B" w:rsidRDefault="002D4B3B" w:rsidP="00E75772"/>
    <w:p w:rsidR="00E75772" w:rsidRDefault="00E75772" w:rsidP="00F261B5"/>
    <w:p w:rsidR="00F261B5" w:rsidRDefault="00F261B5" w:rsidP="002755E2">
      <w:pPr>
        <w:rPr>
          <w:rFonts w:ascii="Arial" w:hAnsi="Arial" w:cs="Arial"/>
          <w:color w:val="000000"/>
          <w:sz w:val="20"/>
          <w:szCs w:val="20"/>
          <w:shd w:val="clear" w:color="auto" w:fill="FFFFFF"/>
        </w:rPr>
      </w:pPr>
    </w:p>
    <w:p w:rsidR="00C506CE" w:rsidRDefault="00C506CE" w:rsidP="002755E2"/>
    <w:p w:rsidR="002755E2" w:rsidRDefault="00C506CE">
      <w:pPr>
        <w:rPr>
          <w:u w:val="single"/>
        </w:rPr>
      </w:pPr>
      <w:r>
        <w:rPr>
          <w:u w:val="single"/>
        </w:rPr>
        <w:t>Books</w:t>
      </w:r>
    </w:p>
    <w:p w:rsidR="00C506CE" w:rsidRDefault="00C506CE">
      <w:pPr>
        <w:rPr>
          <w:u w:val="single"/>
        </w:rPr>
      </w:pPr>
    </w:p>
    <w:p w:rsidR="008D63C5" w:rsidRDefault="00C506CE" w:rsidP="00C506CE">
      <w:pPr>
        <w:rPr>
          <w:rFonts w:ascii="Arial" w:hAnsi="Arial" w:cs="Arial"/>
          <w:color w:val="000000"/>
          <w:sz w:val="20"/>
          <w:szCs w:val="20"/>
          <w:shd w:val="clear" w:color="auto" w:fill="FFFFFF"/>
        </w:rPr>
      </w:pPr>
      <w:r w:rsidRPr="00C506CE">
        <w:rPr>
          <w:rFonts w:ascii="Arial" w:hAnsi="Arial" w:cs="Arial"/>
          <w:color w:val="000000"/>
          <w:sz w:val="20"/>
          <w:szCs w:val="20"/>
          <w:shd w:val="clear" w:color="auto" w:fill="FFFFFF"/>
        </w:rPr>
        <w:t>Cullen, F. and Wilcox, P., 2010. </w:t>
      </w:r>
      <w:proofErr w:type="spellStart"/>
      <w:r w:rsidRPr="00C506CE">
        <w:rPr>
          <w:rFonts w:ascii="Arial" w:hAnsi="Arial" w:cs="Arial"/>
          <w:i/>
          <w:iCs/>
          <w:color w:val="000000"/>
          <w:sz w:val="20"/>
          <w:szCs w:val="20"/>
        </w:rPr>
        <w:t>Encyclopedia</w:t>
      </w:r>
      <w:proofErr w:type="spellEnd"/>
      <w:r w:rsidRPr="00C506CE">
        <w:rPr>
          <w:rFonts w:ascii="Arial" w:hAnsi="Arial" w:cs="Arial"/>
          <w:i/>
          <w:iCs/>
          <w:color w:val="000000"/>
          <w:sz w:val="20"/>
          <w:szCs w:val="20"/>
        </w:rPr>
        <w:t xml:space="preserve"> of criminological theory</w:t>
      </w:r>
      <w:r w:rsidRPr="00C506CE">
        <w:rPr>
          <w:rFonts w:ascii="Arial" w:hAnsi="Arial" w:cs="Arial"/>
          <w:color w:val="000000"/>
          <w:sz w:val="20"/>
          <w:szCs w:val="20"/>
          <w:shd w:val="clear" w:color="auto" w:fill="FFFFFF"/>
        </w:rPr>
        <w:t>. Los Angeles [Calif.]: SAGE.</w:t>
      </w:r>
    </w:p>
    <w:p w:rsidR="006E56B9" w:rsidRDefault="006E56B9" w:rsidP="00C506CE">
      <w:pPr>
        <w:rPr>
          <w:rFonts w:ascii="Arial" w:hAnsi="Arial" w:cs="Arial"/>
          <w:color w:val="000000"/>
          <w:sz w:val="20"/>
          <w:szCs w:val="20"/>
          <w:shd w:val="clear" w:color="auto" w:fill="FFFFFF"/>
        </w:rPr>
      </w:pPr>
    </w:p>
    <w:p w:rsidR="006E56B9" w:rsidRDefault="006E56B9" w:rsidP="006E56B9">
      <w:pPr>
        <w:rPr>
          <w:rFonts w:ascii="Arial" w:hAnsi="Arial" w:cs="Arial"/>
          <w:color w:val="000000"/>
          <w:sz w:val="20"/>
          <w:szCs w:val="20"/>
          <w:shd w:val="clear" w:color="auto" w:fill="FFFFFF"/>
        </w:rPr>
      </w:pPr>
      <w:r w:rsidRPr="006E56B9">
        <w:rPr>
          <w:rFonts w:ascii="Arial" w:hAnsi="Arial" w:cs="Arial"/>
          <w:color w:val="000000"/>
          <w:sz w:val="20"/>
          <w:szCs w:val="20"/>
          <w:shd w:val="clear" w:color="auto" w:fill="FFFFFF"/>
        </w:rPr>
        <w:t>Wright, A., 2013. </w:t>
      </w:r>
      <w:r w:rsidRPr="006E56B9">
        <w:rPr>
          <w:rFonts w:ascii="Arial" w:hAnsi="Arial" w:cs="Arial"/>
          <w:i/>
          <w:iCs/>
          <w:color w:val="000000"/>
          <w:sz w:val="20"/>
          <w:szCs w:val="20"/>
        </w:rPr>
        <w:t>Organised Crime</w:t>
      </w:r>
      <w:r w:rsidRPr="006E56B9">
        <w:rPr>
          <w:rFonts w:ascii="Arial" w:hAnsi="Arial" w:cs="Arial"/>
          <w:color w:val="000000"/>
          <w:sz w:val="20"/>
          <w:szCs w:val="20"/>
          <w:shd w:val="clear" w:color="auto" w:fill="FFFFFF"/>
        </w:rPr>
        <w:t>. Hoboken: Taylor and Francis.</w:t>
      </w:r>
    </w:p>
    <w:p w:rsidR="004C05EF" w:rsidRDefault="004C05EF" w:rsidP="006E56B9"/>
    <w:p w:rsidR="004C05EF" w:rsidRDefault="004C05EF" w:rsidP="004C05EF">
      <w:r>
        <w:rPr>
          <w:rFonts w:ascii="Arial" w:hAnsi="Arial" w:cs="Arial"/>
          <w:color w:val="000000"/>
          <w:sz w:val="20"/>
          <w:szCs w:val="20"/>
          <w:shd w:val="clear" w:color="auto" w:fill="FFFFFF"/>
        </w:rPr>
        <w:t>Hill, H. and Simone, D., n.d.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The Lufthansa </w:t>
      </w:r>
      <w:proofErr w:type="gramStart"/>
      <w:r>
        <w:rPr>
          <w:rFonts w:ascii="Arial" w:hAnsi="Arial" w:cs="Arial"/>
          <w:i/>
          <w:iCs/>
          <w:color w:val="000000"/>
          <w:sz w:val="20"/>
          <w:szCs w:val="20"/>
        </w:rPr>
        <w:t>heist</w:t>
      </w:r>
      <w:proofErr w:type="gramEnd"/>
      <w:r>
        <w:rPr>
          <w:rFonts w:ascii="Arial" w:hAnsi="Arial" w:cs="Arial"/>
          <w:color w:val="000000"/>
          <w:sz w:val="20"/>
          <w:szCs w:val="20"/>
          <w:shd w:val="clear" w:color="auto" w:fill="FFFFFF"/>
        </w:rPr>
        <w:t>.</w:t>
      </w:r>
    </w:p>
    <w:p w:rsidR="004C05EF" w:rsidRPr="006E56B9" w:rsidRDefault="004C05EF" w:rsidP="006E56B9"/>
    <w:p w:rsidR="006E56B9" w:rsidRPr="00C506CE" w:rsidRDefault="006E56B9" w:rsidP="00C506CE">
      <w:pPr>
        <w:rPr>
          <w:rFonts w:ascii="Arial" w:hAnsi="Arial" w:cs="Arial"/>
          <w:color w:val="000000"/>
          <w:sz w:val="20"/>
          <w:szCs w:val="20"/>
          <w:shd w:val="clear" w:color="auto" w:fill="FFFFFF"/>
        </w:rPr>
      </w:pPr>
    </w:p>
    <w:p w:rsidR="00C506CE" w:rsidRDefault="00C506CE">
      <w:pPr>
        <w:rPr>
          <w:u w:val="single"/>
        </w:rPr>
      </w:pPr>
    </w:p>
    <w:p w:rsidR="002755E2" w:rsidRDefault="008D63C5">
      <w:pPr>
        <w:rPr>
          <w:u w:val="single"/>
        </w:rPr>
      </w:pPr>
      <w:r>
        <w:rPr>
          <w:u w:val="single"/>
        </w:rPr>
        <w:t xml:space="preserve">Journals </w:t>
      </w:r>
    </w:p>
    <w:p w:rsidR="008D63C5" w:rsidRDefault="008D63C5">
      <w:pPr>
        <w:rPr>
          <w:u w:val="single"/>
        </w:rPr>
      </w:pPr>
    </w:p>
    <w:p w:rsidR="008D63C5" w:rsidRDefault="008D63C5" w:rsidP="008D63C5">
      <w:pPr>
        <w:rPr>
          <w:rFonts w:ascii="Arial" w:hAnsi="Arial" w:cs="Arial"/>
          <w:color w:val="000000"/>
          <w:sz w:val="20"/>
          <w:szCs w:val="20"/>
          <w:shd w:val="clear" w:color="auto" w:fill="FFFFFF"/>
        </w:rPr>
      </w:pPr>
      <w:r w:rsidRPr="008D63C5">
        <w:rPr>
          <w:rFonts w:ascii="Arial" w:hAnsi="Arial" w:cs="Arial"/>
          <w:color w:val="000000"/>
          <w:sz w:val="20"/>
          <w:szCs w:val="20"/>
          <w:shd w:val="clear" w:color="auto" w:fill="FFFFFF"/>
        </w:rPr>
        <w:t xml:space="preserve">Ybarra, M., Diener-West, M., </w:t>
      </w:r>
      <w:proofErr w:type="spellStart"/>
      <w:r w:rsidRPr="008D63C5">
        <w:rPr>
          <w:rFonts w:ascii="Arial" w:hAnsi="Arial" w:cs="Arial"/>
          <w:color w:val="000000"/>
          <w:sz w:val="20"/>
          <w:szCs w:val="20"/>
          <w:shd w:val="clear" w:color="auto" w:fill="FFFFFF"/>
        </w:rPr>
        <w:t>Markow</w:t>
      </w:r>
      <w:proofErr w:type="spellEnd"/>
      <w:r w:rsidRPr="008D63C5">
        <w:rPr>
          <w:rFonts w:ascii="Arial" w:hAnsi="Arial" w:cs="Arial"/>
          <w:color w:val="000000"/>
          <w:sz w:val="20"/>
          <w:szCs w:val="20"/>
          <w:shd w:val="clear" w:color="auto" w:fill="FFFFFF"/>
        </w:rPr>
        <w:t xml:space="preserve">, D., Leaf, P., Hamburger, M. and Boxer, P., 2008. Linkages Between Internet and Other Media Violence </w:t>
      </w:r>
      <w:proofErr w:type="gramStart"/>
      <w:r w:rsidRPr="008D63C5">
        <w:rPr>
          <w:rFonts w:ascii="Arial" w:hAnsi="Arial" w:cs="Arial"/>
          <w:color w:val="000000"/>
          <w:sz w:val="20"/>
          <w:szCs w:val="20"/>
          <w:shd w:val="clear" w:color="auto" w:fill="FFFFFF"/>
        </w:rPr>
        <w:t>With</w:t>
      </w:r>
      <w:proofErr w:type="gramEnd"/>
      <w:r w:rsidRPr="008D63C5">
        <w:rPr>
          <w:rFonts w:ascii="Arial" w:hAnsi="Arial" w:cs="Arial"/>
          <w:color w:val="000000"/>
          <w:sz w:val="20"/>
          <w:szCs w:val="20"/>
          <w:shd w:val="clear" w:color="auto" w:fill="FFFFFF"/>
        </w:rPr>
        <w:t xml:space="preserve"> Seriously Violent </w:t>
      </w:r>
      <w:proofErr w:type="spellStart"/>
      <w:r w:rsidRPr="008D63C5">
        <w:rPr>
          <w:rFonts w:ascii="Arial" w:hAnsi="Arial" w:cs="Arial"/>
          <w:color w:val="000000"/>
          <w:sz w:val="20"/>
          <w:szCs w:val="20"/>
          <w:shd w:val="clear" w:color="auto" w:fill="FFFFFF"/>
        </w:rPr>
        <w:t>Behavior</w:t>
      </w:r>
      <w:proofErr w:type="spellEnd"/>
      <w:r w:rsidRPr="008D63C5">
        <w:rPr>
          <w:rFonts w:ascii="Arial" w:hAnsi="Arial" w:cs="Arial"/>
          <w:color w:val="000000"/>
          <w:sz w:val="20"/>
          <w:szCs w:val="20"/>
          <w:shd w:val="clear" w:color="auto" w:fill="FFFFFF"/>
        </w:rPr>
        <w:t xml:space="preserve"> by Youth. </w:t>
      </w:r>
      <w:r w:rsidRPr="008D63C5">
        <w:rPr>
          <w:rFonts w:ascii="Arial" w:hAnsi="Arial" w:cs="Arial"/>
          <w:i/>
          <w:iCs/>
          <w:color w:val="000000"/>
          <w:sz w:val="20"/>
          <w:szCs w:val="20"/>
        </w:rPr>
        <w:t>PEDIATRICS</w:t>
      </w:r>
      <w:r w:rsidRPr="008D63C5">
        <w:rPr>
          <w:rFonts w:ascii="Arial" w:hAnsi="Arial" w:cs="Arial"/>
          <w:color w:val="000000"/>
          <w:sz w:val="20"/>
          <w:szCs w:val="20"/>
          <w:shd w:val="clear" w:color="auto" w:fill="FFFFFF"/>
        </w:rPr>
        <w:t>, 122(5), pp.929-937.</w:t>
      </w:r>
    </w:p>
    <w:p w:rsidR="00232896" w:rsidRDefault="00232896" w:rsidP="008D63C5"/>
    <w:p w:rsidR="00232896" w:rsidRPr="00232896" w:rsidRDefault="00232896" w:rsidP="00232896">
      <w:r w:rsidRPr="00232896">
        <w:rPr>
          <w:rFonts w:ascii="Arial" w:hAnsi="Arial" w:cs="Arial"/>
          <w:color w:val="000000"/>
          <w:sz w:val="20"/>
          <w:szCs w:val="20"/>
          <w:shd w:val="clear" w:color="auto" w:fill="FFFFFF"/>
        </w:rPr>
        <w:t>Bushman, B., Gollwitzer, M. and Cruz, C., 2014. </w:t>
      </w:r>
      <w:r w:rsidRPr="00232896">
        <w:rPr>
          <w:rFonts w:ascii="Arial" w:hAnsi="Arial" w:cs="Arial"/>
          <w:i/>
          <w:iCs/>
          <w:color w:val="000000"/>
          <w:sz w:val="20"/>
          <w:szCs w:val="20"/>
        </w:rPr>
        <w:t xml:space="preserve">There is broad consensus: Media researchers agree that violent media increase aggression in children, and </w:t>
      </w:r>
      <w:proofErr w:type="spellStart"/>
      <w:r w:rsidRPr="00232896">
        <w:rPr>
          <w:rFonts w:ascii="Arial" w:hAnsi="Arial" w:cs="Arial"/>
          <w:i/>
          <w:iCs/>
          <w:color w:val="000000"/>
          <w:sz w:val="20"/>
          <w:szCs w:val="20"/>
        </w:rPr>
        <w:t>pediatricians</w:t>
      </w:r>
      <w:proofErr w:type="spellEnd"/>
      <w:r w:rsidRPr="00232896">
        <w:rPr>
          <w:rFonts w:ascii="Arial" w:hAnsi="Arial" w:cs="Arial"/>
          <w:i/>
          <w:iCs/>
          <w:color w:val="000000"/>
          <w:sz w:val="20"/>
          <w:szCs w:val="20"/>
        </w:rPr>
        <w:t xml:space="preserve"> and parents </w:t>
      </w:r>
      <w:proofErr w:type="gramStart"/>
      <w:r w:rsidRPr="00232896">
        <w:rPr>
          <w:rFonts w:ascii="Arial" w:hAnsi="Arial" w:cs="Arial"/>
          <w:i/>
          <w:iCs/>
          <w:color w:val="000000"/>
          <w:sz w:val="20"/>
          <w:szCs w:val="20"/>
        </w:rPr>
        <w:t>concur.</w:t>
      </w:r>
      <w:r w:rsidRPr="00232896">
        <w:rPr>
          <w:rFonts w:ascii="Arial" w:hAnsi="Arial" w:cs="Arial"/>
          <w:color w:val="000000"/>
          <w:sz w:val="20"/>
          <w:szCs w:val="20"/>
          <w:shd w:val="clear" w:color="auto" w:fill="FFFFFF"/>
        </w:rPr>
        <w:t>.</w:t>
      </w:r>
      <w:proofErr w:type="gramEnd"/>
    </w:p>
    <w:p w:rsidR="00232896" w:rsidRPr="008D63C5" w:rsidRDefault="00232896" w:rsidP="008D63C5"/>
    <w:p w:rsidR="008D63C5" w:rsidRPr="009E709A" w:rsidRDefault="008D63C5">
      <w:pPr>
        <w:rPr>
          <w:u w:val="single"/>
        </w:rPr>
      </w:pPr>
    </w:p>
    <w:sectPr w:rsidR="008D63C5" w:rsidRPr="009E709A" w:rsidSect="001C08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85C0C"/>
    <w:multiLevelType w:val="multilevel"/>
    <w:tmpl w:val="20F47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B0BFC"/>
    <w:multiLevelType w:val="multilevel"/>
    <w:tmpl w:val="0E9C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8F1540"/>
    <w:multiLevelType w:val="hybridMultilevel"/>
    <w:tmpl w:val="D9A2CD82"/>
    <w:lvl w:ilvl="0" w:tplc="2A02F49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75"/>
    <w:rsid w:val="00006639"/>
    <w:rsid w:val="00022D4B"/>
    <w:rsid w:val="000518AE"/>
    <w:rsid w:val="000852BD"/>
    <w:rsid w:val="0009563C"/>
    <w:rsid w:val="00115839"/>
    <w:rsid w:val="001546C4"/>
    <w:rsid w:val="001552BA"/>
    <w:rsid w:val="001706D0"/>
    <w:rsid w:val="0019058C"/>
    <w:rsid w:val="001B34DE"/>
    <w:rsid w:val="001C08E2"/>
    <w:rsid w:val="001E2A4F"/>
    <w:rsid w:val="001E643D"/>
    <w:rsid w:val="00232896"/>
    <w:rsid w:val="002358CE"/>
    <w:rsid w:val="00266A65"/>
    <w:rsid w:val="002755E2"/>
    <w:rsid w:val="002A3A8F"/>
    <w:rsid w:val="002C4FA1"/>
    <w:rsid w:val="002D4B3B"/>
    <w:rsid w:val="00301B88"/>
    <w:rsid w:val="00324A2C"/>
    <w:rsid w:val="003251ED"/>
    <w:rsid w:val="00336964"/>
    <w:rsid w:val="003B5BA5"/>
    <w:rsid w:val="003D2E6C"/>
    <w:rsid w:val="00486FA2"/>
    <w:rsid w:val="004C05EF"/>
    <w:rsid w:val="004E0F4A"/>
    <w:rsid w:val="005D3F7C"/>
    <w:rsid w:val="00633221"/>
    <w:rsid w:val="006804B7"/>
    <w:rsid w:val="006E56B9"/>
    <w:rsid w:val="007063A0"/>
    <w:rsid w:val="00786A3F"/>
    <w:rsid w:val="00811D6A"/>
    <w:rsid w:val="0089104A"/>
    <w:rsid w:val="008B45B3"/>
    <w:rsid w:val="008B7E05"/>
    <w:rsid w:val="008D63C5"/>
    <w:rsid w:val="00932652"/>
    <w:rsid w:val="009C0683"/>
    <w:rsid w:val="009E709A"/>
    <w:rsid w:val="00A11F17"/>
    <w:rsid w:val="00A42D7E"/>
    <w:rsid w:val="00A95D75"/>
    <w:rsid w:val="00B54B73"/>
    <w:rsid w:val="00B70F81"/>
    <w:rsid w:val="00B912CF"/>
    <w:rsid w:val="00BC726F"/>
    <w:rsid w:val="00C102DE"/>
    <w:rsid w:val="00C14DEC"/>
    <w:rsid w:val="00C506CE"/>
    <w:rsid w:val="00C51A7A"/>
    <w:rsid w:val="00E75772"/>
    <w:rsid w:val="00EB7461"/>
    <w:rsid w:val="00EF26F7"/>
    <w:rsid w:val="00EF5D90"/>
    <w:rsid w:val="00EF7019"/>
    <w:rsid w:val="00F261B5"/>
    <w:rsid w:val="00F55F5A"/>
    <w:rsid w:val="00F71EA7"/>
    <w:rsid w:val="00F828D5"/>
    <w:rsid w:val="00F8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FBBD6C"/>
  <w15:chartTrackingRefBased/>
  <w15:docId w15:val="{2079BF78-31C6-9848-8166-7C282958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61B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755E2"/>
  </w:style>
  <w:style w:type="paragraph" w:styleId="ListParagraph">
    <w:name w:val="List Paragraph"/>
    <w:basedOn w:val="Normal"/>
    <w:uiPriority w:val="34"/>
    <w:qFormat/>
    <w:rsid w:val="0009563C"/>
    <w:pPr>
      <w:ind w:left="720"/>
      <w:contextualSpacing/>
    </w:pPr>
  </w:style>
  <w:style w:type="paragraph" w:styleId="Quote">
    <w:name w:val="Quote"/>
    <w:basedOn w:val="Normal"/>
    <w:next w:val="Normal"/>
    <w:link w:val="QuoteChar"/>
    <w:uiPriority w:val="29"/>
    <w:qFormat/>
    <w:rsid w:val="00A11F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11F17"/>
    <w:rPr>
      <w:i/>
      <w:iCs/>
      <w:color w:val="404040" w:themeColor="text1" w:themeTint="BF"/>
    </w:rPr>
  </w:style>
  <w:style w:type="paragraph" w:styleId="NormalWeb">
    <w:name w:val="Normal (Web)"/>
    <w:basedOn w:val="Normal"/>
    <w:uiPriority w:val="99"/>
    <w:unhideWhenUsed/>
    <w:rsid w:val="008D63C5"/>
    <w:pPr>
      <w:spacing w:before="100" w:beforeAutospacing="1" w:after="100" w:afterAutospacing="1"/>
    </w:pPr>
  </w:style>
  <w:style w:type="character" w:styleId="Strong">
    <w:name w:val="Strong"/>
    <w:basedOn w:val="DefaultParagraphFont"/>
    <w:uiPriority w:val="22"/>
    <w:qFormat/>
    <w:rsid w:val="002A3A8F"/>
    <w:rPr>
      <w:b/>
      <w:bCs/>
    </w:rPr>
  </w:style>
  <w:style w:type="character" w:styleId="Hyperlink">
    <w:name w:val="Hyperlink"/>
    <w:basedOn w:val="DefaultParagraphFont"/>
    <w:uiPriority w:val="99"/>
    <w:semiHidden/>
    <w:unhideWhenUsed/>
    <w:rsid w:val="002D4B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7238">
      <w:bodyDiv w:val="1"/>
      <w:marLeft w:val="0"/>
      <w:marRight w:val="0"/>
      <w:marTop w:val="0"/>
      <w:marBottom w:val="0"/>
      <w:divBdr>
        <w:top w:val="none" w:sz="0" w:space="0" w:color="auto"/>
        <w:left w:val="none" w:sz="0" w:space="0" w:color="auto"/>
        <w:bottom w:val="none" w:sz="0" w:space="0" w:color="auto"/>
        <w:right w:val="none" w:sz="0" w:space="0" w:color="auto"/>
      </w:divBdr>
    </w:div>
    <w:div w:id="48696076">
      <w:bodyDiv w:val="1"/>
      <w:marLeft w:val="0"/>
      <w:marRight w:val="0"/>
      <w:marTop w:val="0"/>
      <w:marBottom w:val="0"/>
      <w:divBdr>
        <w:top w:val="none" w:sz="0" w:space="0" w:color="auto"/>
        <w:left w:val="none" w:sz="0" w:space="0" w:color="auto"/>
        <w:bottom w:val="none" w:sz="0" w:space="0" w:color="auto"/>
        <w:right w:val="none" w:sz="0" w:space="0" w:color="auto"/>
      </w:divBdr>
    </w:div>
    <w:div w:id="82340911">
      <w:bodyDiv w:val="1"/>
      <w:marLeft w:val="0"/>
      <w:marRight w:val="0"/>
      <w:marTop w:val="0"/>
      <w:marBottom w:val="0"/>
      <w:divBdr>
        <w:top w:val="none" w:sz="0" w:space="0" w:color="auto"/>
        <w:left w:val="none" w:sz="0" w:space="0" w:color="auto"/>
        <w:bottom w:val="none" w:sz="0" w:space="0" w:color="auto"/>
        <w:right w:val="none" w:sz="0" w:space="0" w:color="auto"/>
      </w:divBdr>
    </w:div>
    <w:div w:id="101271636">
      <w:bodyDiv w:val="1"/>
      <w:marLeft w:val="0"/>
      <w:marRight w:val="0"/>
      <w:marTop w:val="0"/>
      <w:marBottom w:val="0"/>
      <w:divBdr>
        <w:top w:val="none" w:sz="0" w:space="0" w:color="auto"/>
        <w:left w:val="none" w:sz="0" w:space="0" w:color="auto"/>
        <w:bottom w:val="none" w:sz="0" w:space="0" w:color="auto"/>
        <w:right w:val="none" w:sz="0" w:space="0" w:color="auto"/>
      </w:divBdr>
    </w:div>
    <w:div w:id="102723855">
      <w:bodyDiv w:val="1"/>
      <w:marLeft w:val="0"/>
      <w:marRight w:val="0"/>
      <w:marTop w:val="0"/>
      <w:marBottom w:val="0"/>
      <w:divBdr>
        <w:top w:val="none" w:sz="0" w:space="0" w:color="auto"/>
        <w:left w:val="none" w:sz="0" w:space="0" w:color="auto"/>
        <w:bottom w:val="none" w:sz="0" w:space="0" w:color="auto"/>
        <w:right w:val="none" w:sz="0" w:space="0" w:color="auto"/>
      </w:divBdr>
    </w:div>
    <w:div w:id="123819070">
      <w:bodyDiv w:val="1"/>
      <w:marLeft w:val="0"/>
      <w:marRight w:val="0"/>
      <w:marTop w:val="0"/>
      <w:marBottom w:val="0"/>
      <w:divBdr>
        <w:top w:val="none" w:sz="0" w:space="0" w:color="auto"/>
        <w:left w:val="none" w:sz="0" w:space="0" w:color="auto"/>
        <w:bottom w:val="none" w:sz="0" w:space="0" w:color="auto"/>
        <w:right w:val="none" w:sz="0" w:space="0" w:color="auto"/>
      </w:divBdr>
    </w:div>
    <w:div w:id="556280870">
      <w:bodyDiv w:val="1"/>
      <w:marLeft w:val="0"/>
      <w:marRight w:val="0"/>
      <w:marTop w:val="0"/>
      <w:marBottom w:val="0"/>
      <w:divBdr>
        <w:top w:val="none" w:sz="0" w:space="0" w:color="auto"/>
        <w:left w:val="none" w:sz="0" w:space="0" w:color="auto"/>
        <w:bottom w:val="none" w:sz="0" w:space="0" w:color="auto"/>
        <w:right w:val="none" w:sz="0" w:space="0" w:color="auto"/>
      </w:divBdr>
    </w:div>
    <w:div w:id="663121660">
      <w:bodyDiv w:val="1"/>
      <w:marLeft w:val="0"/>
      <w:marRight w:val="0"/>
      <w:marTop w:val="0"/>
      <w:marBottom w:val="0"/>
      <w:divBdr>
        <w:top w:val="none" w:sz="0" w:space="0" w:color="auto"/>
        <w:left w:val="none" w:sz="0" w:space="0" w:color="auto"/>
        <w:bottom w:val="none" w:sz="0" w:space="0" w:color="auto"/>
        <w:right w:val="none" w:sz="0" w:space="0" w:color="auto"/>
      </w:divBdr>
    </w:div>
    <w:div w:id="697584049">
      <w:bodyDiv w:val="1"/>
      <w:marLeft w:val="0"/>
      <w:marRight w:val="0"/>
      <w:marTop w:val="0"/>
      <w:marBottom w:val="0"/>
      <w:divBdr>
        <w:top w:val="none" w:sz="0" w:space="0" w:color="auto"/>
        <w:left w:val="none" w:sz="0" w:space="0" w:color="auto"/>
        <w:bottom w:val="none" w:sz="0" w:space="0" w:color="auto"/>
        <w:right w:val="none" w:sz="0" w:space="0" w:color="auto"/>
      </w:divBdr>
    </w:div>
    <w:div w:id="847057574">
      <w:bodyDiv w:val="1"/>
      <w:marLeft w:val="0"/>
      <w:marRight w:val="0"/>
      <w:marTop w:val="0"/>
      <w:marBottom w:val="0"/>
      <w:divBdr>
        <w:top w:val="none" w:sz="0" w:space="0" w:color="auto"/>
        <w:left w:val="none" w:sz="0" w:space="0" w:color="auto"/>
        <w:bottom w:val="none" w:sz="0" w:space="0" w:color="auto"/>
        <w:right w:val="none" w:sz="0" w:space="0" w:color="auto"/>
      </w:divBdr>
    </w:div>
    <w:div w:id="920525637">
      <w:bodyDiv w:val="1"/>
      <w:marLeft w:val="0"/>
      <w:marRight w:val="0"/>
      <w:marTop w:val="0"/>
      <w:marBottom w:val="0"/>
      <w:divBdr>
        <w:top w:val="none" w:sz="0" w:space="0" w:color="auto"/>
        <w:left w:val="none" w:sz="0" w:space="0" w:color="auto"/>
        <w:bottom w:val="none" w:sz="0" w:space="0" w:color="auto"/>
        <w:right w:val="none" w:sz="0" w:space="0" w:color="auto"/>
      </w:divBdr>
    </w:div>
    <w:div w:id="991955536">
      <w:bodyDiv w:val="1"/>
      <w:marLeft w:val="0"/>
      <w:marRight w:val="0"/>
      <w:marTop w:val="0"/>
      <w:marBottom w:val="0"/>
      <w:divBdr>
        <w:top w:val="none" w:sz="0" w:space="0" w:color="auto"/>
        <w:left w:val="none" w:sz="0" w:space="0" w:color="auto"/>
        <w:bottom w:val="none" w:sz="0" w:space="0" w:color="auto"/>
        <w:right w:val="none" w:sz="0" w:space="0" w:color="auto"/>
      </w:divBdr>
    </w:div>
    <w:div w:id="1049187062">
      <w:bodyDiv w:val="1"/>
      <w:marLeft w:val="0"/>
      <w:marRight w:val="0"/>
      <w:marTop w:val="0"/>
      <w:marBottom w:val="0"/>
      <w:divBdr>
        <w:top w:val="none" w:sz="0" w:space="0" w:color="auto"/>
        <w:left w:val="none" w:sz="0" w:space="0" w:color="auto"/>
        <w:bottom w:val="none" w:sz="0" w:space="0" w:color="auto"/>
        <w:right w:val="none" w:sz="0" w:space="0" w:color="auto"/>
      </w:divBdr>
    </w:div>
    <w:div w:id="1064257890">
      <w:bodyDiv w:val="1"/>
      <w:marLeft w:val="0"/>
      <w:marRight w:val="0"/>
      <w:marTop w:val="0"/>
      <w:marBottom w:val="0"/>
      <w:divBdr>
        <w:top w:val="none" w:sz="0" w:space="0" w:color="auto"/>
        <w:left w:val="none" w:sz="0" w:space="0" w:color="auto"/>
        <w:bottom w:val="none" w:sz="0" w:space="0" w:color="auto"/>
        <w:right w:val="none" w:sz="0" w:space="0" w:color="auto"/>
      </w:divBdr>
    </w:div>
    <w:div w:id="1070418899">
      <w:bodyDiv w:val="1"/>
      <w:marLeft w:val="0"/>
      <w:marRight w:val="0"/>
      <w:marTop w:val="0"/>
      <w:marBottom w:val="0"/>
      <w:divBdr>
        <w:top w:val="none" w:sz="0" w:space="0" w:color="auto"/>
        <w:left w:val="none" w:sz="0" w:space="0" w:color="auto"/>
        <w:bottom w:val="none" w:sz="0" w:space="0" w:color="auto"/>
        <w:right w:val="none" w:sz="0" w:space="0" w:color="auto"/>
      </w:divBdr>
    </w:div>
    <w:div w:id="1077826919">
      <w:bodyDiv w:val="1"/>
      <w:marLeft w:val="0"/>
      <w:marRight w:val="0"/>
      <w:marTop w:val="0"/>
      <w:marBottom w:val="0"/>
      <w:divBdr>
        <w:top w:val="none" w:sz="0" w:space="0" w:color="auto"/>
        <w:left w:val="none" w:sz="0" w:space="0" w:color="auto"/>
        <w:bottom w:val="none" w:sz="0" w:space="0" w:color="auto"/>
        <w:right w:val="none" w:sz="0" w:space="0" w:color="auto"/>
      </w:divBdr>
    </w:div>
    <w:div w:id="1140807898">
      <w:bodyDiv w:val="1"/>
      <w:marLeft w:val="0"/>
      <w:marRight w:val="0"/>
      <w:marTop w:val="0"/>
      <w:marBottom w:val="0"/>
      <w:divBdr>
        <w:top w:val="none" w:sz="0" w:space="0" w:color="auto"/>
        <w:left w:val="none" w:sz="0" w:space="0" w:color="auto"/>
        <w:bottom w:val="none" w:sz="0" w:space="0" w:color="auto"/>
        <w:right w:val="none" w:sz="0" w:space="0" w:color="auto"/>
      </w:divBdr>
    </w:div>
    <w:div w:id="1222671439">
      <w:bodyDiv w:val="1"/>
      <w:marLeft w:val="0"/>
      <w:marRight w:val="0"/>
      <w:marTop w:val="0"/>
      <w:marBottom w:val="0"/>
      <w:divBdr>
        <w:top w:val="none" w:sz="0" w:space="0" w:color="auto"/>
        <w:left w:val="none" w:sz="0" w:space="0" w:color="auto"/>
        <w:bottom w:val="none" w:sz="0" w:space="0" w:color="auto"/>
        <w:right w:val="none" w:sz="0" w:space="0" w:color="auto"/>
      </w:divBdr>
    </w:div>
    <w:div w:id="1235243871">
      <w:bodyDiv w:val="1"/>
      <w:marLeft w:val="0"/>
      <w:marRight w:val="0"/>
      <w:marTop w:val="0"/>
      <w:marBottom w:val="0"/>
      <w:divBdr>
        <w:top w:val="none" w:sz="0" w:space="0" w:color="auto"/>
        <w:left w:val="none" w:sz="0" w:space="0" w:color="auto"/>
        <w:bottom w:val="none" w:sz="0" w:space="0" w:color="auto"/>
        <w:right w:val="none" w:sz="0" w:space="0" w:color="auto"/>
      </w:divBdr>
    </w:div>
    <w:div w:id="1239483138">
      <w:bodyDiv w:val="1"/>
      <w:marLeft w:val="0"/>
      <w:marRight w:val="0"/>
      <w:marTop w:val="0"/>
      <w:marBottom w:val="0"/>
      <w:divBdr>
        <w:top w:val="none" w:sz="0" w:space="0" w:color="auto"/>
        <w:left w:val="none" w:sz="0" w:space="0" w:color="auto"/>
        <w:bottom w:val="none" w:sz="0" w:space="0" w:color="auto"/>
        <w:right w:val="none" w:sz="0" w:space="0" w:color="auto"/>
      </w:divBdr>
    </w:div>
    <w:div w:id="1319651767">
      <w:bodyDiv w:val="1"/>
      <w:marLeft w:val="0"/>
      <w:marRight w:val="0"/>
      <w:marTop w:val="0"/>
      <w:marBottom w:val="0"/>
      <w:divBdr>
        <w:top w:val="none" w:sz="0" w:space="0" w:color="auto"/>
        <w:left w:val="none" w:sz="0" w:space="0" w:color="auto"/>
        <w:bottom w:val="none" w:sz="0" w:space="0" w:color="auto"/>
        <w:right w:val="none" w:sz="0" w:space="0" w:color="auto"/>
      </w:divBdr>
    </w:div>
    <w:div w:id="1441222804">
      <w:bodyDiv w:val="1"/>
      <w:marLeft w:val="0"/>
      <w:marRight w:val="0"/>
      <w:marTop w:val="0"/>
      <w:marBottom w:val="0"/>
      <w:divBdr>
        <w:top w:val="none" w:sz="0" w:space="0" w:color="auto"/>
        <w:left w:val="none" w:sz="0" w:space="0" w:color="auto"/>
        <w:bottom w:val="none" w:sz="0" w:space="0" w:color="auto"/>
        <w:right w:val="none" w:sz="0" w:space="0" w:color="auto"/>
      </w:divBdr>
    </w:div>
    <w:div w:id="1461418270">
      <w:bodyDiv w:val="1"/>
      <w:marLeft w:val="0"/>
      <w:marRight w:val="0"/>
      <w:marTop w:val="0"/>
      <w:marBottom w:val="0"/>
      <w:divBdr>
        <w:top w:val="none" w:sz="0" w:space="0" w:color="auto"/>
        <w:left w:val="none" w:sz="0" w:space="0" w:color="auto"/>
        <w:bottom w:val="none" w:sz="0" w:space="0" w:color="auto"/>
        <w:right w:val="none" w:sz="0" w:space="0" w:color="auto"/>
      </w:divBdr>
    </w:div>
    <w:div w:id="1504784578">
      <w:bodyDiv w:val="1"/>
      <w:marLeft w:val="0"/>
      <w:marRight w:val="0"/>
      <w:marTop w:val="0"/>
      <w:marBottom w:val="0"/>
      <w:divBdr>
        <w:top w:val="none" w:sz="0" w:space="0" w:color="auto"/>
        <w:left w:val="none" w:sz="0" w:space="0" w:color="auto"/>
        <w:bottom w:val="none" w:sz="0" w:space="0" w:color="auto"/>
        <w:right w:val="none" w:sz="0" w:space="0" w:color="auto"/>
      </w:divBdr>
    </w:div>
    <w:div w:id="1538934973">
      <w:bodyDiv w:val="1"/>
      <w:marLeft w:val="0"/>
      <w:marRight w:val="0"/>
      <w:marTop w:val="0"/>
      <w:marBottom w:val="0"/>
      <w:divBdr>
        <w:top w:val="none" w:sz="0" w:space="0" w:color="auto"/>
        <w:left w:val="none" w:sz="0" w:space="0" w:color="auto"/>
        <w:bottom w:val="none" w:sz="0" w:space="0" w:color="auto"/>
        <w:right w:val="none" w:sz="0" w:space="0" w:color="auto"/>
      </w:divBdr>
    </w:div>
    <w:div w:id="1577471580">
      <w:bodyDiv w:val="1"/>
      <w:marLeft w:val="0"/>
      <w:marRight w:val="0"/>
      <w:marTop w:val="0"/>
      <w:marBottom w:val="0"/>
      <w:divBdr>
        <w:top w:val="none" w:sz="0" w:space="0" w:color="auto"/>
        <w:left w:val="none" w:sz="0" w:space="0" w:color="auto"/>
        <w:bottom w:val="none" w:sz="0" w:space="0" w:color="auto"/>
        <w:right w:val="none" w:sz="0" w:space="0" w:color="auto"/>
      </w:divBdr>
    </w:div>
    <w:div w:id="1862552849">
      <w:bodyDiv w:val="1"/>
      <w:marLeft w:val="0"/>
      <w:marRight w:val="0"/>
      <w:marTop w:val="0"/>
      <w:marBottom w:val="0"/>
      <w:divBdr>
        <w:top w:val="none" w:sz="0" w:space="0" w:color="auto"/>
        <w:left w:val="none" w:sz="0" w:space="0" w:color="auto"/>
        <w:bottom w:val="none" w:sz="0" w:space="0" w:color="auto"/>
        <w:right w:val="none" w:sz="0" w:space="0" w:color="auto"/>
      </w:divBdr>
    </w:div>
    <w:div w:id="1900289944">
      <w:bodyDiv w:val="1"/>
      <w:marLeft w:val="0"/>
      <w:marRight w:val="0"/>
      <w:marTop w:val="0"/>
      <w:marBottom w:val="0"/>
      <w:divBdr>
        <w:top w:val="none" w:sz="0" w:space="0" w:color="auto"/>
        <w:left w:val="none" w:sz="0" w:space="0" w:color="auto"/>
        <w:bottom w:val="none" w:sz="0" w:space="0" w:color="auto"/>
        <w:right w:val="none" w:sz="0" w:space="0" w:color="auto"/>
      </w:divBdr>
    </w:div>
    <w:div w:id="1938829454">
      <w:bodyDiv w:val="1"/>
      <w:marLeft w:val="0"/>
      <w:marRight w:val="0"/>
      <w:marTop w:val="0"/>
      <w:marBottom w:val="0"/>
      <w:divBdr>
        <w:top w:val="none" w:sz="0" w:space="0" w:color="auto"/>
        <w:left w:val="none" w:sz="0" w:space="0" w:color="auto"/>
        <w:bottom w:val="none" w:sz="0" w:space="0" w:color="auto"/>
        <w:right w:val="none" w:sz="0" w:space="0" w:color="auto"/>
      </w:divBdr>
    </w:div>
    <w:div w:id="2029136932">
      <w:bodyDiv w:val="1"/>
      <w:marLeft w:val="0"/>
      <w:marRight w:val="0"/>
      <w:marTop w:val="0"/>
      <w:marBottom w:val="0"/>
      <w:divBdr>
        <w:top w:val="none" w:sz="0" w:space="0" w:color="auto"/>
        <w:left w:val="none" w:sz="0" w:space="0" w:color="auto"/>
        <w:bottom w:val="none" w:sz="0" w:space="0" w:color="auto"/>
        <w:right w:val="none" w:sz="0" w:space="0" w:color="auto"/>
      </w:divBdr>
    </w:div>
    <w:div w:id="2037657169">
      <w:bodyDiv w:val="1"/>
      <w:marLeft w:val="0"/>
      <w:marRight w:val="0"/>
      <w:marTop w:val="0"/>
      <w:marBottom w:val="0"/>
      <w:divBdr>
        <w:top w:val="none" w:sz="0" w:space="0" w:color="auto"/>
        <w:left w:val="none" w:sz="0" w:space="0" w:color="auto"/>
        <w:bottom w:val="none" w:sz="0" w:space="0" w:color="auto"/>
        <w:right w:val="none" w:sz="0" w:space="0" w:color="auto"/>
      </w:divBdr>
    </w:div>
    <w:div w:id="2060930742">
      <w:bodyDiv w:val="1"/>
      <w:marLeft w:val="0"/>
      <w:marRight w:val="0"/>
      <w:marTop w:val="0"/>
      <w:marBottom w:val="0"/>
      <w:divBdr>
        <w:top w:val="none" w:sz="0" w:space="0" w:color="auto"/>
        <w:left w:val="none" w:sz="0" w:space="0" w:color="auto"/>
        <w:bottom w:val="none" w:sz="0" w:space="0" w:color="auto"/>
        <w:right w:val="none" w:sz="0" w:space="0" w:color="auto"/>
      </w:divBdr>
    </w:div>
    <w:div w:id="213216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etv.com/real-crime/lufthansa-heist-murders-mafia-mobsters" TargetMode="External"/><Relationship Id="rId5" Type="http://schemas.openxmlformats.org/officeDocument/2006/relationships/hyperlink" Target="https://www.reuters.com/article/us-usa-lufthansa-heist/reputed-n-y-mobster-nabbed-in-1978-goodfellas-airport-heist-idUSBREA0M0ZM201401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7</Pages>
  <Words>2926</Words>
  <Characters>16681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cp:revision>
  <dcterms:created xsi:type="dcterms:W3CDTF">2021-03-07T22:54:00Z</dcterms:created>
  <dcterms:modified xsi:type="dcterms:W3CDTF">2021-03-12T13:53:00Z</dcterms:modified>
</cp:coreProperties>
</file>