
<file path=[Content_Types].xml><?xml version="1.0" encoding="utf-8"?>
<Types xmlns="http://schemas.openxmlformats.org/package/2006/content-types">
  <Default ContentType="image/jpeg" Extension="jpeg"/>
  <Default ContentType="image/png" Extension="png"/>
  <Default ContentType="application/vnd.openxmlformats-package.relationships+xml" Extension="rels"/>
  <Default ContentType="application/xml" Extension="xml"/>
  <Override ContentType="application/vnd.openxmlformats-officedocument.customXmlProperties+xml" PartName="/customXml/itemProps1.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Override ContentType="application/vnd.ms-word.stylesWithEffects+xml" PartName="/word/stylesWithEffects.xml"/>
  <Override ContentType="application/vnd.openxmlformats-officedocument.theme+xml" PartName="/word/theme/theme1.xml"/>
  <Override ContentType="application/vnd.openxmlformats-officedocument.wordprocessingml.webSettings+xml" PartName="/word/webSettings.xml"/>
</Types>
</file>

<file path=_rels/.rels><?xml version="1.0" encoding="UTF-8" standalone="no"?>
<Relationships xmlns="http://schemas.openxmlformats.org/package/2006/relationships">
<Relationship Id="rId1" Target="word/document.xml" Type="http://schemas.openxmlformats.org/officeDocument/2006/relationships/officeDocument"/>
<Relationship Id="rId2" Target="docProps/thumbnail.jpeg" Type="http://schemas.openxmlformats.org/package/2006/relationships/metadata/thumbnail"/>
<Relationship Id="rId3" Target="docProps/core.xml" Type="http://schemas.openxmlformats.org/package/2006/relationships/metadata/core-properties"/>
<Relationship Id="rId4" Target="docProps/app.xml" Type="http://schemas.openxmlformats.org/officeDocument/2006/relationships/extended-properties"/>
</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line="360" w:lineRule="auto" w:after="200"/>
        <w:jc w:val="center"/>
      </w:pPr>
      <w:r>
        <w:rPr>
          <w:rFonts w:ascii="Arial" w:hAnsi="Arial" w:eastAsia="Arial"/>
          <w:b/>
          <w:i w:val="0"/>
          <w:sz w:val="28"/>
        </w:rPr>
        <w:t>University of Wales Trinity Saint David</w:t>
      </w:r>
    </w:p>
    <w:p>
      <w:pPr>
        <w:spacing w:line="360" w:lineRule="auto" w:after="200"/>
        <w:jc w:val="center"/>
      </w:pPr>
      <w:r>
        <w:rPr>
          <w:rFonts w:ascii="Arial" w:hAnsi="Arial" w:eastAsia="Arial"/>
          <w:b w:val="0"/>
          <w:i w:val="0"/>
          <w:sz w:val="24"/>
        </w:rPr>
        <w:t>Institute of Inner-City Learning, London Campus</w:t>
      </w:r>
    </w:p>
    <w:p>
      <w:pPr>
        <w:spacing w:line="360" w:lineRule="auto" w:after="200"/>
        <w:jc w:val="center"/>
      </w:pPr>
      <w:r>
        <w:rPr>
          <w:rFonts w:ascii="Arial" w:hAnsi="Arial" w:eastAsia="Arial"/>
          <w:b w:val="0"/>
          <w:i w:val="0"/>
          <w:sz w:val="24"/>
        </w:rPr>
        <w:t>Master of Business Administration</w:t>
      </w:r>
    </w:p>
    <w:p>
      <w:pPr>
        <w:spacing w:line="360" w:lineRule="auto" w:after="200"/>
        <w:jc w:val="center"/>
      </w:pPr>
      <w:r>
        <w:rPr>
          <w:rFonts w:ascii="Arial" w:hAnsi="Arial" w:eastAsia="Arial"/>
          <w:b w:val="0"/>
          <w:i w:val="0"/>
          <w:sz w:val="24"/>
        </w:rPr>
        <w:t>LCMB7035 Dissertation</w:t>
      </w:r>
    </w:p>
    <w:p>
      <w:pPr>
        <w:spacing w:line="360" w:lineRule="auto" w:after="200"/>
        <w:jc w:val="center"/>
      </w:pPr>
      <w:r>
        <w:rPr>
          <w:rFonts w:ascii="Arial" w:hAnsi="Arial" w:eastAsia="Arial"/>
          <w:b/>
          <w:i w:val="0"/>
          <w:sz w:val="24"/>
        </w:rPr>
        <w:t>Dissertation Proposal</w:t>
      </w:r>
    </w:p>
    <w:p>
      <w:pPr>
        <w:spacing w:line="360" w:lineRule="auto" w:after="200"/>
        <w:jc w:val="center"/>
      </w:pPr>
      <w:r>
        <w:rPr>
          <w:rFonts w:ascii="Arial" w:hAnsi="Arial" w:eastAsia="Arial"/>
          <w:b/>
          <w:i w:val="0"/>
          <w:sz w:val="28"/>
        </w:rPr>
        <w:t>Evaluation of the Influence of Green Marketing Credibility and Consumer Trust on Consumer Behaviour in the UK Online Retail Fashion Industry: A Comparative Study of ASOS and Boohoo's Sustainability Communications</w:t>
      </w:r>
    </w:p>
    <w:p>
      <w:pPr>
        <w:spacing w:line="360" w:lineRule="auto" w:after="200"/>
        <w:jc w:val="center"/>
      </w:pPr>
      <w:r>
        <w:rPr>
          <w:rFonts w:ascii="Arial" w:hAnsi="Arial" w:eastAsia="Arial"/>
          <w:b w:val="0"/>
          <w:i w:val="0"/>
          <w:sz w:val="24"/>
        </w:rPr>
        <w:t>Student name: Md Easin Hossen</w:t>
      </w:r>
    </w:p>
    <w:p>
      <w:pPr>
        <w:spacing w:line="360" w:lineRule="auto" w:after="200"/>
        <w:jc w:val="center"/>
      </w:pPr>
      <w:r>
        <w:rPr>
          <w:rFonts w:ascii="Arial" w:hAnsi="Arial" w:eastAsia="Arial"/>
          <w:b w:val="0"/>
          <w:i w:val="0"/>
          <w:sz w:val="24"/>
        </w:rPr>
        <w:t>Student ID: 2419904</w:t>
      </w:r>
    </w:p>
    <w:p>
      <w:pPr>
        <w:spacing w:line="360" w:lineRule="auto" w:after="200"/>
        <w:jc w:val="center"/>
      </w:pPr>
      <w:r>
        <w:rPr>
          <w:rFonts w:ascii="Arial" w:hAnsi="Arial" w:eastAsia="Arial"/>
          <w:b w:val="0"/>
          <w:i w:val="0"/>
          <w:sz w:val="24"/>
        </w:rPr>
        <w:t>Supervisor: Thomas Adeyemi</w:t>
      </w:r>
    </w:p>
    <w:p>
      <w:pPr>
        <w:spacing w:line="360" w:lineRule="auto" w:after="200"/>
        <w:jc w:val="center"/>
      </w:pPr>
      <w:r>
        <w:rPr>
          <w:rFonts w:ascii="Arial" w:hAnsi="Arial" w:eastAsia="Arial"/>
          <w:b w:val="0"/>
          <w:i w:val="0"/>
          <w:sz w:val="24"/>
        </w:rPr>
        <w:t>Word count: 2252</w:t>
      </w:r>
    </w:p>
    <w:p>
      <w:pPr>
        <w:spacing w:line="360" w:lineRule="auto" w:after="200"/>
        <w:jc w:val="center"/>
      </w:pPr>
      <w:r>
        <w:rPr>
          <w:rFonts w:ascii="Arial" w:hAnsi="Arial" w:eastAsia="Arial"/>
          <w:b w:val="0"/>
          <w:i w:val="0"/>
          <w:sz w:val="24"/>
        </w:rPr>
        <w:t>Date: 16 June 2026</w:t>
      </w:r>
    </w:p>
    <w:p>
      <w:r>
        <w:br w:type="page"/>
      </w:r>
    </w:p>
    <w:p>
      <w:pPr>
        <w:pStyle w:val="Heading1"/>
        <w:spacing w:line="360" w:lineRule="auto"/>
      </w:pPr>
      <w:r>
        <w:rPr>
          <w:rFonts w:ascii="Arial" w:hAnsi="Arial" w:eastAsia="Arial"/>
          <w:b/>
          <w:i w:val="0"/>
          <w:sz w:val="28"/>
        </w:rPr>
        <w:t>AI Use Acknowledgement</w:t>
      </w:r>
    </w:p>
    <w:p>
      <w:pPr>
        <w:spacing w:line="360" w:lineRule="auto"/>
        <w:jc w:val="both"/>
      </w:pPr>
      <w:r>
        <w:rPr>
          <w:rFonts w:ascii="Arial" w:hAnsi="Arial" w:eastAsia="Arial"/>
          <w:b w:val="0"/>
          <w:i w:val="0"/>
          <w:sz w:val="24"/>
        </w:rPr>
        <w:t>Generative AI may be used only within the assessment brief's permitted limits: locating possible sources, checking grammar, improving clarity, and preparing simple researcher-directed visuals such as the framework and timeline graphics. AI will not be used to design the study, produce the final argument, collect data, code evidence, classify sources, generate synthetic data, or process personal or sensitive information. All interpretation, source selection, writing decisions and academic responsibility remain with the researcher.</w:t>
      </w:r>
    </w:p>
    <w:p>
      <w:r>
        <w:br w:type="page"/>
      </w:r>
    </w:p>
    <w:p>
      <w:pPr>
        <w:pStyle w:val="Heading1"/>
        <w:spacing w:line="360" w:lineRule="auto"/>
      </w:pPr>
      <w:r>
        <w:rPr>
          <w:rFonts w:ascii="Arial" w:hAnsi="Arial" w:eastAsia="Arial"/>
          <w:b/>
          <w:i w:val="0"/>
          <w:sz w:val="28"/>
        </w:rPr>
        <w:t>Introduction</w:t>
      </w:r>
    </w:p>
    <w:p>
      <w:pPr>
        <w:spacing w:line="360" w:lineRule="auto"/>
        <w:jc w:val="both"/>
      </w:pPr>
      <w:r>
        <w:rPr>
          <w:rFonts w:ascii="Arial" w:hAnsi="Arial" w:eastAsia="Arial"/>
          <w:b w:val="0"/>
          <w:i w:val="0"/>
          <w:sz w:val="24"/>
        </w:rPr>
        <w:t>Online fashion retail is a useful context for studying green marketing because sustainability messages reach consumers through webpages, product filters, brand stories, annual reports and social media-like digital content. Fashion is also criticised for material impacts, short product cycles, waste, emissions and complex supply chains (Niinimaki et al., 2020). This creates a credibility and behaviour problem: retailers need to communicate environmental responsibility, but consumers may question whether green messages are specific, evidenced and balanced or mainly promotional. Those judgements may then influence consumer behaviour, including trust, purchase intention, brand preference, loyalty, scepticism or avoidance.</w:t>
      </w:r>
    </w:p>
    <w:p>
      <w:pPr>
        <w:spacing w:line="360" w:lineRule="auto"/>
        <w:jc w:val="both"/>
      </w:pPr>
      <w:r>
        <w:rPr>
          <w:rFonts w:ascii="Arial" w:hAnsi="Arial" w:eastAsia="Arial"/>
          <w:b w:val="0"/>
          <w:i w:val="0"/>
          <w:sz w:val="24"/>
        </w:rPr>
        <w:t>ASOS and Boohoo are appropriate comparative cases because both are UK-focused online fashion retailers with public sustainability communication. ASOS presents its sustainability work through Fashion with Integrity, including Planet, Product and People priorities (ASOS plc, 2026). Boohoo remains a consumer-facing fashion brand, while group-level reporting now appears through Boohoo Group plc trading as Debenhams Group, including responsible sourcing, ESG partnerships, factory-list transparency and supply-chain mapping (Debenhams Group, 2026a; 2026b). The Competition and Markets Authority (CMA) makes the topic especially current: ASOS, Boohoo and George at Asda gave undertakings in March 2024 after a fashion green claims investigation, with commitments to make environmental claims clearer, more accurate and better substantiated (CMA, 2024a). CMA fashion guidance also warns against vague or unsupported claims and stresses clarity, prominence, substantiation and fair presentation (CMA, 2024b).</w:t>
      </w:r>
    </w:p>
    <w:p>
      <w:pPr>
        <w:spacing w:line="360" w:lineRule="auto"/>
        <w:jc w:val="both"/>
      </w:pPr>
      <w:r>
        <w:rPr>
          <w:rFonts w:ascii="Arial" w:hAnsi="Arial" w:eastAsia="Arial"/>
          <w:b w:val="0"/>
          <w:i w:val="0"/>
          <w:sz w:val="24"/>
        </w:rPr>
        <w:t>The research problem is therefore not simply whether ASOS or Boohoo uses sustainability language. The deeper issue is how credibility is produced through the wording, evidence, visibility and accountability attached to that language, and how this credibility may shape trust-related consumer behaviour. Online consumers may see green claims quickly, often without reading long reports or technical disclosures. A claim that appears simple on a product page may depend on complex evidence about materials, suppliers, targets or standards. This proposal therefore treats sustainability communication as both a trust signal and a possible consumer behaviour influence that needs to be examined against academic and regulatory criteria.</w:t>
      </w:r>
    </w:p>
    <w:p>
      <w:pPr>
        <w:spacing w:line="360" w:lineRule="auto"/>
        <w:jc w:val="both"/>
      </w:pPr>
      <w:r>
        <w:rPr>
          <w:rFonts w:ascii="Arial" w:hAnsi="Arial" w:eastAsia="Arial"/>
          <w:b w:val="0"/>
          <w:i w:val="0"/>
          <w:sz w:val="24"/>
        </w:rPr>
        <w:t>The dissertation will focus on communication, trust and behavioural implications rather than environmental verification or direct measurement of buying behaviour. This boundary is important because public sustainability claims can be studied without claiming access to internal operational data or collecting primary consumer responses. The study will therefore ask whether the selected messages are understandable, evidenced and accountable from the perspective of a reader using public information, and how secondary literature explains likely consumer behaviour effects. It will also consider whether regulatory scrutiny changes the way sustainability claims should be evaluated. By keeping the scope on secondary qualitative thematic research, the project remains feasible within the MBA timetable while still addressing a problem for online fashion retailers. The comparison is intended to produce practical insights about clearer claim wording, stronger substantiation, more transparent presentation of limitations and more trustworthy consumer-facing communication. This framing reduces ethics risk because no consumers, employees, or company representatives need to be recruited for primary research.</w:t>
      </w:r>
    </w:p>
    <w:p>
      <w:pPr>
        <w:spacing w:line="360" w:lineRule="auto"/>
        <w:jc w:val="both"/>
      </w:pPr>
      <w:r>
        <w:rPr>
          <w:rFonts w:ascii="Arial" w:hAnsi="Arial" w:eastAsia="Arial"/>
          <w:b w:val="0"/>
          <w:i w:val="0"/>
          <w:sz w:val="24"/>
        </w:rPr>
        <w:t>The aim of this research is to evaluate how green marketing credibility and consumer trust influence consumer behaviour in the UK online retail fashion industry, using a secondary qualitative thematic comparison of ASOS and Boohoo's sustainability communications.</w:t>
      </w:r>
    </w:p>
    <w:p>
      <w:pPr>
        <w:spacing w:line="360" w:lineRule="auto"/>
        <w:jc w:val="both"/>
      </w:pPr>
      <w:r>
        <w:rPr>
          <w:rFonts w:ascii="Arial" w:hAnsi="Arial" w:eastAsia="Arial"/>
          <w:b w:val="0"/>
          <w:i w:val="0"/>
          <w:sz w:val="24"/>
        </w:rPr>
        <w:t>The research objectives are:</w:t>
      </w:r>
    </w:p>
    <w:p>
      <w:pPr>
        <w:jc w:val="both"/>
      </w:pPr>
      <w:r>
        <w:rPr>
          <w:rFonts w:ascii="Arial" w:hAnsi="Arial" w:eastAsia="Arial"/>
          <w:b w:val="0"/>
          <w:i w:val="0"/>
          <w:sz w:val="24"/>
        </w:rPr>
        <w:t>1. To analyse the main sustainability messages and green marketing claims communicated by ASOS and Boohoo through publicly available corporate and digital sources.</w:t>
      </w:r>
    </w:p>
    <w:p>
      <w:pPr>
        <w:jc w:val="both"/>
      </w:pPr>
      <w:r>
        <w:rPr>
          <w:rFonts w:ascii="Arial" w:hAnsi="Arial" w:eastAsia="Arial"/>
          <w:b w:val="0"/>
          <w:i w:val="0"/>
          <w:sz w:val="24"/>
        </w:rPr>
        <w:t>2. To evaluate how credibility, transparency, substantiation and accountability are presented in ASOS and Boohoo's sustainability communications.</w:t>
      </w:r>
    </w:p>
    <w:p>
      <w:pPr>
        <w:jc w:val="both"/>
      </w:pPr>
      <w:r>
        <w:rPr>
          <w:rFonts w:ascii="Arial" w:hAnsi="Arial" w:eastAsia="Arial"/>
          <w:b w:val="0"/>
          <w:i w:val="0"/>
          <w:sz w:val="24"/>
        </w:rPr>
        <w:t>3. To analyse the influence of green marketing credibility and consumer trust on consumer behaviour in the UK online retail fashion industry.</w:t>
      </w:r>
    </w:p>
    <w:p>
      <w:pPr>
        <w:jc w:val="both"/>
      </w:pPr>
      <w:r>
        <w:rPr>
          <w:rFonts w:ascii="Arial" w:hAnsi="Arial" w:eastAsia="Arial"/>
          <w:b w:val="0"/>
          <w:i w:val="0"/>
          <w:sz w:val="24"/>
        </w:rPr>
        <w:t>4. To develop thematic insights into how online fashion retailers can improve green marketing credibility and consumer trust to support more confident and responsible consumer behaviour.</w:t>
      </w:r>
    </w:p>
    <w:p>
      <w:pPr>
        <w:spacing w:line="360" w:lineRule="auto"/>
        <w:jc w:val="both"/>
      </w:pPr>
      <w:r>
        <w:rPr>
          <w:rFonts w:ascii="Arial" w:hAnsi="Arial" w:eastAsia="Arial"/>
          <w:b w:val="0"/>
          <w:i w:val="0"/>
          <w:sz w:val="24"/>
        </w:rPr>
        <w:t>The research questions are:</w:t>
      </w:r>
    </w:p>
    <w:p>
      <w:pPr>
        <w:jc w:val="both"/>
      </w:pPr>
      <w:r>
        <w:rPr>
          <w:rFonts w:ascii="Arial" w:hAnsi="Arial" w:eastAsia="Arial"/>
          <w:b w:val="0"/>
          <w:i w:val="0"/>
          <w:sz w:val="24"/>
        </w:rPr>
        <w:t>1. How do ASOS and Boohoo communicate sustainability messages and green marketing claims through publicly available corporate and digital sources?</w:t>
      </w:r>
    </w:p>
    <w:p>
      <w:pPr>
        <w:jc w:val="both"/>
      </w:pPr>
      <w:r>
        <w:rPr>
          <w:rFonts w:ascii="Arial" w:hAnsi="Arial" w:eastAsia="Arial"/>
          <w:b w:val="0"/>
          <w:i w:val="0"/>
          <w:sz w:val="24"/>
        </w:rPr>
        <w:t>2. How do ASOS and Boohoo present credibility, transparency, substantiation and accountability in their sustainability communications?</w:t>
      </w:r>
    </w:p>
    <w:p>
      <w:pPr>
        <w:jc w:val="both"/>
      </w:pPr>
      <w:r>
        <w:rPr>
          <w:rFonts w:ascii="Arial" w:hAnsi="Arial" w:eastAsia="Arial"/>
          <w:b w:val="0"/>
          <w:i w:val="0"/>
          <w:sz w:val="24"/>
        </w:rPr>
        <w:t>3. How do green marketing credibility and consumer trust influence consumer behaviour in the UK online retail fashion industry, based on secondary qualitative evidence from ASOS and Boohoo's sustainability communications?</w:t>
      </w:r>
    </w:p>
    <w:p>
      <w:pPr>
        <w:pStyle w:val="Heading1"/>
        <w:spacing w:line="360" w:lineRule="auto"/>
      </w:pPr>
      <w:r>
        <w:rPr>
          <w:rFonts w:ascii="Arial" w:hAnsi="Arial" w:eastAsia="Arial"/>
          <w:b/>
          <w:i w:val="0"/>
          <w:sz w:val="28"/>
        </w:rPr>
        <w:t>Literature Review</w:t>
      </w:r>
    </w:p>
    <w:p>
      <w:pPr>
        <w:spacing w:line="360" w:lineRule="auto"/>
        <w:jc w:val="both"/>
      </w:pPr>
      <w:r>
        <w:rPr>
          <w:rFonts w:ascii="Arial" w:hAnsi="Arial" w:eastAsia="Arial"/>
          <w:b w:val="0"/>
          <w:i w:val="0"/>
          <w:sz w:val="24"/>
        </w:rPr>
        <w:t>The study is positioned across five linked areas: green marketing credibility, greenwashing, consumer trust, consumer behaviour and fashion sustainability communication. Green marketing refers to claims or messages that present products, practices or organisations as environmentally beneficial or less harmful. In online fashion, these messages may concern recycled materials, circularity, packaging, emissions targets, supplier standards, repair, resale or broader ESG commitments. Their academic importance lies in the fact that green communication is not neutral information only; it is also a persuasive trust-building and behaviour-shaping practice.</w:t>
      </w:r>
    </w:p>
    <w:p>
      <w:pPr>
        <w:spacing w:line="360" w:lineRule="auto"/>
        <w:jc w:val="both"/>
      </w:pPr>
      <w:r>
        <w:rPr>
          <w:rFonts w:ascii="Arial" w:hAnsi="Arial" w:eastAsia="Arial"/>
          <w:b w:val="0"/>
          <w:i w:val="0"/>
          <w:sz w:val="24"/>
        </w:rPr>
        <w:t>Greenwashing literature provides a critical starting point. Delmas and Burbano (2011) describe greenwashing as a gap between positive environmental communication and environmental performance, while Lyon and Montgomery (2015) show how selective disclosure and symbolic claims can shape impressions. This matters in online retail because sustainability filters, product ranges and short claims can create quick consumer impressions. The CMA's Green Claims Code translates similar concerns into consumer-law principles: environmental claims should be truthful, clear, complete, fair, life-cycle aware and supported by evidence (CMA, 2021).</w:t>
      </w:r>
    </w:p>
    <w:p>
      <w:pPr>
        <w:spacing w:line="360" w:lineRule="auto"/>
        <w:jc w:val="both"/>
      </w:pPr>
      <w:r>
        <w:rPr>
          <w:rFonts w:ascii="Arial" w:hAnsi="Arial" w:eastAsia="Arial"/>
          <w:b w:val="0"/>
          <w:i w:val="0"/>
          <w:sz w:val="24"/>
        </w:rPr>
        <w:t>Trust and consumer behaviour literature explain why credibility is central. Consumer trust concerns confidence that a seller will act reliably and with integrity, and trust can influence loyalty in relational exchanges (Sirdeshmukh, Singh and Sabol, 2002). In green consumption, consumers often cannot verify whether a material claim, carbon target or circularity promise is meaningful. Chen and Chang (2013) found that greenwash can weaken green trust through confusion and perceived risk, while Nyilasy, Gangadharbatla and Paladino (2014) show that reactions depend on the perceived fit between advertising claims and corporate environmental performance. Schmuck, Matthes and Naderer (2018) also show that misleading green advertising can affect consumer responses. Therefore, credibility depends not only on positive language but also on evidence, transparency, consistency and accountability, because these features can influence trust, scepticism, purchase intention, loyalty and avoidance.</w:t>
      </w:r>
    </w:p>
    <w:p>
      <w:pPr>
        <w:spacing w:line="360" w:lineRule="auto"/>
        <w:jc w:val="both"/>
      </w:pPr>
      <w:r>
        <w:rPr>
          <w:rFonts w:ascii="Arial" w:hAnsi="Arial" w:eastAsia="Arial"/>
          <w:b w:val="0"/>
          <w:i w:val="0"/>
          <w:sz w:val="24"/>
        </w:rPr>
        <w:t>Fast fashion intensifies this issue. Environmental concerns around high volume, synthetic fibres, disposal and supply-chain impacts make consumers more alert to vague sustainability language (Niinimaki et al., 2020). ASOS and Boohoo both communicate sustainability, but their credibility needs to be judged through the way claims are framed, evidenced, limited and connected to accountability mechanisms. Existing literature explains greenwashing, green trust and consumer responses broadly, while the CMA provides direct regulatory criteria for fashion green claims. The gap for this proposal is a focused comparison of how two UK online fashion retailers communicate sustainability and how secondary evidence explains the influence of credible or weak communication on consumer trust and behaviour.</w:t>
      </w:r>
    </w:p>
    <w:p>
      <w:pPr>
        <w:spacing w:line="360" w:lineRule="auto"/>
        <w:jc w:val="both"/>
      </w:pPr>
      <w:r>
        <w:rPr>
          <w:rFonts w:ascii="Arial" w:hAnsi="Arial" w:eastAsia="Arial"/>
          <w:b w:val="0"/>
          <w:i w:val="0"/>
          <w:sz w:val="24"/>
        </w:rPr>
        <w:t>Sustainability communication literature also suggests that credibility is relational. A claim may look strong when it names a target, but weaker if it omits boundaries, dates, progress, verification or trade-offs. Likewise, a retailer may mention circularity or responsible sourcing, but the trust and behaviour value depends on whether consumers can see what the term means, what proportion of products it covers, and whether evidence is easy to locate. This is why the proposal does not treat sustainability communication as a simple count of claims. It examines how claims are organised, how evidence is attached, and how the presentation of responsibility may support or undermine consumer confidence and behaviour.</w:t>
      </w:r>
    </w:p>
    <w:p>
      <w:r>
        <w:br w:type="page"/>
      </w:r>
    </w:p>
    <w:p>
      <w:pPr>
        <w:pStyle w:val="Heading1"/>
        <w:spacing w:line="360" w:lineRule="auto"/>
      </w:pPr>
      <w:r>
        <w:rPr>
          <w:rFonts w:ascii="Arial" w:hAnsi="Arial" w:eastAsia="Arial"/>
          <w:b/>
          <w:i w:val="0"/>
          <w:sz w:val="28"/>
        </w:rPr>
        <w:t>Methodology</w:t>
      </w:r>
    </w:p>
    <w:p>
      <w:pPr>
        <w:spacing w:line="360" w:lineRule="auto"/>
        <w:jc w:val="both"/>
      </w:pPr>
      <w:r>
        <w:rPr>
          <w:rFonts w:ascii="Arial" w:hAnsi="Arial" w:eastAsia="Arial"/>
          <w:b w:val="0"/>
          <w:i w:val="0"/>
          <w:sz w:val="24"/>
        </w:rPr>
        <w:t>The study will use a secondary qualitative comparative case-study design with thematic analysis. It will not collect primary consumer opinions, interviews, surveys, focus-group data, behavioural tracking data or confidential company information. Instead, it will analyse public corporate, digital, regulatory, academic, industry and media sources to understand how sustainability communication is constructed, how credibility is linked to consumer trust, and how secondary evidence explains implications for consumer behaviour.</w:t>
      </w:r>
    </w:p>
    <w:p>
      <w:pPr>
        <w:spacing w:line="360" w:lineRule="auto"/>
        <w:jc w:val="both"/>
      </w:pPr>
      <w:r>
        <w:rPr>
          <w:rFonts w:ascii="Arial" w:hAnsi="Arial" w:eastAsia="Arial"/>
          <w:b w:val="0"/>
          <w:i w:val="0"/>
          <w:sz w:val="24"/>
        </w:rPr>
        <w:t>Using Saunders, Lewis and Thornhill's (2019) research onion, the study adopts an interpretivist philosophy because credibility, trust and consumer behaviour implications are interpreted through language, evidence, visual presentation and social expectations. The approach is mainly inductive, with sensitising concepts from greenwashing theory, green trust theory, consumer behaviour literature, CMA guidance and sustainability communication literature. This keeps the analysis open to emerging themes while giving the study a clear credibility and behaviour framework.</w:t>
      </w:r>
    </w:p>
    <w:p>
      <w:pPr>
        <w:spacing w:line="360" w:lineRule="auto"/>
        <w:jc w:val="both"/>
      </w:pPr>
      <w:r>
        <w:rPr>
          <w:rFonts w:ascii="Arial" w:hAnsi="Arial" w:eastAsia="Arial"/>
          <w:b w:val="0"/>
          <w:i w:val="0"/>
          <w:sz w:val="24"/>
        </w:rPr>
        <w:t>The main data sources will be:</w:t>
      </w:r>
    </w:p>
    <w:tbl>
      <w:tblPr>
        <w:tblStyle w:val="TableGrid"/>
        <w:tblW w:type="auto" w:w="0"/>
        <w:tblLook w:firstColumn="1" w:firstRow="1" w:lastColumn="0" w:lastRow="0" w:noHBand="0" w:noVBand="1" w:val="04A0"/>
      </w:tblPr>
      <w:tblGrid>
        <w:gridCol w:w="3010"/>
        <w:gridCol w:w="3010"/>
        <w:gridCol w:w="3010"/>
      </w:tblGrid>
      <w:tr>
        <w:trPr>
          <w:cantSplit/>
        </w:trPr>
        <w:tc>
          <w:tcPr>
            <w:tcW w:type="dxa" w:w="3010"/>
          </w:tcPr>
          <w:p>
            <w:pPr>
              <w:spacing w:line="360" w:lineRule="auto"/>
              <w:jc w:val="left"/>
            </w:pPr>
            <w:r>
              <w:rPr>
                <w:rFonts w:ascii="Arial" w:hAnsi="Arial" w:eastAsia="Arial"/>
                <w:b/>
                <w:i w:val="0"/>
                <w:sz w:val="20"/>
              </w:rPr>
              <w:t>Source type</w:t>
            </w:r>
          </w:p>
        </w:tc>
        <w:tc>
          <w:tcPr>
            <w:tcW w:type="dxa" w:w="3010"/>
          </w:tcPr>
          <w:p>
            <w:pPr>
              <w:spacing w:line="360" w:lineRule="auto"/>
              <w:jc w:val="left"/>
            </w:pPr>
            <w:r>
              <w:rPr>
                <w:rFonts w:ascii="Arial" w:hAnsi="Arial" w:eastAsia="Arial"/>
                <w:b/>
                <w:i w:val="0"/>
                <w:sz w:val="20"/>
              </w:rPr>
              <w:t>Examples</w:t>
            </w:r>
          </w:p>
        </w:tc>
        <w:tc>
          <w:tcPr>
            <w:tcW w:type="dxa" w:w="3010"/>
          </w:tcPr>
          <w:p>
            <w:pPr>
              <w:spacing w:line="360" w:lineRule="auto"/>
              <w:jc w:val="left"/>
            </w:pPr>
            <w:r>
              <w:rPr>
                <w:rFonts w:ascii="Arial" w:hAnsi="Arial" w:eastAsia="Arial"/>
                <w:b/>
                <w:i w:val="0"/>
                <w:sz w:val="20"/>
              </w:rPr>
              <w:t>Purpose</w:t>
            </w:r>
          </w:p>
        </w:tc>
      </w:tr>
      <w:tr>
        <w:trPr>
          <w:cantSplit/>
        </w:trPr>
        <w:tc>
          <w:tcPr>
            <w:tcW w:type="dxa" w:w="3010"/>
          </w:tcPr>
          <w:p>
            <w:pPr>
              <w:spacing w:line="360" w:lineRule="auto"/>
              <w:jc w:val="left"/>
            </w:pPr>
            <w:r>
              <w:rPr>
                <w:rFonts w:ascii="Arial" w:hAnsi="Arial" w:eastAsia="Arial"/>
                <w:b w:val="0"/>
                <w:i w:val="0"/>
                <w:sz w:val="20"/>
              </w:rPr>
              <w:t>Company reports</w:t>
            </w:r>
          </w:p>
        </w:tc>
        <w:tc>
          <w:tcPr>
            <w:tcW w:type="dxa" w:w="3010"/>
          </w:tcPr>
          <w:p>
            <w:pPr>
              <w:spacing w:line="360" w:lineRule="auto"/>
              <w:jc w:val="left"/>
            </w:pPr>
            <w:r>
              <w:rPr>
                <w:rFonts w:ascii="Arial" w:hAnsi="Arial" w:eastAsia="Arial"/>
                <w:b w:val="0"/>
                <w:i w:val="0"/>
                <w:sz w:val="20"/>
              </w:rPr>
              <w:t>ASOS annual reports; Debenhams/Boohoo annual or sustainability reports</w:t>
            </w:r>
          </w:p>
        </w:tc>
        <w:tc>
          <w:tcPr>
            <w:tcW w:type="dxa" w:w="3010"/>
          </w:tcPr>
          <w:p>
            <w:pPr>
              <w:spacing w:line="360" w:lineRule="auto"/>
              <w:jc w:val="left"/>
            </w:pPr>
            <w:r>
              <w:rPr>
                <w:rFonts w:ascii="Arial" w:hAnsi="Arial" w:eastAsia="Arial"/>
                <w:b w:val="0"/>
                <w:i w:val="0"/>
                <w:sz w:val="20"/>
              </w:rPr>
              <w:t>Analyse formal corporate sustainability communication</w:t>
            </w:r>
          </w:p>
        </w:tc>
      </w:tr>
      <w:tr>
        <w:trPr>
          <w:cantSplit/>
        </w:trPr>
        <w:tc>
          <w:tcPr>
            <w:tcW w:type="dxa" w:w="3010"/>
          </w:tcPr>
          <w:p>
            <w:pPr>
              <w:spacing w:line="360" w:lineRule="auto"/>
              <w:jc w:val="left"/>
            </w:pPr>
            <w:r>
              <w:rPr>
                <w:rFonts w:ascii="Arial" w:hAnsi="Arial" w:eastAsia="Arial"/>
                <w:b w:val="0"/>
                <w:i w:val="0"/>
                <w:sz w:val="20"/>
              </w:rPr>
              <w:t>Company webpages</w:t>
            </w:r>
          </w:p>
        </w:tc>
        <w:tc>
          <w:tcPr>
            <w:tcW w:type="dxa" w:w="3010"/>
          </w:tcPr>
          <w:p>
            <w:pPr>
              <w:spacing w:line="360" w:lineRule="auto"/>
              <w:jc w:val="left"/>
            </w:pPr>
            <w:r>
              <w:rPr>
                <w:rFonts w:ascii="Arial" w:hAnsi="Arial" w:eastAsia="Arial"/>
                <w:b w:val="0"/>
                <w:i w:val="0"/>
                <w:sz w:val="20"/>
              </w:rPr>
              <w:t>ASOS Fashion with Integrity; Boohoo/Debenhams sustainability, sourcing and claim pages</w:t>
            </w:r>
          </w:p>
        </w:tc>
        <w:tc>
          <w:tcPr>
            <w:tcW w:type="dxa" w:w="3010"/>
          </w:tcPr>
          <w:p>
            <w:pPr>
              <w:spacing w:line="360" w:lineRule="auto"/>
              <w:jc w:val="left"/>
            </w:pPr>
            <w:r>
              <w:rPr>
                <w:rFonts w:ascii="Arial" w:hAnsi="Arial" w:eastAsia="Arial"/>
                <w:b w:val="0"/>
                <w:i w:val="0"/>
                <w:sz w:val="20"/>
              </w:rPr>
              <w:t>Analyse digital green marketing messages</w:t>
            </w:r>
          </w:p>
        </w:tc>
      </w:tr>
      <w:tr>
        <w:trPr>
          <w:cantSplit/>
        </w:trPr>
        <w:tc>
          <w:tcPr>
            <w:tcW w:type="dxa" w:w="3010"/>
          </w:tcPr>
          <w:p>
            <w:pPr>
              <w:spacing w:line="360" w:lineRule="auto"/>
              <w:jc w:val="left"/>
            </w:pPr>
            <w:r>
              <w:rPr>
                <w:rFonts w:ascii="Arial" w:hAnsi="Arial" w:eastAsia="Arial"/>
                <w:b w:val="0"/>
                <w:i w:val="0"/>
                <w:sz w:val="20"/>
              </w:rPr>
              <w:t>Regulatory documents</w:t>
            </w:r>
          </w:p>
        </w:tc>
        <w:tc>
          <w:tcPr>
            <w:tcW w:type="dxa" w:w="3010"/>
          </w:tcPr>
          <w:p>
            <w:pPr>
              <w:spacing w:line="360" w:lineRule="auto"/>
              <w:jc w:val="left"/>
            </w:pPr>
            <w:r>
              <w:rPr>
                <w:rFonts w:ascii="Arial" w:hAnsi="Arial" w:eastAsia="Arial"/>
                <w:b w:val="0"/>
                <w:i w:val="0"/>
                <w:sz w:val="20"/>
              </w:rPr>
              <w:t>CMA Green Claims Code; CMA undertakings; CMA fashion guidance</w:t>
            </w:r>
          </w:p>
        </w:tc>
        <w:tc>
          <w:tcPr>
            <w:tcW w:type="dxa" w:w="3010"/>
          </w:tcPr>
          <w:p>
            <w:pPr>
              <w:spacing w:line="360" w:lineRule="auto"/>
              <w:jc w:val="left"/>
            </w:pPr>
            <w:r>
              <w:rPr>
                <w:rFonts w:ascii="Arial" w:hAnsi="Arial" w:eastAsia="Arial"/>
                <w:b w:val="0"/>
                <w:i w:val="0"/>
                <w:sz w:val="20"/>
              </w:rPr>
              <w:t>Build credibility criteria</w:t>
            </w:r>
          </w:p>
        </w:tc>
      </w:tr>
      <w:tr>
        <w:trPr>
          <w:cantSplit/>
        </w:trPr>
        <w:tc>
          <w:tcPr>
            <w:tcW w:type="dxa" w:w="3010"/>
          </w:tcPr>
          <w:p>
            <w:pPr>
              <w:spacing w:line="360" w:lineRule="auto"/>
              <w:jc w:val="left"/>
            </w:pPr>
            <w:r>
              <w:rPr>
                <w:rFonts w:ascii="Arial" w:hAnsi="Arial" w:eastAsia="Arial"/>
                <w:b w:val="0"/>
                <w:i w:val="0"/>
                <w:sz w:val="20"/>
              </w:rPr>
              <w:t>Academic sources</w:t>
            </w:r>
          </w:p>
        </w:tc>
        <w:tc>
          <w:tcPr>
            <w:tcW w:type="dxa" w:w="3010"/>
          </w:tcPr>
          <w:p>
            <w:pPr>
              <w:spacing w:line="360" w:lineRule="auto"/>
              <w:jc w:val="left"/>
            </w:pPr>
            <w:r>
              <w:rPr>
                <w:rFonts w:ascii="Arial" w:hAnsi="Arial" w:eastAsia="Arial"/>
                <w:b w:val="0"/>
                <w:i w:val="0"/>
                <w:sz w:val="20"/>
              </w:rPr>
              <w:t>Greenwashing, green trust, consumer behaviour and sustainability communication studies</w:t>
            </w:r>
          </w:p>
        </w:tc>
        <w:tc>
          <w:tcPr>
            <w:tcW w:type="dxa" w:w="3010"/>
          </w:tcPr>
          <w:p>
            <w:pPr>
              <w:spacing w:line="360" w:lineRule="auto"/>
              <w:jc w:val="left"/>
            </w:pPr>
            <w:r>
              <w:rPr>
                <w:rFonts w:ascii="Arial" w:hAnsi="Arial" w:eastAsia="Arial"/>
                <w:b w:val="0"/>
                <w:i w:val="0"/>
                <w:sz w:val="20"/>
              </w:rPr>
              <w:t>Support theoretical interpretation</w:t>
            </w:r>
          </w:p>
        </w:tc>
      </w:tr>
      <w:tr>
        <w:trPr>
          <w:cantSplit/>
        </w:trPr>
        <w:tc>
          <w:tcPr>
            <w:tcW w:type="dxa" w:w="3010"/>
          </w:tcPr>
          <w:p>
            <w:pPr>
              <w:spacing w:line="360" w:lineRule="auto"/>
              <w:jc w:val="left"/>
            </w:pPr>
            <w:r>
              <w:rPr>
                <w:rFonts w:ascii="Arial" w:hAnsi="Arial" w:eastAsia="Arial"/>
                <w:b w:val="0"/>
                <w:i w:val="0"/>
                <w:sz w:val="20"/>
              </w:rPr>
              <w:t>Media and industry sources</w:t>
            </w:r>
          </w:p>
        </w:tc>
        <w:tc>
          <w:tcPr>
            <w:tcW w:type="dxa" w:w="3010"/>
          </w:tcPr>
          <w:p>
            <w:pPr>
              <w:spacing w:line="360" w:lineRule="auto"/>
              <w:jc w:val="left"/>
            </w:pPr>
            <w:r>
              <w:rPr>
                <w:rFonts w:ascii="Arial" w:hAnsi="Arial" w:eastAsia="Arial"/>
                <w:b w:val="0"/>
                <w:i w:val="0"/>
                <w:sz w:val="20"/>
              </w:rPr>
              <w:t>Credible coverage of green claims and fashion sustainability</w:t>
            </w:r>
          </w:p>
        </w:tc>
        <w:tc>
          <w:tcPr>
            <w:tcW w:type="dxa" w:w="3010"/>
          </w:tcPr>
          <w:p>
            <w:pPr>
              <w:spacing w:line="360" w:lineRule="auto"/>
              <w:jc w:val="left"/>
            </w:pPr>
            <w:r>
              <w:rPr>
                <w:rFonts w:ascii="Arial" w:hAnsi="Arial" w:eastAsia="Arial"/>
                <w:b w:val="0"/>
                <w:i w:val="0"/>
                <w:sz w:val="20"/>
              </w:rPr>
              <w:t>Add external context</w:t>
            </w:r>
          </w:p>
        </w:tc>
      </w:tr>
    </w:tbl>
    <w:p>
      <w:pPr>
        <w:spacing w:line="360" w:lineRule="auto"/>
        <w:jc w:val="both"/>
      </w:pPr>
      <w:r>
        <w:rPr>
          <w:rFonts w:ascii="Arial" w:hAnsi="Arial" w:eastAsia="Arial"/>
          <w:b w:val="0"/>
          <w:i w:val="0"/>
          <w:sz w:val="24"/>
        </w:rPr>
        <w:t>The analytical framework will be the Green Marketing Credibility, Trust and Consumer Behaviour Framework. It combines greenwashing theory, green trust theory, consumer behaviour literature, the CMA Green Claims Code and sustainability communication literature. Claims will be assessed through specificity, transparency, evidence, measurability, consistency, balance, visibility, accountability and substantiation. The interpretation will then consider trust-related consumer behaviour implications such as purchase intention, loyalty, brand preference, scepticism and avoidance.</w:t>
      </w:r>
    </w:p>
    <w:p>
      <w:pPr>
        <w:jc w:val="center"/>
      </w:pPr>
      <w:r>
        <w:drawing>
          <wp:inline xmlns:a="http://schemas.openxmlformats.org/drawingml/2006/main" xmlns:pic="http://schemas.openxmlformats.org/drawingml/2006/picture">
            <wp:extent cx="5669280" cy="2677160"/>
            <wp:docPr id="1" name="Picture 1"/>
            <wp:cNvGraphicFramePr>
              <a:graphicFrameLocks noChangeAspect="1"/>
            </wp:cNvGraphicFramePr>
            <a:graphic>
              <a:graphicData uri="http://schemas.openxmlformats.org/drawingml/2006/picture">
                <pic:pic>
                  <pic:nvPicPr>
                    <pic:cNvPr id="0" name="green_marketing_credibility_framework.png"/>
                    <pic:cNvPicPr/>
                  </pic:nvPicPr>
                  <pic:blipFill>
                    <a:blip r:embed="rId9"/>
                    <a:stretch>
                      <a:fillRect/>
                    </a:stretch>
                  </pic:blipFill>
                  <pic:spPr>
                    <a:xfrm>
                      <a:off x="0" y="0"/>
                      <a:ext cx="5669280" cy="2677160"/>
                    </a:xfrm>
                    <a:prstGeom prst="rect"/>
                  </pic:spPr>
                </pic:pic>
              </a:graphicData>
            </a:graphic>
          </wp:inline>
        </w:drawing>
      </w:r>
    </w:p>
    <w:p>
      <w:pPr>
        <w:spacing w:line="360" w:lineRule="auto"/>
        <w:jc w:val="both"/>
      </w:pPr>
      <w:r>
        <w:rPr>
          <w:rFonts w:ascii="Arial" w:hAnsi="Arial" w:eastAsia="Arial"/>
          <w:b w:val="0"/>
          <w:i w:val="0"/>
          <w:sz w:val="24"/>
        </w:rPr>
        <w:t>Figure 1. Green Marketing Credibility, Trust and Consumer Behaviour Framework for the proposed analysis.</w:t>
      </w:r>
    </w:p>
    <w:p>
      <w:pPr>
        <w:spacing w:line="360" w:lineRule="auto"/>
        <w:jc w:val="both"/>
      </w:pPr>
      <w:r>
        <w:rPr>
          <w:rFonts w:ascii="Arial" w:hAnsi="Arial" w:eastAsia="Arial"/>
          <w:b w:val="0"/>
          <w:i w:val="0"/>
          <w:sz w:val="24"/>
        </w:rPr>
        <w:t>The framework will guide both company-level and claim-level analysis. At company level, it will examine how each retailer structures its sustainability narrative, whether claims are connected to strategy and whether progress or limitations are acknowledged. At claim level, it will examine the clarity of specific green marketing statements, including whether the claim identifies a product, material, target, standard, time period or evidence source. This gives the study a consistent basis for comparison without assuming in advance that one company is more credible than the other.</w:t>
      </w:r>
    </w:p>
    <w:p>
      <w:pPr>
        <w:spacing w:line="360" w:lineRule="auto"/>
        <w:jc w:val="both"/>
      </w:pPr>
      <w:r>
        <w:rPr>
          <w:rFonts w:ascii="Arial" w:hAnsi="Arial" w:eastAsia="Arial"/>
          <w:b w:val="0"/>
          <w:i w:val="0"/>
          <w:sz w:val="24"/>
        </w:rPr>
        <w:t>The two cases are purposively selected because ASOS and Boohoo are visible UK online fashion retailers, both communicate sustainability publicly, and both were included in the CMA fashion green claims investigation. Where evidence is reported at Debenhams Group level, the analysis will clearly distinguish between group-level sustainability communication and Boohoo brand-specific communication. Sources will mainly cover 2020-2026, with older seminal studies retained for theory.</w:t>
      </w:r>
    </w:p>
    <w:p>
      <w:pPr>
        <w:spacing w:line="360" w:lineRule="auto"/>
        <w:jc w:val="both"/>
      </w:pPr>
      <w:r>
        <w:rPr>
          <w:rFonts w:ascii="Arial" w:hAnsi="Arial" w:eastAsia="Arial"/>
          <w:b w:val="0"/>
          <w:i w:val="0"/>
          <w:sz w:val="24"/>
        </w:rPr>
        <w:t>Data collection will follow a transparent search and extraction process. Official company and regulatory sources will be logged with URL, date, document type and relevance. Academic searches will use terms including green marketing credibility, greenwashing, green trust, consumer behaviour, purchase intention, brand loyalty, sustainability communication, fashion retail, ASOS, Boohoo and CMA green claims. Evidence units will be extracted into a matrix covering claim type, channel, wording, support, accountability mechanism, trust implication, consumer behaviour implication and research-question relevance.</w:t>
      </w:r>
    </w:p>
    <w:p>
      <w:pPr>
        <w:spacing w:line="360" w:lineRule="auto"/>
        <w:jc w:val="both"/>
      </w:pPr>
      <w:r>
        <w:rPr>
          <w:rFonts w:ascii="Arial" w:hAnsi="Arial" w:eastAsia="Arial"/>
          <w:b w:val="0"/>
          <w:i w:val="0"/>
          <w:sz w:val="24"/>
        </w:rPr>
        <w:t>The inclusion criteria will prioritise sources that directly address sustainability communication, green marketing claims, credibility, regulation, trust or consumer behaviour. Company sources will be included when they are publicly accessible and attributable to ASOS, Boohoo or Debenhams Group. Academic sources will be selected for relevance and quality, with peer-reviewed journal articles preferred. Media and industry sources will be used only for contextual triangulation, not as proof of environmental performance.</w:t>
      </w:r>
    </w:p>
    <w:p>
      <w:pPr>
        <w:spacing w:line="360" w:lineRule="auto"/>
        <w:jc w:val="both"/>
      </w:pPr>
      <w:r>
        <w:rPr>
          <w:rFonts w:ascii="Arial" w:hAnsi="Arial" w:eastAsia="Arial"/>
          <w:b w:val="0"/>
          <w:i w:val="0"/>
          <w:sz w:val="24"/>
        </w:rPr>
        <w:t>Data analysis will use manual thematic analysis adapted from Braun and Clarke (2006), supported by document analysis principles from Bowen (2009). Coding will move from familiarisation to initial codes, credibility codes, trust and behaviour codes, candidate themes, cross-case comparison and interpretation. Initial codes may include material claims, circularity, emissions targets, supplier transparency, product filters, accreditation, regulatory response, accountability language, evidence quality, vague claims, consumer reassurance, trust repair, purchase intention, brand preference, loyalty, scepticism and avoidance. The ethical risk is low because the project uses public secondary evidence only; responsibilities will focus on accurate Harvard referencing, cautious interpretation, transparent AI acknowledgement and secure file storage.</w:t>
      </w:r>
    </w:p>
    <w:p>
      <w:pPr>
        <w:spacing w:line="360" w:lineRule="auto"/>
        <w:jc w:val="both"/>
      </w:pPr>
      <w:r>
        <w:rPr>
          <w:rFonts w:ascii="Arial" w:hAnsi="Arial" w:eastAsia="Arial"/>
          <w:b w:val="0"/>
          <w:i w:val="0"/>
          <w:sz w:val="24"/>
        </w:rPr>
        <w:t>Trustworthiness will be supported through a documented source log, consistent coding criteria, an evidence matrix and careful separation of description from interpretation. The researcher will avoid making unsupported accusations about either company and will state when evidence is company-reported, regulator-reported, academic or media-based. This is important because the dissertation is about communication credibility, not an independent environmental audit.</w:t>
      </w:r>
    </w:p>
    <w:p>
      <w:pPr>
        <w:pStyle w:val="Heading1"/>
        <w:spacing w:line="360" w:lineRule="auto"/>
      </w:pPr>
      <w:r>
        <w:rPr>
          <w:rFonts w:ascii="Arial" w:hAnsi="Arial" w:eastAsia="Arial"/>
          <w:b/>
          <w:i w:val="0"/>
          <w:sz w:val="28"/>
        </w:rPr>
        <w:t>Expected Findings</w:t>
      </w:r>
    </w:p>
    <w:p>
      <w:pPr>
        <w:spacing w:line="360" w:lineRule="auto"/>
        <w:jc w:val="both"/>
      </w:pPr>
      <w:r>
        <w:rPr>
          <w:rFonts w:ascii="Arial" w:hAnsi="Arial" w:eastAsia="Arial"/>
          <w:b w:val="0"/>
          <w:i w:val="0"/>
          <w:sz w:val="24"/>
        </w:rPr>
        <w:t>The study may find differences in how ASOS and Boohoo structure sustainability communication, present evidence, explain product-level claims and respond to regulatory expectations. It may also find that the influence on consumer behaviour depends less on the amount of sustainability language used and more on whether claims are clear, measurable, substantiated, balanced and linked to visible accountability. Credible communication may support trust, purchase intention and loyalty, while vague or weakly substantiated claims may encourage scepticism or avoidance. These are starting assumptions only, not findings, and coding may produce different patterns.</w:t>
      </w:r>
    </w:p>
    <w:p>
      <w:pPr>
        <w:pStyle w:val="Heading1"/>
        <w:spacing w:line="360" w:lineRule="auto"/>
      </w:pPr>
      <w:r>
        <w:rPr>
          <w:rFonts w:ascii="Arial" w:hAnsi="Arial" w:eastAsia="Arial"/>
          <w:b/>
          <w:i w:val="0"/>
          <w:sz w:val="28"/>
        </w:rPr>
        <w:t>Limitations</w:t>
      </w:r>
    </w:p>
    <w:p>
      <w:pPr>
        <w:spacing w:line="360" w:lineRule="auto"/>
        <w:jc w:val="both"/>
      </w:pPr>
      <w:r>
        <w:rPr>
          <w:rFonts w:ascii="Arial" w:hAnsi="Arial" w:eastAsia="Arial"/>
          <w:b w:val="0"/>
          <w:i w:val="0"/>
          <w:sz w:val="24"/>
        </w:rPr>
        <w:t>The study relies on public secondary evidence and cannot directly measure consumer trust, actual purchasing behaviour or environmental performance. Corporate communication may be selective, media sources may emphasise controversy, and regulatory materials may focus on compliance rather than full sustainability performance. These limitations will be managed by separating company claims from external commentary, applying the same coding criteria to both cases and writing cautious conclusions about consumer behaviour implications rather than claiming primary behavioural proof.</w:t>
      </w:r>
    </w:p>
    <w:p>
      <w:pPr>
        <w:pStyle w:val="Heading1"/>
        <w:spacing w:line="360" w:lineRule="auto"/>
      </w:pPr>
      <w:r>
        <w:rPr>
          <w:rFonts w:ascii="Arial" w:hAnsi="Arial" w:eastAsia="Arial"/>
          <w:b/>
          <w:i w:val="0"/>
          <w:sz w:val="28"/>
        </w:rPr>
        <w:t>Timeframe</w:t>
      </w:r>
    </w:p>
    <w:p>
      <w:pPr>
        <w:spacing w:line="360" w:lineRule="auto"/>
        <w:jc w:val="both"/>
      </w:pPr>
      <w:r>
        <w:rPr>
          <w:rFonts w:ascii="Arial" w:hAnsi="Arial" w:eastAsia="Arial"/>
          <w:b w:val="0"/>
          <w:i w:val="0"/>
          <w:sz w:val="24"/>
        </w:rPr>
        <w:t>The dissertation will run across four sequenced project months. The Gantt chart uses four project months only and does not assign exact calendar dates.</w:t>
      </w:r>
    </w:p>
    <w:p>
      <w:pPr>
        <w:jc w:val="center"/>
      </w:pPr>
      <w:r>
        <w:drawing>
          <wp:inline xmlns:a="http://schemas.openxmlformats.org/drawingml/2006/main" xmlns:pic="http://schemas.openxmlformats.org/drawingml/2006/picture">
            <wp:extent cx="5669280" cy="3222538"/>
            <wp:docPr id="2" name="Picture 2"/>
            <wp:cNvGraphicFramePr>
              <a:graphicFrameLocks noChangeAspect="1"/>
            </wp:cNvGraphicFramePr>
            <a:graphic>
              <a:graphicData uri="http://schemas.openxmlformats.org/drawingml/2006/picture">
                <pic:pic>
                  <pic:nvPicPr>
                    <pic:cNvPr id="0" name="gantt_chart_4_months_bw.png"/>
                    <pic:cNvPicPr/>
                  </pic:nvPicPr>
                  <pic:blipFill>
                    <a:blip r:embed="rId10"/>
                    <a:stretch>
                      <a:fillRect/>
                    </a:stretch>
                  </pic:blipFill>
                  <pic:spPr>
                    <a:xfrm>
                      <a:off x="0" y="0"/>
                      <a:ext cx="5669280" cy="3222538"/>
                    </a:xfrm>
                    <a:prstGeom prst="rect"/>
                  </pic:spPr>
                </pic:pic>
              </a:graphicData>
            </a:graphic>
          </wp:inline>
        </w:drawing>
      </w:r>
    </w:p>
    <w:p>
      <w:pPr>
        <w:spacing w:line="360" w:lineRule="auto"/>
        <w:jc w:val="both"/>
      </w:pPr>
      <w:r>
        <w:rPr>
          <w:rFonts w:ascii="Arial" w:hAnsi="Arial" w:eastAsia="Arial"/>
          <w:b w:val="0"/>
          <w:i w:val="0"/>
          <w:sz w:val="24"/>
        </w:rPr>
        <w:t>Figure 2. Four-month Gantt chart for the proposed dissertation.</w:t>
      </w:r>
    </w:p>
    <w:p>
      <w:pPr>
        <w:pStyle w:val="Heading1"/>
        <w:spacing w:line="360" w:lineRule="auto"/>
      </w:pPr>
      <w:r>
        <w:rPr>
          <w:rFonts w:ascii="Arial" w:hAnsi="Arial" w:eastAsia="Arial"/>
          <w:b/>
          <w:i w:val="0"/>
          <w:sz w:val="28"/>
        </w:rPr>
        <w:t>Conclusion</w:t>
      </w:r>
    </w:p>
    <w:p>
      <w:pPr>
        <w:spacing w:line="360" w:lineRule="auto"/>
        <w:jc w:val="both"/>
      </w:pPr>
      <w:r>
        <w:rPr>
          <w:rFonts w:ascii="Arial" w:hAnsi="Arial" w:eastAsia="Arial"/>
          <w:b w:val="0"/>
          <w:i w:val="0"/>
          <w:sz w:val="24"/>
        </w:rPr>
        <w:t>This proposal sets out a feasible, low-risk MBA dissertation on the influence of green marketing credibility and consumer trust on consumer behaviour in the UK online retail fashion industry. By comparing ASOS and Boohoo, the study will examine sustainability messages, credibility signals, evidence practices, accountability mechanisms and trust-related behaviour implications. Its contribution will be a thematic understanding of how online fashion retailers can communicate sustainability more transparently, strengthen consumer trust and support more confident consumer behaviour without making unsupported environmental impressions.</w:t>
      </w:r>
    </w:p>
    <w:p>
      <w:r>
        <w:br w:type="page"/>
      </w:r>
    </w:p>
    <w:p>
      <w:pPr>
        <w:pStyle w:val="Heading1"/>
        <w:spacing w:line="360" w:lineRule="auto"/>
      </w:pPr>
      <w:r>
        <w:rPr>
          <w:rFonts w:ascii="Arial" w:hAnsi="Arial" w:eastAsia="Arial"/>
          <w:b/>
          <w:i w:val="0"/>
          <w:sz w:val="28"/>
        </w:rPr>
        <w:t>References</w:t>
      </w:r>
    </w:p>
    <w:p>
      <w:pPr>
        <w:spacing w:line="360" w:lineRule="auto"/>
        <w:jc w:val="both"/>
      </w:pPr>
      <w:r>
        <w:rPr>
          <w:rFonts w:ascii="Arial" w:hAnsi="Arial" w:eastAsia="Arial"/>
          <w:b w:val="0"/>
          <w:i w:val="0"/>
          <w:sz w:val="24"/>
        </w:rPr>
        <w:t>ASOS plc (2025) Annual Report and Accounts 2025. Available at: https://www.asosplc.com/media/buijobcn/49775_asos_ar25_text_int_031225-final.pdf (Accessed: 16 June 2026).</w:t>
      </w:r>
    </w:p>
    <w:p>
      <w:pPr>
        <w:spacing w:line="360" w:lineRule="auto"/>
        <w:jc w:val="both"/>
      </w:pPr>
      <w:r>
        <w:rPr>
          <w:rFonts w:ascii="Arial" w:hAnsi="Arial" w:eastAsia="Arial"/>
          <w:b w:val="0"/>
          <w:i w:val="0"/>
          <w:sz w:val="24"/>
        </w:rPr>
        <w:t>ASOS plc (2026) Fashion with Integrity. Available at: https://www.asosplc.com/sustainability/fashion-with-integrity/ (Accessed: 16 June 2026).</w:t>
      </w:r>
    </w:p>
    <w:p>
      <w:pPr>
        <w:spacing w:line="360" w:lineRule="auto"/>
        <w:jc w:val="both"/>
      </w:pPr>
      <w:r>
        <w:rPr>
          <w:rFonts w:ascii="Arial" w:hAnsi="Arial" w:eastAsia="Arial"/>
          <w:b w:val="0"/>
          <w:i w:val="0"/>
          <w:sz w:val="24"/>
        </w:rPr>
        <w:t>Bowen, G.A. (2009) 'Document analysis as a qualitative research method', Qualitative Research Journal, 9(2), pp. 27-40. doi:10.3316/QRJ0902027.</w:t>
      </w:r>
    </w:p>
    <w:p>
      <w:pPr>
        <w:spacing w:line="360" w:lineRule="auto"/>
        <w:jc w:val="both"/>
      </w:pPr>
      <w:r>
        <w:rPr>
          <w:rFonts w:ascii="Arial" w:hAnsi="Arial" w:eastAsia="Arial"/>
          <w:b w:val="0"/>
          <w:i w:val="0"/>
          <w:sz w:val="24"/>
        </w:rPr>
        <w:t>Braun, V. and Clarke, V. (2006) 'Using thematic analysis in psychology', Qualitative Research in Psychology, 3(2), pp. 77-101. doi:10.1191/1478088706qp063oa.</w:t>
      </w:r>
    </w:p>
    <w:p>
      <w:pPr>
        <w:spacing w:line="360" w:lineRule="auto"/>
        <w:jc w:val="both"/>
      </w:pPr>
      <w:r>
        <w:rPr>
          <w:rFonts w:ascii="Arial" w:hAnsi="Arial" w:eastAsia="Arial"/>
          <w:b w:val="0"/>
          <w:i w:val="0"/>
          <w:sz w:val="24"/>
        </w:rPr>
        <w:t>Chen, Y.-S. and Chang, C.-H. (2013) 'Greenwash and green trust: the mediation effects of green consumer confusion and green perceived risk', Journal of Business Ethics, 114(3), pp. 489-500. doi:10.1007/s10551-012-1360-0.</w:t>
      </w:r>
    </w:p>
    <w:p>
      <w:pPr>
        <w:spacing w:line="360" w:lineRule="auto"/>
        <w:jc w:val="both"/>
      </w:pPr>
      <w:r>
        <w:rPr>
          <w:rFonts w:ascii="Arial" w:hAnsi="Arial" w:eastAsia="Arial"/>
          <w:b w:val="0"/>
          <w:i w:val="0"/>
          <w:sz w:val="24"/>
        </w:rPr>
        <w:t>Competition and Markets Authority (CMA) (2021) Making environmental claims on goods and services. Available at: https://www.gov.uk/government/publications/green-claims-code-making-environmental-claims/environmental-claims-on-goods-and-services (Accessed: 16 June 2026).</w:t>
      </w:r>
    </w:p>
    <w:p>
      <w:pPr>
        <w:spacing w:line="360" w:lineRule="auto"/>
        <w:jc w:val="both"/>
      </w:pPr>
      <w:r>
        <w:rPr>
          <w:rFonts w:ascii="Arial" w:hAnsi="Arial" w:eastAsia="Arial"/>
          <w:b w:val="0"/>
          <w:i w:val="0"/>
          <w:sz w:val="24"/>
        </w:rPr>
        <w:t>Competition and Markets Authority (CMA) (2024a) Fashion greenwashing: investigation into ASOS, Boohoo and Asda. Available at: https://www.gov.uk/cma-cases/asos-boohoo-and-asda-greenwashing-investigation (Accessed: 16 June 2026).</w:t>
      </w:r>
    </w:p>
    <w:p>
      <w:pPr>
        <w:spacing w:line="360" w:lineRule="auto"/>
        <w:jc w:val="both"/>
      </w:pPr>
      <w:r>
        <w:rPr>
          <w:rFonts w:ascii="Arial" w:hAnsi="Arial" w:eastAsia="Arial"/>
          <w:b w:val="0"/>
          <w:i w:val="0"/>
          <w:sz w:val="24"/>
        </w:rPr>
        <w:t>Competition and Markets Authority (CMA) (2024b) Fashion retail: consumer law when making green claims. Available at: https://www.gov.uk/government/publications/complying-with-consumer-law-when-making-environmental-claims-in-the-fashion-retail-sector (Accessed: 16 June 2026).</w:t>
      </w:r>
    </w:p>
    <w:p>
      <w:pPr>
        <w:spacing w:line="360" w:lineRule="auto"/>
        <w:jc w:val="both"/>
      </w:pPr>
      <w:r>
        <w:rPr>
          <w:rFonts w:ascii="Arial" w:hAnsi="Arial" w:eastAsia="Arial"/>
          <w:b w:val="0"/>
          <w:i w:val="0"/>
          <w:sz w:val="24"/>
        </w:rPr>
        <w:t>Debenhams Group (2025) Annual Report and Financial Statements 2025. Available at: https://www.debenhamsgroup.com/files/results-centre/2025/debenhams-group-annual-report-2025.pdf (Accessed: 16 June 2026).</w:t>
      </w:r>
    </w:p>
    <w:p>
      <w:pPr>
        <w:spacing w:line="360" w:lineRule="auto"/>
        <w:jc w:val="both"/>
      </w:pPr>
      <w:r>
        <w:rPr>
          <w:rFonts w:ascii="Arial" w:hAnsi="Arial" w:eastAsia="Arial"/>
          <w:b w:val="0"/>
          <w:i w:val="0"/>
          <w:sz w:val="24"/>
        </w:rPr>
        <w:t>Debenhams Group (2026a) ESG Partnerships. Available at: https://www.debenhamsgroup.com/sustainability/esg-partnerships/ (Accessed: 16 June 2026).</w:t>
      </w:r>
    </w:p>
    <w:p>
      <w:pPr>
        <w:spacing w:line="360" w:lineRule="auto"/>
        <w:jc w:val="both"/>
      </w:pPr>
      <w:r>
        <w:rPr>
          <w:rFonts w:ascii="Arial" w:hAnsi="Arial" w:eastAsia="Arial"/>
          <w:b w:val="0"/>
          <w:i w:val="0"/>
          <w:sz w:val="24"/>
        </w:rPr>
        <w:t>Debenhams Group (2026b) Responsible Sourcing. Available at: https://www.debenhamsgroup.com/sustainability/responsible-sourcing/ (Accessed: 16 June 2026).</w:t>
      </w:r>
    </w:p>
    <w:p>
      <w:pPr>
        <w:spacing w:line="360" w:lineRule="auto"/>
        <w:jc w:val="both"/>
      </w:pPr>
      <w:r>
        <w:rPr>
          <w:rFonts w:ascii="Arial" w:hAnsi="Arial" w:eastAsia="Arial"/>
          <w:b w:val="0"/>
          <w:i w:val="0"/>
          <w:sz w:val="24"/>
        </w:rPr>
        <w:t>Delmas, M.A. and Burbano, V.C. (2011) 'The drivers of greenwashing', California Management Review, 54(1), pp. 64-87. doi:10.1525/cmr.2011.54.1.64.</w:t>
      </w:r>
    </w:p>
    <w:p>
      <w:pPr>
        <w:spacing w:line="360" w:lineRule="auto"/>
        <w:jc w:val="both"/>
      </w:pPr>
      <w:r>
        <w:rPr>
          <w:rFonts w:ascii="Arial" w:hAnsi="Arial" w:eastAsia="Arial"/>
          <w:b w:val="0"/>
          <w:i w:val="0"/>
          <w:sz w:val="24"/>
        </w:rPr>
        <w:t>Lyon, T.P. and Montgomery, A.W. (2015) 'The means and end of greenwash', Organization &amp; Environment, 28(2), pp. 223-249. doi:10.1177/1086026615575332.</w:t>
      </w:r>
    </w:p>
    <w:p>
      <w:pPr>
        <w:spacing w:line="360" w:lineRule="auto"/>
        <w:jc w:val="both"/>
      </w:pPr>
      <w:r>
        <w:rPr>
          <w:rFonts w:ascii="Arial" w:hAnsi="Arial" w:eastAsia="Arial"/>
          <w:b w:val="0"/>
          <w:i w:val="0"/>
          <w:sz w:val="24"/>
        </w:rPr>
        <w:t>Niinimaki, K., Peters, G., Dahlbo, H., Perry, P., Rissanen, T. and Gwilt, A. (2020) 'The environmental price of fast fashion', Nature Reviews Earth &amp; Environment, 1, pp. 189-200. doi:10.1038/s43017-020-0039-9.</w:t>
      </w:r>
    </w:p>
    <w:p>
      <w:pPr>
        <w:spacing w:line="360" w:lineRule="auto"/>
        <w:jc w:val="both"/>
      </w:pPr>
      <w:r>
        <w:rPr>
          <w:rFonts w:ascii="Arial" w:hAnsi="Arial" w:eastAsia="Arial"/>
          <w:b w:val="0"/>
          <w:i w:val="0"/>
          <w:sz w:val="24"/>
        </w:rPr>
        <w:t>Nyilasy, G., Gangadharbatla, H. and Paladino, A. (2014) 'Perceived greenwashing: the interactive effects of green advertising and corporate environmental performance on consumer reactions', Journal of Business Ethics, 125(4), pp. 693-707. doi:10.1007/s10551-013-1944-3.</w:t>
      </w:r>
    </w:p>
    <w:p>
      <w:pPr>
        <w:spacing w:line="360" w:lineRule="auto"/>
        <w:jc w:val="both"/>
      </w:pPr>
      <w:r>
        <w:rPr>
          <w:rFonts w:ascii="Arial" w:hAnsi="Arial" w:eastAsia="Arial"/>
          <w:b w:val="0"/>
          <w:i w:val="0"/>
          <w:sz w:val="24"/>
        </w:rPr>
        <w:t>Saunders, M., Lewis, P. and Thornhill, A. (2019) Research Methods for Business Students. 8th edn. Harlow: Pearson.</w:t>
      </w:r>
    </w:p>
    <w:p>
      <w:pPr>
        <w:spacing w:line="360" w:lineRule="auto"/>
        <w:jc w:val="both"/>
      </w:pPr>
      <w:r>
        <w:rPr>
          <w:rFonts w:ascii="Arial" w:hAnsi="Arial" w:eastAsia="Arial"/>
          <w:b w:val="0"/>
          <w:i w:val="0"/>
          <w:sz w:val="24"/>
        </w:rPr>
        <w:t>Schmuck, D., Matthes, J. and Naderer, B. (2018) 'Misleading consumers with green advertising? An affect-reason-involvement account of greenwashing effects in environmental advertising', Journal of Advertising, 47(2), pp. 127-145. doi:10.1080/00913367.2018.1452652.</w:t>
      </w:r>
    </w:p>
    <w:p>
      <w:pPr>
        <w:spacing w:line="360" w:lineRule="auto"/>
        <w:jc w:val="both"/>
      </w:pPr>
      <w:r>
        <w:rPr>
          <w:rFonts w:ascii="Arial" w:hAnsi="Arial" w:eastAsia="Arial"/>
          <w:b w:val="0"/>
          <w:i w:val="0"/>
          <w:sz w:val="24"/>
        </w:rPr>
        <w:t>Sirdeshmukh, D., Singh, J. and Sabol, B. (2002) 'Consumer trust, value, and loyalty in relational exchanges', Journal of Marketing, 66(1), pp. 15-37. doi:10.1509/jmkg.66.1.15.18449.</w:t>
      </w:r>
    </w:p>
    <w:sectPr w:rsidR="00FC693F" w:rsidRPr="0006063C" w:rsidSect="00034616">
      <w:pgSz w:w="11909" w:h="16834"/>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Arial" w:hAnsi="Arial" w:eastAsia="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eastAsia="Arial"/>
      <w:b/>
      <w:bCs/>
      <w:color w:val="365F91" w:themeColor="accent1" w:themeShade="BF"/>
      <w:sz w:val="2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eastAsia="Arial"/>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rPr>
      <w:rFonts w:ascii="Arial" w:hAnsi="Arial" w:eastAsia="Arial"/>
      <w:sz w:val="24"/>
    </w:r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rPr>
      <w:rFonts w:ascii="Arial" w:hAnsi="Arial" w:eastAsia="Arial"/>
      <w:sz w:val="24"/>
    </w:r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no"?>
<Relationships xmlns="http://schemas.openxmlformats.org/package/2006/relationships">
<Relationship Id="rId1" Target="../customXml/item1.xml" Type="http://schemas.openxmlformats.org/officeDocument/2006/relationships/customXml"/>
<Relationship Id="rId10" Target="media/image2.png" Type="http://schemas.openxmlformats.org/officeDocument/2006/relationships/image"/>
<Relationship Id="rId2" Target="numbering.xml" Type="http://schemas.openxmlformats.org/officeDocument/2006/relationships/numbering"/>
<Relationship Id="rId3" Target="styles.xml" Type="http://schemas.openxmlformats.org/officeDocument/2006/relationships/styles"/>
<Relationship Id="rId4" Target="stylesWithEffects.xml" Type="http://schemas.microsoft.com/office/2007/relationships/stylesWithEffects"/>
<Relationship Id="rId5" Target="settings.xml" Type="http://schemas.openxmlformats.org/officeDocument/2006/relationships/settings"/>
<Relationship Id="rId6" Target="webSettings.xml" Type="http://schemas.openxmlformats.org/officeDocument/2006/relationships/webSettings"/>
<Relationship Id="rId7" Target="fontTable.xml" Type="http://schemas.openxmlformats.org/officeDocument/2006/relationships/fontTable"/>
<Relationship Id="rId8" Target="theme/theme1.xml" Type="http://schemas.openxmlformats.org/officeDocument/2006/relationships/theme"/>
<Relationship Id="rId9" Target="media/image1.png" Type="http://schemas.openxmlformats.org/officeDocument/2006/relationships/imag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no"?>
<Relationships xmlns="http://schemas.openxmlformats.org/package/2006/relationships">
<Relationship Id="rId1" Target="itemProps1.xml" Type="http://schemas.openxmlformats.org/officeDocument/2006/relationships/customXmlProps"/>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
  <TotalTime>0</TotalTime>
  <Pages>1</Pages>
  <Words>0</Words>
  <Characters>0</Characters>
  <Application/>
  <DocSecurity>0</DocSecurity>
  <Lines>0</Lines>
  <Paragraphs>0</Paragraphs>
  <ScaleCrop>false</ScaleCrop>
  <HeadingPairs>
    <vt:vector baseType="variant" size="2">
      <vt:variant>
        <vt:lpstr>Title</vt:lpstr>
      </vt:variant>
      <vt:variant>
        <vt:i4>1</vt:i4>
      </vt:variant>
    </vt:vector>
  </HeadingPairs>
  <TitlesOfParts>
    <vt:vector baseType="lpstr" size="1">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xsi="http://www.w3.org/2001/XMLSchema-instance">
  <cp:revision>0</cp:revision>
</cp:coreProperties>
</file>