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54DE45" w14:textId="7A5D732E" w:rsidR="00EA16FC" w:rsidRDefault="00ED0D3D" w:rsidP="00A82BDA">
      <w:pPr>
        <w:ind w:firstLine="0"/>
      </w:pPr>
      <w:r>
        <w:t>Running Head: Essay</w:t>
      </w:r>
    </w:p>
    <w:p w14:paraId="6E189B0D" w14:textId="031B478B" w:rsidR="00A82BDA" w:rsidRDefault="00A82BDA"/>
    <w:p w14:paraId="48945AB0" w14:textId="7E67FECF" w:rsidR="001A1C90" w:rsidRDefault="001A1C90"/>
    <w:p w14:paraId="76A7391E" w14:textId="08471FB9" w:rsidR="001A1C90" w:rsidRDefault="001A1C90"/>
    <w:p w14:paraId="2B98BE5F" w14:textId="1DCC04E7" w:rsidR="001A1C90" w:rsidRDefault="001A1C90"/>
    <w:p w14:paraId="36E4C2D9" w14:textId="0113C9C4" w:rsidR="001A1C90" w:rsidRDefault="001A1C90"/>
    <w:p w14:paraId="6F3009E4" w14:textId="20F857AF" w:rsidR="001A1C90" w:rsidRDefault="001A1C90"/>
    <w:p w14:paraId="72488A25" w14:textId="798ED4DA" w:rsidR="001A1C90" w:rsidRDefault="001A1C90" w:rsidP="00B948E1">
      <w:pPr>
        <w:ind w:hanging="90"/>
      </w:pPr>
    </w:p>
    <w:p w14:paraId="77889EC3" w14:textId="1C9E4716" w:rsidR="00D70D18" w:rsidRDefault="00D70D18" w:rsidP="00B948E1">
      <w:pPr>
        <w:ind w:hanging="90"/>
      </w:pPr>
    </w:p>
    <w:p w14:paraId="7F19E045" w14:textId="77777777" w:rsidR="001A06D4" w:rsidRDefault="001A06D4" w:rsidP="00B948E1">
      <w:pPr>
        <w:ind w:hanging="90"/>
      </w:pPr>
    </w:p>
    <w:p w14:paraId="53B19E2D" w14:textId="4D43E080" w:rsidR="00D70D18" w:rsidRDefault="00D70D18" w:rsidP="00B948E1">
      <w:pPr>
        <w:ind w:hanging="90"/>
      </w:pPr>
    </w:p>
    <w:p w14:paraId="5D391DB0" w14:textId="77777777" w:rsidR="003263E3" w:rsidRPr="00292B9C" w:rsidRDefault="00ED0D3D" w:rsidP="00BC59E3">
      <w:pPr>
        <w:ind w:hanging="90"/>
        <w:jc w:val="center"/>
        <w:rPr>
          <w:b/>
          <w:bCs/>
        </w:rPr>
      </w:pPr>
      <w:r w:rsidRPr="00292B9C">
        <w:rPr>
          <w:b/>
          <w:bCs/>
        </w:rPr>
        <w:t>Professional Responsibilities in</w:t>
      </w:r>
    </w:p>
    <w:p w14:paraId="40087EAB" w14:textId="4AE8BA1F" w:rsidR="000D607C" w:rsidRPr="00292B9C" w:rsidRDefault="00ED0D3D" w:rsidP="00BC59E3">
      <w:pPr>
        <w:ind w:hanging="90"/>
        <w:jc w:val="center"/>
        <w:rPr>
          <w:b/>
          <w:bCs/>
        </w:rPr>
      </w:pPr>
      <w:r w:rsidRPr="00292B9C">
        <w:rPr>
          <w:b/>
          <w:bCs/>
        </w:rPr>
        <w:t xml:space="preserve"> Health and Social Care Practice </w:t>
      </w:r>
    </w:p>
    <w:p w14:paraId="6F9F8D2B" w14:textId="5C787098" w:rsidR="001A1C90" w:rsidRDefault="00ED0D3D" w:rsidP="00B948E1">
      <w:pPr>
        <w:ind w:firstLine="0"/>
        <w:jc w:val="center"/>
      </w:pPr>
      <w:r>
        <w:t>Name of Student</w:t>
      </w:r>
      <w:r w:rsidR="003C77B8">
        <w:t xml:space="preserve"> </w:t>
      </w:r>
      <w:r>
        <w:t>:</w:t>
      </w:r>
      <w:r w:rsidR="003C77B8">
        <w:t xml:space="preserve">Ruth </w:t>
      </w:r>
      <w:r w:rsidR="001E5B49">
        <w:t>Bahati</w:t>
      </w:r>
      <w:r w:rsidR="003C77B8">
        <w:t xml:space="preserve"> </w:t>
      </w:r>
    </w:p>
    <w:p w14:paraId="5D438174" w14:textId="4EB6561E" w:rsidR="00B948E1" w:rsidRDefault="00B948E1" w:rsidP="003C77B8">
      <w:pPr>
        <w:ind w:firstLine="0"/>
      </w:pPr>
    </w:p>
    <w:p w14:paraId="12826008" w14:textId="77777777" w:rsidR="00B948E1" w:rsidRDefault="00ED0D3D">
      <w:pPr>
        <w:spacing w:before="0" w:after="160" w:line="259" w:lineRule="auto"/>
        <w:ind w:firstLine="0"/>
        <w:jc w:val="left"/>
      </w:pPr>
      <w:r>
        <w:br w:type="page"/>
      </w:r>
    </w:p>
    <w:sdt>
      <w:sdtPr>
        <w:rPr>
          <w:rFonts w:ascii="Times New Roman" w:eastAsiaTheme="minorHAnsi" w:hAnsi="Times New Roman" w:cstheme="minorBidi"/>
          <w:color w:val="auto"/>
          <w:sz w:val="24"/>
          <w:szCs w:val="22"/>
          <w:lang w:val="en-GB"/>
        </w:rPr>
        <w:id w:val="-1018779364"/>
        <w:docPartObj>
          <w:docPartGallery w:val="Table of Contents"/>
          <w:docPartUnique/>
        </w:docPartObj>
      </w:sdtPr>
      <w:sdtEndPr>
        <w:rPr>
          <w:rFonts w:asciiTheme="majorBidi" w:hAnsiTheme="majorBidi"/>
          <w:b/>
          <w:bCs/>
          <w:noProof/>
          <w:szCs w:val="24"/>
        </w:rPr>
      </w:sdtEndPr>
      <w:sdtContent>
        <w:p w14:paraId="1A511B12" w14:textId="70DA4B7D" w:rsidR="004761B4" w:rsidRPr="00AC0B85" w:rsidRDefault="00ED0D3D" w:rsidP="00AC0B85">
          <w:pPr>
            <w:pStyle w:val="TOCHeading"/>
            <w:spacing w:line="360" w:lineRule="auto"/>
            <w:jc w:val="center"/>
            <w:rPr>
              <w:rFonts w:asciiTheme="majorBidi" w:hAnsiTheme="majorBidi"/>
              <w:b/>
              <w:bCs/>
              <w:color w:val="0D0D0D" w:themeColor="text1" w:themeTint="F2"/>
            </w:rPr>
          </w:pPr>
          <w:r w:rsidRPr="00AC0B85">
            <w:rPr>
              <w:rFonts w:asciiTheme="majorBidi" w:hAnsiTheme="majorBidi"/>
              <w:b/>
              <w:bCs/>
              <w:color w:val="0D0D0D" w:themeColor="text1" w:themeTint="F2"/>
            </w:rPr>
            <w:t>Table of Content</w:t>
          </w:r>
        </w:p>
        <w:p w14:paraId="1BCDC57A" w14:textId="77DB6836"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r w:rsidRPr="00E25C3F">
            <w:rPr>
              <w:rFonts w:asciiTheme="majorBidi" w:hAnsiTheme="majorBidi" w:cstheme="majorBidi"/>
              <w:sz w:val="24"/>
              <w:szCs w:val="24"/>
            </w:rPr>
            <w:fldChar w:fldCharType="begin"/>
          </w:r>
          <w:r w:rsidRPr="00E25C3F">
            <w:rPr>
              <w:rFonts w:asciiTheme="majorBidi" w:hAnsiTheme="majorBidi" w:cstheme="majorBidi"/>
              <w:sz w:val="24"/>
              <w:szCs w:val="24"/>
            </w:rPr>
            <w:instrText xml:space="preserve"> TOC \o "1-3" \h \z \u </w:instrText>
          </w:r>
          <w:r w:rsidRPr="00E25C3F">
            <w:rPr>
              <w:rFonts w:asciiTheme="majorBidi" w:hAnsiTheme="majorBidi" w:cstheme="majorBidi"/>
              <w:sz w:val="24"/>
              <w:szCs w:val="24"/>
            </w:rPr>
            <w:fldChar w:fldCharType="separate"/>
          </w:r>
          <w:hyperlink w:anchor="_Toc202829735" w:history="1">
            <w:r w:rsidRPr="00E25C3F">
              <w:rPr>
                <w:rStyle w:val="Hyperlink"/>
                <w:rFonts w:asciiTheme="majorBidi" w:hAnsiTheme="majorBidi" w:cstheme="majorBidi"/>
                <w:noProof/>
                <w:sz w:val="24"/>
                <w:szCs w:val="24"/>
              </w:rPr>
              <w:t>Introduction</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_Toc202829735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3</w:t>
            </w:r>
            <w:r w:rsidRPr="00E25C3F">
              <w:rPr>
                <w:rFonts w:asciiTheme="majorBidi" w:hAnsiTheme="majorBidi" w:cstheme="majorBidi"/>
                <w:noProof/>
                <w:webHidden/>
                <w:sz w:val="24"/>
                <w:szCs w:val="24"/>
              </w:rPr>
              <w:fldChar w:fldCharType="end"/>
            </w:r>
          </w:hyperlink>
        </w:p>
        <w:p w14:paraId="401D9C9B" w14:textId="4E730379"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hyperlink w:anchor="_Toc202829736" w:history="1">
            <w:r w:rsidRPr="00E25C3F">
              <w:rPr>
                <w:rStyle w:val="Hyperlink"/>
                <w:rFonts w:asciiTheme="majorBidi" w:hAnsiTheme="majorBidi" w:cstheme="majorBidi"/>
                <w:noProof/>
                <w:sz w:val="24"/>
                <w:szCs w:val="24"/>
              </w:rPr>
              <w:t>Communication with Service Users and Families</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_Toc202829736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3</w:t>
            </w:r>
            <w:r w:rsidRPr="00E25C3F">
              <w:rPr>
                <w:rFonts w:asciiTheme="majorBidi" w:hAnsiTheme="majorBidi" w:cstheme="majorBidi"/>
                <w:noProof/>
                <w:webHidden/>
                <w:sz w:val="24"/>
                <w:szCs w:val="24"/>
              </w:rPr>
              <w:fldChar w:fldCharType="end"/>
            </w:r>
          </w:hyperlink>
        </w:p>
        <w:p w14:paraId="4B0DC47E" w14:textId="46F38C30" w:rsidR="004761B4" w:rsidRPr="00E25C3F" w:rsidRDefault="00ED0D3D" w:rsidP="00E25C3F">
          <w:pPr>
            <w:pStyle w:val="TOC2"/>
            <w:tabs>
              <w:tab w:val="right" w:leader="dot" w:pos="9350"/>
            </w:tabs>
            <w:rPr>
              <w:rFonts w:asciiTheme="majorBidi" w:hAnsiTheme="majorBidi" w:cstheme="majorBidi"/>
              <w:noProof/>
              <w:szCs w:val="24"/>
            </w:rPr>
          </w:pPr>
          <w:hyperlink w:anchor="_Toc202829737" w:history="1">
            <w:r w:rsidRPr="00E25C3F">
              <w:rPr>
                <w:rStyle w:val="Hyperlink"/>
                <w:rFonts w:asciiTheme="majorBidi" w:hAnsiTheme="majorBidi" w:cstheme="majorBidi"/>
                <w:noProof/>
                <w:szCs w:val="24"/>
              </w:rPr>
              <w:t>Core Principles of the Equality Act 2010</w:t>
            </w:r>
            <w:r w:rsidRPr="00E25C3F">
              <w:rPr>
                <w:rFonts w:asciiTheme="majorBidi" w:hAnsiTheme="majorBidi" w:cstheme="majorBidi"/>
                <w:noProof/>
                <w:webHidden/>
                <w:szCs w:val="24"/>
              </w:rPr>
              <w:tab/>
            </w:r>
            <w:r w:rsidRPr="00E25C3F">
              <w:rPr>
                <w:rFonts w:asciiTheme="majorBidi" w:hAnsiTheme="majorBidi" w:cstheme="majorBidi"/>
                <w:noProof/>
                <w:webHidden/>
                <w:szCs w:val="24"/>
              </w:rPr>
              <w:fldChar w:fldCharType="begin"/>
            </w:r>
            <w:r w:rsidRPr="00E25C3F">
              <w:rPr>
                <w:rFonts w:asciiTheme="majorBidi" w:hAnsiTheme="majorBidi" w:cstheme="majorBidi"/>
                <w:noProof/>
                <w:webHidden/>
                <w:szCs w:val="24"/>
              </w:rPr>
              <w:instrText xml:space="preserve"> PAGEREF _Toc202829737 \h </w:instrText>
            </w:r>
            <w:r w:rsidRPr="00E25C3F">
              <w:rPr>
                <w:rFonts w:asciiTheme="majorBidi" w:hAnsiTheme="majorBidi" w:cstheme="majorBidi"/>
                <w:noProof/>
                <w:webHidden/>
                <w:szCs w:val="24"/>
              </w:rPr>
            </w:r>
            <w:r w:rsidRPr="00E25C3F">
              <w:rPr>
                <w:rFonts w:asciiTheme="majorBidi" w:hAnsiTheme="majorBidi" w:cstheme="majorBidi"/>
                <w:noProof/>
                <w:webHidden/>
                <w:szCs w:val="24"/>
              </w:rPr>
              <w:fldChar w:fldCharType="separate"/>
            </w:r>
            <w:r w:rsidRPr="00E25C3F">
              <w:rPr>
                <w:rFonts w:asciiTheme="majorBidi" w:hAnsiTheme="majorBidi" w:cstheme="majorBidi"/>
                <w:noProof/>
                <w:webHidden/>
                <w:szCs w:val="24"/>
              </w:rPr>
              <w:t>4</w:t>
            </w:r>
            <w:r w:rsidRPr="00E25C3F">
              <w:rPr>
                <w:rFonts w:asciiTheme="majorBidi" w:hAnsiTheme="majorBidi" w:cstheme="majorBidi"/>
                <w:noProof/>
                <w:webHidden/>
                <w:szCs w:val="24"/>
              </w:rPr>
              <w:fldChar w:fldCharType="end"/>
            </w:r>
          </w:hyperlink>
        </w:p>
        <w:p w14:paraId="6A37FBF9" w14:textId="679D953B" w:rsidR="004761B4" w:rsidRPr="00E25C3F" w:rsidRDefault="00ED0D3D" w:rsidP="00E25C3F">
          <w:pPr>
            <w:pStyle w:val="TOC2"/>
            <w:tabs>
              <w:tab w:val="right" w:leader="dot" w:pos="9350"/>
            </w:tabs>
            <w:rPr>
              <w:rFonts w:asciiTheme="majorBidi" w:hAnsiTheme="majorBidi" w:cstheme="majorBidi"/>
              <w:noProof/>
              <w:szCs w:val="24"/>
            </w:rPr>
          </w:pPr>
          <w:hyperlink w:anchor="_Toc202829738" w:history="1">
            <w:r w:rsidRPr="00E25C3F">
              <w:rPr>
                <w:rStyle w:val="Hyperlink"/>
                <w:rFonts w:asciiTheme="majorBidi" w:hAnsiTheme="majorBidi" w:cstheme="majorBidi"/>
                <w:noProof/>
                <w:szCs w:val="24"/>
              </w:rPr>
              <w:t>Application of the Transactional Model of Communication</w:t>
            </w:r>
            <w:r w:rsidRPr="00E25C3F">
              <w:rPr>
                <w:rFonts w:asciiTheme="majorBidi" w:hAnsiTheme="majorBidi" w:cstheme="majorBidi"/>
                <w:noProof/>
                <w:webHidden/>
                <w:szCs w:val="24"/>
              </w:rPr>
              <w:tab/>
            </w:r>
            <w:r w:rsidRPr="00E25C3F">
              <w:rPr>
                <w:rFonts w:asciiTheme="majorBidi" w:hAnsiTheme="majorBidi" w:cstheme="majorBidi"/>
                <w:noProof/>
                <w:webHidden/>
                <w:szCs w:val="24"/>
              </w:rPr>
              <w:fldChar w:fldCharType="begin"/>
            </w:r>
            <w:r w:rsidRPr="00E25C3F">
              <w:rPr>
                <w:rFonts w:asciiTheme="majorBidi" w:hAnsiTheme="majorBidi" w:cstheme="majorBidi"/>
                <w:noProof/>
                <w:webHidden/>
                <w:szCs w:val="24"/>
              </w:rPr>
              <w:instrText xml:space="preserve"> PAGEREF _Toc202829738 \h </w:instrText>
            </w:r>
            <w:r w:rsidRPr="00E25C3F">
              <w:rPr>
                <w:rFonts w:asciiTheme="majorBidi" w:hAnsiTheme="majorBidi" w:cstheme="majorBidi"/>
                <w:noProof/>
                <w:webHidden/>
                <w:szCs w:val="24"/>
              </w:rPr>
            </w:r>
            <w:r w:rsidRPr="00E25C3F">
              <w:rPr>
                <w:rFonts w:asciiTheme="majorBidi" w:hAnsiTheme="majorBidi" w:cstheme="majorBidi"/>
                <w:noProof/>
                <w:webHidden/>
                <w:szCs w:val="24"/>
              </w:rPr>
              <w:fldChar w:fldCharType="separate"/>
            </w:r>
            <w:r w:rsidRPr="00E25C3F">
              <w:rPr>
                <w:rFonts w:asciiTheme="majorBidi" w:hAnsiTheme="majorBidi" w:cstheme="majorBidi"/>
                <w:noProof/>
                <w:webHidden/>
                <w:szCs w:val="24"/>
              </w:rPr>
              <w:t>4</w:t>
            </w:r>
            <w:r w:rsidRPr="00E25C3F">
              <w:rPr>
                <w:rFonts w:asciiTheme="majorBidi" w:hAnsiTheme="majorBidi" w:cstheme="majorBidi"/>
                <w:noProof/>
                <w:webHidden/>
                <w:szCs w:val="24"/>
              </w:rPr>
              <w:fldChar w:fldCharType="end"/>
            </w:r>
          </w:hyperlink>
        </w:p>
        <w:p w14:paraId="00CA765F" w14:textId="3D0F49A0" w:rsidR="004761B4" w:rsidRPr="00E25C3F" w:rsidRDefault="00ED0D3D" w:rsidP="00E25C3F">
          <w:pPr>
            <w:pStyle w:val="TOC2"/>
            <w:tabs>
              <w:tab w:val="right" w:leader="dot" w:pos="9350"/>
            </w:tabs>
            <w:rPr>
              <w:rFonts w:asciiTheme="majorBidi" w:hAnsiTheme="majorBidi" w:cstheme="majorBidi"/>
              <w:noProof/>
              <w:szCs w:val="24"/>
            </w:rPr>
          </w:pPr>
          <w:hyperlink w:anchor="_Toc202829739" w:history="1">
            <w:r w:rsidRPr="00E25C3F">
              <w:rPr>
                <w:rStyle w:val="Hyperlink"/>
                <w:rFonts w:asciiTheme="majorBidi" w:hAnsiTheme="majorBidi" w:cstheme="majorBidi"/>
                <w:noProof/>
                <w:szCs w:val="24"/>
              </w:rPr>
              <w:t>Promoting Equality, Inclusion, and Person-Centered Practice</w:t>
            </w:r>
            <w:r w:rsidRPr="00E25C3F">
              <w:rPr>
                <w:rFonts w:asciiTheme="majorBidi" w:hAnsiTheme="majorBidi" w:cstheme="majorBidi"/>
                <w:noProof/>
                <w:webHidden/>
                <w:szCs w:val="24"/>
              </w:rPr>
              <w:tab/>
            </w:r>
            <w:r w:rsidRPr="00E25C3F">
              <w:rPr>
                <w:rFonts w:asciiTheme="majorBidi" w:hAnsiTheme="majorBidi" w:cstheme="majorBidi"/>
                <w:noProof/>
                <w:webHidden/>
                <w:szCs w:val="24"/>
              </w:rPr>
              <w:fldChar w:fldCharType="begin"/>
            </w:r>
            <w:r w:rsidRPr="00E25C3F">
              <w:rPr>
                <w:rFonts w:asciiTheme="majorBidi" w:hAnsiTheme="majorBidi" w:cstheme="majorBidi"/>
                <w:noProof/>
                <w:webHidden/>
                <w:szCs w:val="24"/>
              </w:rPr>
              <w:instrText xml:space="preserve"> PAGEREF _Toc202829739 \h </w:instrText>
            </w:r>
            <w:r w:rsidRPr="00E25C3F">
              <w:rPr>
                <w:rFonts w:asciiTheme="majorBidi" w:hAnsiTheme="majorBidi" w:cstheme="majorBidi"/>
                <w:noProof/>
                <w:webHidden/>
                <w:szCs w:val="24"/>
              </w:rPr>
            </w:r>
            <w:r w:rsidRPr="00E25C3F">
              <w:rPr>
                <w:rFonts w:asciiTheme="majorBidi" w:hAnsiTheme="majorBidi" w:cstheme="majorBidi"/>
                <w:noProof/>
                <w:webHidden/>
                <w:szCs w:val="24"/>
              </w:rPr>
              <w:fldChar w:fldCharType="separate"/>
            </w:r>
            <w:r w:rsidRPr="00E25C3F">
              <w:rPr>
                <w:rFonts w:asciiTheme="majorBidi" w:hAnsiTheme="majorBidi" w:cstheme="majorBidi"/>
                <w:noProof/>
                <w:webHidden/>
                <w:szCs w:val="24"/>
              </w:rPr>
              <w:t>5</w:t>
            </w:r>
            <w:r w:rsidRPr="00E25C3F">
              <w:rPr>
                <w:rFonts w:asciiTheme="majorBidi" w:hAnsiTheme="majorBidi" w:cstheme="majorBidi"/>
                <w:noProof/>
                <w:webHidden/>
                <w:szCs w:val="24"/>
              </w:rPr>
              <w:fldChar w:fldCharType="end"/>
            </w:r>
          </w:hyperlink>
        </w:p>
        <w:p w14:paraId="722BD81A" w14:textId="6028BF07"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hyperlink w:anchor="_Toc202829740" w:history="1">
            <w:r w:rsidRPr="00E25C3F">
              <w:rPr>
                <w:rStyle w:val="Hyperlink"/>
                <w:rFonts w:asciiTheme="majorBidi" w:hAnsiTheme="majorBidi" w:cstheme="majorBidi"/>
                <w:noProof/>
                <w:sz w:val="24"/>
                <w:szCs w:val="24"/>
                <w:lang w:eastAsia="en-GB"/>
              </w:rPr>
              <w:t>Administrative Skills and Record-Keeping</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_Toc202829740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5</w:t>
            </w:r>
            <w:r w:rsidRPr="00E25C3F">
              <w:rPr>
                <w:rFonts w:asciiTheme="majorBidi" w:hAnsiTheme="majorBidi" w:cstheme="majorBidi"/>
                <w:noProof/>
                <w:webHidden/>
                <w:sz w:val="24"/>
                <w:szCs w:val="24"/>
              </w:rPr>
              <w:fldChar w:fldCharType="end"/>
            </w:r>
          </w:hyperlink>
        </w:p>
        <w:p w14:paraId="170E4321" w14:textId="10E8EBBE"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hyperlink w:anchor="_Toc202829741" w:history="1">
            <w:r w:rsidRPr="00E25C3F">
              <w:rPr>
                <w:rStyle w:val="Hyperlink"/>
                <w:rFonts w:asciiTheme="majorBidi" w:hAnsiTheme="majorBidi" w:cstheme="majorBidi"/>
                <w:noProof/>
                <w:sz w:val="24"/>
                <w:szCs w:val="24"/>
                <w:lang w:eastAsia="en-GB"/>
              </w:rPr>
              <w:t>Reflective Development and Collaborative Working</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_Toc202829741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7</w:t>
            </w:r>
            <w:r w:rsidRPr="00E25C3F">
              <w:rPr>
                <w:rFonts w:asciiTheme="majorBidi" w:hAnsiTheme="majorBidi" w:cstheme="majorBidi"/>
                <w:noProof/>
                <w:webHidden/>
                <w:sz w:val="24"/>
                <w:szCs w:val="24"/>
              </w:rPr>
              <w:fldChar w:fldCharType="end"/>
            </w:r>
          </w:hyperlink>
        </w:p>
        <w:p w14:paraId="1931F460" w14:textId="59EA3D87"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hyperlink w:anchor="_Toc202829742" w:history="1">
            <w:r w:rsidRPr="00E25C3F">
              <w:rPr>
                <w:rStyle w:val="Hyperlink"/>
                <w:rFonts w:asciiTheme="majorBidi" w:hAnsiTheme="majorBidi" w:cstheme="majorBidi"/>
                <w:noProof/>
                <w:sz w:val="24"/>
                <w:szCs w:val="24"/>
                <w:lang w:eastAsia="en-GB"/>
              </w:rPr>
              <w:t>Conclusion</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_Toc202829742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9</w:t>
            </w:r>
            <w:r w:rsidRPr="00E25C3F">
              <w:rPr>
                <w:rFonts w:asciiTheme="majorBidi" w:hAnsiTheme="majorBidi" w:cstheme="majorBidi"/>
                <w:noProof/>
                <w:webHidden/>
                <w:sz w:val="24"/>
                <w:szCs w:val="24"/>
              </w:rPr>
              <w:fldChar w:fldCharType="end"/>
            </w:r>
          </w:hyperlink>
        </w:p>
        <w:p w14:paraId="2C78C0DF" w14:textId="2AB7F310" w:rsidR="004761B4" w:rsidRPr="00E25C3F" w:rsidRDefault="00ED0D3D" w:rsidP="00E25C3F">
          <w:pPr>
            <w:pStyle w:val="TOC1"/>
            <w:tabs>
              <w:tab w:val="right" w:leader="dot" w:pos="9350"/>
            </w:tabs>
            <w:spacing w:line="360" w:lineRule="auto"/>
            <w:rPr>
              <w:rFonts w:asciiTheme="majorBidi" w:hAnsiTheme="majorBidi" w:cstheme="majorBidi"/>
              <w:noProof/>
              <w:sz w:val="24"/>
              <w:szCs w:val="24"/>
              <w:lang w:val="en-GB" w:eastAsia="en-GB"/>
            </w:rPr>
          </w:pPr>
          <w:hyperlink w:anchor="_Toc202829743" w:history="1">
            <w:r w:rsidRPr="00E25C3F">
              <w:rPr>
                <w:rStyle w:val="Hyperlink"/>
                <w:rFonts w:asciiTheme="majorBidi" w:hAnsiTheme="majorBidi" w:cstheme="majorBidi"/>
                <w:noProof/>
                <w:sz w:val="24"/>
                <w:szCs w:val="24"/>
                <w:lang w:eastAsia="en-GB"/>
              </w:rPr>
              <w:t>References</w:t>
            </w:r>
            <w:r w:rsidRPr="00E25C3F">
              <w:rPr>
                <w:rFonts w:asciiTheme="majorBidi" w:hAnsiTheme="majorBidi" w:cstheme="majorBidi"/>
                <w:noProof/>
                <w:webHidden/>
                <w:sz w:val="24"/>
                <w:szCs w:val="24"/>
              </w:rPr>
              <w:tab/>
            </w:r>
            <w:r w:rsidRPr="00E25C3F">
              <w:rPr>
                <w:rFonts w:asciiTheme="majorBidi" w:hAnsiTheme="majorBidi" w:cstheme="majorBidi"/>
                <w:noProof/>
                <w:webHidden/>
                <w:sz w:val="24"/>
                <w:szCs w:val="24"/>
              </w:rPr>
              <w:fldChar w:fldCharType="begin"/>
            </w:r>
            <w:r w:rsidRPr="00E25C3F">
              <w:rPr>
                <w:rFonts w:asciiTheme="majorBidi" w:hAnsiTheme="majorBidi" w:cstheme="majorBidi"/>
                <w:noProof/>
                <w:webHidden/>
                <w:sz w:val="24"/>
                <w:szCs w:val="24"/>
              </w:rPr>
              <w:instrText xml:space="preserve"> PAGEREF _Toc202829743 \h </w:instrText>
            </w:r>
            <w:r w:rsidRPr="00E25C3F">
              <w:rPr>
                <w:rFonts w:asciiTheme="majorBidi" w:hAnsiTheme="majorBidi" w:cstheme="majorBidi"/>
                <w:noProof/>
                <w:webHidden/>
                <w:sz w:val="24"/>
                <w:szCs w:val="24"/>
              </w:rPr>
            </w:r>
            <w:r w:rsidRPr="00E25C3F">
              <w:rPr>
                <w:rFonts w:asciiTheme="majorBidi" w:hAnsiTheme="majorBidi" w:cstheme="majorBidi"/>
                <w:noProof/>
                <w:webHidden/>
                <w:sz w:val="24"/>
                <w:szCs w:val="24"/>
              </w:rPr>
              <w:fldChar w:fldCharType="separate"/>
            </w:r>
            <w:r w:rsidRPr="00E25C3F">
              <w:rPr>
                <w:rFonts w:asciiTheme="majorBidi" w:hAnsiTheme="majorBidi" w:cstheme="majorBidi"/>
                <w:noProof/>
                <w:webHidden/>
                <w:sz w:val="24"/>
                <w:szCs w:val="24"/>
              </w:rPr>
              <w:t>11</w:t>
            </w:r>
            <w:r w:rsidRPr="00E25C3F">
              <w:rPr>
                <w:rFonts w:asciiTheme="majorBidi" w:hAnsiTheme="majorBidi" w:cstheme="majorBidi"/>
                <w:noProof/>
                <w:webHidden/>
                <w:sz w:val="24"/>
                <w:szCs w:val="24"/>
              </w:rPr>
              <w:fldChar w:fldCharType="end"/>
            </w:r>
          </w:hyperlink>
        </w:p>
        <w:p w14:paraId="348844D3" w14:textId="6DF47CFC" w:rsidR="004761B4" w:rsidRPr="00E25C3F" w:rsidRDefault="00ED0D3D" w:rsidP="00E25C3F">
          <w:pPr>
            <w:rPr>
              <w:rFonts w:asciiTheme="majorBidi" w:hAnsiTheme="majorBidi" w:cstheme="majorBidi"/>
              <w:szCs w:val="24"/>
            </w:rPr>
          </w:pPr>
          <w:r w:rsidRPr="00E25C3F">
            <w:rPr>
              <w:rFonts w:asciiTheme="majorBidi" w:hAnsiTheme="majorBidi" w:cstheme="majorBidi"/>
              <w:b/>
              <w:bCs/>
              <w:noProof/>
              <w:szCs w:val="24"/>
            </w:rPr>
            <w:fldChar w:fldCharType="end"/>
          </w:r>
        </w:p>
      </w:sdtContent>
    </w:sdt>
    <w:p w14:paraId="65245AF0" w14:textId="77777777" w:rsidR="000175CE" w:rsidRDefault="00ED0D3D">
      <w:pPr>
        <w:spacing w:before="0" w:after="160" w:line="259" w:lineRule="auto"/>
        <w:ind w:firstLine="0"/>
        <w:jc w:val="left"/>
      </w:pPr>
      <w:r>
        <w:br w:type="page"/>
      </w:r>
    </w:p>
    <w:p w14:paraId="0FDC9BCD" w14:textId="0390C77C" w:rsidR="001A1C90" w:rsidRPr="000000E4" w:rsidRDefault="00ED0D3D" w:rsidP="000000E4">
      <w:pPr>
        <w:pStyle w:val="Heading1"/>
      </w:pPr>
      <w:bookmarkStart w:id="0" w:name="_Toc202829735"/>
      <w:r w:rsidRPr="000000E4">
        <w:t>Introduction</w:t>
      </w:r>
      <w:bookmarkEnd w:id="0"/>
    </w:p>
    <w:p w14:paraId="61AD88E6" w14:textId="0353C671" w:rsidR="00655EC6" w:rsidRDefault="00ED0D3D" w:rsidP="007C4EF4">
      <w:pPr>
        <w:jc w:val="lowKashida"/>
      </w:pPr>
      <w:r w:rsidRPr="00016415">
        <w:t xml:space="preserve">As a practitioner, my long-term objective is to work in health and social care in a manner that prioritises the health, dignity, and rights of each individual and is inclusive and accepting of everyone. To do well in this job, </w:t>
      </w:r>
      <w:r w:rsidR="003C1904">
        <w:t>I</w:t>
      </w:r>
      <w:r w:rsidRPr="00016415">
        <w:t xml:space="preserve"> need to be able to communicate well, know the law, and be able to go up in </w:t>
      </w:r>
      <w:r w:rsidR="008506F4">
        <w:t>a</w:t>
      </w:r>
      <w:r w:rsidRPr="00016415">
        <w:t xml:space="preserve"> career. In this job, it is essential to be honest and upfront with customers and their families, allowing me to build strong relationships with them. The NHS UK framework incorporates the Equality Act 2010, which stipulates that healthcare workers must promote justice and protect individuals from discrimination</w:t>
      </w:r>
      <w:r w:rsidR="00B31585">
        <w:t xml:space="preserve"> </w:t>
      </w:r>
      <w:r w:rsidR="00B31585" w:rsidRPr="00B31585">
        <w:t>(Joynes, 2018).</w:t>
      </w:r>
      <w:r w:rsidRPr="00016415">
        <w:t xml:space="preserve"> Transactional communication and other communication models can help people engage politely and meaningfully in various situations. It is just as important to retain accurate and safe records as it is to communicate clearly and concisely. The Data Protection Act of 2018 says that NHS policy must include protecting private and sensitive data</w:t>
      </w:r>
      <w:r w:rsidR="00316BCC">
        <w:t xml:space="preserve"> </w:t>
      </w:r>
      <w:r w:rsidR="00316BCC" w:rsidRPr="00316BCC">
        <w:t>(</w:t>
      </w:r>
      <w:proofErr w:type="spellStart"/>
      <w:r w:rsidR="00316BCC" w:rsidRPr="00316BCC">
        <w:t>Moudatsou</w:t>
      </w:r>
      <w:proofErr w:type="spellEnd"/>
      <w:r w:rsidR="00316BCC" w:rsidRPr="00316BCC">
        <w:t xml:space="preserve"> et al., 2020).</w:t>
      </w:r>
      <w:r w:rsidRPr="00016415">
        <w:t xml:space="preserve"> </w:t>
      </w:r>
    </w:p>
    <w:p w14:paraId="420F772C" w14:textId="6C7A9F32" w:rsidR="002234A2" w:rsidRDefault="00ED0D3D" w:rsidP="002234A2">
      <w:pPr>
        <w:pStyle w:val="Heading1"/>
      </w:pPr>
      <w:bookmarkStart w:id="1" w:name="_Toc202829736"/>
      <w:r>
        <w:t>Communication with Service Users and Families</w:t>
      </w:r>
      <w:bookmarkEnd w:id="1"/>
    </w:p>
    <w:p w14:paraId="373A232C" w14:textId="2A3450C7" w:rsidR="002234A2" w:rsidRDefault="00ED0D3D" w:rsidP="00C16E87">
      <w:r w:rsidRPr="00714A99">
        <w:t>The practitioner must communicate effectively with clients and their families in a clear and understandable manner. To create trust, ensure that everyone understands, and provide safe care, communication must be clear, kind, and focused on the person. Individuals who may experience cognitive difficulties, linguistic challenges, or emotional distress may benefit from personalised communication methods that incorporate nonverbal cues, empathy, active listening, and both verbal and nonverbal signals</w:t>
      </w:r>
      <w:r w:rsidR="0073055B">
        <w:t xml:space="preserve"> </w:t>
      </w:r>
      <w:r w:rsidR="0073055B" w:rsidRPr="0073055B">
        <w:t>(</w:t>
      </w:r>
      <w:proofErr w:type="spellStart"/>
      <w:r w:rsidR="0073055B" w:rsidRPr="0073055B">
        <w:t>Konttila</w:t>
      </w:r>
      <w:proofErr w:type="spellEnd"/>
      <w:r w:rsidR="0073055B" w:rsidRPr="0073055B">
        <w:t xml:space="preserve"> et al., 2019).</w:t>
      </w:r>
      <w:r w:rsidRPr="00714A99">
        <w:t xml:space="preserve"> One approach to put this into action is to provide feedback to ensure people understand, use body language correctly, maintain eye contact, and break down complex topics without coming across as condescending. </w:t>
      </w:r>
      <w:r w:rsidR="0073055B" w:rsidRPr="0073055B">
        <w:t>(Entwistle, Cribb and Owens, 2018).</w:t>
      </w:r>
      <w:r w:rsidRPr="00714A99">
        <w:t xml:space="preserve"> </w:t>
      </w:r>
    </w:p>
    <w:p w14:paraId="0526A670" w14:textId="3850F673" w:rsidR="00E6429C" w:rsidRDefault="00ED0D3D" w:rsidP="00E6429C">
      <w:pPr>
        <w:pStyle w:val="Heading2"/>
      </w:pPr>
      <w:bookmarkStart w:id="2" w:name="_Toc202829737"/>
      <w:r w:rsidRPr="00E6429C">
        <w:t>Core Principles of the Equality Act 2010</w:t>
      </w:r>
      <w:bookmarkEnd w:id="2"/>
    </w:p>
    <w:p w14:paraId="150B7A37" w14:textId="52F67858" w:rsidR="00E6429C" w:rsidRDefault="00ED0D3D" w:rsidP="00480611">
      <w:r w:rsidRPr="00376E44">
        <w:rPr>
          <w:lang w:eastAsia="en-GB"/>
        </w:rPr>
        <w:t>The Equality Act 2010 provides the basis for health and social care policies and procedures to prevent discrimination. As a healthcare professional, it is</w:t>
      </w:r>
      <w:r w:rsidR="00A454A2">
        <w:rPr>
          <w:lang w:eastAsia="en-GB"/>
        </w:rPr>
        <w:t xml:space="preserve"> </w:t>
      </w:r>
      <w:r w:rsidRPr="00376E44">
        <w:rPr>
          <w:lang w:eastAsia="en-GB"/>
        </w:rPr>
        <w:t>my responsibility to ensure that all patients feel welcome and included and that they receive treatment that is neither dehumanising nor biased. The Act makes it illegal to discriminate against someone because of their race, religion, national origin, age, handicap, marital status, gender, sexual orientation, pregnancy, or being a mother</w:t>
      </w:r>
      <w:r w:rsidR="0073055B">
        <w:rPr>
          <w:lang w:eastAsia="en-GB"/>
        </w:rPr>
        <w:t xml:space="preserve"> </w:t>
      </w:r>
      <w:r w:rsidR="0073055B">
        <w:t>(</w:t>
      </w:r>
      <w:proofErr w:type="spellStart"/>
      <w:r w:rsidR="0073055B">
        <w:t>Ostaszkiewicz</w:t>
      </w:r>
      <w:proofErr w:type="spellEnd"/>
      <w:r w:rsidR="0073055B">
        <w:t xml:space="preserve"> et al., 2020).</w:t>
      </w:r>
      <w:r w:rsidR="00705116">
        <w:t xml:space="preserve"> </w:t>
      </w:r>
      <w:r w:rsidRPr="00376E44">
        <w:rPr>
          <w:lang w:eastAsia="en-GB"/>
        </w:rPr>
        <w:t>The NHS and other health and social care settings can help promote these values and meet specific needs by ensuring that materials are translated for people who do not speak English, that facilities are accessible to people with physical disabilities, and that cultural or religious traditions are respected</w:t>
      </w:r>
      <w:r w:rsidR="005954DC">
        <w:rPr>
          <w:lang w:eastAsia="en-GB"/>
        </w:rPr>
        <w:t xml:space="preserve"> </w:t>
      </w:r>
      <w:r w:rsidR="0073055B" w:rsidRPr="0073055B">
        <w:rPr>
          <w:lang w:eastAsia="en-GB"/>
        </w:rPr>
        <w:t>(</w:t>
      </w:r>
      <w:proofErr w:type="spellStart"/>
      <w:r w:rsidR="0073055B" w:rsidRPr="0073055B">
        <w:rPr>
          <w:lang w:eastAsia="en-GB"/>
        </w:rPr>
        <w:t>Evanson</w:t>
      </w:r>
      <w:proofErr w:type="spellEnd"/>
      <w:r w:rsidR="0073055B" w:rsidRPr="0073055B">
        <w:rPr>
          <w:lang w:eastAsia="en-GB"/>
        </w:rPr>
        <w:t>, 2024).</w:t>
      </w:r>
      <w:r w:rsidRPr="00376E44">
        <w:rPr>
          <w:lang w:eastAsia="en-GB"/>
        </w:rPr>
        <w:t xml:space="preserve"> </w:t>
      </w:r>
    </w:p>
    <w:p w14:paraId="7AF0619C" w14:textId="4DD97CD5" w:rsidR="00555ECB" w:rsidRDefault="00ED0D3D" w:rsidP="006277A1">
      <w:pPr>
        <w:pStyle w:val="Heading2"/>
      </w:pPr>
      <w:bookmarkStart w:id="3" w:name="_Toc202829738"/>
      <w:r w:rsidRPr="006277A1">
        <w:t>Application</w:t>
      </w:r>
      <w:r w:rsidRPr="006F7348">
        <w:t xml:space="preserve"> of the Transactional Model of Communication</w:t>
      </w:r>
      <w:bookmarkEnd w:id="3"/>
      <w:r w:rsidRPr="006F7348">
        <w:t xml:space="preserve"> </w:t>
      </w:r>
    </w:p>
    <w:p w14:paraId="1759DC79" w14:textId="70D952A4" w:rsidR="00132F93" w:rsidRDefault="00132F93" w:rsidP="00D30589">
      <w:pPr>
        <w:rPr>
          <w:lang w:eastAsia="en-GB"/>
        </w:rPr>
      </w:pPr>
      <w:r w:rsidRPr="00132F93">
        <w:rPr>
          <w:lang w:eastAsia="en-GB"/>
        </w:rPr>
        <w:t xml:space="preserve">The Transactional Model of Communication states that everyone is a sender and receiver in a continual trade. Practitioners use this strategy to grasp clients' speech and body language in social and healthcare contexts (Rubio-Navarro et al., 2019). Use simpler words or graphics to assist a patient understand their medicine. Based on this concept, the NHS England Accessible Information Standard requires services to meet disability-related communication needs (Symonds et al., 2018). </w:t>
      </w:r>
    </w:p>
    <w:p w14:paraId="704B11DE" w14:textId="01776187" w:rsidR="006F7348" w:rsidRDefault="00ED0D3D" w:rsidP="00A73405">
      <w:pPr>
        <w:pStyle w:val="Heading2"/>
      </w:pPr>
      <w:bookmarkStart w:id="4" w:name="_Toc202829739"/>
      <w:r>
        <w:t xml:space="preserve">Promoting </w:t>
      </w:r>
      <w:r w:rsidR="003D23F6">
        <w:t xml:space="preserve">Equality, </w:t>
      </w:r>
      <w:r w:rsidR="006825B2">
        <w:t>Inclusion</w:t>
      </w:r>
      <w:r w:rsidR="003D23F6">
        <w:t>, and Person-Centered Practice</w:t>
      </w:r>
      <w:bookmarkEnd w:id="4"/>
    </w:p>
    <w:p w14:paraId="36EB7A40" w14:textId="77BCF35F" w:rsidR="0091176C" w:rsidRDefault="0091176C" w:rsidP="00FB1FC3">
      <w:pPr>
        <w:rPr>
          <w:lang w:eastAsia="en-GB"/>
        </w:rPr>
      </w:pPr>
      <w:r w:rsidRPr="0091176C">
        <w:rPr>
          <w:lang w:eastAsia="en-GB"/>
        </w:rPr>
        <w:t xml:space="preserve">Recognising and meeting service users' different demands promotes fairness and inclusion. NICE endorses person-centred care, which many NHS institutions have embraced. Person-centred care respects people, lets them make care decisions, and prioritises their preferences (Asamoah, 2025). Involving the service user and family in the review process helps ensuring the care plan appropriately reflects their experiences. Advocates or interpreters can help me comprehend someone owing to language issues. Recognising LGBTQ+ experiences or making modifications to support neurodiverse service users are inclusive practises that may help establish a secure, respectful, and powerful care environment (Jones, 2018). </w:t>
      </w:r>
    </w:p>
    <w:p w14:paraId="3B644CC3" w14:textId="42CAD468" w:rsidR="002171BF" w:rsidRDefault="00ED0D3D" w:rsidP="007B6896">
      <w:pPr>
        <w:pStyle w:val="Heading1"/>
        <w:rPr>
          <w:lang w:eastAsia="en-GB"/>
        </w:rPr>
      </w:pPr>
      <w:bookmarkStart w:id="5" w:name="_Toc202829740"/>
      <w:r>
        <w:rPr>
          <w:lang w:eastAsia="en-GB"/>
        </w:rPr>
        <w:t>Administrative Skills and Record-Keeping</w:t>
      </w:r>
      <w:bookmarkEnd w:id="5"/>
      <w:r>
        <w:rPr>
          <w:lang w:eastAsia="en-GB"/>
        </w:rPr>
        <w:t xml:space="preserve"> </w:t>
      </w:r>
    </w:p>
    <w:p w14:paraId="51D16E25" w14:textId="1A9FE693" w:rsidR="00606F16" w:rsidRDefault="00ED0D3D" w:rsidP="00ED0D3D">
      <w:pPr>
        <w:rPr>
          <w:lang w:eastAsia="en-GB"/>
        </w:rPr>
      </w:pPr>
      <w:r w:rsidRPr="00E260EA">
        <w:rPr>
          <w:lang w:eastAsia="en-GB"/>
        </w:rPr>
        <w:t>For the UK's health and social care systems to function effectively and securely, professionals must complete their paperwork. There are several reasons why accurate and timely documentation is important, including, but not limited to, adhering to legal and ethical guidelines, monitoring the progress of service users, and facilitating effective communication among</w:t>
      </w:r>
      <w:r w:rsidR="004C53D0">
        <w:rPr>
          <w:lang w:eastAsia="en-GB"/>
        </w:rPr>
        <w:t>st</w:t>
      </w:r>
      <w:r w:rsidRPr="00E260EA">
        <w:rPr>
          <w:lang w:eastAsia="en-GB"/>
        </w:rPr>
        <w:t xml:space="preserve"> professionals. As part of </w:t>
      </w:r>
      <w:r w:rsidR="00DE712B">
        <w:rPr>
          <w:lang w:eastAsia="en-GB"/>
        </w:rPr>
        <w:t>my</w:t>
      </w:r>
      <w:r w:rsidRPr="00E260EA">
        <w:rPr>
          <w:lang w:eastAsia="en-GB"/>
        </w:rPr>
        <w:t xml:space="preserve"> daily routine, I should anticipate writing down observations, updating care plans, completing incident reports, and keeping track of</w:t>
      </w:r>
      <w:r w:rsidR="005C6091">
        <w:rPr>
          <w:lang w:eastAsia="en-GB"/>
        </w:rPr>
        <w:t xml:space="preserve"> </w:t>
      </w:r>
      <w:r w:rsidRPr="00E260EA">
        <w:rPr>
          <w:lang w:eastAsia="en-GB"/>
        </w:rPr>
        <w:t>appointments</w:t>
      </w:r>
      <w:r w:rsidR="00E42013">
        <w:rPr>
          <w:lang w:eastAsia="en-GB"/>
        </w:rPr>
        <w:t xml:space="preserve"> </w:t>
      </w:r>
      <w:r w:rsidR="00E42013" w:rsidRPr="00E42013">
        <w:rPr>
          <w:lang w:eastAsia="en-GB"/>
        </w:rPr>
        <w:t>(Browne et al., 2021).</w:t>
      </w:r>
      <w:r w:rsidRPr="00E260EA">
        <w:rPr>
          <w:lang w:eastAsia="en-GB"/>
        </w:rPr>
        <w:t xml:space="preserve"> </w:t>
      </w:r>
    </w:p>
    <w:p w14:paraId="1498ED66" w14:textId="2991900A" w:rsidR="007E4802" w:rsidRDefault="00ED0D3D" w:rsidP="004534CB">
      <w:pPr>
        <w:ind w:firstLine="180"/>
        <w:rPr>
          <w:b/>
          <w:bCs/>
          <w:lang w:eastAsia="en-GB"/>
        </w:rPr>
      </w:pPr>
      <w:r w:rsidRPr="004534CB">
        <w:rPr>
          <w:b/>
          <w:bCs/>
          <w:lang w:eastAsia="en-GB"/>
        </w:rPr>
        <w:t>Application of the Data Protection Act 2018</w:t>
      </w:r>
      <w:r w:rsidR="004534CB">
        <w:rPr>
          <w:b/>
          <w:bCs/>
          <w:lang w:eastAsia="en-GB"/>
        </w:rPr>
        <w:t>:</w:t>
      </w:r>
    </w:p>
    <w:p w14:paraId="078CA2DD" w14:textId="5D0B752A" w:rsidR="004534CB" w:rsidRPr="00551D77" w:rsidRDefault="00ED0D3D" w:rsidP="003D5762">
      <w:pPr>
        <w:rPr>
          <w:lang w:eastAsia="en-GB"/>
        </w:rPr>
      </w:pPr>
      <w:r w:rsidRPr="005A0381">
        <w:rPr>
          <w:lang w:eastAsia="en-GB"/>
        </w:rPr>
        <w:t>The 2018 Data Protection Act is essential for controlling information in health and social care since it follows the rules set down in the UK General Data Protection Regulation (UK GDPR).</w:t>
      </w:r>
      <w:r w:rsidR="00851049">
        <w:rPr>
          <w:lang w:eastAsia="en-GB"/>
        </w:rPr>
        <w:t xml:space="preserve"> </w:t>
      </w:r>
      <w:r w:rsidR="00AA2383">
        <w:rPr>
          <w:lang w:eastAsia="en-GB"/>
        </w:rPr>
        <w:t xml:space="preserve">They </w:t>
      </w:r>
      <w:r w:rsidRPr="005A0381">
        <w:rPr>
          <w:lang w:eastAsia="en-GB"/>
        </w:rPr>
        <w:t>should be familiar with the rules and strive to follow them as a practitioner to protect</w:t>
      </w:r>
      <w:r w:rsidR="00260C0A">
        <w:rPr>
          <w:lang w:eastAsia="en-GB"/>
        </w:rPr>
        <w:t xml:space="preserve"> </w:t>
      </w:r>
      <w:r w:rsidRPr="005A0381">
        <w:rPr>
          <w:lang w:eastAsia="en-GB"/>
        </w:rPr>
        <w:t xml:space="preserve">clients' privacy, process their data legally, maintain its security, and restrict access to it. As part of this, </w:t>
      </w:r>
      <w:r w:rsidR="004D2249">
        <w:rPr>
          <w:lang w:eastAsia="en-GB"/>
        </w:rPr>
        <w:t>the</w:t>
      </w:r>
      <w:r w:rsidRPr="005A0381">
        <w:rPr>
          <w:lang w:eastAsia="en-GB"/>
        </w:rPr>
        <w:t>re is a need to protect people's medical records, social media profiles, and decisions about their treatment</w:t>
      </w:r>
      <w:r w:rsidR="00260C0A">
        <w:rPr>
          <w:lang w:eastAsia="en-GB"/>
        </w:rPr>
        <w:t xml:space="preserve"> </w:t>
      </w:r>
      <w:r w:rsidR="00260C0A" w:rsidRPr="00260C0A">
        <w:rPr>
          <w:lang w:eastAsia="en-GB"/>
        </w:rPr>
        <w:t>(</w:t>
      </w:r>
      <w:r w:rsidR="00EC721A" w:rsidRPr="00260C0A">
        <w:rPr>
          <w:lang w:eastAsia="en-GB"/>
        </w:rPr>
        <w:t>Sorensen</w:t>
      </w:r>
      <w:r w:rsidR="00260C0A" w:rsidRPr="00260C0A">
        <w:rPr>
          <w:lang w:eastAsia="en-GB"/>
        </w:rPr>
        <w:t xml:space="preserve">, </w:t>
      </w:r>
      <w:proofErr w:type="spellStart"/>
      <w:r w:rsidR="00260C0A" w:rsidRPr="00260C0A">
        <w:rPr>
          <w:lang w:eastAsia="en-GB"/>
        </w:rPr>
        <w:t>Stenberg</w:t>
      </w:r>
      <w:proofErr w:type="spellEnd"/>
      <w:r w:rsidR="00260C0A" w:rsidRPr="00260C0A">
        <w:rPr>
          <w:lang w:eastAsia="en-GB"/>
        </w:rPr>
        <w:t xml:space="preserve">, and </w:t>
      </w:r>
      <w:proofErr w:type="spellStart"/>
      <w:r w:rsidR="00260C0A" w:rsidRPr="00260C0A">
        <w:rPr>
          <w:lang w:eastAsia="en-GB"/>
        </w:rPr>
        <w:t>Garnweidner-Holme</w:t>
      </w:r>
      <w:proofErr w:type="spellEnd"/>
      <w:r w:rsidR="00260C0A" w:rsidRPr="00260C0A">
        <w:rPr>
          <w:lang w:eastAsia="en-GB"/>
        </w:rPr>
        <w:t>, 2018).</w:t>
      </w:r>
      <w:r w:rsidR="003D5762">
        <w:rPr>
          <w:lang w:eastAsia="en-GB"/>
        </w:rPr>
        <w:t xml:space="preserve"> </w:t>
      </w:r>
      <w:r w:rsidRPr="005A0381">
        <w:rPr>
          <w:lang w:eastAsia="en-GB"/>
        </w:rPr>
        <w:t>The National Health Service (NHS) states that paper documents must be stored in secure cabinets accessible only to a limited number of people, and electronic materials must be password-protected</w:t>
      </w:r>
      <w:r w:rsidR="00214E74">
        <w:rPr>
          <w:lang w:eastAsia="en-GB"/>
        </w:rPr>
        <w:t xml:space="preserve"> </w:t>
      </w:r>
      <w:r w:rsidR="005E7A69" w:rsidRPr="005E7A69">
        <w:rPr>
          <w:lang w:eastAsia="en-GB"/>
        </w:rPr>
        <w:t>(</w:t>
      </w:r>
      <w:proofErr w:type="spellStart"/>
      <w:r w:rsidR="005E7A69" w:rsidRPr="005E7A69">
        <w:rPr>
          <w:lang w:eastAsia="en-GB"/>
        </w:rPr>
        <w:t>Lalani</w:t>
      </w:r>
      <w:proofErr w:type="spellEnd"/>
      <w:r w:rsidR="005E7A69" w:rsidRPr="005E7A69">
        <w:rPr>
          <w:lang w:eastAsia="en-GB"/>
        </w:rPr>
        <w:t xml:space="preserve">, </w:t>
      </w:r>
      <w:proofErr w:type="spellStart"/>
      <w:r w:rsidR="005E7A69" w:rsidRPr="005E7A69">
        <w:rPr>
          <w:lang w:eastAsia="en-GB"/>
        </w:rPr>
        <w:t>Bussu</w:t>
      </w:r>
      <w:proofErr w:type="spellEnd"/>
      <w:r w:rsidR="005E7A69" w:rsidRPr="005E7A69">
        <w:rPr>
          <w:lang w:eastAsia="en-GB"/>
        </w:rPr>
        <w:t>, and Marshall, 2020).</w:t>
      </w:r>
      <w:r w:rsidRPr="005A0381">
        <w:rPr>
          <w:lang w:eastAsia="en-GB"/>
        </w:rPr>
        <w:t xml:space="preserve"> For instance, it is acceptable to alert the relevant individuals if a service user's life is in immediate danger. </w:t>
      </w:r>
    </w:p>
    <w:p w14:paraId="4A9E3AA3" w14:textId="77777777" w:rsidR="004534CB" w:rsidRDefault="00ED0D3D" w:rsidP="004534CB">
      <w:pPr>
        <w:ind w:firstLine="180"/>
        <w:rPr>
          <w:b/>
          <w:bCs/>
          <w:lang w:eastAsia="en-GB"/>
        </w:rPr>
      </w:pPr>
      <w:r>
        <w:rPr>
          <w:b/>
          <w:bCs/>
          <w:lang w:eastAsia="en-GB"/>
        </w:rPr>
        <w:t>Importance of Record-Keeping for Safeguarding and Legal Accountability:</w:t>
      </w:r>
    </w:p>
    <w:p w14:paraId="53438528" w14:textId="375E71AC" w:rsidR="00E260EA" w:rsidRPr="00AC443B" w:rsidRDefault="00ED0D3D" w:rsidP="00AC443B">
      <w:r w:rsidRPr="00C81C75">
        <w:rPr>
          <w:lang w:eastAsia="en-GB"/>
        </w:rPr>
        <w:t>Maintaining</w:t>
      </w:r>
      <w:r w:rsidRPr="00C81C75">
        <w:t xml:space="preserve"> accurate records is not just a legal duty but also a professional and ethical one. It is important for patient safety, treatment continuity, and accountability</w:t>
      </w:r>
      <w:r w:rsidR="005B4874">
        <w:t xml:space="preserve"> </w:t>
      </w:r>
      <w:r w:rsidR="00C30E63" w:rsidRPr="00C30E63">
        <w:t>(Asamoah, 2025).</w:t>
      </w:r>
      <w:r w:rsidRPr="00C81C75">
        <w:t xml:space="preserve"> For instance, keeping track of injuries, such as bruises, weight loss, or missed medication doses, can help safeguard investigations. The NHS Safeguarding Policy states that keeping records up to date is crucial for protecting individuals who are at risk. To hold people accountable, I need paperwork that is both legally solid and easy to read</w:t>
      </w:r>
      <w:r w:rsidR="00C30E63">
        <w:t xml:space="preserve"> </w:t>
      </w:r>
      <w:r w:rsidR="00C30E63" w:rsidRPr="00C30E63">
        <w:t>(Entwistle, Cribb and Owens, 2018).</w:t>
      </w:r>
      <w:r w:rsidR="00AA2383">
        <w:t xml:space="preserve"> </w:t>
      </w:r>
      <w:r w:rsidRPr="00C81C75">
        <w:t xml:space="preserve">Records may be used in court to demonstrate the level of care provided if someone files a complaint or asks a question. </w:t>
      </w:r>
    </w:p>
    <w:p w14:paraId="666523C8" w14:textId="77777777" w:rsidR="004534CB" w:rsidRDefault="00ED0D3D" w:rsidP="004534CB">
      <w:pPr>
        <w:ind w:firstLine="180"/>
        <w:rPr>
          <w:b/>
          <w:bCs/>
          <w:lang w:eastAsia="en-GB"/>
        </w:rPr>
      </w:pPr>
      <w:r>
        <w:rPr>
          <w:b/>
          <w:bCs/>
          <w:lang w:eastAsia="en-GB"/>
        </w:rPr>
        <w:t>Relevant Legislation and Policy Frameworks:</w:t>
      </w:r>
    </w:p>
    <w:p w14:paraId="34608561" w14:textId="004C4A72" w:rsidR="000A3840" w:rsidRDefault="000A3840" w:rsidP="001B21B8">
      <w:pPr>
        <w:rPr>
          <w:lang w:eastAsia="en-GB"/>
        </w:rPr>
      </w:pPr>
      <w:r w:rsidRPr="000A3840">
        <w:rPr>
          <w:lang w:eastAsia="en-GB"/>
        </w:rPr>
        <w:t>Many UK laws regulate health and social care data processing. The 2018 Data Protection Act is one. To preserve patients' private information, the Caldicott Principles highlight staff awareness of their roles, restricting access to just required information, and presenting an evident purpose for utilising data. NHS Caldicott Guardians use these principles to protect and disseminate knowledge (</w:t>
      </w:r>
      <w:proofErr w:type="spellStart"/>
      <w:r w:rsidRPr="000A3840">
        <w:rPr>
          <w:lang w:eastAsia="en-GB"/>
        </w:rPr>
        <w:t>Konttila</w:t>
      </w:r>
      <w:proofErr w:type="spellEnd"/>
      <w:r w:rsidRPr="000A3840">
        <w:rPr>
          <w:lang w:eastAsia="en-GB"/>
        </w:rPr>
        <w:t xml:space="preserve"> et al., 2019). The 2012 Health and Social Care Act emphasises efficiency, cooperation, and accurate, shared data (</w:t>
      </w:r>
      <w:proofErr w:type="spellStart"/>
      <w:r w:rsidRPr="000A3840">
        <w:rPr>
          <w:lang w:eastAsia="en-GB"/>
        </w:rPr>
        <w:t>Ostaszkiewicz</w:t>
      </w:r>
      <w:proofErr w:type="spellEnd"/>
      <w:r w:rsidRPr="000A3840">
        <w:rPr>
          <w:lang w:eastAsia="en-GB"/>
        </w:rPr>
        <w:t xml:space="preserve"> et al., 2020). These standards allow healthcare and social service providers to offer safe, legal, and rights-respecting services.</w:t>
      </w:r>
    </w:p>
    <w:p w14:paraId="69744B16" w14:textId="723F94A3" w:rsidR="00FC064D" w:rsidRDefault="00ED0D3D" w:rsidP="00FC064D">
      <w:pPr>
        <w:pStyle w:val="Heading1"/>
        <w:rPr>
          <w:lang w:eastAsia="en-GB"/>
        </w:rPr>
      </w:pPr>
      <w:bookmarkStart w:id="6" w:name="_Toc202829741"/>
      <w:r>
        <w:rPr>
          <w:lang w:eastAsia="en-GB"/>
        </w:rPr>
        <w:t>Reflective Development and Collaborative Working</w:t>
      </w:r>
      <w:bookmarkEnd w:id="6"/>
      <w:r>
        <w:rPr>
          <w:lang w:eastAsia="en-GB"/>
        </w:rPr>
        <w:t xml:space="preserve"> </w:t>
      </w:r>
    </w:p>
    <w:p w14:paraId="0C362FFF" w14:textId="70063CFE" w:rsidR="00FC064D" w:rsidRDefault="00ED0D3D" w:rsidP="005506E4">
      <w:pPr>
        <w:ind w:firstLine="180"/>
        <w:rPr>
          <w:b/>
          <w:bCs/>
          <w:lang w:eastAsia="en-GB"/>
        </w:rPr>
      </w:pPr>
      <w:r w:rsidRPr="005506E4">
        <w:rPr>
          <w:b/>
          <w:bCs/>
          <w:lang w:eastAsia="en-GB"/>
        </w:rPr>
        <w:t>Description:</w:t>
      </w:r>
    </w:p>
    <w:p w14:paraId="391EC02D" w14:textId="25F78FB8" w:rsidR="000D6D7C" w:rsidRPr="0092684B" w:rsidRDefault="00C73B29" w:rsidP="0045408C">
      <w:pPr>
        <w:rPr>
          <w:lang w:eastAsia="en-GB"/>
        </w:rPr>
      </w:pPr>
      <w:r w:rsidRPr="00C73B29">
        <w:rPr>
          <w:lang w:eastAsia="en-GB"/>
        </w:rPr>
        <w:t>I must work with specialists from many sectors in the UK's expanding health and social care system to give complete, comprehensive, patient-centered care. The NHS has changed significantly since its 1948 founding. The system faces increased demand, a staff scarcity, and the issue of addressing customer demands (Joynes, 2018). To provide safe, integrated, and responsive care, reflection and teamwork are needed.</w:t>
      </w:r>
    </w:p>
    <w:p w14:paraId="69991E9A" w14:textId="036E5E78" w:rsidR="00FC064D" w:rsidRDefault="00ED0D3D" w:rsidP="005506E4">
      <w:pPr>
        <w:ind w:firstLine="180"/>
        <w:rPr>
          <w:b/>
          <w:bCs/>
          <w:lang w:eastAsia="en-GB"/>
        </w:rPr>
      </w:pPr>
      <w:r w:rsidRPr="005506E4">
        <w:rPr>
          <w:b/>
          <w:bCs/>
          <w:lang w:eastAsia="en-GB"/>
        </w:rPr>
        <w:t>Feelings:</w:t>
      </w:r>
    </w:p>
    <w:p w14:paraId="145D8B63" w14:textId="496FC73F" w:rsidR="00731675" w:rsidRPr="00015117" w:rsidRDefault="00ED0D3D" w:rsidP="009F3426">
      <w:pPr>
        <w:rPr>
          <w:lang w:eastAsia="en-GB"/>
        </w:rPr>
      </w:pPr>
      <w:r w:rsidRPr="00C319AF">
        <w:rPr>
          <w:lang w:eastAsia="en-GB"/>
        </w:rPr>
        <w:t xml:space="preserve">As a </w:t>
      </w:r>
      <w:r w:rsidR="003D61B8" w:rsidRPr="00C319AF">
        <w:rPr>
          <w:lang w:eastAsia="en-GB"/>
        </w:rPr>
        <w:t>practitioner, when I</w:t>
      </w:r>
      <w:r w:rsidRPr="00C319AF">
        <w:rPr>
          <w:lang w:eastAsia="en-GB"/>
        </w:rPr>
        <w:t xml:space="preserve"> first started working in health and social care, I experienced a range of emotions, from confidence in my fundamental communication skills to feeling intimidated by the unknown when interacting with people from other fields. </w:t>
      </w:r>
    </w:p>
    <w:p w14:paraId="45FF058A" w14:textId="4885C22D" w:rsidR="00FC064D" w:rsidRDefault="00ED0D3D" w:rsidP="005506E4">
      <w:pPr>
        <w:ind w:firstLine="180"/>
        <w:rPr>
          <w:b/>
          <w:bCs/>
          <w:lang w:eastAsia="en-GB"/>
        </w:rPr>
      </w:pPr>
      <w:r w:rsidRPr="005506E4">
        <w:rPr>
          <w:b/>
          <w:bCs/>
          <w:lang w:eastAsia="en-GB"/>
        </w:rPr>
        <w:t>Evaluation:</w:t>
      </w:r>
    </w:p>
    <w:p w14:paraId="7B40CB0A" w14:textId="7F75F93F" w:rsidR="00495B41" w:rsidRPr="006641C1" w:rsidRDefault="00ED0D3D" w:rsidP="001F1C3A">
      <w:pPr>
        <w:rPr>
          <w:lang w:eastAsia="en-GB"/>
        </w:rPr>
      </w:pPr>
      <w:r w:rsidRPr="001D52C4">
        <w:rPr>
          <w:lang w:eastAsia="en-GB"/>
        </w:rPr>
        <w:t xml:space="preserve">Some such traits include good people skills, a deep understanding of how to communicate effectively with everyone, and much empathy. </w:t>
      </w:r>
      <w:r w:rsidR="00495B41" w:rsidRPr="00495B41">
        <w:rPr>
          <w:lang w:eastAsia="en-GB"/>
        </w:rPr>
        <w:t>Documentation, legal knowledge, and expert communication may need improvement</w:t>
      </w:r>
      <w:r w:rsidR="000450F3">
        <w:rPr>
          <w:lang w:eastAsia="en-GB"/>
        </w:rPr>
        <w:t xml:space="preserve"> </w:t>
      </w:r>
      <w:r w:rsidR="00495B41" w:rsidRPr="00495B41">
        <w:rPr>
          <w:lang w:eastAsia="en-GB"/>
        </w:rPr>
        <w:t>(</w:t>
      </w:r>
      <w:proofErr w:type="spellStart"/>
      <w:r w:rsidR="00495B41" w:rsidRPr="00495B41">
        <w:rPr>
          <w:lang w:eastAsia="en-GB"/>
        </w:rPr>
        <w:t>Moudatsou</w:t>
      </w:r>
      <w:proofErr w:type="spellEnd"/>
      <w:r w:rsidR="00495B41" w:rsidRPr="00495B41">
        <w:rPr>
          <w:lang w:eastAsia="en-GB"/>
        </w:rPr>
        <w:t xml:space="preserve"> et al., 2020). During supervision, case reviews, and team meetings, I can improve my communication and respect for other professionals.</w:t>
      </w:r>
    </w:p>
    <w:p w14:paraId="48000206" w14:textId="6A70CAEA" w:rsidR="00FC064D" w:rsidRDefault="00ED0D3D" w:rsidP="005506E4">
      <w:pPr>
        <w:ind w:firstLine="180"/>
        <w:rPr>
          <w:b/>
          <w:bCs/>
          <w:lang w:eastAsia="en-GB"/>
        </w:rPr>
      </w:pPr>
      <w:r w:rsidRPr="005506E4">
        <w:rPr>
          <w:b/>
          <w:bCs/>
          <w:lang w:eastAsia="en-GB"/>
        </w:rPr>
        <w:t>Analysis:</w:t>
      </w:r>
    </w:p>
    <w:p w14:paraId="2C0DAB7B" w14:textId="793DDE51" w:rsidR="00BB29EB" w:rsidRPr="007663CC" w:rsidRDefault="004330E3" w:rsidP="004330E3">
      <w:pPr>
        <w:rPr>
          <w:lang w:eastAsia="en-GB"/>
        </w:rPr>
      </w:pPr>
      <w:r w:rsidRPr="00BB29EB">
        <w:rPr>
          <w:lang w:eastAsia="en-GB"/>
        </w:rPr>
        <w:t>The NHS</w:t>
      </w:r>
      <w:r w:rsidR="00BB29EB" w:rsidRPr="00BB29EB">
        <w:rPr>
          <w:lang w:eastAsia="en-GB"/>
        </w:rPr>
        <w:t xml:space="preserve"> Long Term Plan 2019 emphasises collaboration to support integrated care systems. To do this, professionals must improve their communication, empathy, flexibility, and listening skills. Professional growth enhances these talents</w:t>
      </w:r>
      <w:r w:rsidR="0029411D">
        <w:rPr>
          <w:lang w:eastAsia="en-GB"/>
        </w:rPr>
        <w:t xml:space="preserve"> </w:t>
      </w:r>
      <w:r w:rsidR="00BB29EB" w:rsidRPr="00BB29EB">
        <w:rPr>
          <w:lang w:eastAsia="en-GB"/>
        </w:rPr>
        <w:t>(</w:t>
      </w:r>
      <w:proofErr w:type="spellStart"/>
      <w:r w:rsidR="00BB29EB" w:rsidRPr="00BB29EB">
        <w:rPr>
          <w:lang w:eastAsia="en-GB"/>
        </w:rPr>
        <w:t>Sørensen</w:t>
      </w:r>
      <w:proofErr w:type="spellEnd"/>
      <w:r w:rsidR="00BB29EB" w:rsidRPr="00BB29EB">
        <w:rPr>
          <w:lang w:eastAsia="en-GB"/>
        </w:rPr>
        <w:t xml:space="preserve">, </w:t>
      </w:r>
      <w:proofErr w:type="spellStart"/>
      <w:r w:rsidR="00BB29EB" w:rsidRPr="00BB29EB">
        <w:rPr>
          <w:lang w:eastAsia="en-GB"/>
        </w:rPr>
        <w:t>Stenberg</w:t>
      </w:r>
      <w:proofErr w:type="spellEnd"/>
      <w:r w:rsidR="00BB29EB" w:rsidRPr="00BB29EB">
        <w:rPr>
          <w:lang w:eastAsia="en-GB"/>
        </w:rPr>
        <w:t xml:space="preserve">, and </w:t>
      </w:r>
      <w:proofErr w:type="spellStart"/>
      <w:r w:rsidR="00BB29EB" w:rsidRPr="00BB29EB">
        <w:rPr>
          <w:lang w:eastAsia="en-GB"/>
        </w:rPr>
        <w:t>Garnweidner-Holme</w:t>
      </w:r>
      <w:proofErr w:type="spellEnd"/>
      <w:r w:rsidR="00BB29EB" w:rsidRPr="00BB29EB">
        <w:rPr>
          <w:lang w:eastAsia="en-GB"/>
        </w:rPr>
        <w:t xml:space="preserve"> 2018). Professionals must take training and assessments to be current and accountable for their work in the NHS.</w:t>
      </w:r>
    </w:p>
    <w:p w14:paraId="268D9F12" w14:textId="2926CE4B" w:rsidR="00FC064D" w:rsidRDefault="00ED0D3D" w:rsidP="005506E4">
      <w:pPr>
        <w:ind w:firstLine="180"/>
        <w:rPr>
          <w:b/>
          <w:bCs/>
          <w:lang w:eastAsia="en-GB"/>
        </w:rPr>
      </w:pPr>
      <w:r w:rsidRPr="005506E4">
        <w:rPr>
          <w:b/>
          <w:bCs/>
          <w:lang w:eastAsia="en-GB"/>
        </w:rPr>
        <w:t>Conclusion:</w:t>
      </w:r>
    </w:p>
    <w:p w14:paraId="243EEA2E" w14:textId="59FA231F" w:rsidR="005506E4" w:rsidRPr="007C57CB" w:rsidRDefault="002964E1" w:rsidP="007C57CB">
      <w:pPr>
        <w:rPr>
          <w:lang w:eastAsia="en-GB"/>
        </w:rPr>
      </w:pPr>
      <w:r w:rsidRPr="002964E1">
        <w:rPr>
          <w:lang w:eastAsia="en-GB"/>
        </w:rPr>
        <w:t>Practitioners identify their weaknesses and devise ways to improve their performance in the future, gaining valuable insight into themselves</w:t>
      </w:r>
      <w:r w:rsidR="00847E9D">
        <w:rPr>
          <w:lang w:eastAsia="en-GB"/>
        </w:rPr>
        <w:t xml:space="preserve"> </w:t>
      </w:r>
      <w:r w:rsidR="003526E1" w:rsidRPr="003526E1">
        <w:rPr>
          <w:lang w:eastAsia="en-GB"/>
        </w:rPr>
        <w:t>(</w:t>
      </w:r>
      <w:proofErr w:type="spellStart"/>
      <w:r w:rsidR="003526E1" w:rsidRPr="003526E1">
        <w:rPr>
          <w:lang w:eastAsia="en-GB"/>
        </w:rPr>
        <w:t>Lalani</w:t>
      </w:r>
      <w:proofErr w:type="spellEnd"/>
      <w:r w:rsidR="003526E1" w:rsidRPr="003526E1">
        <w:rPr>
          <w:lang w:eastAsia="en-GB"/>
        </w:rPr>
        <w:t xml:space="preserve">, </w:t>
      </w:r>
      <w:proofErr w:type="spellStart"/>
      <w:r w:rsidR="003526E1" w:rsidRPr="003526E1">
        <w:rPr>
          <w:lang w:eastAsia="en-GB"/>
        </w:rPr>
        <w:t>Bussu</w:t>
      </w:r>
      <w:proofErr w:type="spellEnd"/>
      <w:r w:rsidR="003526E1" w:rsidRPr="003526E1">
        <w:rPr>
          <w:lang w:eastAsia="en-GB"/>
        </w:rPr>
        <w:t>, and Marshall, 2020).</w:t>
      </w:r>
      <w:r w:rsidRPr="002964E1">
        <w:rPr>
          <w:lang w:eastAsia="en-GB"/>
        </w:rPr>
        <w:t xml:space="preserve"> Healthcare professionals can improve their ability to collaborate with individuals from diverse fields and deliver patients safe, welcoming, and effective care by reflecting on their work and continually growing as professionals.</w:t>
      </w:r>
    </w:p>
    <w:p w14:paraId="1B77320C" w14:textId="5FAAA828" w:rsidR="00FC064D" w:rsidRPr="005506E4" w:rsidRDefault="00ED0D3D" w:rsidP="005506E4">
      <w:pPr>
        <w:ind w:firstLine="180"/>
        <w:rPr>
          <w:b/>
          <w:bCs/>
          <w:lang w:eastAsia="en-GB"/>
        </w:rPr>
      </w:pPr>
      <w:r w:rsidRPr="005506E4">
        <w:rPr>
          <w:b/>
          <w:bCs/>
          <w:lang w:eastAsia="en-GB"/>
        </w:rPr>
        <w:t>Action Plan:</w:t>
      </w:r>
    </w:p>
    <w:p w14:paraId="67D5687C" w14:textId="37F047C7" w:rsidR="00F34782" w:rsidRPr="00F34782" w:rsidRDefault="00ED0D3D" w:rsidP="00E304C4">
      <w:pPr>
        <w:rPr>
          <w:lang w:eastAsia="en-GB"/>
        </w:rPr>
      </w:pPr>
      <w:r w:rsidRPr="00467B50">
        <w:rPr>
          <w:lang w:eastAsia="en-GB"/>
        </w:rPr>
        <w:t xml:space="preserve">To address the demand for growth, the focus will be on monthly continuing professional development (CPD) seminars that emphasise communication, the law, and teamwork in providing care. Another fantastic technique to build confidence and teamwork skills in NHS practice settings is to ask supervisors and </w:t>
      </w:r>
      <w:r w:rsidR="00855603" w:rsidRPr="00467B50">
        <w:rPr>
          <w:lang w:eastAsia="en-GB"/>
        </w:rPr>
        <w:t>co-workers</w:t>
      </w:r>
      <w:r w:rsidRPr="00467B50">
        <w:rPr>
          <w:lang w:eastAsia="en-GB"/>
        </w:rPr>
        <w:t xml:space="preserve"> for feedback</w:t>
      </w:r>
      <w:bookmarkStart w:id="7" w:name="_Toc202829742"/>
      <w:r w:rsidR="00743C27">
        <w:rPr>
          <w:lang w:eastAsia="en-GB"/>
        </w:rPr>
        <w:t xml:space="preserve"> </w:t>
      </w:r>
      <w:r w:rsidR="00F34782" w:rsidRPr="00F34782">
        <w:rPr>
          <w:lang w:eastAsia="en-GB"/>
        </w:rPr>
        <w:t>(</w:t>
      </w:r>
      <w:proofErr w:type="spellStart"/>
      <w:r w:rsidR="00F34782" w:rsidRPr="00F34782">
        <w:rPr>
          <w:lang w:eastAsia="en-GB"/>
        </w:rPr>
        <w:t>Konttila</w:t>
      </w:r>
      <w:proofErr w:type="spellEnd"/>
      <w:r w:rsidR="00F34782" w:rsidRPr="00F34782">
        <w:rPr>
          <w:lang w:eastAsia="en-GB"/>
        </w:rPr>
        <w:t xml:space="preserve"> et al., 2019). </w:t>
      </w:r>
    </w:p>
    <w:p w14:paraId="72C8C7D7" w14:textId="01163CE2" w:rsidR="00472F2B" w:rsidRDefault="00ED0D3D" w:rsidP="001F2816">
      <w:pPr>
        <w:pStyle w:val="Heading1"/>
        <w:rPr>
          <w:lang w:eastAsia="en-GB"/>
        </w:rPr>
      </w:pPr>
      <w:r>
        <w:rPr>
          <w:lang w:eastAsia="en-GB"/>
        </w:rPr>
        <w:t>Conclusion</w:t>
      </w:r>
      <w:bookmarkEnd w:id="7"/>
    </w:p>
    <w:p w14:paraId="6797EFCB" w14:textId="77777777" w:rsidR="00B60A0A" w:rsidRPr="00B60A0A" w:rsidRDefault="00B60A0A" w:rsidP="00B60A0A">
      <w:pPr>
        <w:rPr>
          <w:lang w:eastAsia="en-GB"/>
        </w:rPr>
      </w:pPr>
      <w:r w:rsidRPr="00B60A0A">
        <w:rPr>
          <w:lang w:eastAsia="en-GB"/>
        </w:rPr>
        <w:t>In conclusion, health and social workers must keep thorough records, be upfront with clients, and keep learning and growing. Respect and decency must be shown to all service consumers, regardless of origin or qualities. The 2010 Equality Act encourages inclusive communication. By using successful communication models and following NHS guidelines, practitioners may build trust and deliver person-centred care that matches each person's needs. The Data Protection Act 2018 argues that accurate and legal records are essential for protection, continuity of treatment, and legal responsibility.</w:t>
      </w:r>
    </w:p>
    <w:p w14:paraId="78D63795" w14:textId="15D349CB" w:rsidR="00EF1373" w:rsidRPr="00EF1373" w:rsidRDefault="00C2695C" w:rsidP="00C2695C">
      <w:pPr>
        <w:rPr>
          <w:lang w:eastAsia="en-GB"/>
        </w:rPr>
      </w:pPr>
      <w:r w:rsidRPr="00C2695C">
        <w:rPr>
          <w:lang w:eastAsia="en-GB"/>
        </w:rPr>
        <w:t xml:space="preserve">I observe the NHS Code of Confidentiality, the Caldicott Principles, and other guidelines to protect and disclose private information as a practitioner. In order to stay competent and address evolving health and social care demands, CPD and collaboration are essential. </w:t>
      </w:r>
      <w:r w:rsidRPr="00EF1373">
        <w:rPr>
          <w:lang w:eastAsia="en-GB"/>
        </w:rPr>
        <w:t xml:space="preserve">Healthcare practitioners can provide more integrated care by participating in continuing education programs, utilising methods such as Gibbs' Reflective Cycle to reflect on their work, and collaborating with professionals from diverse fields. </w:t>
      </w:r>
    </w:p>
    <w:p w14:paraId="22126000" w14:textId="77777777" w:rsidR="004A5448" w:rsidRDefault="004A5448" w:rsidP="004A5448">
      <w:pPr>
        <w:rPr>
          <w:lang w:eastAsia="en-GB"/>
        </w:rPr>
      </w:pPr>
    </w:p>
    <w:p w14:paraId="35F9A383" w14:textId="07EBAC4A" w:rsidR="000B4EE6" w:rsidRDefault="00ED0D3D">
      <w:pPr>
        <w:spacing w:before="0" w:after="160" w:line="259" w:lineRule="auto"/>
        <w:ind w:firstLine="0"/>
        <w:jc w:val="left"/>
        <w:rPr>
          <w:lang w:eastAsia="en-GB"/>
        </w:rPr>
      </w:pPr>
      <w:r>
        <w:rPr>
          <w:lang w:eastAsia="en-GB"/>
        </w:rPr>
        <w:br w:type="page"/>
      </w:r>
    </w:p>
    <w:p w14:paraId="773D3F76" w14:textId="0575755F" w:rsidR="004A5448" w:rsidRDefault="00ED0D3D" w:rsidP="00065711">
      <w:pPr>
        <w:pStyle w:val="Heading1"/>
        <w:rPr>
          <w:lang w:eastAsia="en-GB"/>
        </w:rPr>
      </w:pPr>
      <w:bookmarkStart w:id="8" w:name="_Toc202829743"/>
      <w:r>
        <w:rPr>
          <w:lang w:eastAsia="en-GB"/>
        </w:rPr>
        <w:t>References</w:t>
      </w:r>
      <w:bookmarkEnd w:id="8"/>
    </w:p>
    <w:p w14:paraId="7905A30E"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Asamoah, D., 2025. The role of health services regulation in healthcare delivery. </w:t>
      </w:r>
      <w:r w:rsidRPr="00E57949">
        <w:rPr>
          <w:rFonts w:asciiTheme="majorBidi" w:hAnsiTheme="majorBidi" w:cstheme="majorBidi"/>
          <w:i/>
          <w:iCs/>
          <w:color w:val="222222"/>
          <w:szCs w:val="24"/>
          <w:shd w:val="clear" w:color="auto" w:fill="FFFFFF"/>
        </w:rPr>
        <w:t>ELECTR J MED DENT STUD</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14</w:t>
      </w:r>
      <w:r w:rsidRPr="00E57949">
        <w:rPr>
          <w:rFonts w:asciiTheme="majorBidi" w:hAnsiTheme="majorBidi" w:cstheme="majorBidi"/>
          <w:color w:val="222222"/>
          <w:szCs w:val="24"/>
          <w:shd w:val="clear" w:color="auto" w:fill="FFFFFF"/>
        </w:rPr>
        <w:t>(1).</w:t>
      </w:r>
      <w:r w:rsidRPr="00E57949">
        <w:rPr>
          <w:rFonts w:asciiTheme="majorBidi" w:hAnsiTheme="majorBidi" w:cstheme="majorBidi"/>
          <w:szCs w:val="24"/>
        </w:rPr>
        <w:t xml:space="preserve"> </w:t>
      </w:r>
      <w:hyperlink r:id="rId5" w:history="1">
        <w:r w:rsidRPr="00E57949">
          <w:rPr>
            <w:rStyle w:val="Hyperlink"/>
            <w:rFonts w:asciiTheme="majorBidi" w:hAnsiTheme="majorBidi" w:cstheme="majorBidi"/>
            <w:szCs w:val="24"/>
            <w:shd w:val="clear" w:color="auto" w:fill="FFFFFF"/>
          </w:rPr>
          <w:t>https://www.ejmds.com/download/the-role-of-health-services-regulation-in-hea</w:t>
        </w:r>
      </w:hyperlink>
    </w:p>
    <w:p w14:paraId="684D5322"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 xml:space="preserve">Browne, J., Bullock, A., Poletti, C. and </w:t>
      </w:r>
      <w:proofErr w:type="spellStart"/>
      <w:r w:rsidRPr="00E57949">
        <w:rPr>
          <w:rFonts w:asciiTheme="majorBidi" w:hAnsiTheme="majorBidi" w:cstheme="majorBidi"/>
          <w:color w:val="222222"/>
          <w:szCs w:val="24"/>
          <w:shd w:val="clear" w:color="auto" w:fill="FFFFFF"/>
        </w:rPr>
        <w:t>Cserző</w:t>
      </w:r>
      <w:proofErr w:type="spellEnd"/>
      <w:r w:rsidRPr="00E57949">
        <w:rPr>
          <w:rFonts w:asciiTheme="majorBidi" w:hAnsiTheme="majorBidi" w:cstheme="majorBidi"/>
          <w:color w:val="222222"/>
          <w:szCs w:val="24"/>
          <w:shd w:val="clear" w:color="auto" w:fill="FFFFFF"/>
        </w:rPr>
        <w:t>, D., 2021. Recent research into healthcare professions regulation: a rapid evidence assessment. </w:t>
      </w:r>
      <w:r w:rsidRPr="00E57949">
        <w:rPr>
          <w:rFonts w:asciiTheme="majorBidi" w:hAnsiTheme="majorBidi" w:cstheme="majorBidi"/>
          <w:i/>
          <w:iCs/>
          <w:color w:val="222222"/>
          <w:szCs w:val="24"/>
          <w:shd w:val="clear" w:color="auto" w:fill="FFFFFF"/>
        </w:rPr>
        <w:t>BMC health services research</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21</w:t>
      </w:r>
      <w:r w:rsidRPr="00E57949">
        <w:rPr>
          <w:rFonts w:asciiTheme="majorBidi" w:hAnsiTheme="majorBidi" w:cstheme="majorBidi"/>
          <w:color w:val="222222"/>
          <w:szCs w:val="24"/>
          <w:shd w:val="clear" w:color="auto" w:fill="FFFFFF"/>
        </w:rPr>
        <w:t>, pp.1-12.</w:t>
      </w:r>
      <w:r w:rsidRPr="00E57949">
        <w:rPr>
          <w:rFonts w:asciiTheme="majorBidi" w:hAnsiTheme="majorBidi" w:cstheme="majorBidi"/>
          <w:szCs w:val="24"/>
        </w:rPr>
        <w:t xml:space="preserve"> </w:t>
      </w:r>
      <w:hyperlink r:id="rId6" w:history="1">
        <w:r w:rsidRPr="00E57949">
          <w:rPr>
            <w:rStyle w:val="Hyperlink"/>
            <w:rFonts w:asciiTheme="majorBidi" w:hAnsiTheme="majorBidi" w:cstheme="majorBidi"/>
            <w:szCs w:val="24"/>
            <w:shd w:val="clear" w:color="auto" w:fill="FFFFFF"/>
          </w:rPr>
          <w:t>https://doi.org/10.1186/s12913-021-06946-8</w:t>
        </w:r>
      </w:hyperlink>
    </w:p>
    <w:p w14:paraId="797B33B6"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Entwistle, V.A., Cribb, A. and Owens, J., 2018. Why health and social care support for people with long-term conditions should be oriented towards enabling them to live well. </w:t>
      </w:r>
      <w:r w:rsidRPr="00E57949">
        <w:rPr>
          <w:rFonts w:asciiTheme="majorBidi" w:hAnsiTheme="majorBidi" w:cstheme="majorBidi"/>
          <w:i/>
          <w:iCs/>
          <w:color w:val="222222"/>
          <w:szCs w:val="24"/>
          <w:shd w:val="clear" w:color="auto" w:fill="FFFFFF"/>
        </w:rPr>
        <w:t>Health care analysis</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26</w:t>
      </w:r>
      <w:r w:rsidRPr="00E57949">
        <w:rPr>
          <w:rFonts w:asciiTheme="majorBidi" w:hAnsiTheme="majorBidi" w:cstheme="majorBidi"/>
          <w:color w:val="222222"/>
          <w:szCs w:val="24"/>
          <w:shd w:val="clear" w:color="auto" w:fill="FFFFFF"/>
        </w:rPr>
        <w:t>, pp.48-65.</w:t>
      </w:r>
      <w:r w:rsidRPr="00E57949">
        <w:rPr>
          <w:rFonts w:asciiTheme="majorBidi" w:hAnsiTheme="majorBidi" w:cstheme="majorBidi"/>
          <w:szCs w:val="24"/>
        </w:rPr>
        <w:t xml:space="preserve"> </w:t>
      </w:r>
      <w:hyperlink r:id="rId7" w:history="1">
        <w:r w:rsidRPr="00E57949">
          <w:rPr>
            <w:rStyle w:val="Hyperlink"/>
            <w:rFonts w:asciiTheme="majorBidi" w:hAnsiTheme="majorBidi" w:cstheme="majorBidi"/>
            <w:szCs w:val="24"/>
          </w:rPr>
          <w:t>h</w:t>
        </w:r>
        <w:r w:rsidRPr="00E57949">
          <w:rPr>
            <w:rStyle w:val="Hyperlink"/>
            <w:rFonts w:asciiTheme="majorBidi" w:hAnsiTheme="majorBidi" w:cstheme="majorBidi"/>
            <w:szCs w:val="24"/>
            <w:shd w:val="clear" w:color="auto" w:fill="FFFFFF"/>
          </w:rPr>
          <w:t>ttps://doi.org/10.1007/s10728-016-0335-1</w:t>
        </w:r>
      </w:hyperlink>
    </w:p>
    <w:p w14:paraId="067BD0B2"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 xml:space="preserve">Evanson, J.N., 2024. Humanising medicine: a patient perspective. </w:t>
      </w:r>
      <w:r w:rsidRPr="00E57949">
        <w:rPr>
          <w:rFonts w:asciiTheme="majorBidi" w:hAnsiTheme="majorBidi" w:cstheme="majorBidi"/>
          <w:i/>
          <w:iCs/>
          <w:color w:val="222222"/>
          <w:szCs w:val="24"/>
          <w:shd w:val="clear" w:color="auto" w:fill="FFFFFF"/>
        </w:rPr>
        <w:t>Social Work in Health Care</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63</w:t>
      </w:r>
      <w:r w:rsidRPr="00E57949">
        <w:rPr>
          <w:rFonts w:asciiTheme="majorBidi" w:hAnsiTheme="majorBidi" w:cstheme="majorBidi"/>
          <w:color w:val="222222"/>
          <w:szCs w:val="24"/>
          <w:shd w:val="clear" w:color="auto" w:fill="FFFFFF"/>
        </w:rPr>
        <w:t>(4-5), pp.385-398.</w:t>
      </w:r>
      <w:r w:rsidRPr="00E57949">
        <w:rPr>
          <w:rFonts w:asciiTheme="majorBidi" w:hAnsiTheme="majorBidi" w:cstheme="majorBidi"/>
          <w:szCs w:val="24"/>
        </w:rPr>
        <w:t xml:space="preserve"> </w:t>
      </w:r>
      <w:hyperlink r:id="rId8" w:history="1">
        <w:r w:rsidRPr="00E57949">
          <w:rPr>
            <w:rStyle w:val="Hyperlink"/>
            <w:rFonts w:asciiTheme="majorBidi" w:hAnsiTheme="majorBidi" w:cstheme="majorBidi"/>
            <w:szCs w:val="24"/>
            <w:shd w:val="clear" w:color="auto" w:fill="FFFFFF"/>
          </w:rPr>
          <w:t>https://doi.org/10.1080/00981389.2024.2333744</w:t>
        </w:r>
      </w:hyperlink>
    </w:p>
    <w:p w14:paraId="5701EEA4"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Jones, D.N., 2018. Regulation of social work and social workers in the United Kingdom. </w:t>
      </w:r>
      <w:r w:rsidRPr="00E57949">
        <w:rPr>
          <w:rFonts w:asciiTheme="majorBidi" w:hAnsiTheme="majorBidi" w:cstheme="majorBidi"/>
          <w:i/>
          <w:iCs/>
          <w:color w:val="222222"/>
          <w:szCs w:val="24"/>
          <w:shd w:val="clear" w:color="auto" w:fill="FFFFFF"/>
        </w:rPr>
        <w:t>Birmingham, BASW</w:t>
      </w:r>
      <w:r w:rsidRPr="00E57949">
        <w:rPr>
          <w:rFonts w:asciiTheme="majorBidi" w:hAnsiTheme="majorBidi" w:cstheme="majorBidi"/>
          <w:color w:val="222222"/>
          <w:szCs w:val="24"/>
          <w:shd w:val="clear" w:color="auto" w:fill="FFFFFF"/>
        </w:rPr>
        <w:t>.</w:t>
      </w:r>
      <w:r w:rsidRPr="00E57949">
        <w:rPr>
          <w:rFonts w:asciiTheme="majorBidi" w:hAnsiTheme="majorBidi" w:cstheme="majorBidi"/>
          <w:szCs w:val="24"/>
        </w:rPr>
        <w:t xml:space="preserve"> </w:t>
      </w:r>
      <w:hyperlink r:id="rId9" w:history="1">
        <w:r w:rsidRPr="00E57949">
          <w:rPr>
            <w:rStyle w:val="Hyperlink"/>
            <w:rFonts w:asciiTheme="majorBidi" w:hAnsiTheme="majorBidi" w:cstheme="majorBidi"/>
            <w:szCs w:val="24"/>
            <w:shd w:val="clear" w:color="auto" w:fill="FFFFFF"/>
          </w:rPr>
          <w:t>https://new.basw.co.uk/sites/default/files/resources/Social%20Work%20Regulation%20-%20</w:t>
        </w:r>
      </w:hyperlink>
    </w:p>
    <w:p w14:paraId="002CE957"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Joynes, V.C., 2018. Defining and understanding the relationship between professional identity and interprofessional responsibility: implications for educating health and social care students. </w:t>
      </w:r>
      <w:r w:rsidRPr="00E57949">
        <w:rPr>
          <w:rFonts w:asciiTheme="majorBidi" w:hAnsiTheme="majorBidi" w:cstheme="majorBidi"/>
          <w:i/>
          <w:iCs/>
          <w:color w:val="222222"/>
          <w:szCs w:val="24"/>
          <w:shd w:val="clear" w:color="auto" w:fill="FFFFFF"/>
        </w:rPr>
        <w:t>Advances in Health Sciences Education</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23</w:t>
      </w:r>
      <w:r w:rsidRPr="00E57949">
        <w:rPr>
          <w:rFonts w:asciiTheme="majorBidi" w:hAnsiTheme="majorBidi" w:cstheme="majorBidi"/>
          <w:color w:val="222222"/>
          <w:szCs w:val="24"/>
          <w:shd w:val="clear" w:color="auto" w:fill="FFFFFF"/>
        </w:rPr>
        <w:t>(1), pp.133-149.</w:t>
      </w:r>
      <w:r w:rsidRPr="00E57949">
        <w:rPr>
          <w:rFonts w:asciiTheme="majorBidi" w:hAnsiTheme="majorBidi" w:cstheme="majorBidi"/>
          <w:szCs w:val="24"/>
        </w:rPr>
        <w:t xml:space="preserve"> </w:t>
      </w:r>
      <w:hyperlink r:id="rId10" w:history="1">
        <w:r w:rsidRPr="00E57949">
          <w:rPr>
            <w:rStyle w:val="Hyperlink"/>
            <w:rFonts w:asciiTheme="majorBidi" w:hAnsiTheme="majorBidi" w:cstheme="majorBidi"/>
            <w:szCs w:val="24"/>
            <w:shd w:val="clear" w:color="auto" w:fill="FFFFFF"/>
          </w:rPr>
          <w:t>https://doi.org/10.1007/s10459-017-9778-x</w:t>
        </w:r>
      </w:hyperlink>
    </w:p>
    <w:p w14:paraId="56006753" w14:textId="77777777" w:rsidR="00586955" w:rsidRPr="00E57949" w:rsidRDefault="00ED0D3D" w:rsidP="00586955">
      <w:pPr>
        <w:ind w:left="630" w:hanging="630"/>
        <w:rPr>
          <w:rFonts w:asciiTheme="majorBidi" w:hAnsiTheme="majorBidi" w:cstheme="majorBidi"/>
          <w:color w:val="222222"/>
          <w:szCs w:val="24"/>
          <w:shd w:val="clear" w:color="auto" w:fill="FFFFFF"/>
        </w:rPr>
      </w:pPr>
      <w:proofErr w:type="spellStart"/>
      <w:r w:rsidRPr="00E57949">
        <w:rPr>
          <w:rFonts w:asciiTheme="majorBidi" w:hAnsiTheme="majorBidi" w:cstheme="majorBidi"/>
          <w:color w:val="222222"/>
          <w:szCs w:val="24"/>
          <w:shd w:val="clear" w:color="auto" w:fill="FFFFFF"/>
        </w:rPr>
        <w:t>Konttila</w:t>
      </w:r>
      <w:proofErr w:type="spellEnd"/>
      <w:r w:rsidRPr="00E57949">
        <w:rPr>
          <w:rFonts w:asciiTheme="majorBidi" w:hAnsiTheme="majorBidi" w:cstheme="majorBidi"/>
          <w:color w:val="222222"/>
          <w:szCs w:val="24"/>
          <w:shd w:val="clear" w:color="auto" w:fill="FFFFFF"/>
        </w:rPr>
        <w:t xml:space="preserve">, J., Siira, H., </w:t>
      </w:r>
      <w:proofErr w:type="spellStart"/>
      <w:r w:rsidRPr="00E57949">
        <w:rPr>
          <w:rFonts w:asciiTheme="majorBidi" w:hAnsiTheme="majorBidi" w:cstheme="majorBidi"/>
          <w:color w:val="222222"/>
          <w:szCs w:val="24"/>
          <w:shd w:val="clear" w:color="auto" w:fill="FFFFFF"/>
        </w:rPr>
        <w:t>Kyngäs</w:t>
      </w:r>
      <w:proofErr w:type="spellEnd"/>
      <w:r w:rsidRPr="00E57949">
        <w:rPr>
          <w:rFonts w:asciiTheme="majorBidi" w:hAnsiTheme="majorBidi" w:cstheme="majorBidi"/>
          <w:color w:val="222222"/>
          <w:szCs w:val="24"/>
          <w:shd w:val="clear" w:color="auto" w:fill="FFFFFF"/>
        </w:rPr>
        <w:t>, H., Lahtinen, M., Elo, S., Kääriäinen, M., Kaakinen, P., Oikarinen, A., Yamakawa, M., Fukui, S. and Utsumi, M., 2019. Healthcare professionals’ competence in digitalisation: A systematic review. </w:t>
      </w:r>
      <w:r w:rsidRPr="00E57949">
        <w:rPr>
          <w:rFonts w:asciiTheme="majorBidi" w:hAnsiTheme="majorBidi" w:cstheme="majorBidi"/>
          <w:i/>
          <w:iCs/>
          <w:color w:val="222222"/>
          <w:szCs w:val="24"/>
          <w:shd w:val="clear" w:color="auto" w:fill="FFFFFF"/>
        </w:rPr>
        <w:t>Journal of clinical nursing</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28</w:t>
      </w:r>
      <w:r w:rsidRPr="00E57949">
        <w:rPr>
          <w:rFonts w:asciiTheme="majorBidi" w:hAnsiTheme="majorBidi" w:cstheme="majorBidi"/>
          <w:color w:val="222222"/>
          <w:szCs w:val="24"/>
          <w:shd w:val="clear" w:color="auto" w:fill="FFFFFF"/>
        </w:rPr>
        <w:t xml:space="preserve">(5-6), pp.745-761. </w:t>
      </w:r>
      <w:hyperlink r:id="rId11" w:history="1">
        <w:r w:rsidRPr="00E57949">
          <w:rPr>
            <w:rStyle w:val="Hyperlink"/>
            <w:rFonts w:asciiTheme="majorBidi" w:hAnsiTheme="majorBidi" w:cstheme="majorBidi"/>
            <w:szCs w:val="24"/>
            <w:shd w:val="clear" w:color="auto" w:fill="FFFFFF"/>
          </w:rPr>
          <w:t>https://doi.org/10.1111/jocn.14710</w:t>
        </w:r>
      </w:hyperlink>
    </w:p>
    <w:p w14:paraId="6888C83F"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 xml:space="preserve">Lalani, M., </w:t>
      </w:r>
      <w:proofErr w:type="spellStart"/>
      <w:r w:rsidRPr="00E57949">
        <w:rPr>
          <w:rFonts w:asciiTheme="majorBidi" w:hAnsiTheme="majorBidi" w:cstheme="majorBidi"/>
          <w:color w:val="222222"/>
          <w:szCs w:val="24"/>
          <w:shd w:val="clear" w:color="auto" w:fill="FFFFFF"/>
        </w:rPr>
        <w:t>Bussu</w:t>
      </w:r>
      <w:proofErr w:type="spellEnd"/>
      <w:r w:rsidRPr="00E57949">
        <w:rPr>
          <w:rFonts w:asciiTheme="majorBidi" w:hAnsiTheme="majorBidi" w:cstheme="majorBidi"/>
          <w:color w:val="222222"/>
          <w:szCs w:val="24"/>
          <w:shd w:val="clear" w:color="auto" w:fill="FFFFFF"/>
        </w:rPr>
        <w:t>, S. and Marshall, M., 2020. Understanding integrated care at the frontline using organisational learning theory: A participatory evaluation of multi-professional teams in East London. </w:t>
      </w:r>
      <w:r w:rsidRPr="00E57949">
        <w:rPr>
          <w:rFonts w:asciiTheme="majorBidi" w:hAnsiTheme="majorBidi" w:cstheme="majorBidi"/>
          <w:i/>
          <w:iCs/>
          <w:color w:val="222222"/>
          <w:szCs w:val="24"/>
          <w:shd w:val="clear" w:color="auto" w:fill="FFFFFF"/>
        </w:rPr>
        <w:t>Social science &amp; medicine</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262</w:t>
      </w:r>
      <w:r w:rsidRPr="00E57949">
        <w:rPr>
          <w:rFonts w:asciiTheme="majorBidi" w:hAnsiTheme="majorBidi" w:cstheme="majorBidi"/>
          <w:color w:val="222222"/>
          <w:szCs w:val="24"/>
          <w:shd w:val="clear" w:color="auto" w:fill="FFFFFF"/>
        </w:rPr>
        <w:t>, p.113254.</w:t>
      </w:r>
      <w:r w:rsidRPr="00E57949">
        <w:rPr>
          <w:rFonts w:asciiTheme="majorBidi" w:hAnsiTheme="majorBidi" w:cstheme="majorBidi"/>
          <w:szCs w:val="24"/>
        </w:rPr>
        <w:t xml:space="preserve"> </w:t>
      </w:r>
      <w:hyperlink r:id="rId12" w:history="1">
        <w:r w:rsidRPr="00E57949">
          <w:rPr>
            <w:rStyle w:val="Hyperlink"/>
            <w:rFonts w:asciiTheme="majorBidi" w:hAnsiTheme="majorBidi" w:cstheme="majorBidi"/>
            <w:szCs w:val="24"/>
            <w:shd w:val="clear" w:color="auto" w:fill="FFFFFF"/>
          </w:rPr>
          <w:t>https://doi.org/10.1016/j.socscimed.2020.113254</w:t>
        </w:r>
      </w:hyperlink>
    </w:p>
    <w:p w14:paraId="62771318" w14:textId="77777777" w:rsidR="00586955" w:rsidRPr="00E57949" w:rsidRDefault="00ED0D3D" w:rsidP="00586955">
      <w:pPr>
        <w:ind w:left="630" w:hanging="630"/>
        <w:rPr>
          <w:rFonts w:asciiTheme="majorBidi" w:hAnsiTheme="majorBidi" w:cstheme="majorBidi"/>
          <w:color w:val="222222"/>
          <w:szCs w:val="24"/>
          <w:shd w:val="clear" w:color="auto" w:fill="FFFFFF"/>
        </w:rPr>
      </w:pPr>
      <w:proofErr w:type="spellStart"/>
      <w:r w:rsidRPr="00E57949">
        <w:rPr>
          <w:rFonts w:asciiTheme="majorBidi" w:hAnsiTheme="majorBidi" w:cstheme="majorBidi"/>
          <w:color w:val="222222"/>
          <w:szCs w:val="24"/>
          <w:shd w:val="clear" w:color="auto" w:fill="FFFFFF"/>
        </w:rPr>
        <w:t>Moudatsou</w:t>
      </w:r>
      <w:proofErr w:type="spellEnd"/>
      <w:r w:rsidRPr="00E57949">
        <w:rPr>
          <w:rFonts w:asciiTheme="majorBidi" w:hAnsiTheme="majorBidi" w:cstheme="majorBidi"/>
          <w:color w:val="222222"/>
          <w:szCs w:val="24"/>
          <w:shd w:val="clear" w:color="auto" w:fill="FFFFFF"/>
        </w:rPr>
        <w:t xml:space="preserve">, M., Stavropoulou, A., </w:t>
      </w:r>
      <w:proofErr w:type="spellStart"/>
      <w:r w:rsidRPr="00E57949">
        <w:rPr>
          <w:rFonts w:asciiTheme="majorBidi" w:hAnsiTheme="majorBidi" w:cstheme="majorBidi"/>
          <w:color w:val="222222"/>
          <w:szCs w:val="24"/>
          <w:shd w:val="clear" w:color="auto" w:fill="FFFFFF"/>
        </w:rPr>
        <w:t>Philalithis</w:t>
      </w:r>
      <w:proofErr w:type="spellEnd"/>
      <w:r w:rsidRPr="00E57949">
        <w:rPr>
          <w:rFonts w:asciiTheme="majorBidi" w:hAnsiTheme="majorBidi" w:cstheme="majorBidi"/>
          <w:color w:val="222222"/>
          <w:szCs w:val="24"/>
          <w:shd w:val="clear" w:color="auto" w:fill="FFFFFF"/>
        </w:rPr>
        <w:t xml:space="preserve">, A. and </w:t>
      </w:r>
      <w:proofErr w:type="spellStart"/>
      <w:r w:rsidRPr="00E57949">
        <w:rPr>
          <w:rFonts w:asciiTheme="majorBidi" w:hAnsiTheme="majorBidi" w:cstheme="majorBidi"/>
          <w:color w:val="222222"/>
          <w:szCs w:val="24"/>
          <w:shd w:val="clear" w:color="auto" w:fill="FFFFFF"/>
        </w:rPr>
        <w:t>Koukouli</w:t>
      </w:r>
      <w:proofErr w:type="spellEnd"/>
      <w:r w:rsidRPr="00E57949">
        <w:rPr>
          <w:rFonts w:asciiTheme="majorBidi" w:hAnsiTheme="majorBidi" w:cstheme="majorBidi"/>
          <w:color w:val="222222"/>
          <w:szCs w:val="24"/>
          <w:shd w:val="clear" w:color="auto" w:fill="FFFFFF"/>
        </w:rPr>
        <w:t>, S., 2020, January. The role of empathy in health and social care professionals. In </w:t>
      </w:r>
      <w:r w:rsidRPr="00E57949">
        <w:rPr>
          <w:rFonts w:asciiTheme="majorBidi" w:hAnsiTheme="majorBidi" w:cstheme="majorBidi"/>
          <w:i/>
          <w:iCs/>
          <w:color w:val="222222"/>
          <w:szCs w:val="24"/>
          <w:shd w:val="clear" w:color="auto" w:fill="FFFFFF"/>
        </w:rPr>
        <w:t>Healthcare</w:t>
      </w:r>
      <w:r w:rsidRPr="00E57949">
        <w:rPr>
          <w:rFonts w:asciiTheme="majorBidi" w:hAnsiTheme="majorBidi" w:cstheme="majorBidi"/>
          <w:color w:val="222222"/>
          <w:szCs w:val="24"/>
          <w:shd w:val="clear" w:color="auto" w:fill="FFFFFF"/>
        </w:rPr>
        <w:t xml:space="preserve"> (Vol. 8, No. 1, p. 26). MDPI. </w:t>
      </w:r>
      <w:hyperlink r:id="rId13" w:history="1">
        <w:r w:rsidRPr="00E57949">
          <w:rPr>
            <w:rStyle w:val="Hyperlink"/>
            <w:rFonts w:asciiTheme="majorBidi" w:hAnsiTheme="majorBidi" w:cstheme="majorBidi"/>
            <w:szCs w:val="24"/>
            <w:shd w:val="clear" w:color="auto" w:fill="FFFFFF"/>
          </w:rPr>
          <w:t>https://doi.org/10.3390/healthcare8010026</w:t>
        </w:r>
      </w:hyperlink>
    </w:p>
    <w:p w14:paraId="0D246360" w14:textId="77777777" w:rsidR="00586955" w:rsidRPr="00E57949" w:rsidRDefault="00ED0D3D" w:rsidP="00586955">
      <w:pPr>
        <w:ind w:left="630" w:hanging="630"/>
        <w:rPr>
          <w:rFonts w:asciiTheme="majorBidi" w:hAnsiTheme="majorBidi" w:cstheme="majorBidi"/>
          <w:color w:val="222222"/>
          <w:szCs w:val="24"/>
          <w:shd w:val="clear" w:color="auto" w:fill="FFFFFF"/>
        </w:rPr>
      </w:pPr>
      <w:proofErr w:type="spellStart"/>
      <w:r w:rsidRPr="00E57949">
        <w:rPr>
          <w:rFonts w:asciiTheme="majorBidi" w:hAnsiTheme="majorBidi" w:cstheme="majorBidi"/>
          <w:color w:val="222222"/>
          <w:szCs w:val="24"/>
          <w:shd w:val="clear" w:color="auto" w:fill="FFFFFF"/>
        </w:rPr>
        <w:t>Ostaszkiewicz</w:t>
      </w:r>
      <w:proofErr w:type="spellEnd"/>
      <w:r w:rsidRPr="00E57949">
        <w:rPr>
          <w:rFonts w:asciiTheme="majorBidi" w:hAnsiTheme="majorBidi" w:cstheme="majorBidi"/>
          <w:color w:val="222222"/>
          <w:szCs w:val="24"/>
          <w:shd w:val="clear" w:color="auto" w:fill="FFFFFF"/>
        </w:rPr>
        <w:t xml:space="preserve">, J., Dickson-Swift, V., Hutchinson, A. and Wagg, A., 2020. A concept analysis of dignity-protective continence care for care-dependent older people in long-term care settings. </w:t>
      </w:r>
      <w:r w:rsidRPr="00E57949">
        <w:rPr>
          <w:rFonts w:asciiTheme="majorBidi" w:hAnsiTheme="majorBidi" w:cstheme="majorBidi"/>
          <w:i/>
          <w:iCs/>
          <w:color w:val="222222"/>
          <w:szCs w:val="24"/>
          <w:shd w:val="clear" w:color="auto" w:fill="FFFFFF"/>
        </w:rPr>
        <w:t>BMC geriatrics</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20</w:t>
      </w:r>
      <w:r w:rsidRPr="00E57949">
        <w:rPr>
          <w:rFonts w:asciiTheme="majorBidi" w:hAnsiTheme="majorBidi" w:cstheme="majorBidi"/>
          <w:color w:val="222222"/>
          <w:szCs w:val="24"/>
          <w:shd w:val="clear" w:color="auto" w:fill="FFFFFF"/>
        </w:rPr>
        <w:t>, pp.1-12.</w:t>
      </w:r>
      <w:r w:rsidRPr="00E57949">
        <w:rPr>
          <w:rFonts w:asciiTheme="majorBidi" w:hAnsiTheme="majorBidi" w:cstheme="majorBidi"/>
          <w:szCs w:val="24"/>
        </w:rPr>
        <w:t xml:space="preserve"> </w:t>
      </w:r>
      <w:hyperlink r:id="rId14" w:history="1">
        <w:r w:rsidRPr="00E57949">
          <w:rPr>
            <w:rStyle w:val="Hyperlink"/>
            <w:rFonts w:asciiTheme="majorBidi" w:hAnsiTheme="majorBidi" w:cstheme="majorBidi"/>
            <w:szCs w:val="24"/>
            <w:shd w:val="clear" w:color="auto" w:fill="FFFFFF"/>
          </w:rPr>
          <w:t>https://doi.org/10.1186/s12877-020-01673-x</w:t>
        </w:r>
      </w:hyperlink>
    </w:p>
    <w:p w14:paraId="480523AE"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Rubio-Navarro, A., Garcia-Capilla, D.J., Torralba-Madrid, M.J. and Rutty, J., 2019. Ethical, legal and professional accountability in emergency nursing practice: an ethnographic observational study. </w:t>
      </w:r>
      <w:r w:rsidRPr="00E57949">
        <w:rPr>
          <w:rFonts w:asciiTheme="majorBidi" w:hAnsiTheme="majorBidi" w:cstheme="majorBidi"/>
          <w:i/>
          <w:iCs/>
          <w:color w:val="222222"/>
          <w:szCs w:val="24"/>
          <w:shd w:val="clear" w:color="auto" w:fill="FFFFFF"/>
        </w:rPr>
        <w:t>International emergency nursing</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46</w:t>
      </w:r>
      <w:r w:rsidRPr="00E57949">
        <w:rPr>
          <w:rFonts w:asciiTheme="majorBidi" w:hAnsiTheme="majorBidi" w:cstheme="majorBidi"/>
          <w:color w:val="222222"/>
          <w:szCs w:val="24"/>
          <w:shd w:val="clear" w:color="auto" w:fill="FFFFFF"/>
        </w:rPr>
        <w:t>, p.100777.</w:t>
      </w:r>
      <w:r w:rsidRPr="00E57949">
        <w:rPr>
          <w:rFonts w:asciiTheme="majorBidi" w:hAnsiTheme="majorBidi" w:cstheme="majorBidi"/>
          <w:szCs w:val="24"/>
        </w:rPr>
        <w:t xml:space="preserve"> </w:t>
      </w:r>
      <w:hyperlink r:id="rId15" w:history="1">
        <w:r w:rsidRPr="00E57949">
          <w:rPr>
            <w:rStyle w:val="Hyperlink"/>
            <w:rFonts w:asciiTheme="majorBidi" w:hAnsiTheme="majorBidi" w:cstheme="majorBidi"/>
            <w:szCs w:val="24"/>
            <w:shd w:val="clear" w:color="auto" w:fill="FFFFFF"/>
          </w:rPr>
          <w:t>https://doi.org/10.1016/j.ienj.2019.05.003</w:t>
        </w:r>
      </w:hyperlink>
    </w:p>
    <w:p w14:paraId="0836A0D5"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 xml:space="preserve">Sørensen, M., Stenberg, U. and </w:t>
      </w:r>
      <w:proofErr w:type="spellStart"/>
      <w:r w:rsidRPr="00E57949">
        <w:rPr>
          <w:rFonts w:asciiTheme="majorBidi" w:hAnsiTheme="majorBidi" w:cstheme="majorBidi"/>
          <w:color w:val="222222"/>
          <w:szCs w:val="24"/>
          <w:shd w:val="clear" w:color="auto" w:fill="FFFFFF"/>
        </w:rPr>
        <w:t>Garnweidner-Holme</w:t>
      </w:r>
      <w:proofErr w:type="spellEnd"/>
      <w:r w:rsidRPr="00E57949">
        <w:rPr>
          <w:rFonts w:asciiTheme="majorBidi" w:hAnsiTheme="majorBidi" w:cstheme="majorBidi"/>
          <w:color w:val="222222"/>
          <w:szCs w:val="24"/>
          <w:shd w:val="clear" w:color="auto" w:fill="FFFFFF"/>
        </w:rPr>
        <w:t>, L., 2018. A scoping review of facilitators of multi-professional collaboration in primary care. </w:t>
      </w:r>
      <w:r w:rsidRPr="00E57949">
        <w:rPr>
          <w:rFonts w:asciiTheme="majorBidi" w:hAnsiTheme="majorBidi" w:cstheme="majorBidi"/>
          <w:i/>
          <w:iCs/>
          <w:color w:val="222222"/>
          <w:szCs w:val="24"/>
          <w:shd w:val="clear" w:color="auto" w:fill="FFFFFF"/>
        </w:rPr>
        <w:t>International journal of integrated care</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18</w:t>
      </w:r>
      <w:r w:rsidRPr="00E57949">
        <w:rPr>
          <w:rFonts w:asciiTheme="majorBidi" w:hAnsiTheme="majorBidi" w:cstheme="majorBidi"/>
          <w:color w:val="222222"/>
          <w:szCs w:val="24"/>
          <w:shd w:val="clear" w:color="auto" w:fill="FFFFFF"/>
        </w:rPr>
        <w:t>(3), p.13.</w:t>
      </w:r>
      <w:r w:rsidRPr="00E57949">
        <w:rPr>
          <w:rFonts w:asciiTheme="majorBidi" w:hAnsiTheme="majorBidi" w:cstheme="majorBidi"/>
          <w:szCs w:val="24"/>
        </w:rPr>
        <w:t xml:space="preserve"> </w:t>
      </w:r>
      <w:hyperlink r:id="rId16" w:history="1">
        <w:r w:rsidRPr="00E57949">
          <w:rPr>
            <w:rStyle w:val="Hyperlink"/>
            <w:rFonts w:asciiTheme="majorBidi" w:hAnsiTheme="majorBidi" w:cstheme="majorBidi"/>
            <w:szCs w:val="24"/>
            <w:shd w:val="clear" w:color="auto" w:fill="FFFFFF"/>
          </w:rPr>
          <w:t>https://pmc.ncbi.nlm.nih.gov/articles/PMC6137624/</w:t>
        </w:r>
      </w:hyperlink>
    </w:p>
    <w:p w14:paraId="32C4BDF5" w14:textId="77777777" w:rsidR="00586955" w:rsidRPr="00E57949" w:rsidRDefault="00ED0D3D" w:rsidP="00586955">
      <w:pPr>
        <w:ind w:left="630" w:hanging="630"/>
        <w:rPr>
          <w:rFonts w:asciiTheme="majorBidi" w:hAnsiTheme="majorBidi" w:cstheme="majorBidi"/>
          <w:color w:val="222222"/>
          <w:szCs w:val="24"/>
          <w:shd w:val="clear" w:color="auto" w:fill="FFFFFF"/>
        </w:rPr>
      </w:pPr>
      <w:r w:rsidRPr="00E57949">
        <w:rPr>
          <w:rFonts w:asciiTheme="majorBidi" w:hAnsiTheme="majorBidi" w:cstheme="majorBidi"/>
          <w:color w:val="222222"/>
          <w:szCs w:val="24"/>
          <w:shd w:val="clear" w:color="auto" w:fill="FFFFFF"/>
        </w:rPr>
        <w:t>Symonds, J., Williams, V., Miles, C., Steel, M. and Porter, S., 2018. The social care practitioner as assessor:‘people, relationships and professional judgement’. </w:t>
      </w:r>
      <w:r w:rsidRPr="00E57949">
        <w:rPr>
          <w:rFonts w:asciiTheme="majorBidi" w:hAnsiTheme="majorBidi" w:cstheme="majorBidi"/>
          <w:i/>
          <w:iCs/>
          <w:color w:val="222222"/>
          <w:szCs w:val="24"/>
          <w:shd w:val="clear" w:color="auto" w:fill="FFFFFF"/>
        </w:rPr>
        <w:t>The British Journal of Social Work</w:t>
      </w:r>
      <w:r w:rsidRPr="00E57949">
        <w:rPr>
          <w:rFonts w:asciiTheme="majorBidi" w:hAnsiTheme="majorBidi" w:cstheme="majorBidi"/>
          <w:color w:val="222222"/>
          <w:szCs w:val="24"/>
          <w:shd w:val="clear" w:color="auto" w:fill="FFFFFF"/>
        </w:rPr>
        <w:t>, </w:t>
      </w:r>
      <w:r w:rsidRPr="00E57949">
        <w:rPr>
          <w:rFonts w:asciiTheme="majorBidi" w:hAnsiTheme="majorBidi" w:cstheme="majorBidi"/>
          <w:i/>
          <w:iCs/>
          <w:color w:val="222222"/>
          <w:szCs w:val="24"/>
          <w:shd w:val="clear" w:color="auto" w:fill="FFFFFF"/>
        </w:rPr>
        <w:t>48</w:t>
      </w:r>
      <w:r w:rsidRPr="00E57949">
        <w:rPr>
          <w:rFonts w:asciiTheme="majorBidi" w:hAnsiTheme="majorBidi" w:cstheme="majorBidi"/>
          <w:color w:val="222222"/>
          <w:szCs w:val="24"/>
          <w:shd w:val="clear" w:color="auto" w:fill="FFFFFF"/>
        </w:rPr>
        <w:t>(7), pp.1910-1928.</w:t>
      </w:r>
      <w:r w:rsidRPr="00E57949">
        <w:rPr>
          <w:rFonts w:asciiTheme="majorBidi" w:hAnsiTheme="majorBidi" w:cstheme="majorBidi"/>
          <w:szCs w:val="24"/>
        </w:rPr>
        <w:t xml:space="preserve"> </w:t>
      </w:r>
      <w:hyperlink r:id="rId17" w:history="1">
        <w:r w:rsidRPr="00E57949">
          <w:rPr>
            <w:rStyle w:val="Hyperlink"/>
            <w:rFonts w:asciiTheme="majorBidi" w:hAnsiTheme="majorBidi" w:cstheme="majorBidi"/>
            <w:szCs w:val="24"/>
            <w:shd w:val="clear" w:color="auto" w:fill="FFFFFF"/>
          </w:rPr>
          <w:t>https://doi.org/10.1093/bjsw/bcx154</w:t>
        </w:r>
      </w:hyperlink>
    </w:p>
    <w:p w14:paraId="58CFC993" w14:textId="510F0ACB" w:rsidR="00260615" w:rsidRPr="000000E4" w:rsidRDefault="00260615" w:rsidP="00260615">
      <w:pPr>
        <w:spacing w:before="0" w:after="160" w:line="259" w:lineRule="auto"/>
        <w:ind w:firstLine="0"/>
        <w:jc w:val="left"/>
      </w:pPr>
    </w:p>
    <w:p w14:paraId="644191B9" w14:textId="77777777" w:rsidR="00805E32" w:rsidRDefault="00805E32" w:rsidP="00805E32">
      <w:pPr>
        <w:ind w:firstLine="0"/>
        <w:jc w:val="left"/>
      </w:pPr>
    </w:p>
    <w:p w14:paraId="3FBD0033" w14:textId="77777777" w:rsidR="001A1C90" w:rsidRDefault="001A1C90" w:rsidP="001A1C90">
      <w:pPr>
        <w:jc w:val="center"/>
      </w:pPr>
    </w:p>
    <w:p w14:paraId="67D7F804" w14:textId="63529D33" w:rsidR="00A82BDA" w:rsidRDefault="00A82BDA"/>
    <w:p w14:paraId="73658F02" w14:textId="77777777" w:rsidR="00A82BDA" w:rsidRDefault="00A82BDA"/>
    <w:sectPr w:rsidR="00A82BDA" w:rsidSect="00004F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00"/>
  <w:proofState w:spelling="clean"/>
  <w:revisionView w:inkAnnotations="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099"/>
    <w:rsid w:val="000000E4"/>
    <w:rsid w:val="00004FA6"/>
    <w:rsid w:val="00015117"/>
    <w:rsid w:val="00016415"/>
    <w:rsid w:val="000175CE"/>
    <w:rsid w:val="000450F3"/>
    <w:rsid w:val="000465A1"/>
    <w:rsid w:val="00065711"/>
    <w:rsid w:val="000937C2"/>
    <w:rsid w:val="000A3840"/>
    <w:rsid w:val="000B4EE6"/>
    <w:rsid w:val="000D48AC"/>
    <w:rsid w:val="000D607C"/>
    <w:rsid w:val="000D6D7C"/>
    <w:rsid w:val="00132F93"/>
    <w:rsid w:val="001474E3"/>
    <w:rsid w:val="0015043E"/>
    <w:rsid w:val="00176D15"/>
    <w:rsid w:val="0018703F"/>
    <w:rsid w:val="001A06D4"/>
    <w:rsid w:val="001A1C90"/>
    <w:rsid w:val="001B1DDA"/>
    <w:rsid w:val="001B21B8"/>
    <w:rsid w:val="001D52C4"/>
    <w:rsid w:val="001E5AC4"/>
    <w:rsid w:val="001E5B49"/>
    <w:rsid w:val="001F1C3A"/>
    <w:rsid w:val="001F2816"/>
    <w:rsid w:val="001F38B0"/>
    <w:rsid w:val="00214E74"/>
    <w:rsid w:val="002171BF"/>
    <w:rsid w:val="002234A2"/>
    <w:rsid w:val="00245719"/>
    <w:rsid w:val="002531E2"/>
    <w:rsid w:val="00260615"/>
    <w:rsid w:val="00260C0A"/>
    <w:rsid w:val="002640A1"/>
    <w:rsid w:val="00292B9C"/>
    <w:rsid w:val="0029411D"/>
    <w:rsid w:val="002964E1"/>
    <w:rsid w:val="002C1401"/>
    <w:rsid w:val="002C7CF9"/>
    <w:rsid w:val="002E6FA9"/>
    <w:rsid w:val="002F4387"/>
    <w:rsid w:val="002F6571"/>
    <w:rsid w:val="00316BCC"/>
    <w:rsid w:val="00326099"/>
    <w:rsid w:val="003263E3"/>
    <w:rsid w:val="0033102D"/>
    <w:rsid w:val="00334D60"/>
    <w:rsid w:val="003526E1"/>
    <w:rsid w:val="003661D7"/>
    <w:rsid w:val="00376E44"/>
    <w:rsid w:val="003A263D"/>
    <w:rsid w:val="003B0438"/>
    <w:rsid w:val="003C1904"/>
    <w:rsid w:val="003C77B8"/>
    <w:rsid w:val="003D23F6"/>
    <w:rsid w:val="003D5762"/>
    <w:rsid w:val="003D61B8"/>
    <w:rsid w:val="003E5129"/>
    <w:rsid w:val="003E6CFD"/>
    <w:rsid w:val="003F4572"/>
    <w:rsid w:val="00414CC7"/>
    <w:rsid w:val="00432FAC"/>
    <w:rsid w:val="004330E3"/>
    <w:rsid w:val="004479F1"/>
    <w:rsid w:val="00450CE7"/>
    <w:rsid w:val="0045139E"/>
    <w:rsid w:val="004534CB"/>
    <w:rsid w:val="0045408C"/>
    <w:rsid w:val="00467345"/>
    <w:rsid w:val="00467B50"/>
    <w:rsid w:val="00470675"/>
    <w:rsid w:val="00472F2B"/>
    <w:rsid w:val="004735CF"/>
    <w:rsid w:val="00473BCF"/>
    <w:rsid w:val="004761B4"/>
    <w:rsid w:val="004764F0"/>
    <w:rsid w:val="00480611"/>
    <w:rsid w:val="00495B41"/>
    <w:rsid w:val="004A5448"/>
    <w:rsid w:val="004B3518"/>
    <w:rsid w:val="004C2F30"/>
    <w:rsid w:val="004C53D0"/>
    <w:rsid w:val="004D0AA9"/>
    <w:rsid w:val="004D2249"/>
    <w:rsid w:val="004E574E"/>
    <w:rsid w:val="004E7BCB"/>
    <w:rsid w:val="00514DF9"/>
    <w:rsid w:val="00530A06"/>
    <w:rsid w:val="0053376C"/>
    <w:rsid w:val="005506E4"/>
    <w:rsid w:val="00551D77"/>
    <w:rsid w:val="00555ECB"/>
    <w:rsid w:val="00562C60"/>
    <w:rsid w:val="00580877"/>
    <w:rsid w:val="00586955"/>
    <w:rsid w:val="0059314E"/>
    <w:rsid w:val="005954DC"/>
    <w:rsid w:val="005A0381"/>
    <w:rsid w:val="005A2663"/>
    <w:rsid w:val="005A29D3"/>
    <w:rsid w:val="005B4874"/>
    <w:rsid w:val="005B5D30"/>
    <w:rsid w:val="005C6091"/>
    <w:rsid w:val="005E7A69"/>
    <w:rsid w:val="00606F16"/>
    <w:rsid w:val="00614310"/>
    <w:rsid w:val="00626970"/>
    <w:rsid w:val="006277A1"/>
    <w:rsid w:val="006311D6"/>
    <w:rsid w:val="0064256E"/>
    <w:rsid w:val="0065121C"/>
    <w:rsid w:val="00654391"/>
    <w:rsid w:val="00655EC6"/>
    <w:rsid w:val="006641C1"/>
    <w:rsid w:val="00666B14"/>
    <w:rsid w:val="0067164F"/>
    <w:rsid w:val="006825B2"/>
    <w:rsid w:val="006B2A2F"/>
    <w:rsid w:val="006B3D12"/>
    <w:rsid w:val="006B64BD"/>
    <w:rsid w:val="006B7A91"/>
    <w:rsid w:val="006C2BE0"/>
    <w:rsid w:val="006C31F0"/>
    <w:rsid w:val="006C44BE"/>
    <w:rsid w:val="006D1533"/>
    <w:rsid w:val="006E25C9"/>
    <w:rsid w:val="006E5409"/>
    <w:rsid w:val="006F7348"/>
    <w:rsid w:val="00705116"/>
    <w:rsid w:val="00714A99"/>
    <w:rsid w:val="0073055B"/>
    <w:rsid w:val="00731675"/>
    <w:rsid w:val="00743C27"/>
    <w:rsid w:val="00745BAE"/>
    <w:rsid w:val="007663CC"/>
    <w:rsid w:val="00780018"/>
    <w:rsid w:val="007A2E54"/>
    <w:rsid w:val="007B6896"/>
    <w:rsid w:val="007C4EF4"/>
    <w:rsid w:val="007C57CB"/>
    <w:rsid w:val="007E1855"/>
    <w:rsid w:val="007E377E"/>
    <w:rsid w:val="007E4802"/>
    <w:rsid w:val="00805E32"/>
    <w:rsid w:val="0083232B"/>
    <w:rsid w:val="00840F3C"/>
    <w:rsid w:val="00842326"/>
    <w:rsid w:val="00847E9D"/>
    <w:rsid w:val="008506F4"/>
    <w:rsid w:val="00851049"/>
    <w:rsid w:val="00855603"/>
    <w:rsid w:val="008B40FE"/>
    <w:rsid w:val="008F2276"/>
    <w:rsid w:val="009016C1"/>
    <w:rsid w:val="009105BA"/>
    <w:rsid w:val="0091176C"/>
    <w:rsid w:val="00916A40"/>
    <w:rsid w:val="0092684B"/>
    <w:rsid w:val="00952EE9"/>
    <w:rsid w:val="0097113D"/>
    <w:rsid w:val="0098205F"/>
    <w:rsid w:val="009A42A2"/>
    <w:rsid w:val="009A53B2"/>
    <w:rsid w:val="009D2E40"/>
    <w:rsid w:val="009E2B8A"/>
    <w:rsid w:val="009F3426"/>
    <w:rsid w:val="00A0654A"/>
    <w:rsid w:val="00A12015"/>
    <w:rsid w:val="00A33938"/>
    <w:rsid w:val="00A454A2"/>
    <w:rsid w:val="00A461AA"/>
    <w:rsid w:val="00A517A7"/>
    <w:rsid w:val="00A51F41"/>
    <w:rsid w:val="00A73405"/>
    <w:rsid w:val="00A82BDA"/>
    <w:rsid w:val="00A8545B"/>
    <w:rsid w:val="00AA2383"/>
    <w:rsid w:val="00AB74DF"/>
    <w:rsid w:val="00AC0B85"/>
    <w:rsid w:val="00AC443B"/>
    <w:rsid w:val="00AC7A3A"/>
    <w:rsid w:val="00AD5373"/>
    <w:rsid w:val="00AF4D13"/>
    <w:rsid w:val="00B165DF"/>
    <w:rsid w:val="00B16784"/>
    <w:rsid w:val="00B31585"/>
    <w:rsid w:val="00B50F42"/>
    <w:rsid w:val="00B55AF9"/>
    <w:rsid w:val="00B60A0A"/>
    <w:rsid w:val="00B6201C"/>
    <w:rsid w:val="00B62B1F"/>
    <w:rsid w:val="00B80FD0"/>
    <w:rsid w:val="00B85255"/>
    <w:rsid w:val="00B948E1"/>
    <w:rsid w:val="00BA6D49"/>
    <w:rsid w:val="00BB29EB"/>
    <w:rsid w:val="00BB70DB"/>
    <w:rsid w:val="00BC59E3"/>
    <w:rsid w:val="00C16E87"/>
    <w:rsid w:val="00C2695C"/>
    <w:rsid w:val="00C30E63"/>
    <w:rsid w:val="00C319AF"/>
    <w:rsid w:val="00C475F1"/>
    <w:rsid w:val="00C60461"/>
    <w:rsid w:val="00C73A0D"/>
    <w:rsid w:val="00C73B29"/>
    <w:rsid w:val="00C81C75"/>
    <w:rsid w:val="00C82B52"/>
    <w:rsid w:val="00C96D9D"/>
    <w:rsid w:val="00CD2A78"/>
    <w:rsid w:val="00CF12C3"/>
    <w:rsid w:val="00CF49A8"/>
    <w:rsid w:val="00D30589"/>
    <w:rsid w:val="00D70D18"/>
    <w:rsid w:val="00D76D40"/>
    <w:rsid w:val="00DA6A95"/>
    <w:rsid w:val="00DC6824"/>
    <w:rsid w:val="00DE712B"/>
    <w:rsid w:val="00E021F4"/>
    <w:rsid w:val="00E25C3F"/>
    <w:rsid w:val="00E260EA"/>
    <w:rsid w:val="00E304C4"/>
    <w:rsid w:val="00E42013"/>
    <w:rsid w:val="00E5009F"/>
    <w:rsid w:val="00E57949"/>
    <w:rsid w:val="00E6429C"/>
    <w:rsid w:val="00EA0F16"/>
    <w:rsid w:val="00EA16FC"/>
    <w:rsid w:val="00EA1848"/>
    <w:rsid w:val="00EB2503"/>
    <w:rsid w:val="00EB60EC"/>
    <w:rsid w:val="00EC721A"/>
    <w:rsid w:val="00ED0D3D"/>
    <w:rsid w:val="00EF1373"/>
    <w:rsid w:val="00F05F66"/>
    <w:rsid w:val="00F06AF6"/>
    <w:rsid w:val="00F10C42"/>
    <w:rsid w:val="00F1323F"/>
    <w:rsid w:val="00F2722F"/>
    <w:rsid w:val="00F34782"/>
    <w:rsid w:val="00F57CD6"/>
    <w:rsid w:val="00F744CB"/>
    <w:rsid w:val="00FA071C"/>
    <w:rsid w:val="00FB1FC3"/>
    <w:rsid w:val="00FB7A27"/>
    <w:rsid w:val="00FC06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B2769"/>
  <w15:chartTrackingRefBased/>
  <w15:docId w15:val="{AFB2D4F7-5821-4058-B87A-F9599A134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5C9"/>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0000E4"/>
    <w:pPr>
      <w:keepNext/>
      <w:keepLines/>
      <w:spacing w:before="240" w:after="0" w:line="240" w:lineRule="auto"/>
      <w:ind w:firstLine="0"/>
      <w:jc w:val="left"/>
      <w:outlineLvl w:val="0"/>
    </w:pPr>
    <w:rPr>
      <w:rFonts w:eastAsiaTheme="majorEastAsia" w:cstheme="majorBidi"/>
      <w:b/>
      <w:i/>
      <w:iCs/>
      <w:color w:val="000000" w:themeColor="text1"/>
      <w:szCs w:val="32"/>
    </w:rPr>
  </w:style>
  <w:style w:type="paragraph" w:styleId="Heading2">
    <w:name w:val="heading 2"/>
    <w:basedOn w:val="Normal"/>
    <w:next w:val="Normal"/>
    <w:link w:val="Heading2Char"/>
    <w:autoRedefine/>
    <w:uiPriority w:val="9"/>
    <w:unhideWhenUsed/>
    <w:qFormat/>
    <w:rsid w:val="00E6429C"/>
    <w:pPr>
      <w:keepNext/>
      <w:keepLines/>
      <w:ind w:firstLine="0"/>
      <w:outlineLvl w:val="1"/>
    </w:pPr>
    <w:rPr>
      <w:rFonts w:eastAsiaTheme="majorEastAsia" w:cstheme="majorBidi"/>
      <w:bCs/>
      <w:i/>
      <w:szCs w:val="26"/>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ind w:firstLine="0"/>
      <w:outlineLvl w:val="2"/>
    </w:pPr>
    <w:rPr>
      <w:rFonts w:eastAsiaTheme="majorEastAsia" w:cstheme="majorBidi"/>
      <w:b/>
      <w:szCs w:val="24"/>
    </w:rPr>
  </w:style>
  <w:style w:type="paragraph" w:styleId="Heading5">
    <w:name w:val="heading 5"/>
    <w:basedOn w:val="Normal"/>
    <w:next w:val="Normal"/>
    <w:link w:val="Heading5Char"/>
    <w:uiPriority w:val="9"/>
    <w:semiHidden/>
    <w:unhideWhenUsed/>
    <w:qFormat/>
    <w:rsid w:val="00C82B5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2B5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0E4"/>
    <w:rPr>
      <w:rFonts w:ascii="Times New Roman" w:eastAsiaTheme="majorEastAsia" w:hAnsi="Times New Roman" w:cstheme="majorBidi"/>
      <w:b/>
      <w:i/>
      <w:iCs/>
      <w:color w:val="000000" w:themeColor="text1"/>
      <w:sz w:val="24"/>
      <w:szCs w:val="32"/>
    </w:rPr>
  </w:style>
  <w:style w:type="character" w:customStyle="1" w:styleId="Heading2Char">
    <w:name w:val="Heading 2 Char"/>
    <w:basedOn w:val="DefaultParagraphFont"/>
    <w:link w:val="Heading2"/>
    <w:uiPriority w:val="9"/>
    <w:rsid w:val="00E6429C"/>
    <w:rPr>
      <w:rFonts w:ascii="Times New Roman" w:eastAsiaTheme="majorEastAsia" w:hAnsi="Times New Roman" w:cstheme="majorBidi"/>
      <w:bCs/>
      <w:i/>
      <w:sz w:val="24"/>
      <w:szCs w:val="26"/>
      <w:lang w:eastAsia="en-GB"/>
    </w:rPr>
  </w:style>
  <w:style w:type="paragraph" w:styleId="TOC1">
    <w:name w:val="toc 1"/>
    <w:basedOn w:val="Normal"/>
    <w:next w:val="Normal"/>
    <w:autoRedefine/>
    <w:uiPriority w:val="39"/>
    <w:unhideWhenUsed/>
    <w:qFormat/>
    <w:rsid w:val="006E25C9"/>
    <w:pPr>
      <w:spacing w:before="0" w:after="100" w:line="259" w:lineRule="auto"/>
      <w:ind w:firstLine="0"/>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8B40FE"/>
    <w:pPr>
      <w:spacing w:before="100" w:beforeAutospacing="1" w:after="100" w:afterAutospacing="1" w:line="240" w:lineRule="auto"/>
      <w:ind w:firstLine="0"/>
      <w:jc w:val="left"/>
    </w:pPr>
    <w:rPr>
      <w:rFonts w:eastAsia="Times New Roman" w:cs="Times New Roman"/>
      <w:szCs w:val="24"/>
      <w:lang w:eastAsia="en-GB"/>
    </w:rPr>
  </w:style>
  <w:style w:type="character" w:styleId="Strong">
    <w:name w:val="Strong"/>
    <w:basedOn w:val="DefaultParagraphFont"/>
    <w:uiPriority w:val="22"/>
    <w:qFormat/>
    <w:rsid w:val="008B40FE"/>
    <w:rPr>
      <w:b/>
      <w:bCs/>
    </w:rPr>
  </w:style>
  <w:style w:type="paragraph" w:styleId="TOCHeading">
    <w:name w:val="TOC Heading"/>
    <w:basedOn w:val="Heading1"/>
    <w:next w:val="Normal"/>
    <w:uiPriority w:val="39"/>
    <w:unhideWhenUsed/>
    <w:qFormat/>
    <w:rsid w:val="004761B4"/>
    <w:pPr>
      <w:spacing w:line="259" w:lineRule="auto"/>
      <w:outlineLvl w:val="9"/>
    </w:pPr>
    <w:rPr>
      <w:rFonts w:asciiTheme="majorHAnsi" w:hAnsiTheme="majorHAnsi"/>
      <w:b w:val="0"/>
      <w:i w:val="0"/>
      <w:iCs w:val="0"/>
      <w:color w:val="2F5496" w:themeColor="accent1" w:themeShade="BF"/>
      <w:sz w:val="32"/>
      <w:lang w:val="en-US"/>
    </w:rPr>
  </w:style>
  <w:style w:type="paragraph" w:styleId="TOC2">
    <w:name w:val="toc 2"/>
    <w:basedOn w:val="Normal"/>
    <w:next w:val="Normal"/>
    <w:autoRedefine/>
    <w:uiPriority w:val="39"/>
    <w:unhideWhenUsed/>
    <w:rsid w:val="004761B4"/>
    <w:pPr>
      <w:spacing w:after="100"/>
      <w:ind w:left="240"/>
    </w:pPr>
  </w:style>
  <w:style w:type="character" w:styleId="Hyperlink">
    <w:name w:val="Hyperlink"/>
    <w:basedOn w:val="DefaultParagraphFont"/>
    <w:uiPriority w:val="99"/>
    <w:unhideWhenUsed/>
    <w:rsid w:val="004761B4"/>
    <w:rPr>
      <w:color w:val="0563C1" w:themeColor="hyperlink"/>
      <w:u w:val="single"/>
    </w:rPr>
  </w:style>
  <w:style w:type="character" w:customStyle="1" w:styleId="Heading5Char">
    <w:name w:val="Heading 5 Char"/>
    <w:basedOn w:val="DefaultParagraphFont"/>
    <w:link w:val="Heading5"/>
    <w:uiPriority w:val="9"/>
    <w:semiHidden/>
    <w:rsid w:val="00C82B52"/>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C82B52"/>
    <w:rPr>
      <w:rFonts w:asciiTheme="majorHAnsi" w:eastAsiaTheme="majorEastAsia" w:hAnsiTheme="majorHAnsi" w:cstheme="majorBidi"/>
      <w:color w:val="1F3763" w:themeColor="accent1" w:themeShade="7F"/>
      <w:sz w:val="24"/>
    </w:rPr>
  </w:style>
  <w:style w:type="character" w:styleId="CommentReference">
    <w:name w:val="annotation reference"/>
    <w:basedOn w:val="DefaultParagraphFont"/>
    <w:uiPriority w:val="99"/>
    <w:semiHidden/>
    <w:unhideWhenUsed/>
    <w:rsid w:val="00334D60"/>
    <w:rPr>
      <w:sz w:val="16"/>
      <w:szCs w:val="16"/>
    </w:rPr>
  </w:style>
  <w:style w:type="paragraph" w:styleId="CommentText">
    <w:name w:val="annotation text"/>
    <w:basedOn w:val="Normal"/>
    <w:link w:val="CommentTextChar"/>
    <w:uiPriority w:val="99"/>
    <w:semiHidden/>
    <w:unhideWhenUsed/>
    <w:rsid w:val="00334D60"/>
    <w:pPr>
      <w:spacing w:line="240" w:lineRule="auto"/>
    </w:pPr>
    <w:rPr>
      <w:sz w:val="20"/>
      <w:szCs w:val="20"/>
    </w:rPr>
  </w:style>
  <w:style w:type="character" w:customStyle="1" w:styleId="CommentTextChar">
    <w:name w:val="Comment Text Char"/>
    <w:basedOn w:val="DefaultParagraphFont"/>
    <w:link w:val="CommentText"/>
    <w:uiPriority w:val="99"/>
    <w:semiHidden/>
    <w:rsid w:val="00334D6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34D60"/>
    <w:rPr>
      <w:b/>
      <w:bCs/>
    </w:rPr>
  </w:style>
  <w:style w:type="character" w:customStyle="1" w:styleId="CommentSubjectChar">
    <w:name w:val="Comment Subject Char"/>
    <w:basedOn w:val="CommentTextChar"/>
    <w:link w:val="CommentSubject"/>
    <w:uiPriority w:val="99"/>
    <w:semiHidden/>
    <w:rsid w:val="00334D60"/>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983875">
      <w:bodyDiv w:val="1"/>
      <w:marLeft w:val="0"/>
      <w:marRight w:val="0"/>
      <w:marTop w:val="0"/>
      <w:marBottom w:val="0"/>
      <w:divBdr>
        <w:top w:val="none" w:sz="0" w:space="0" w:color="auto"/>
        <w:left w:val="none" w:sz="0" w:space="0" w:color="auto"/>
        <w:bottom w:val="none" w:sz="0" w:space="0" w:color="auto"/>
        <w:right w:val="none" w:sz="0" w:space="0" w:color="auto"/>
      </w:divBdr>
    </w:div>
    <w:div w:id="306517108">
      <w:bodyDiv w:val="1"/>
      <w:marLeft w:val="0"/>
      <w:marRight w:val="0"/>
      <w:marTop w:val="0"/>
      <w:marBottom w:val="0"/>
      <w:divBdr>
        <w:top w:val="none" w:sz="0" w:space="0" w:color="auto"/>
        <w:left w:val="none" w:sz="0" w:space="0" w:color="auto"/>
        <w:bottom w:val="none" w:sz="0" w:space="0" w:color="auto"/>
        <w:right w:val="none" w:sz="0" w:space="0" w:color="auto"/>
      </w:divBdr>
    </w:div>
    <w:div w:id="619848479">
      <w:bodyDiv w:val="1"/>
      <w:marLeft w:val="0"/>
      <w:marRight w:val="0"/>
      <w:marTop w:val="0"/>
      <w:marBottom w:val="0"/>
      <w:divBdr>
        <w:top w:val="none" w:sz="0" w:space="0" w:color="auto"/>
        <w:left w:val="none" w:sz="0" w:space="0" w:color="auto"/>
        <w:bottom w:val="none" w:sz="0" w:space="0" w:color="auto"/>
        <w:right w:val="none" w:sz="0" w:space="0" w:color="auto"/>
      </w:divBdr>
    </w:div>
    <w:div w:id="1360735507">
      <w:bodyDiv w:val="1"/>
      <w:marLeft w:val="0"/>
      <w:marRight w:val="0"/>
      <w:marTop w:val="0"/>
      <w:marBottom w:val="0"/>
      <w:divBdr>
        <w:top w:val="none" w:sz="0" w:space="0" w:color="auto"/>
        <w:left w:val="none" w:sz="0" w:space="0" w:color="auto"/>
        <w:bottom w:val="none" w:sz="0" w:space="0" w:color="auto"/>
        <w:right w:val="none" w:sz="0" w:space="0" w:color="auto"/>
      </w:divBdr>
    </w:div>
    <w:div w:id="1378047012">
      <w:bodyDiv w:val="1"/>
      <w:marLeft w:val="0"/>
      <w:marRight w:val="0"/>
      <w:marTop w:val="0"/>
      <w:marBottom w:val="0"/>
      <w:divBdr>
        <w:top w:val="none" w:sz="0" w:space="0" w:color="auto"/>
        <w:left w:val="none" w:sz="0" w:space="0" w:color="auto"/>
        <w:bottom w:val="none" w:sz="0" w:space="0" w:color="auto"/>
        <w:right w:val="none" w:sz="0" w:space="0" w:color="auto"/>
      </w:divBdr>
    </w:div>
    <w:div w:id="1612784217">
      <w:bodyDiv w:val="1"/>
      <w:marLeft w:val="0"/>
      <w:marRight w:val="0"/>
      <w:marTop w:val="0"/>
      <w:marBottom w:val="0"/>
      <w:divBdr>
        <w:top w:val="none" w:sz="0" w:space="0" w:color="auto"/>
        <w:left w:val="none" w:sz="0" w:space="0" w:color="auto"/>
        <w:bottom w:val="none" w:sz="0" w:space="0" w:color="auto"/>
        <w:right w:val="none" w:sz="0" w:space="0" w:color="auto"/>
      </w:divBdr>
    </w:div>
    <w:div w:id="1810517226">
      <w:bodyDiv w:val="1"/>
      <w:marLeft w:val="0"/>
      <w:marRight w:val="0"/>
      <w:marTop w:val="0"/>
      <w:marBottom w:val="0"/>
      <w:divBdr>
        <w:top w:val="none" w:sz="0" w:space="0" w:color="auto"/>
        <w:left w:val="none" w:sz="0" w:space="0" w:color="auto"/>
        <w:bottom w:val="none" w:sz="0" w:space="0" w:color="auto"/>
        <w:right w:val="none" w:sz="0" w:space="0" w:color="auto"/>
      </w:divBdr>
      <w:divsChild>
        <w:div w:id="304822409">
          <w:marLeft w:val="0"/>
          <w:marRight w:val="0"/>
          <w:marTop w:val="0"/>
          <w:marBottom w:val="0"/>
          <w:divBdr>
            <w:top w:val="none" w:sz="0" w:space="0" w:color="auto"/>
            <w:left w:val="none" w:sz="0" w:space="0" w:color="auto"/>
            <w:bottom w:val="none" w:sz="0" w:space="0" w:color="auto"/>
            <w:right w:val="none" w:sz="0" w:space="0" w:color="auto"/>
          </w:divBdr>
          <w:divsChild>
            <w:div w:id="1427187258">
              <w:marLeft w:val="0"/>
              <w:marRight w:val="0"/>
              <w:marTop w:val="0"/>
              <w:marBottom w:val="0"/>
              <w:divBdr>
                <w:top w:val="none" w:sz="0" w:space="0" w:color="auto"/>
                <w:left w:val="none" w:sz="0" w:space="0" w:color="auto"/>
                <w:bottom w:val="none" w:sz="0" w:space="0" w:color="auto"/>
                <w:right w:val="none" w:sz="0" w:space="0" w:color="auto"/>
              </w:divBdr>
              <w:divsChild>
                <w:div w:id="736559189">
                  <w:marLeft w:val="0"/>
                  <w:marRight w:val="0"/>
                  <w:marTop w:val="0"/>
                  <w:marBottom w:val="0"/>
                  <w:divBdr>
                    <w:top w:val="none" w:sz="0" w:space="0" w:color="auto"/>
                    <w:left w:val="none" w:sz="0" w:space="0" w:color="auto"/>
                    <w:bottom w:val="none" w:sz="0" w:space="0" w:color="auto"/>
                    <w:right w:val="none" w:sz="0" w:space="0" w:color="auto"/>
                  </w:divBdr>
                  <w:divsChild>
                    <w:div w:id="876969060">
                      <w:marLeft w:val="0"/>
                      <w:marRight w:val="0"/>
                      <w:marTop w:val="0"/>
                      <w:marBottom w:val="0"/>
                      <w:divBdr>
                        <w:top w:val="none" w:sz="0" w:space="0" w:color="auto"/>
                        <w:left w:val="none" w:sz="0" w:space="0" w:color="auto"/>
                        <w:bottom w:val="none" w:sz="0" w:space="0" w:color="auto"/>
                        <w:right w:val="none" w:sz="0" w:space="0" w:color="auto"/>
                      </w:divBdr>
                      <w:divsChild>
                        <w:div w:id="100805156">
                          <w:marLeft w:val="0"/>
                          <w:marRight w:val="0"/>
                          <w:marTop w:val="0"/>
                          <w:marBottom w:val="0"/>
                          <w:divBdr>
                            <w:top w:val="none" w:sz="0" w:space="0" w:color="auto"/>
                            <w:left w:val="none" w:sz="0" w:space="0" w:color="auto"/>
                            <w:bottom w:val="none" w:sz="0" w:space="0" w:color="auto"/>
                            <w:right w:val="none" w:sz="0" w:space="0" w:color="auto"/>
                          </w:divBdr>
                          <w:divsChild>
                            <w:div w:id="1803577408">
                              <w:marLeft w:val="0"/>
                              <w:marRight w:val="0"/>
                              <w:marTop w:val="0"/>
                              <w:marBottom w:val="0"/>
                              <w:divBdr>
                                <w:top w:val="none" w:sz="0" w:space="0" w:color="auto"/>
                                <w:left w:val="none" w:sz="0" w:space="0" w:color="auto"/>
                                <w:bottom w:val="none" w:sz="0" w:space="0" w:color="auto"/>
                                <w:right w:val="none" w:sz="0" w:space="0" w:color="auto"/>
                              </w:divBdr>
                              <w:divsChild>
                                <w:div w:id="1167597626">
                                  <w:marLeft w:val="0"/>
                                  <w:marRight w:val="0"/>
                                  <w:marTop w:val="0"/>
                                  <w:marBottom w:val="0"/>
                                  <w:divBdr>
                                    <w:top w:val="none" w:sz="0" w:space="0" w:color="auto"/>
                                    <w:left w:val="none" w:sz="0" w:space="0" w:color="auto"/>
                                    <w:bottom w:val="none" w:sz="0" w:space="0" w:color="auto"/>
                                    <w:right w:val="none" w:sz="0" w:space="0" w:color="auto"/>
                                  </w:divBdr>
                                  <w:divsChild>
                                    <w:div w:id="179486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2265328">
          <w:marLeft w:val="0"/>
          <w:marRight w:val="0"/>
          <w:marTop w:val="0"/>
          <w:marBottom w:val="0"/>
          <w:divBdr>
            <w:top w:val="none" w:sz="0" w:space="0" w:color="auto"/>
            <w:left w:val="none" w:sz="0" w:space="0" w:color="auto"/>
            <w:bottom w:val="none" w:sz="0" w:space="0" w:color="auto"/>
            <w:right w:val="none" w:sz="0" w:space="0" w:color="auto"/>
          </w:divBdr>
          <w:divsChild>
            <w:div w:id="259722029">
              <w:marLeft w:val="0"/>
              <w:marRight w:val="0"/>
              <w:marTop w:val="0"/>
              <w:marBottom w:val="0"/>
              <w:divBdr>
                <w:top w:val="none" w:sz="0" w:space="0" w:color="auto"/>
                <w:left w:val="none" w:sz="0" w:space="0" w:color="auto"/>
                <w:bottom w:val="none" w:sz="0" w:space="0" w:color="auto"/>
                <w:right w:val="none" w:sz="0" w:space="0" w:color="auto"/>
              </w:divBdr>
              <w:divsChild>
                <w:div w:id="1385376611">
                  <w:marLeft w:val="0"/>
                  <w:marRight w:val="0"/>
                  <w:marTop w:val="0"/>
                  <w:marBottom w:val="0"/>
                  <w:divBdr>
                    <w:top w:val="none" w:sz="0" w:space="0" w:color="auto"/>
                    <w:left w:val="none" w:sz="0" w:space="0" w:color="auto"/>
                    <w:bottom w:val="none" w:sz="0" w:space="0" w:color="auto"/>
                    <w:right w:val="none" w:sz="0" w:space="0" w:color="auto"/>
                  </w:divBdr>
                  <w:divsChild>
                    <w:div w:id="1551377069">
                      <w:marLeft w:val="0"/>
                      <w:marRight w:val="0"/>
                      <w:marTop w:val="0"/>
                      <w:marBottom w:val="0"/>
                      <w:divBdr>
                        <w:top w:val="none" w:sz="0" w:space="0" w:color="auto"/>
                        <w:left w:val="none" w:sz="0" w:space="0" w:color="auto"/>
                        <w:bottom w:val="none" w:sz="0" w:space="0" w:color="auto"/>
                        <w:right w:val="none" w:sz="0" w:space="0" w:color="auto"/>
                      </w:divBdr>
                      <w:divsChild>
                        <w:div w:id="743525293">
                          <w:marLeft w:val="0"/>
                          <w:marRight w:val="0"/>
                          <w:marTop w:val="0"/>
                          <w:marBottom w:val="0"/>
                          <w:divBdr>
                            <w:top w:val="none" w:sz="0" w:space="0" w:color="auto"/>
                            <w:left w:val="none" w:sz="0" w:space="0" w:color="auto"/>
                            <w:bottom w:val="none" w:sz="0" w:space="0" w:color="auto"/>
                            <w:right w:val="none" w:sz="0" w:space="0" w:color="auto"/>
                          </w:divBdr>
                          <w:divsChild>
                            <w:div w:id="470174429">
                              <w:marLeft w:val="0"/>
                              <w:marRight w:val="0"/>
                              <w:marTop w:val="0"/>
                              <w:marBottom w:val="0"/>
                              <w:divBdr>
                                <w:top w:val="none" w:sz="0" w:space="0" w:color="auto"/>
                                <w:left w:val="none" w:sz="0" w:space="0" w:color="auto"/>
                                <w:bottom w:val="none" w:sz="0" w:space="0" w:color="auto"/>
                                <w:right w:val="none" w:sz="0" w:space="0" w:color="auto"/>
                              </w:divBdr>
                              <w:divsChild>
                                <w:div w:id="1147630260">
                                  <w:marLeft w:val="0"/>
                                  <w:marRight w:val="0"/>
                                  <w:marTop w:val="0"/>
                                  <w:marBottom w:val="0"/>
                                  <w:divBdr>
                                    <w:top w:val="none" w:sz="0" w:space="0" w:color="auto"/>
                                    <w:left w:val="none" w:sz="0" w:space="0" w:color="auto"/>
                                    <w:bottom w:val="none" w:sz="0" w:space="0" w:color="auto"/>
                                    <w:right w:val="none" w:sz="0" w:space="0" w:color="auto"/>
                                  </w:divBdr>
                                  <w:divsChild>
                                    <w:div w:id="1485585234">
                                      <w:marLeft w:val="0"/>
                                      <w:marRight w:val="0"/>
                                      <w:marTop w:val="0"/>
                                      <w:marBottom w:val="0"/>
                                      <w:divBdr>
                                        <w:top w:val="none" w:sz="0" w:space="0" w:color="auto"/>
                                        <w:left w:val="none" w:sz="0" w:space="0" w:color="auto"/>
                                        <w:bottom w:val="none" w:sz="0" w:space="0" w:color="auto"/>
                                        <w:right w:val="none" w:sz="0" w:space="0" w:color="auto"/>
                                      </w:divBdr>
                                      <w:divsChild>
                                        <w:div w:id="1324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4152125">
          <w:marLeft w:val="0"/>
          <w:marRight w:val="0"/>
          <w:marTop w:val="0"/>
          <w:marBottom w:val="0"/>
          <w:divBdr>
            <w:top w:val="none" w:sz="0" w:space="0" w:color="auto"/>
            <w:left w:val="none" w:sz="0" w:space="0" w:color="auto"/>
            <w:bottom w:val="none" w:sz="0" w:space="0" w:color="auto"/>
            <w:right w:val="none" w:sz="0" w:space="0" w:color="auto"/>
          </w:divBdr>
          <w:divsChild>
            <w:div w:id="2071928203">
              <w:marLeft w:val="0"/>
              <w:marRight w:val="0"/>
              <w:marTop w:val="0"/>
              <w:marBottom w:val="0"/>
              <w:divBdr>
                <w:top w:val="none" w:sz="0" w:space="0" w:color="auto"/>
                <w:left w:val="none" w:sz="0" w:space="0" w:color="auto"/>
                <w:bottom w:val="none" w:sz="0" w:space="0" w:color="auto"/>
                <w:right w:val="none" w:sz="0" w:space="0" w:color="auto"/>
              </w:divBdr>
              <w:divsChild>
                <w:div w:id="207691114">
                  <w:marLeft w:val="0"/>
                  <w:marRight w:val="0"/>
                  <w:marTop w:val="0"/>
                  <w:marBottom w:val="0"/>
                  <w:divBdr>
                    <w:top w:val="none" w:sz="0" w:space="0" w:color="auto"/>
                    <w:left w:val="none" w:sz="0" w:space="0" w:color="auto"/>
                    <w:bottom w:val="none" w:sz="0" w:space="0" w:color="auto"/>
                    <w:right w:val="none" w:sz="0" w:space="0" w:color="auto"/>
                  </w:divBdr>
                  <w:divsChild>
                    <w:div w:id="1795905913">
                      <w:marLeft w:val="0"/>
                      <w:marRight w:val="0"/>
                      <w:marTop w:val="0"/>
                      <w:marBottom w:val="0"/>
                      <w:divBdr>
                        <w:top w:val="none" w:sz="0" w:space="0" w:color="auto"/>
                        <w:left w:val="none" w:sz="0" w:space="0" w:color="auto"/>
                        <w:bottom w:val="none" w:sz="0" w:space="0" w:color="auto"/>
                        <w:right w:val="none" w:sz="0" w:space="0" w:color="auto"/>
                      </w:divBdr>
                      <w:divsChild>
                        <w:div w:id="417140473">
                          <w:marLeft w:val="0"/>
                          <w:marRight w:val="0"/>
                          <w:marTop w:val="0"/>
                          <w:marBottom w:val="0"/>
                          <w:divBdr>
                            <w:top w:val="none" w:sz="0" w:space="0" w:color="auto"/>
                            <w:left w:val="none" w:sz="0" w:space="0" w:color="auto"/>
                            <w:bottom w:val="none" w:sz="0" w:space="0" w:color="auto"/>
                            <w:right w:val="none" w:sz="0" w:space="0" w:color="auto"/>
                          </w:divBdr>
                          <w:divsChild>
                            <w:div w:id="1761901287">
                              <w:marLeft w:val="0"/>
                              <w:marRight w:val="0"/>
                              <w:marTop w:val="0"/>
                              <w:marBottom w:val="0"/>
                              <w:divBdr>
                                <w:top w:val="none" w:sz="0" w:space="0" w:color="auto"/>
                                <w:left w:val="none" w:sz="0" w:space="0" w:color="auto"/>
                                <w:bottom w:val="none" w:sz="0" w:space="0" w:color="auto"/>
                                <w:right w:val="none" w:sz="0" w:space="0" w:color="auto"/>
                              </w:divBdr>
                              <w:divsChild>
                                <w:div w:id="1035010207">
                                  <w:marLeft w:val="0"/>
                                  <w:marRight w:val="0"/>
                                  <w:marTop w:val="0"/>
                                  <w:marBottom w:val="0"/>
                                  <w:divBdr>
                                    <w:top w:val="none" w:sz="0" w:space="0" w:color="auto"/>
                                    <w:left w:val="none" w:sz="0" w:space="0" w:color="auto"/>
                                    <w:bottom w:val="none" w:sz="0" w:space="0" w:color="auto"/>
                                    <w:right w:val="none" w:sz="0" w:space="0" w:color="auto"/>
                                  </w:divBdr>
                                  <w:divsChild>
                                    <w:div w:id="120456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0120542">
      <w:bodyDiv w:val="1"/>
      <w:marLeft w:val="0"/>
      <w:marRight w:val="0"/>
      <w:marTop w:val="0"/>
      <w:marBottom w:val="0"/>
      <w:divBdr>
        <w:top w:val="none" w:sz="0" w:space="0" w:color="auto"/>
        <w:left w:val="none" w:sz="0" w:space="0" w:color="auto"/>
        <w:bottom w:val="none" w:sz="0" w:space="0" w:color="auto"/>
        <w:right w:val="none" w:sz="0" w:space="0" w:color="auto"/>
      </w:divBdr>
    </w:div>
    <w:div w:id="1925140070">
      <w:bodyDiv w:val="1"/>
      <w:marLeft w:val="0"/>
      <w:marRight w:val="0"/>
      <w:marTop w:val="0"/>
      <w:marBottom w:val="0"/>
      <w:divBdr>
        <w:top w:val="none" w:sz="0" w:space="0" w:color="auto"/>
        <w:left w:val="none" w:sz="0" w:space="0" w:color="auto"/>
        <w:bottom w:val="none" w:sz="0" w:space="0" w:color="auto"/>
        <w:right w:val="none" w:sz="0" w:space="0" w:color="auto"/>
      </w:divBdr>
    </w:div>
    <w:div w:id="1949072383">
      <w:bodyDiv w:val="1"/>
      <w:marLeft w:val="0"/>
      <w:marRight w:val="0"/>
      <w:marTop w:val="0"/>
      <w:marBottom w:val="0"/>
      <w:divBdr>
        <w:top w:val="none" w:sz="0" w:space="0" w:color="auto"/>
        <w:left w:val="none" w:sz="0" w:space="0" w:color="auto"/>
        <w:bottom w:val="none" w:sz="0" w:space="0" w:color="auto"/>
        <w:right w:val="none" w:sz="0" w:space="0" w:color="auto"/>
      </w:divBdr>
    </w:div>
    <w:div w:id="2011446428">
      <w:bodyDiv w:val="1"/>
      <w:marLeft w:val="0"/>
      <w:marRight w:val="0"/>
      <w:marTop w:val="0"/>
      <w:marBottom w:val="0"/>
      <w:divBdr>
        <w:top w:val="none" w:sz="0" w:space="0" w:color="auto"/>
        <w:left w:val="none" w:sz="0" w:space="0" w:color="auto"/>
        <w:bottom w:val="none" w:sz="0" w:space="0" w:color="auto"/>
        <w:right w:val="none" w:sz="0" w:space="0" w:color="auto"/>
      </w:divBdr>
    </w:div>
    <w:div w:id="2016954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981389.2024.2333744" TargetMode="External"/><Relationship Id="rId13" Type="http://schemas.openxmlformats.org/officeDocument/2006/relationships/hyperlink" Target="https://doi.org/10.3390/healthcare801002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10728-016-0335-1" TargetMode="External"/><Relationship Id="rId12" Type="http://schemas.openxmlformats.org/officeDocument/2006/relationships/hyperlink" Target="https://doi.org/10.1016/j.socscimed.2020.113254" TargetMode="External"/><Relationship Id="rId17" Type="http://schemas.openxmlformats.org/officeDocument/2006/relationships/hyperlink" Target="https://doi.org/10.1093/bjsw/bcx154" TargetMode="External"/><Relationship Id="rId2" Type="http://schemas.openxmlformats.org/officeDocument/2006/relationships/styles" Target="styles.xml"/><Relationship Id="rId16" Type="http://schemas.openxmlformats.org/officeDocument/2006/relationships/hyperlink" Target="https://pmc.ncbi.nlm.nih.gov/articles/PMC6137624/" TargetMode="External"/><Relationship Id="rId1" Type="http://schemas.openxmlformats.org/officeDocument/2006/relationships/customXml" Target="../customXml/item1.xml"/><Relationship Id="rId6" Type="http://schemas.openxmlformats.org/officeDocument/2006/relationships/hyperlink" Target="https://doi.org/10.1186/s12913-021-06946-8" TargetMode="External"/><Relationship Id="rId11" Type="http://schemas.openxmlformats.org/officeDocument/2006/relationships/hyperlink" Target="https://doi.org/10.1111/jocn.14710" TargetMode="External"/><Relationship Id="rId5" Type="http://schemas.openxmlformats.org/officeDocument/2006/relationships/hyperlink" Target="https://www.ejmds.com/download/the-role-of-health-services-regulation-in-hea" TargetMode="External"/><Relationship Id="rId15" Type="http://schemas.openxmlformats.org/officeDocument/2006/relationships/hyperlink" Target="https://doi.org/10.1016/j.ienj.2019.05.003" TargetMode="External"/><Relationship Id="rId10" Type="http://schemas.openxmlformats.org/officeDocument/2006/relationships/hyperlink" Target="https://doi.org/10.1007/s10459-017-9778-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ew.basw.co.uk/sites/default/files/resources/Social%20Work%20Regulation%20-%20" TargetMode="External"/><Relationship Id="rId14" Type="http://schemas.openxmlformats.org/officeDocument/2006/relationships/hyperlink" Target="https://doi.org/10.1186/s12877-020-0167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7A8AD-7D7A-48E0-934E-461855408A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2332</Words>
  <Characters>13297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Moise Vosso</cp:lastModifiedBy>
  <cp:revision>2</cp:revision>
  <dcterms:created xsi:type="dcterms:W3CDTF">2025-07-25T10:14:00Z</dcterms:created>
  <dcterms:modified xsi:type="dcterms:W3CDTF">2025-07-25T10:14:00Z</dcterms:modified>
</cp:coreProperties>
</file>