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64E5AD" w14:textId="77777777" w:rsidR="00B51A43" w:rsidRDefault="00B51A43" w:rsidP="00B51A43"/>
    <w:p w14:paraId="5ECC1907" w14:textId="77777777" w:rsidR="00B51A43" w:rsidRDefault="00B51A43" w:rsidP="00B51A43">
      <w:pPr>
        <w:jc w:val="center"/>
      </w:pPr>
      <w:r w:rsidRPr="00E40036">
        <w:rPr>
          <w:noProof/>
          <w:lang w:eastAsia="en-GB"/>
        </w:rPr>
        <w:drawing>
          <wp:inline distT="0" distB="0" distL="0" distR="0" wp14:anchorId="5798B737" wp14:editId="18B9A87A">
            <wp:extent cx="5455285" cy="1546689"/>
            <wp:effectExtent l="0" t="0" r="0" b="0"/>
            <wp:docPr id="65067513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75134" name="Picture 1" descr="A close-up of a sign&#10;&#10;Description automatically generated"/>
                    <pic:cNvPicPr/>
                  </pic:nvPicPr>
                  <pic:blipFill>
                    <a:blip r:embed="rId7"/>
                    <a:stretch>
                      <a:fillRect/>
                    </a:stretch>
                  </pic:blipFill>
                  <pic:spPr>
                    <a:xfrm>
                      <a:off x="0" y="0"/>
                      <a:ext cx="5467577" cy="1550174"/>
                    </a:xfrm>
                    <a:prstGeom prst="rect">
                      <a:avLst/>
                    </a:prstGeom>
                  </pic:spPr>
                </pic:pic>
              </a:graphicData>
            </a:graphic>
          </wp:inline>
        </w:drawing>
      </w:r>
    </w:p>
    <w:p w14:paraId="56E9130F" w14:textId="77777777" w:rsidR="00B51A43" w:rsidRPr="00E40036" w:rsidRDefault="00B51A43" w:rsidP="00B51A43">
      <w:pPr>
        <w:jc w:val="center"/>
        <w:rPr>
          <w:b/>
          <w:bCs/>
          <w:sz w:val="48"/>
          <w:szCs w:val="48"/>
        </w:rPr>
      </w:pPr>
    </w:p>
    <w:p w14:paraId="468D0768" w14:textId="77777777" w:rsidR="00B51A43" w:rsidRPr="0089039D" w:rsidRDefault="00B51A43" w:rsidP="00B51A43">
      <w:pPr>
        <w:jc w:val="center"/>
        <w:rPr>
          <w:rFonts w:ascii="Times New Roman" w:hAnsi="Times New Roman" w:cs="Times New Roman"/>
          <w:b/>
          <w:bCs/>
          <w:sz w:val="44"/>
          <w:szCs w:val="48"/>
        </w:rPr>
      </w:pPr>
      <w:r w:rsidRPr="0089039D">
        <w:rPr>
          <w:rFonts w:ascii="Times New Roman" w:hAnsi="Times New Roman" w:cs="Times New Roman"/>
          <w:b/>
          <w:bCs/>
          <w:sz w:val="44"/>
          <w:szCs w:val="48"/>
        </w:rPr>
        <w:t>LCMB 70</w:t>
      </w:r>
      <w:r>
        <w:rPr>
          <w:rFonts w:ascii="Times New Roman" w:hAnsi="Times New Roman" w:cs="Times New Roman"/>
          <w:b/>
          <w:bCs/>
          <w:sz w:val="44"/>
          <w:szCs w:val="48"/>
        </w:rPr>
        <w:t>02</w:t>
      </w:r>
      <w:r w:rsidRPr="0089039D">
        <w:rPr>
          <w:rFonts w:ascii="Times New Roman" w:hAnsi="Times New Roman" w:cs="Times New Roman"/>
          <w:b/>
          <w:bCs/>
          <w:sz w:val="44"/>
          <w:szCs w:val="48"/>
        </w:rPr>
        <w:t xml:space="preserve"> – </w:t>
      </w:r>
      <w:r>
        <w:rPr>
          <w:rFonts w:ascii="Times New Roman" w:hAnsi="Times New Roman" w:cs="Times New Roman"/>
          <w:b/>
          <w:bCs/>
          <w:sz w:val="44"/>
          <w:szCs w:val="48"/>
        </w:rPr>
        <w:t>Financial Management</w:t>
      </w:r>
    </w:p>
    <w:p w14:paraId="2B61FC45" w14:textId="77777777" w:rsidR="00B51A43" w:rsidRDefault="00B51A43" w:rsidP="00B51A43">
      <w:pPr>
        <w:jc w:val="center"/>
      </w:pPr>
    </w:p>
    <w:p w14:paraId="6917B496" w14:textId="77777777" w:rsidR="00B51A43" w:rsidRPr="007560F8" w:rsidRDefault="00B51A43" w:rsidP="00B51A43">
      <w:pPr>
        <w:jc w:val="center"/>
        <w:rPr>
          <w:b/>
          <w:bCs/>
          <w:sz w:val="44"/>
          <w:szCs w:val="44"/>
        </w:rPr>
      </w:pPr>
    </w:p>
    <w:p w14:paraId="4D77D04F" w14:textId="77777777" w:rsidR="00B51A43" w:rsidRPr="00FC76FE" w:rsidRDefault="00B51A43" w:rsidP="00B51A43">
      <w:pPr>
        <w:rPr>
          <w:rFonts w:ascii="Times New Roman" w:hAnsi="Times New Roman" w:cs="Times New Roman"/>
          <w:b/>
          <w:sz w:val="28"/>
        </w:rPr>
      </w:pPr>
      <w:r w:rsidRPr="00FC76FE">
        <w:rPr>
          <w:rFonts w:ascii="Times New Roman" w:hAnsi="Times New Roman" w:cs="Times New Roman"/>
          <w:b/>
          <w:sz w:val="28"/>
        </w:rPr>
        <w:t xml:space="preserve">Student name: </w:t>
      </w:r>
      <w:r>
        <w:rPr>
          <w:rFonts w:ascii="Times New Roman" w:hAnsi="Times New Roman" w:cs="Times New Roman"/>
          <w:b/>
          <w:sz w:val="28"/>
        </w:rPr>
        <w:t xml:space="preserve">Sakshi Yagneshbhai Soni </w:t>
      </w:r>
    </w:p>
    <w:p w14:paraId="087F3D2C" w14:textId="77777777" w:rsidR="00B51A43" w:rsidRPr="00FC76FE" w:rsidRDefault="00B51A43" w:rsidP="00B51A43">
      <w:pPr>
        <w:rPr>
          <w:rFonts w:ascii="Times New Roman" w:hAnsi="Times New Roman" w:cs="Times New Roman"/>
          <w:b/>
          <w:sz w:val="28"/>
        </w:rPr>
      </w:pPr>
    </w:p>
    <w:p w14:paraId="145A65A1" w14:textId="3A601199" w:rsidR="00B51A43" w:rsidRPr="00FC76FE" w:rsidRDefault="00B51A43" w:rsidP="00B51A43">
      <w:pPr>
        <w:rPr>
          <w:rFonts w:ascii="Times New Roman" w:hAnsi="Times New Roman" w:cs="Times New Roman"/>
          <w:b/>
          <w:sz w:val="28"/>
        </w:rPr>
      </w:pPr>
      <w:r w:rsidRPr="00FC76FE">
        <w:rPr>
          <w:rFonts w:ascii="Times New Roman" w:hAnsi="Times New Roman" w:cs="Times New Roman"/>
          <w:b/>
          <w:sz w:val="28"/>
        </w:rPr>
        <w:t xml:space="preserve">Student ID: </w:t>
      </w:r>
      <w:r>
        <w:rPr>
          <w:rFonts w:ascii="Times New Roman" w:hAnsi="Times New Roman" w:cs="Times New Roman"/>
          <w:b/>
          <w:sz w:val="28"/>
        </w:rPr>
        <w:t>232059</w:t>
      </w:r>
      <w:r w:rsidR="00091AD6">
        <w:rPr>
          <w:rFonts w:ascii="Times New Roman" w:hAnsi="Times New Roman" w:cs="Times New Roman"/>
          <w:b/>
          <w:sz w:val="28"/>
        </w:rPr>
        <w:t>2</w:t>
      </w:r>
    </w:p>
    <w:p w14:paraId="6AF97E25" w14:textId="77777777" w:rsidR="00B51A43" w:rsidRPr="00FC76FE" w:rsidRDefault="00B51A43" w:rsidP="00B51A43">
      <w:pPr>
        <w:rPr>
          <w:rFonts w:ascii="Times New Roman" w:hAnsi="Times New Roman" w:cs="Times New Roman"/>
          <w:b/>
          <w:sz w:val="28"/>
        </w:rPr>
      </w:pPr>
    </w:p>
    <w:p w14:paraId="0069352D" w14:textId="77777777" w:rsidR="00B51A43" w:rsidRPr="00FC76FE" w:rsidRDefault="00B51A43" w:rsidP="00B51A43">
      <w:pPr>
        <w:rPr>
          <w:rFonts w:ascii="Times New Roman" w:hAnsi="Times New Roman" w:cs="Times New Roman"/>
          <w:b/>
          <w:sz w:val="28"/>
        </w:rPr>
      </w:pPr>
      <w:r w:rsidRPr="00FC76FE">
        <w:rPr>
          <w:rFonts w:ascii="Times New Roman" w:hAnsi="Times New Roman" w:cs="Times New Roman"/>
          <w:b/>
          <w:sz w:val="28"/>
        </w:rPr>
        <w:t>Program: MBA- Master of Business Administration</w:t>
      </w:r>
    </w:p>
    <w:p w14:paraId="5F29A9D5" w14:textId="77777777" w:rsidR="00B51A43" w:rsidRPr="00FC76FE" w:rsidRDefault="00B51A43" w:rsidP="00B51A43">
      <w:pPr>
        <w:rPr>
          <w:rFonts w:ascii="Times New Roman" w:hAnsi="Times New Roman" w:cs="Times New Roman"/>
          <w:b/>
          <w:sz w:val="28"/>
        </w:rPr>
      </w:pPr>
    </w:p>
    <w:p w14:paraId="5C6529D8" w14:textId="77777777" w:rsidR="00B51A43" w:rsidRPr="00FC76FE" w:rsidRDefault="00B51A43" w:rsidP="00B51A43">
      <w:pPr>
        <w:rPr>
          <w:rFonts w:ascii="Times New Roman" w:hAnsi="Times New Roman" w:cs="Times New Roman"/>
          <w:b/>
          <w:sz w:val="28"/>
        </w:rPr>
      </w:pPr>
      <w:r>
        <w:rPr>
          <w:rFonts w:ascii="Times New Roman" w:hAnsi="Times New Roman" w:cs="Times New Roman"/>
          <w:b/>
          <w:sz w:val="28"/>
        </w:rPr>
        <w:t>Word Count: 4964</w:t>
      </w:r>
    </w:p>
    <w:p w14:paraId="3003270D" w14:textId="77777777" w:rsidR="00B51A43" w:rsidRPr="00FC76FE" w:rsidRDefault="00B51A43" w:rsidP="00B51A43">
      <w:pPr>
        <w:rPr>
          <w:rFonts w:ascii="Times New Roman" w:hAnsi="Times New Roman" w:cs="Times New Roman"/>
          <w:b/>
          <w:sz w:val="28"/>
        </w:rPr>
      </w:pPr>
    </w:p>
    <w:p w14:paraId="03FDE090" w14:textId="77777777" w:rsidR="00B51A43" w:rsidRDefault="00B51A43" w:rsidP="00B51A43">
      <w:pPr>
        <w:rPr>
          <w:rFonts w:ascii="Times New Roman" w:hAnsi="Times New Roman" w:cs="Times New Roman"/>
          <w:b/>
          <w:sz w:val="28"/>
        </w:rPr>
      </w:pPr>
      <w:r w:rsidRPr="00FC76FE">
        <w:rPr>
          <w:rFonts w:ascii="Times New Roman" w:hAnsi="Times New Roman" w:cs="Times New Roman"/>
          <w:b/>
          <w:sz w:val="28"/>
        </w:rPr>
        <w:t xml:space="preserve">Lecturer name: </w:t>
      </w:r>
      <w:r>
        <w:rPr>
          <w:rFonts w:ascii="Times New Roman" w:hAnsi="Times New Roman" w:cs="Times New Roman"/>
          <w:b/>
          <w:sz w:val="28"/>
        </w:rPr>
        <w:t>David Coker</w:t>
      </w:r>
    </w:p>
    <w:p w14:paraId="3D9CA8B0" w14:textId="77777777" w:rsidR="00B51A43" w:rsidRDefault="00B51A43" w:rsidP="00B51A43">
      <w:pPr>
        <w:rPr>
          <w:b/>
          <w:bCs/>
          <w:sz w:val="44"/>
          <w:szCs w:val="44"/>
        </w:rPr>
      </w:pPr>
      <w:r w:rsidRPr="007560F8">
        <w:rPr>
          <w:b/>
          <w:bCs/>
          <w:sz w:val="44"/>
          <w:szCs w:val="44"/>
        </w:rPr>
        <w:t xml:space="preserve"> </w:t>
      </w:r>
    </w:p>
    <w:p w14:paraId="3E004081" w14:textId="77777777" w:rsidR="00B51A43" w:rsidRDefault="00B51A43" w:rsidP="00B51A43">
      <w:pPr>
        <w:rPr>
          <w:b/>
          <w:bCs/>
          <w:sz w:val="44"/>
          <w:szCs w:val="44"/>
        </w:rPr>
      </w:pPr>
    </w:p>
    <w:p w14:paraId="2AB7632A" w14:textId="77777777" w:rsidR="00B51A43" w:rsidRDefault="00B51A43" w:rsidP="00B51A43">
      <w:pPr>
        <w:rPr>
          <w:b/>
          <w:bCs/>
          <w:sz w:val="44"/>
          <w:szCs w:val="44"/>
        </w:rPr>
      </w:pPr>
    </w:p>
    <w:p w14:paraId="586414FA" w14:textId="77777777" w:rsidR="00B51A43" w:rsidRDefault="00B51A43" w:rsidP="00B51A43">
      <w:pPr>
        <w:rPr>
          <w:b/>
          <w:bCs/>
          <w:sz w:val="44"/>
          <w:szCs w:val="44"/>
        </w:rPr>
      </w:pPr>
    </w:p>
    <w:p w14:paraId="1285A90B" w14:textId="77777777" w:rsidR="00B51A43" w:rsidRPr="0089039D" w:rsidRDefault="00B51A43" w:rsidP="00B51A43">
      <w:pPr>
        <w:rPr>
          <w:b/>
          <w:bCs/>
          <w:sz w:val="44"/>
          <w:szCs w:val="44"/>
        </w:rPr>
      </w:pPr>
    </w:p>
    <w:sdt>
      <w:sdtPr>
        <w:rPr>
          <w:rFonts w:ascii="Times New Roman" w:eastAsiaTheme="minorHAnsi" w:hAnsi="Times New Roman" w:cs="Times New Roman"/>
          <w:color w:val="auto"/>
          <w:kern w:val="2"/>
          <w:sz w:val="24"/>
          <w:szCs w:val="24"/>
          <w:lang w:val="en-GB"/>
        </w:rPr>
        <w:id w:val="785550407"/>
        <w:docPartObj>
          <w:docPartGallery w:val="Table of Contents"/>
          <w:docPartUnique/>
        </w:docPartObj>
      </w:sdtPr>
      <w:sdtEndPr>
        <w:rPr>
          <w:b/>
          <w:bCs/>
          <w:noProof/>
        </w:rPr>
      </w:sdtEndPr>
      <w:sdtContent>
        <w:p w14:paraId="2CB2C5E4" w14:textId="77777777" w:rsidR="00B51A43" w:rsidRDefault="00B51A43" w:rsidP="00B51A43">
          <w:pPr>
            <w:pStyle w:val="TOCHeading"/>
            <w:rPr>
              <w:rFonts w:ascii="Times New Roman" w:hAnsi="Times New Roman" w:cs="Times New Roman"/>
              <w:b/>
              <w:bCs/>
              <w:color w:val="000000" w:themeColor="text1"/>
              <w:sz w:val="24"/>
              <w:szCs w:val="24"/>
            </w:rPr>
          </w:pPr>
          <w:r w:rsidRPr="007D6CAF">
            <w:rPr>
              <w:rFonts w:ascii="Times New Roman" w:hAnsi="Times New Roman" w:cs="Times New Roman"/>
              <w:b/>
              <w:bCs/>
              <w:color w:val="000000" w:themeColor="text1"/>
              <w:sz w:val="24"/>
              <w:szCs w:val="24"/>
            </w:rPr>
            <w:t>Table of Contents</w:t>
          </w:r>
        </w:p>
        <w:p w14:paraId="615E8CD3" w14:textId="77777777" w:rsidR="00B51A43" w:rsidRPr="00140BA8" w:rsidRDefault="00B51A43" w:rsidP="00B51A43">
          <w:pPr>
            <w:rPr>
              <w:lang w:val="en-US"/>
            </w:rPr>
          </w:pPr>
        </w:p>
        <w:p w14:paraId="034D620F" w14:textId="77777777" w:rsidR="00B51A43" w:rsidRPr="00140BA8" w:rsidRDefault="00B51A43" w:rsidP="00B51A43">
          <w:pPr>
            <w:pStyle w:val="TOC1"/>
            <w:tabs>
              <w:tab w:val="left" w:pos="440"/>
              <w:tab w:val="right" w:leader="dot" w:pos="9016"/>
            </w:tabs>
            <w:spacing w:line="360" w:lineRule="auto"/>
            <w:rPr>
              <w:rFonts w:ascii="Times New Roman" w:eastAsiaTheme="minorEastAsia" w:hAnsi="Times New Roman" w:cs="Times New Roman"/>
              <w:noProof/>
              <w:sz w:val="24"/>
              <w:szCs w:val="24"/>
              <w:lang w:eastAsia="en-GB"/>
            </w:rPr>
          </w:pPr>
          <w:r w:rsidRPr="00140BA8">
            <w:rPr>
              <w:rFonts w:ascii="Times New Roman" w:hAnsi="Times New Roman" w:cs="Times New Roman"/>
              <w:sz w:val="24"/>
              <w:szCs w:val="24"/>
            </w:rPr>
            <w:fldChar w:fldCharType="begin"/>
          </w:r>
          <w:r w:rsidRPr="00140BA8">
            <w:rPr>
              <w:rFonts w:ascii="Times New Roman" w:hAnsi="Times New Roman" w:cs="Times New Roman"/>
              <w:sz w:val="24"/>
              <w:szCs w:val="24"/>
            </w:rPr>
            <w:instrText xml:space="preserve"> TOC \o "1-3" \h \z \u </w:instrText>
          </w:r>
          <w:r w:rsidRPr="00140BA8">
            <w:rPr>
              <w:rFonts w:ascii="Times New Roman" w:hAnsi="Times New Roman" w:cs="Times New Roman"/>
              <w:sz w:val="24"/>
              <w:szCs w:val="24"/>
            </w:rPr>
            <w:fldChar w:fldCharType="separate"/>
          </w:r>
          <w:hyperlink w:anchor="_Toc164696613" w:history="1">
            <w:r w:rsidRPr="00140BA8">
              <w:rPr>
                <w:rStyle w:val="Hyperlink"/>
                <w:rFonts w:ascii="Times New Roman" w:hAnsi="Times New Roman" w:cs="Times New Roman"/>
                <w:noProof/>
                <w:sz w:val="24"/>
                <w:szCs w:val="24"/>
              </w:rPr>
              <w:t>1</w:t>
            </w:r>
            <w:r w:rsidRPr="00140BA8">
              <w:rPr>
                <w:rFonts w:ascii="Times New Roman" w:eastAsiaTheme="minorEastAsia" w:hAnsi="Times New Roman" w:cs="Times New Roman"/>
                <w:noProof/>
                <w:sz w:val="24"/>
                <w:szCs w:val="24"/>
                <w:lang w:eastAsia="en-GB"/>
              </w:rPr>
              <w:tab/>
            </w:r>
            <w:r w:rsidRPr="00140BA8">
              <w:rPr>
                <w:rStyle w:val="Hyperlink"/>
                <w:rFonts w:ascii="Times New Roman" w:hAnsi="Times New Roman" w:cs="Times New Roman"/>
                <w:noProof/>
                <w:sz w:val="24"/>
                <w:szCs w:val="24"/>
              </w:rPr>
              <w:t>Introduction</w:t>
            </w:r>
            <w:r w:rsidRPr="00140BA8">
              <w:rPr>
                <w:rFonts w:ascii="Times New Roman" w:hAnsi="Times New Roman" w:cs="Times New Roman"/>
                <w:noProof/>
                <w:webHidden/>
                <w:sz w:val="24"/>
                <w:szCs w:val="24"/>
              </w:rPr>
              <w:tab/>
            </w:r>
            <w:r w:rsidRPr="00140BA8">
              <w:rPr>
                <w:rFonts w:ascii="Times New Roman" w:hAnsi="Times New Roman" w:cs="Times New Roman"/>
                <w:noProof/>
                <w:webHidden/>
                <w:sz w:val="24"/>
                <w:szCs w:val="24"/>
              </w:rPr>
              <w:fldChar w:fldCharType="begin"/>
            </w:r>
            <w:r w:rsidRPr="00140BA8">
              <w:rPr>
                <w:rFonts w:ascii="Times New Roman" w:hAnsi="Times New Roman" w:cs="Times New Roman"/>
                <w:noProof/>
                <w:webHidden/>
                <w:sz w:val="24"/>
                <w:szCs w:val="24"/>
              </w:rPr>
              <w:instrText xml:space="preserve"> PAGEREF _Toc164696613 \h </w:instrText>
            </w:r>
            <w:r w:rsidRPr="00140BA8">
              <w:rPr>
                <w:rFonts w:ascii="Times New Roman" w:hAnsi="Times New Roman" w:cs="Times New Roman"/>
                <w:noProof/>
                <w:webHidden/>
                <w:sz w:val="24"/>
                <w:szCs w:val="24"/>
              </w:rPr>
            </w:r>
            <w:r w:rsidRPr="00140BA8">
              <w:rPr>
                <w:rFonts w:ascii="Times New Roman" w:hAnsi="Times New Roman" w:cs="Times New Roman"/>
                <w:noProof/>
                <w:webHidden/>
                <w:sz w:val="24"/>
                <w:szCs w:val="24"/>
              </w:rPr>
              <w:fldChar w:fldCharType="separate"/>
            </w:r>
            <w:r w:rsidRPr="00140BA8">
              <w:rPr>
                <w:rFonts w:ascii="Times New Roman" w:hAnsi="Times New Roman" w:cs="Times New Roman"/>
                <w:noProof/>
                <w:webHidden/>
                <w:sz w:val="24"/>
                <w:szCs w:val="24"/>
              </w:rPr>
              <w:t>3</w:t>
            </w:r>
            <w:r w:rsidRPr="00140BA8">
              <w:rPr>
                <w:rFonts w:ascii="Times New Roman" w:hAnsi="Times New Roman" w:cs="Times New Roman"/>
                <w:noProof/>
                <w:webHidden/>
                <w:sz w:val="24"/>
                <w:szCs w:val="24"/>
              </w:rPr>
              <w:fldChar w:fldCharType="end"/>
            </w:r>
          </w:hyperlink>
        </w:p>
        <w:p w14:paraId="4AB78009" w14:textId="77777777" w:rsidR="00B51A43" w:rsidRPr="00140BA8" w:rsidRDefault="00434502" w:rsidP="00B51A43">
          <w:pPr>
            <w:pStyle w:val="TOC1"/>
            <w:tabs>
              <w:tab w:val="left" w:pos="440"/>
              <w:tab w:val="right" w:leader="dot" w:pos="9016"/>
            </w:tabs>
            <w:spacing w:line="360" w:lineRule="auto"/>
            <w:rPr>
              <w:rFonts w:ascii="Times New Roman" w:eastAsiaTheme="minorEastAsia" w:hAnsi="Times New Roman" w:cs="Times New Roman"/>
              <w:noProof/>
              <w:sz w:val="24"/>
              <w:szCs w:val="24"/>
              <w:lang w:eastAsia="en-GB"/>
            </w:rPr>
          </w:pPr>
          <w:hyperlink w:anchor="_Toc164696614" w:history="1">
            <w:r w:rsidR="00B51A43" w:rsidRPr="00140BA8">
              <w:rPr>
                <w:rStyle w:val="Hyperlink"/>
                <w:rFonts w:ascii="Times New Roman" w:hAnsi="Times New Roman" w:cs="Times New Roman"/>
                <w:noProof/>
                <w:sz w:val="24"/>
                <w:szCs w:val="24"/>
              </w:rPr>
              <w:t>2</w:t>
            </w:r>
            <w:r w:rsidR="00B51A43" w:rsidRPr="00140BA8">
              <w:rPr>
                <w:rFonts w:ascii="Times New Roman" w:eastAsiaTheme="minorEastAsia" w:hAnsi="Times New Roman" w:cs="Times New Roman"/>
                <w:noProof/>
                <w:sz w:val="24"/>
                <w:szCs w:val="24"/>
                <w:lang w:eastAsia="en-GB"/>
              </w:rPr>
              <w:tab/>
            </w:r>
            <w:r w:rsidR="00B51A43" w:rsidRPr="00140BA8">
              <w:rPr>
                <w:rStyle w:val="Hyperlink"/>
                <w:rFonts w:ascii="Times New Roman" w:hAnsi="Times New Roman" w:cs="Times New Roman"/>
                <w:noProof/>
                <w:sz w:val="24"/>
                <w:szCs w:val="24"/>
              </w:rPr>
              <w:t>Financial Performance of Capri Holdings</w:t>
            </w:r>
            <w:r w:rsidR="00B51A43" w:rsidRPr="00140BA8">
              <w:rPr>
                <w:rFonts w:ascii="Times New Roman" w:hAnsi="Times New Roman" w:cs="Times New Roman"/>
                <w:noProof/>
                <w:webHidden/>
                <w:sz w:val="24"/>
                <w:szCs w:val="24"/>
              </w:rPr>
              <w:tab/>
            </w:r>
            <w:r w:rsidR="00B51A43" w:rsidRPr="00140BA8">
              <w:rPr>
                <w:rFonts w:ascii="Times New Roman" w:hAnsi="Times New Roman" w:cs="Times New Roman"/>
                <w:noProof/>
                <w:webHidden/>
                <w:sz w:val="24"/>
                <w:szCs w:val="24"/>
              </w:rPr>
              <w:fldChar w:fldCharType="begin"/>
            </w:r>
            <w:r w:rsidR="00B51A43" w:rsidRPr="00140BA8">
              <w:rPr>
                <w:rFonts w:ascii="Times New Roman" w:hAnsi="Times New Roman" w:cs="Times New Roman"/>
                <w:noProof/>
                <w:webHidden/>
                <w:sz w:val="24"/>
                <w:szCs w:val="24"/>
              </w:rPr>
              <w:instrText xml:space="preserve"> PAGEREF _Toc164696614 \h </w:instrText>
            </w:r>
            <w:r w:rsidR="00B51A43" w:rsidRPr="00140BA8">
              <w:rPr>
                <w:rFonts w:ascii="Times New Roman" w:hAnsi="Times New Roman" w:cs="Times New Roman"/>
                <w:noProof/>
                <w:webHidden/>
                <w:sz w:val="24"/>
                <w:szCs w:val="24"/>
              </w:rPr>
            </w:r>
            <w:r w:rsidR="00B51A43" w:rsidRPr="00140BA8">
              <w:rPr>
                <w:rFonts w:ascii="Times New Roman" w:hAnsi="Times New Roman" w:cs="Times New Roman"/>
                <w:noProof/>
                <w:webHidden/>
                <w:sz w:val="24"/>
                <w:szCs w:val="24"/>
              </w:rPr>
              <w:fldChar w:fldCharType="separate"/>
            </w:r>
            <w:r w:rsidR="00B51A43" w:rsidRPr="00140BA8">
              <w:rPr>
                <w:rFonts w:ascii="Times New Roman" w:hAnsi="Times New Roman" w:cs="Times New Roman"/>
                <w:noProof/>
                <w:webHidden/>
                <w:sz w:val="24"/>
                <w:szCs w:val="24"/>
              </w:rPr>
              <w:t>4</w:t>
            </w:r>
            <w:r w:rsidR="00B51A43" w:rsidRPr="00140BA8">
              <w:rPr>
                <w:rFonts w:ascii="Times New Roman" w:hAnsi="Times New Roman" w:cs="Times New Roman"/>
                <w:noProof/>
                <w:webHidden/>
                <w:sz w:val="24"/>
                <w:szCs w:val="24"/>
              </w:rPr>
              <w:fldChar w:fldCharType="end"/>
            </w:r>
          </w:hyperlink>
        </w:p>
        <w:p w14:paraId="7CB7C803" w14:textId="77777777" w:rsidR="00B51A43" w:rsidRPr="00140BA8" w:rsidRDefault="00434502" w:rsidP="00B51A43">
          <w:pPr>
            <w:pStyle w:val="TOC2"/>
            <w:tabs>
              <w:tab w:val="left" w:pos="960"/>
              <w:tab w:val="right" w:leader="dot" w:pos="9016"/>
            </w:tabs>
            <w:spacing w:line="360" w:lineRule="auto"/>
            <w:rPr>
              <w:rFonts w:ascii="Times New Roman" w:eastAsiaTheme="minorEastAsia" w:hAnsi="Times New Roman" w:cs="Times New Roman"/>
              <w:noProof/>
              <w:sz w:val="24"/>
              <w:szCs w:val="24"/>
              <w:lang w:eastAsia="en-GB"/>
            </w:rPr>
          </w:pPr>
          <w:hyperlink w:anchor="_Toc164696615" w:history="1">
            <w:r w:rsidR="00B51A43" w:rsidRPr="00140BA8">
              <w:rPr>
                <w:rStyle w:val="Hyperlink"/>
                <w:rFonts w:ascii="Times New Roman" w:hAnsi="Times New Roman" w:cs="Times New Roman"/>
                <w:noProof/>
                <w:sz w:val="24"/>
                <w:szCs w:val="24"/>
              </w:rPr>
              <w:t>2.1</w:t>
            </w:r>
            <w:r w:rsidR="00B51A43" w:rsidRPr="00140BA8">
              <w:rPr>
                <w:rFonts w:ascii="Times New Roman" w:eastAsiaTheme="minorEastAsia" w:hAnsi="Times New Roman" w:cs="Times New Roman"/>
                <w:noProof/>
                <w:sz w:val="24"/>
                <w:szCs w:val="24"/>
                <w:lang w:eastAsia="en-GB"/>
              </w:rPr>
              <w:tab/>
            </w:r>
            <w:r w:rsidR="00B51A43" w:rsidRPr="00140BA8">
              <w:rPr>
                <w:rStyle w:val="Hyperlink"/>
                <w:rFonts w:ascii="Times New Roman" w:hAnsi="Times New Roman" w:cs="Times New Roman"/>
                <w:noProof/>
                <w:sz w:val="24"/>
                <w:szCs w:val="24"/>
              </w:rPr>
              <w:t>Financial Ratios</w:t>
            </w:r>
            <w:r w:rsidR="00B51A43" w:rsidRPr="00140BA8">
              <w:rPr>
                <w:rFonts w:ascii="Times New Roman" w:hAnsi="Times New Roman" w:cs="Times New Roman"/>
                <w:noProof/>
                <w:webHidden/>
                <w:sz w:val="24"/>
                <w:szCs w:val="24"/>
              </w:rPr>
              <w:tab/>
            </w:r>
            <w:r w:rsidR="00B51A43" w:rsidRPr="00140BA8">
              <w:rPr>
                <w:rFonts w:ascii="Times New Roman" w:hAnsi="Times New Roman" w:cs="Times New Roman"/>
                <w:noProof/>
                <w:webHidden/>
                <w:sz w:val="24"/>
                <w:szCs w:val="24"/>
              </w:rPr>
              <w:fldChar w:fldCharType="begin"/>
            </w:r>
            <w:r w:rsidR="00B51A43" w:rsidRPr="00140BA8">
              <w:rPr>
                <w:rFonts w:ascii="Times New Roman" w:hAnsi="Times New Roman" w:cs="Times New Roman"/>
                <w:noProof/>
                <w:webHidden/>
                <w:sz w:val="24"/>
                <w:szCs w:val="24"/>
              </w:rPr>
              <w:instrText xml:space="preserve"> PAGEREF _Toc164696615 \h </w:instrText>
            </w:r>
            <w:r w:rsidR="00B51A43" w:rsidRPr="00140BA8">
              <w:rPr>
                <w:rFonts w:ascii="Times New Roman" w:hAnsi="Times New Roman" w:cs="Times New Roman"/>
                <w:noProof/>
                <w:webHidden/>
                <w:sz w:val="24"/>
                <w:szCs w:val="24"/>
              </w:rPr>
            </w:r>
            <w:r w:rsidR="00B51A43" w:rsidRPr="00140BA8">
              <w:rPr>
                <w:rFonts w:ascii="Times New Roman" w:hAnsi="Times New Roman" w:cs="Times New Roman"/>
                <w:noProof/>
                <w:webHidden/>
                <w:sz w:val="24"/>
                <w:szCs w:val="24"/>
              </w:rPr>
              <w:fldChar w:fldCharType="separate"/>
            </w:r>
            <w:r w:rsidR="00B51A43" w:rsidRPr="00140BA8">
              <w:rPr>
                <w:rFonts w:ascii="Times New Roman" w:hAnsi="Times New Roman" w:cs="Times New Roman"/>
                <w:noProof/>
                <w:webHidden/>
                <w:sz w:val="24"/>
                <w:szCs w:val="24"/>
              </w:rPr>
              <w:t>4</w:t>
            </w:r>
            <w:r w:rsidR="00B51A43" w:rsidRPr="00140BA8">
              <w:rPr>
                <w:rFonts w:ascii="Times New Roman" w:hAnsi="Times New Roman" w:cs="Times New Roman"/>
                <w:noProof/>
                <w:webHidden/>
                <w:sz w:val="24"/>
                <w:szCs w:val="24"/>
              </w:rPr>
              <w:fldChar w:fldCharType="end"/>
            </w:r>
          </w:hyperlink>
        </w:p>
        <w:p w14:paraId="31811DC4" w14:textId="77777777" w:rsidR="00B51A43" w:rsidRPr="00140BA8" w:rsidRDefault="00434502" w:rsidP="00B51A43">
          <w:pPr>
            <w:pStyle w:val="TOC2"/>
            <w:tabs>
              <w:tab w:val="left" w:pos="960"/>
              <w:tab w:val="right" w:leader="dot" w:pos="9016"/>
            </w:tabs>
            <w:spacing w:line="360" w:lineRule="auto"/>
            <w:rPr>
              <w:rFonts w:ascii="Times New Roman" w:eastAsiaTheme="minorEastAsia" w:hAnsi="Times New Roman" w:cs="Times New Roman"/>
              <w:noProof/>
              <w:sz w:val="24"/>
              <w:szCs w:val="24"/>
              <w:lang w:eastAsia="en-GB"/>
            </w:rPr>
          </w:pPr>
          <w:hyperlink w:anchor="_Toc164696616" w:history="1">
            <w:r w:rsidR="00B51A43" w:rsidRPr="00140BA8">
              <w:rPr>
                <w:rStyle w:val="Hyperlink"/>
                <w:rFonts w:ascii="Times New Roman" w:hAnsi="Times New Roman" w:cs="Times New Roman"/>
                <w:noProof/>
                <w:sz w:val="24"/>
                <w:szCs w:val="24"/>
              </w:rPr>
              <w:t>2.2</w:t>
            </w:r>
            <w:r w:rsidR="00B51A43" w:rsidRPr="00140BA8">
              <w:rPr>
                <w:rFonts w:ascii="Times New Roman" w:eastAsiaTheme="minorEastAsia" w:hAnsi="Times New Roman" w:cs="Times New Roman"/>
                <w:noProof/>
                <w:sz w:val="24"/>
                <w:szCs w:val="24"/>
                <w:lang w:eastAsia="en-GB"/>
              </w:rPr>
              <w:tab/>
            </w:r>
            <w:r w:rsidR="00B51A43" w:rsidRPr="00140BA8">
              <w:rPr>
                <w:rStyle w:val="Hyperlink"/>
                <w:rFonts w:ascii="Times New Roman" w:hAnsi="Times New Roman" w:cs="Times New Roman"/>
                <w:noProof/>
                <w:sz w:val="24"/>
                <w:szCs w:val="24"/>
              </w:rPr>
              <w:t>Critical Evaluation of Financial ratios</w:t>
            </w:r>
            <w:r w:rsidR="00B51A43" w:rsidRPr="00140BA8">
              <w:rPr>
                <w:rFonts w:ascii="Times New Roman" w:hAnsi="Times New Roman" w:cs="Times New Roman"/>
                <w:noProof/>
                <w:webHidden/>
                <w:sz w:val="24"/>
                <w:szCs w:val="24"/>
              </w:rPr>
              <w:tab/>
            </w:r>
            <w:r w:rsidR="00B51A43" w:rsidRPr="00140BA8">
              <w:rPr>
                <w:rFonts w:ascii="Times New Roman" w:hAnsi="Times New Roman" w:cs="Times New Roman"/>
                <w:noProof/>
                <w:webHidden/>
                <w:sz w:val="24"/>
                <w:szCs w:val="24"/>
              </w:rPr>
              <w:fldChar w:fldCharType="begin"/>
            </w:r>
            <w:r w:rsidR="00B51A43" w:rsidRPr="00140BA8">
              <w:rPr>
                <w:rFonts w:ascii="Times New Roman" w:hAnsi="Times New Roman" w:cs="Times New Roman"/>
                <w:noProof/>
                <w:webHidden/>
                <w:sz w:val="24"/>
                <w:szCs w:val="24"/>
              </w:rPr>
              <w:instrText xml:space="preserve"> PAGEREF _Toc164696616 \h </w:instrText>
            </w:r>
            <w:r w:rsidR="00B51A43" w:rsidRPr="00140BA8">
              <w:rPr>
                <w:rFonts w:ascii="Times New Roman" w:hAnsi="Times New Roman" w:cs="Times New Roman"/>
                <w:noProof/>
                <w:webHidden/>
                <w:sz w:val="24"/>
                <w:szCs w:val="24"/>
              </w:rPr>
            </w:r>
            <w:r w:rsidR="00B51A43" w:rsidRPr="00140BA8">
              <w:rPr>
                <w:rFonts w:ascii="Times New Roman" w:hAnsi="Times New Roman" w:cs="Times New Roman"/>
                <w:noProof/>
                <w:webHidden/>
                <w:sz w:val="24"/>
                <w:szCs w:val="24"/>
              </w:rPr>
              <w:fldChar w:fldCharType="separate"/>
            </w:r>
            <w:r w:rsidR="00B51A43" w:rsidRPr="00140BA8">
              <w:rPr>
                <w:rFonts w:ascii="Times New Roman" w:hAnsi="Times New Roman" w:cs="Times New Roman"/>
                <w:noProof/>
                <w:webHidden/>
                <w:sz w:val="24"/>
                <w:szCs w:val="24"/>
              </w:rPr>
              <w:t>6</w:t>
            </w:r>
            <w:r w:rsidR="00B51A43" w:rsidRPr="00140BA8">
              <w:rPr>
                <w:rFonts w:ascii="Times New Roman" w:hAnsi="Times New Roman" w:cs="Times New Roman"/>
                <w:noProof/>
                <w:webHidden/>
                <w:sz w:val="24"/>
                <w:szCs w:val="24"/>
              </w:rPr>
              <w:fldChar w:fldCharType="end"/>
            </w:r>
          </w:hyperlink>
        </w:p>
        <w:p w14:paraId="415FB9A7" w14:textId="77777777" w:rsidR="00B51A43" w:rsidRPr="00140BA8" w:rsidRDefault="00434502" w:rsidP="00B51A43">
          <w:pPr>
            <w:pStyle w:val="TOC2"/>
            <w:tabs>
              <w:tab w:val="left" w:pos="960"/>
              <w:tab w:val="right" w:leader="dot" w:pos="9016"/>
            </w:tabs>
            <w:spacing w:line="360" w:lineRule="auto"/>
            <w:rPr>
              <w:rFonts w:ascii="Times New Roman" w:eastAsiaTheme="minorEastAsia" w:hAnsi="Times New Roman" w:cs="Times New Roman"/>
              <w:noProof/>
              <w:sz w:val="24"/>
              <w:szCs w:val="24"/>
              <w:lang w:eastAsia="en-GB"/>
            </w:rPr>
          </w:pPr>
          <w:hyperlink w:anchor="_Toc164696617" w:history="1">
            <w:r w:rsidR="00B51A43" w:rsidRPr="00140BA8">
              <w:rPr>
                <w:rStyle w:val="Hyperlink"/>
                <w:rFonts w:ascii="Times New Roman" w:hAnsi="Times New Roman" w:cs="Times New Roman"/>
                <w:noProof/>
                <w:sz w:val="24"/>
                <w:szCs w:val="24"/>
              </w:rPr>
              <w:t>2.3</w:t>
            </w:r>
            <w:r w:rsidR="00B51A43" w:rsidRPr="00140BA8">
              <w:rPr>
                <w:rFonts w:ascii="Times New Roman" w:eastAsiaTheme="minorEastAsia" w:hAnsi="Times New Roman" w:cs="Times New Roman"/>
                <w:noProof/>
                <w:sz w:val="24"/>
                <w:szCs w:val="24"/>
                <w:lang w:eastAsia="en-GB"/>
              </w:rPr>
              <w:tab/>
            </w:r>
            <w:r w:rsidR="00B51A43" w:rsidRPr="00140BA8">
              <w:rPr>
                <w:rStyle w:val="Hyperlink"/>
                <w:rFonts w:ascii="Times New Roman" w:hAnsi="Times New Roman" w:cs="Times New Roman"/>
                <w:noProof/>
                <w:sz w:val="24"/>
                <w:szCs w:val="24"/>
              </w:rPr>
              <w:t>Comparison with Tapestry Inc.,</w:t>
            </w:r>
            <w:r w:rsidR="00B51A43" w:rsidRPr="00140BA8">
              <w:rPr>
                <w:rFonts w:ascii="Times New Roman" w:hAnsi="Times New Roman" w:cs="Times New Roman"/>
                <w:noProof/>
                <w:webHidden/>
                <w:sz w:val="24"/>
                <w:szCs w:val="24"/>
              </w:rPr>
              <w:tab/>
            </w:r>
            <w:r w:rsidR="00B51A43" w:rsidRPr="00140BA8">
              <w:rPr>
                <w:rFonts w:ascii="Times New Roman" w:hAnsi="Times New Roman" w:cs="Times New Roman"/>
                <w:noProof/>
                <w:webHidden/>
                <w:sz w:val="24"/>
                <w:szCs w:val="24"/>
              </w:rPr>
              <w:fldChar w:fldCharType="begin"/>
            </w:r>
            <w:r w:rsidR="00B51A43" w:rsidRPr="00140BA8">
              <w:rPr>
                <w:rFonts w:ascii="Times New Roman" w:hAnsi="Times New Roman" w:cs="Times New Roman"/>
                <w:noProof/>
                <w:webHidden/>
                <w:sz w:val="24"/>
                <w:szCs w:val="24"/>
              </w:rPr>
              <w:instrText xml:space="preserve"> PAGEREF _Toc164696617 \h </w:instrText>
            </w:r>
            <w:r w:rsidR="00B51A43" w:rsidRPr="00140BA8">
              <w:rPr>
                <w:rFonts w:ascii="Times New Roman" w:hAnsi="Times New Roman" w:cs="Times New Roman"/>
                <w:noProof/>
                <w:webHidden/>
                <w:sz w:val="24"/>
                <w:szCs w:val="24"/>
              </w:rPr>
            </w:r>
            <w:r w:rsidR="00B51A43" w:rsidRPr="00140BA8">
              <w:rPr>
                <w:rFonts w:ascii="Times New Roman" w:hAnsi="Times New Roman" w:cs="Times New Roman"/>
                <w:noProof/>
                <w:webHidden/>
                <w:sz w:val="24"/>
                <w:szCs w:val="24"/>
              </w:rPr>
              <w:fldChar w:fldCharType="separate"/>
            </w:r>
            <w:r w:rsidR="00B51A43" w:rsidRPr="00140BA8">
              <w:rPr>
                <w:rFonts w:ascii="Times New Roman" w:hAnsi="Times New Roman" w:cs="Times New Roman"/>
                <w:noProof/>
                <w:webHidden/>
                <w:sz w:val="24"/>
                <w:szCs w:val="24"/>
              </w:rPr>
              <w:t>8</w:t>
            </w:r>
            <w:r w:rsidR="00B51A43" w:rsidRPr="00140BA8">
              <w:rPr>
                <w:rFonts w:ascii="Times New Roman" w:hAnsi="Times New Roman" w:cs="Times New Roman"/>
                <w:noProof/>
                <w:webHidden/>
                <w:sz w:val="24"/>
                <w:szCs w:val="24"/>
              </w:rPr>
              <w:fldChar w:fldCharType="end"/>
            </w:r>
          </w:hyperlink>
        </w:p>
        <w:p w14:paraId="10620028" w14:textId="77777777" w:rsidR="00B51A43" w:rsidRPr="00140BA8" w:rsidRDefault="00434502" w:rsidP="00B51A43">
          <w:pPr>
            <w:pStyle w:val="TOC2"/>
            <w:tabs>
              <w:tab w:val="left" w:pos="960"/>
              <w:tab w:val="right" w:leader="dot" w:pos="9016"/>
            </w:tabs>
            <w:spacing w:line="360" w:lineRule="auto"/>
            <w:rPr>
              <w:rFonts w:ascii="Times New Roman" w:eastAsiaTheme="minorEastAsia" w:hAnsi="Times New Roman" w:cs="Times New Roman"/>
              <w:noProof/>
              <w:sz w:val="24"/>
              <w:szCs w:val="24"/>
              <w:lang w:eastAsia="en-GB"/>
            </w:rPr>
          </w:pPr>
          <w:hyperlink w:anchor="_Toc164696618" w:history="1">
            <w:r w:rsidR="00B51A43" w:rsidRPr="00140BA8">
              <w:rPr>
                <w:rStyle w:val="Hyperlink"/>
                <w:rFonts w:ascii="Times New Roman" w:hAnsi="Times New Roman" w:cs="Times New Roman"/>
                <w:noProof/>
                <w:sz w:val="24"/>
                <w:szCs w:val="24"/>
              </w:rPr>
              <w:t>2.4</w:t>
            </w:r>
            <w:r w:rsidR="00B51A43" w:rsidRPr="00140BA8">
              <w:rPr>
                <w:rFonts w:ascii="Times New Roman" w:eastAsiaTheme="minorEastAsia" w:hAnsi="Times New Roman" w:cs="Times New Roman"/>
                <w:noProof/>
                <w:sz w:val="24"/>
                <w:szCs w:val="24"/>
                <w:lang w:eastAsia="en-GB"/>
              </w:rPr>
              <w:tab/>
            </w:r>
            <w:r w:rsidR="00B51A43" w:rsidRPr="00140BA8">
              <w:rPr>
                <w:rStyle w:val="Hyperlink"/>
                <w:rFonts w:ascii="Times New Roman" w:hAnsi="Times New Roman" w:cs="Times New Roman"/>
                <w:noProof/>
                <w:sz w:val="24"/>
                <w:szCs w:val="24"/>
              </w:rPr>
              <w:t>Recommendations on Improving Financial management</w:t>
            </w:r>
            <w:r w:rsidR="00B51A43" w:rsidRPr="00140BA8">
              <w:rPr>
                <w:rFonts w:ascii="Times New Roman" w:hAnsi="Times New Roman" w:cs="Times New Roman"/>
                <w:noProof/>
                <w:webHidden/>
                <w:sz w:val="24"/>
                <w:szCs w:val="24"/>
              </w:rPr>
              <w:tab/>
            </w:r>
            <w:r w:rsidR="00B51A43" w:rsidRPr="00140BA8">
              <w:rPr>
                <w:rFonts w:ascii="Times New Roman" w:hAnsi="Times New Roman" w:cs="Times New Roman"/>
                <w:noProof/>
                <w:webHidden/>
                <w:sz w:val="24"/>
                <w:szCs w:val="24"/>
              </w:rPr>
              <w:fldChar w:fldCharType="begin"/>
            </w:r>
            <w:r w:rsidR="00B51A43" w:rsidRPr="00140BA8">
              <w:rPr>
                <w:rFonts w:ascii="Times New Roman" w:hAnsi="Times New Roman" w:cs="Times New Roman"/>
                <w:noProof/>
                <w:webHidden/>
                <w:sz w:val="24"/>
                <w:szCs w:val="24"/>
              </w:rPr>
              <w:instrText xml:space="preserve"> PAGEREF _Toc164696618 \h </w:instrText>
            </w:r>
            <w:r w:rsidR="00B51A43" w:rsidRPr="00140BA8">
              <w:rPr>
                <w:rFonts w:ascii="Times New Roman" w:hAnsi="Times New Roman" w:cs="Times New Roman"/>
                <w:noProof/>
                <w:webHidden/>
                <w:sz w:val="24"/>
                <w:szCs w:val="24"/>
              </w:rPr>
            </w:r>
            <w:r w:rsidR="00B51A43" w:rsidRPr="00140BA8">
              <w:rPr>
                <w:rFonts w:ascii="Times New Roman" w:hAnsi="Times New Roman" w:cs="Times New Roman"/>
                <w:noProof/>
                <w:webHidden/>
                <w:sz w:val="24"/>
                <w:szCs w:val="24"/>
              </w:rPr>
              <w:fldChar w:fldCharType="separate"/>
            </w:r>
            <w:r w:rsidR="00B51A43" w:rsidRPr="00140BA8">
              <w:rPr>
                <w:rFonts w:ascii="Times New Roman" w:hAnsi="Times New Roman" w:cs="Times New Roman"/>
                <w:noProof/>
                <w:webHidden/>
                <w:sz w:val="24"/>
                <w:szCs w:val="24"/>
              </w:rPr>
              <w:t>9</w:t>
            </w:r>
            <w:r w:rsidR="00B51A43" w:rsidRPr="00140BA8">
              <w:rPr>
                <w:rFonts w:ascii="Times New Roman" w:hAnsi="Times New Roman" w:cs="Times New Roman"/>
                <w:noProof/>
                <w:webHidden/>
                <w:sz w:val="24"/>
                <w:szCs w:val="24"/>
              </w:rPr>
              <w:fldChar w:fldCharType="end"/>
            </w:r>
          </w:hyperlink>
        </w:p>
        <w:p w14:paraId="1AACB2C2" w14:textId="77777777" w:rsidR="00B51A43" w:rsidRPr="00140BA8" w:rsidRDefault="00434502" w:rsidP="00B51A43">
          <w:pPr>
            <w:pStyle w:val="TOC1"/>
            <w:tabs>
              <w:tab w:val="left" w:pos="440"/>
              <w:tab w:val="right" w:leader="dot" w:pos="9016"/>
            </w:tabs>
            <w:spacing w:line="360" w:lineRule="auto"/>
            <w:rPr>
              <w:rFonts w:ascii="Times New Roman" w:eastAsiaTheme="minorEastAsia" w:hAnsi="Times New Roman" w:cs="Times New Roman"/>
              <w:noProof/>
              <w:sz w:val="24"/>
              <w:szCs w:val="24"/>
              <w:lang w:eastAsia="en-GB"/>
            </w:rPr>
          </w:pPr>
          <w:hyperlink w:anchor="_Toc164696619" w:history="1">
            <w:r w:rsidR="00B51A43" w:rsidRPr="00140BA8">
              <w:rPr>
                <w:rStyle w:val="Hyperlink"/>
                <w:rFonts w:ascii="Times New Roman" w:hAnsi="Times New Roman" w:cs="Times New Roman"/>
                <w:noProof/>
                <w:sz w:val="24"/>
                <w:szCs w:val="24"/>
              </w:rPr>
              <w:t>3</w:t>
            </w:r>
            <w:r w:rsidR="00B51A43" w:rsidRPr="00140BA8">
              <w:rPr>
                <w:rFonts w:ascii="Times New Roman" w:eastAsiaTheme="minorEastAsia" w:hAnsi="Times New Roman" w:cs="Times New Roman"/>
                <w:noProof/>
                <w:sz w:val="24"/>
                <w:szCs w:val="24"/>
                <w:lang w:eastAsia="en-GB"/>
              </w:rPr>
              <w:tab/>
            </w:r>
            <w:r w:rsidR="00B51A43" w:rsidRPr="00140BA8">
              <w:rPr>
                <w:rStyle w:val="Hyperlink"/>
                <w:rFonts w:ascii="Times New Roman" w:hAnsi="Times New Roman" w:cs="Times New Roman"/>
                <w:noProof/>
                <w:sz w:val="24"/>
                <w:szCs w:val="24"/>
              </w:rPr>
              <w:t>Evaluate Investment Projects</w:t>
            </w:r>
            <w:r w:rsidR="00B51A43" w:rsidRPr="00140BA8">
              <w:rPr>
                <w:rFonts w:ascii="Times New Roman" w:hAnsi="Times New Roman" w:cs="Times New Roman"/>
                <w:noProof/>
                <w:webHidden/>
                <w:sz w:val="24"/>
                <w:szCs w:val="24"/>
              </w:rPr>
              <w:tab/>
            </w:r>
            <w:r w:rsidR="00B51A43" w:rsidRPr="00140BA8">
              <w:rPr>
                <w:rFonts w:ascii="Times New Roman" w:hAnsi="Times New Roman" w:cs="Times New Roman"/>
                <w:noProof/>
                <w:webHidden/>
                <w:sz w:val="24"/>
                <w:szCs w:val="24"/>
              </w:rPr>
              <w:fldChar w:fldCharType="begin"/>
            </w:r>
            <w:r w:rsidR="00B51A43" w:rsidRPr="00140BA8">
              <w:rPr>
                <w:rFonts w:ascii="Times New Roman" w:hAnsi="Times New Roman" w:cs="Times New Roman"/>
                <w:noProof/>
                <w:webHidden/>
                <w:sz w:val="24"/>
                <w:szCs w:val="24"/>
              </w:rPr>
              <w:instrText xml:space="preserve"> PAGEREF _Toc164696619 \h </w:instrText>
            </w:r>
            <w:r w:rsidR="00B51A43" w:rsidRPr="00140BA8">
              <w:rPr>
                <w:rFonts w:ascii="Times New Roman" w:hAnsi="Times New Roman" w:cs="Times New Roman"/>
                <w:noProof/>
                <w:webHidden/>
                <w:sz w:val="24"/>
                <w:szCs w:val="24"/>
              </w:rPr>
            </w:r>
            <w:r w:rsidR="00B51A43" w:rsidRPr="00140BA8">
              <w:rPr>
                <w:rFonts w:ascii="Times New Roman" w:hAnsi="Times New Roman" w:cs="Times New Roman"/>
                <w:noProof/>
                <w:webHidden/>
                <w:sz w:val="24"/>
                <w:szCs w:val="24"/>
              </w:rPr>
              <w:fldChar w:fldCharType="separate"/>
            </w:r>
            <w:r w:rsidR="00B51A43" w:rsidRPr="00140BA8">
              <w:rPr>
                <w:rFonts w:ascii="Times New Roman" w:hAnsi="Times New Roman" w:cs="Times New Roman"/>
                <w:noProof/>
                <w:webHidden/>
                <w:sz w:val="24"/>
                <w:szCs w:val="24"/>
              </w:rPr>
              <w:t>12</w:t>
            </w:r>
            <w:r w:rsidR="00B51A43" w:rsidRPr="00140BA8">
              <w:rPr>
                <w:rFonts w:ascii="Times New Roman" w:hAnsi="Times New Roman" w:cs="Times New Roman"/>
                <w:noProof/>
                <w:webHidden/>
                <w:sz w:val="24"/>
                <w:szCs w:val="24"/>
              </w:rPr>
              <w:fldChar w:fldCharType="end"/>
            </w:r>
          </w:hyperlink>
        </w:p>
        <w:p w14:paraId="6E52871A" w14:textId="77777777" w:rsidR="00B51A43" w:rsidRPr="00140BA8" w:rsidRDefault="00434502" w:rsidP="00B51A43">
          <w:pPr>
            <w:pStyle w:val="TOC2"/>
            <w:tabs>
              <w:tab w:val="left" w:pos="960"/>
              <w:tab w:val="right" w:leader="dot" w:pos="9016"/>
            </w:tabs>
            <w:spacing w:line="360" w:lineRule="auto"/>
            <w:rPr>
              <w:rFonts w:ascii="Times New Roman" w:eastAsiaTheme="minorEastAsia" w:hAnsi="Times New Roman" w:cs="Times New Roman"/>
              <w:noProof/>
              <w:sz w:val="24"/>
              <w:szCs w:val="24"/>
              <w:lang w:eastAsia="en-GB"/>
            </w:rPr>
          </w:pPr>
          <w:hyperlink w:anchor="_Toc164696620" w:history="1">
            <w:r w:rsidR="00B51A43" w:rsidRPr="00140BA8">
              <w:rPr>
                <w:rStyle w:val="Hyperlink"/>
                <w:rFonts w:ascii="Times New Roman" w:hAnsi="Times New Roman" w:cs="Times New Roman"/>
                <w:noProof/>
                <w:sz w:val="24"/>
                <w:szCs w:val="24"/>
              </w:rPr>
              <w:t>3.1</w:t>
            </w:r>
            <w:r w:rsidR="00B51A43" w:rsidRPr="00140BA8">
              <w:rPr>
                <w:rFonts w:ascii="Times New Roman" w:eastAsiaTheme="minorEastAsia" w:hAnsi="Times New Roman" w:cs="Times New Roman"/>
                <w:noProof/>
                <w:sz w:val="24"/>
                <w:szCs w:val="24"/>
                <w:lang w:eastAsia="en-GB"/>
              </w:rPr>
              <w:tab/>
            </w:r>
            <w:r w:rsidR="00B51A43" w:rsidRPr="00140BA8">
              <w:rPr>
                <w:rStyle w:val="Hyperlink"/>
                <w:rFonts w:ascii="Times New Roman" w:hAnsi="Times New Roman" w:cs="Times New Roman"/>
                <w:noProof/>
                <w:sz w:val="24"/>
                <w:szCs w:val="24"/>
              </w:rPr>
              <w:t>Calculations of PBP, ARR, NPV</w:t>
            </w:r>
            <w:r w:rsidR="00B51A43" w:rsidRPr="00140BA8">
              <w:rPr>
                <w:rFonts w:ascii="Times New Roman" w:hAnsi="Times New Roman" w:cs="Times New Roman"/>
                <w:noProof/>
                <w:webHidden/>
                <w:sz w:val="24"/>
                <w:szCs w:val="24"/>
              </w:rPr>
              <w:tab/>
            </w:r>
            <w:r w:rsidR="00B51A43" w:rsidRPr="00140BA8">
              <w:rPr>
                <w:rFonts w:ascii="Times New Roman" w:hAnsi="Times New Roman" w:cs="Times New Roman"/>
                <w:noProof/>
                <w:webHidden/>
                <w:sz w:val="24"/>
                <w:szCs w:val="24"/>
              </w:rPr>
              <w:fldChar w:fldCharType="begin"/>
            </w:r>
            <w:r w:rsidR="00B51A43" w:rsidRPr="00140BA8">
              <w:rPr>
                <w:rFonts w:ascii="Times New Roman" w:hAnsi="Times New Roman" w:cs="Times New Roman"/>
                <w:noProof/>
                <w:webHidden/>
                <w:sz w:val="24"/>
                <w:szCs w:val="24"/>
              </w:rPr>
              <w:instrText xml:space="preserve"> PAGEREF _Toc164696620 \h </w:instrText>
            </w:r>
            <w:r w:rsidR="00B51A43" w:rsidRPr="00140BA8">
              <w:rPr>
                <w:rFonts w:ascii="Times New Roman" w:hAnsi="Times New Roman" w:cs="Times New Roman"/>
                <w:noProof/>
                <w:webHidden/>
                <w:sz w:val="24"/>
                <w:szCs w:val="24"/>
              </w:rPr>
            </w:r>
            <w:r w:rsidR="00B51A43" w:rsidRPr="00140BA8">
              <w:rPr>
                <w:rFonts w:ascii="Times New Roman" w:hAnsi="Times New Roman" w:cs="Times New Roman"/>
                <w:noProof/>
                <w:webHidden/>
                <w:sz w:val="24"/>
                <w:szCs w:val="24"/>
              </w:rPr>
              <w:fldChar w:fldCharType="separate"/>
            </w:r>
            <w:r w:rsidR="00B51A43" w:rsidRPr="00140BA8">
              <w:rPr>
                <w:rFonts w:ascii="Times New Roman" w:hAnsi="Times New Roman" w:cs="Times New Roman"/>
                <w:noProof/>
                <w:webHidden/>
                <w:sz w:val="24"/>
                <w:szCs w:val="24"/>
              </w:rPr>
              <w:t>12</w:t>
            </w:r>
            <w:r w:rsidR="00B51A43" w:rsidRPr="00140BA8">
              <w:rPr>
                <w:rFonts w:ascii="Times New Roman" w:hAnsi="Times New Roman" w:cs="Times New Roman"/>
                <w:noProof/>
                <w:webHidden/>
                <w:sz w:val="24"/>
                <w:szCs w:val="24"/>
              </w:rPr>
              <w:fldChar w:fldCharType="end"/>
            </w:r>
          </w:hyperlink>
        </w:p>
        <w:p w14:paraId="6F15ED59" w14:textId="77777777" w:rsidR="00B51A43" w:rsidRPr="00140BA8" w:rsidRDefault="00434502" w:rsidP="00B51A43">
          <w:pPr>
            <w:pStyle w:val="TOC2"/>
            <w:tabs>
              <w:tab w:val="left" w:pos="960"/>
              <w:tab w:val="right" w:leader="dot" w:pos="9016"/>
            </w:tabs>
            <w:spacing w:line="360" w:lineRule="auto"/>
            <w:rPr>
              <w:rFonts w:ascii="Times New Roman" w:eastAsiaTheme="minorEastAsia" w:hAnsi="Times New Roman" w:cs="Times New Roman"/>
              <w:noProof/>
              <w:sz w:val="24"/>
              <w:szCs w:val="24"/>
              <w:lang w:eastAsia="en-GB"/>
            </w:rPr>
          </w:pPr>
          <w:hyperlink w:anchor="_Toc164696621" w:history="1">
            <w:r w:rsidR="00B51A43" w:rsidRPr="00140BA8">
              <w:rPr>
                <w:rStyle w:val="Hyperlink"/>
                <w:rFonts w:ascii="Times New Roman" w:hAnsi="Times New Roman" w:cs="Times New Roman"/>
                <w:noProof/>
                <w:sz w:val="24"/>
                <w:szCs w:val="24"/>
              </w:rPr>
              <w:t>3.2</w:t>
            </w:r>
            <w:r w:rsidR="00B51A43" w:rsidRPr="00140BA8">
              <w:rPr>
                <w:rFonts w:ascii="Times New Roman" w:eastAsiaTheme="minorEastAsia" w:hAnsi="Times New Roman" w:cs="Times New Roman"/>
                <w:noProof/>
                <w:sz w:val="24"/>
                <w:szCs w:val="24"/>
                <w:lang w:eastAsia="en-GB"/>
              </w:rPr>
              <w:tab/>
            </w:r>
            <w:r w:rsidR="00B51A43" w:rsidRPr="00140BA8">
              <w:rPr>
                <w:rStyle w:val="Hyperlink"/>
                <w:rFonts w:ascii="Times New Roman" w:hAnsi="Times New Roman" w:cs="Times New Roman"/>
                <w:noProof/>
                <w:sz w:val="24"/>
                <w:szCs w:val="24"/>
              </w:rPr>
              <w:t>Initial Investment Increase</w:t>
            </w:r>
            <w:r w:rsidR="00B51A43" w:rsidRPr="00140BA8">
              <w:rPr>
                <w:rFonts w:ascii="Times New Roman" w:hAnsi="Times New Roman" w:cs="Times New Roman"/>
                <w:noProof/>
                <w:webHidden/>
                <w:sz w:val="24"/>
                <w:szCs w:val="24"/>
              </w:rPr>
              <w:tab/>
            </w:r>
            <w:r w:rsidR="00B51A43" w:rsidRPr="00140BA8">
              <w:rPr>
                <w:rFonts w:ascii="Times New Roman" w:hAnsi="Times New Roman" w:cs="Times New Roman"/>
                <w:noProof/>
                <w:webHidden/>
                <w:sz w:val="24"/>
                <w:szCs w:val="24"/>
              </w:rPr>
              <w:fldChar w:fldCharType="begin"/>
            </w:r>
            <w:r w:rsidR="00B51A43" w:rsidRPr="00140BA8">
              <w:rPr>
                <w:rFonts w:ascii="Times New Roman" w:hAnsi="Times New Roman" w:cs="Times New Roman"/>
                <w:noProof/>
                <w:webHidden/>
                <w:sz w:val="24"/>
                <w:szCs w:val="24"/>
              </w:rPr>
              <w:instrText xml:space="preserve"> PAGEREF _Toc164696621 \h </w:instrText>
            </w:r>
            <w:r w:rsidR="00B51A43" w:rsidRPr="00140BA8">
              <w:rPr>
                <w:rFonts w:ascii="Times New Roman" w:hAnsi="Times New Roman" w:cs="Times New Roman"/>
                <w:noProof/>
                <w:webHidden/>
                <w:sz w:val="24"/>
                <w:szCs w:val="24"/>
              </w:rPr>
            </w:r>
            <w:r w:rsidR="00B51A43" w:rsidRPr="00140BA8">
              <w:rPr>
                <w:rFonts w:ascii="Times New Roman" w:hAnsi="Times New Roman" w:cs="Times New Roman"/>
                <w:noProof/>
                <w:webHidden/>
                <w:sz w:val="24"/>
                <w:szCs w:val="24"/>
              </w:rPr>
              <w:fldChar w:fldCharType="separate"/>
            </w:r>
            <w:r w:rsidR="00B51A43" w:rsidRPr="00140BA8">
              <w:rPr>
                <w:rFonts w:ascii="Times New Roman" w:hAnsi="Times New Roman" w:cs="Times New Roman"/>
                <w:noProof/>
                <w:webHidden/>
                <w:sz w:val="24"/>
                <w:szCs w:val="24"/>
              </w:rPr>
              <w:t>14</w:t>
            </w:r>
            <w:r w:rsidR="00B51A43" w:rsidRPr="00140BA8">
              <w:rPr>
                <w:rFonts w:ascii="Times New Roman" w:hAnsi="Times New Roman" w:cs="Times New Roman"/>
                <w:noProof/>
                <w:webHidden/>
                <w:sz w:val="24"/>
                <w:szCs w:val="24"/>
              </w:rPr>
              <w:fldChar w:fldCharType="end"/>
            </w:r>
          </w:hyperlink>
        </w:p>
        <w:p w14:paraId="373F67BE" w14:textId="77777777" w:rsidR="00B51A43" w:rsidRPr="00140BA8" w:rsidRDefault="00434502" w:rsidP="00B51A43">
          <w:pPr>
            <w:pStyle w:val="TOC2"/>
            <w:tabs>
              <w:tab w:val="left" w:pos="960"/>
              <w:tab w:val="right" w:leader="dot" w:pos="9016"/>
            </w:tabs>
            <w:spacing w:line="360" w:lineRule="auto"/>
            <w:rPr>
              <w:rFonts w:ascii="Times New Roman" w:eastAsiaTheme="minorEastAsia" w:hAnsi="Times New Roman" w:cs="Times New Roman"/>
              <w:noProof/>
              <w:sz w:val="24"/>
              <w:szCs w:val="24"/>
              <w:lang w:eastAsia="en-GB"/>
            </w:rPr>
          </w:pPr>
          <w:hyperlink w:anchor="_Toc164696622" w:history="1">
            <w:r w:rsidR="00B51A43" w:rsidRPr="00140BA8">
              <w:rPr>
                <w:rStyle w:val="Hyperlink"/>
                <w:rFonts w:ascii="Times New Roman" w:hAnsi="Times New Roman" w:cs="Times New Roman"/>
                <w:noProof/>
                <w:sz w:val="24"/>
                <w:szCs w:val="24"/>
              </w:rPr>
              <w:t>3.3</w:t>
            </w:r>
            <w:r w:rsidR="00B51A43" w:rsidRPr="00140BA8">
              <w:rPr>
                <w:rFonts w:ascii="Times New Roman" w:eastAsiaTheme="minorEastAsia" w:hAnsi="Times New Roman" w:cs="Times New Roman"/>
                <w:noProof/>
                <w:sz w:val="24"/>
                <w:szCs w:val="24"/>
                <w:lang w:eastAsia="en-GB"/>
              </w:rPr>
              <w:tab/>
            </w:r>
            <w:r w:rsidR="00B51A43" w:rsidRPr="00140BA8">
              <w:rPr>
                <w:rStyle w:val="Hyperlink"/>
                <w:rFonts w:ascii="Times New Roman" w:hAnsi="Times New Roman" w:cs="Times New Roman"/>
                <w:noProof/>
                <w:sz w:val="24"/>
                <w:szCs w:val="24"/>
              </w:rPr>
              <w:t>Advantages and Shortcomings of PBP, ARR, and NPV Techniques</w:t>
            </w:r>
            <w:r w:rsidR="00B51A43" w:rsidRPr="00140BA8">
              <w:rPr>
                <w:rFonts w:ascii="Times New Roman" w:hAnsi="Times New Roman" w:cs="Times New Roman"/>
                <w:noProof/>
                <w:webHidden/>
                <w:sz w:val="24"/>
                <w:szCs w:val="24"/>
              </w:rPr>
              <w:tab/>
            </w:r>
            <w:r w:rsidR="00B51A43" w:rsidRPr="00140BA8">
              <w:rPr>
                <w:rFonts w:ascii="Times New Roman" w:hAnsi="Times New Roman" w:cs="Times New Roman"/>
                <w:noProof/>
                <w:webHidden/>
                <w:sz w:val="24"/>
                <w:szCs w:val="24"/>
              </w:rPr>
              <w:fldChar w:fldCharType="begin"/>
            </w:r>
            <w:r w:rsidR="00B51A43" w:rsidRPr="00140BA8">
              <w:rPr>
                <w:rFonts w:ascii="Times New Roman" w:hAnsi="Times New Roman" w:cs="Times New Roman"/>
                <w:noProof/>
                <w:webHidden/>
                <w:sz w:val="24"/>
                <w:szCs w:val="24"/>
              </w:rPr>
              <w:instrText xml:space="preserve"> PAGEREF _Toc164696622 \h </w:instrText>
            </w:r>
            <w:r w:rsidR="00B51A43" w:rsidRPr="00140BA8">
              <w:rPr>
                <w:rFonts w:ascii="Times New Roman" w:hAnsi="Times New Roman" w:cs="Times New Roman"/>
                <w:noProof/>
                <w:webHidden/>
                <w:sz w:val="24"/>
                <w:szCs w:val="24"/>
              </w:rPr>
            </w:r>
            <w:r w:rsidR="00B51A43" w:rsidRPr="00140BA8">
              <w:rPr>
                <w:rFonts w:ascii="Times New Roman" w:hAnsi="Times New Roman" w:cs="Times New Roman"/>
                <w:noProof/>
                <w:webHidden/>
                <w:sz w:val="24"/>
                <w:szCs w:val="24"/>
              </w:rPr>
              <w:fldChar w:fldCharType="separate"/>
            </w:r>
            <w:r w:rsidR="00B51A43" w:rsidRPr="00140BA8">
              <w:rPr>
                <w:rFonts w:ascii="Times New Roman" w:hAnsi="Times New Roman" w:cs="Times New Roman"/>
                <w:noProof/>
                <w:webHidden/>
                <w:sz w:val="24"/>
                <w:szCs w:val="24"/>
              </w:rPr>
              <w:t>16</w:t>
            </w:r>
            <w:r w:rsidR="00B51A43" w:rsidRPr="00140BA8">
              <w:rPr>
                <w:rFonts w:ascii="Times New Roman" w:hAnsi="Times New Roman" w:cs="Times New Roman"/>
                <w:noProof/>
                <w:webHidden/>
                <w:sz w:val="24"/>
                <w:szCs w:val="24"/>
              </w:rPr>
              <w:fldChar w:fldCharType="end"/>
            </w:r>
          </w:hyperlink>
        </w:p>
        <w:p w14:paraId="167BB9F8" w14:textId="77777777" w:rsidR="00B51A43" w:rsidRPr="00140BA8" w:rsidRDefault="00434502" w:rsidP="00B51A43">
          <w:pPr>
            <w:pStyle w:val="TOC2"/>
            <w:tabs>
              <w:tab w:val="left" w:pos="960"/>
              <w:tab w:val="right" w:leader="dot" w:pos="9016"/>
            </w:tabs>
            <w:spacing w:line="360" w:lineRule="auto"/>
            <w:rPr>
              <w:rFonts w:ascii="Times New Roman" w:eastAsiaTheme="minorEastAsia" w:hAnsi="Times New Roman" w:cs="Times New Roman"/>
              <w:noProof/>
              <w:sz w:val="24"/>
              <w:szCs w:val="24"/>
              <w:lang w:eastAsia="en-GB"/>
            </w:rPr>
          </w:pPr>
          <w:hyperlink w:anchor="_Toc164696623" w:history="1">
            <w:r w:rsidR="00B51A43" w:rsidRPr="00140BA8">
              <w:rPr>
                <w:rStyle w:val="Hyperlink"/>
                <w:rFonts w:ascii="Times New Roman" w:hAnsi="Times New Roman" w:cs="Times New Roman"/>
                <w:noProof/>
                <w:sz w:val="24"/>
                <w:szCs w:val="24"/>
              </w:rPr>
              <w:t>3.4</w:t>
            </w:r>
            <w:r w:rsidR="00B51A43" w:rsidRPr="00140BA8">
              <w:rPr>
                <w:rFonts w:ascii="Times New Roman" w:eastAsiaTheme="minorEastAsia" w:hAnsi="Times New Roman" w:cs="Times New Roman"/>
                <w:noProof/>
                <w:sz w:val="24"/>
                <w:szCs w:val="24"/>
                <w:lang w:eastAsia="en-GB"/>
              </w:rPr>
              <w:tab/>
            </w:r>
            <w:r w:rsidR="00B51A43" w:rsidRPr="00140BA8">
              <w:rPr>
                <w:rStyle w:val="Hyperlink"/>
                <w:rFonts w:ascii="Times New Roman" w:hAnsi="Times New Roman" w:cs="Times New Roman"/>
                <w:noProof/>
                <w:sz w:val="24"/>
                <w:szCs w:val="24"/>
              </w:rPr>
              <w:t>Non-Financial Factors for Management</w:t>
            </w:r>
            <w:r w:rsidR="00B51A43" w:rsidRPr="00140BA8">
              <w:rPr>
                <w:rFonts w:ascii="Times New Roman" w:hAnsi="Times New Roman" w:cs="Times New Roman"/>
                <w:noProof/>
                <w:webHidden/>
                <w:sz w:val="24"/>
                <w:szCs w:val="24"/>
              </w:rPr>
              <w:tab/>
            </w:r>
            <w:r w:rsidR="00B51A43" w:rsidRPr="00140BA8">
              <w:rPr>
                <w:rFonts w:ascii="Times New Roman" w:hAnsi="Times New Roman" w:cs="Times New Roman"/>
                <w:noProof/>
                <w:webHidden/>
                <w:sz w:val="24"/>
                <w:szCs w:val="24"/>
              </w:rPr>
              <w:fldChar w:fldCharType="begin"/>
            </w:r>
            <w:r w:rsidR="00B51A43" w:rsidRPr="00140BA8">
              <w:rPr>
                <w:rFonts w:ascii="Times New Roman" w:hAnsi="Times New Roman" w:cs="Times New Roman"/>
                <w:noProof/>
                <w:webHidden/>
                <w:sz w:val="24"/>
                <w:szCs w:val="24"/>
              </w:rPr>
              <w:instrText xml:space="preserve"> PAGEREF _Toc164696623 \h </w:instrText>
            </w:r>
            <w:r w:rsidR="00B51A43" w:rsidRPr="00140BA8">
              <w:rPr>
                <w:rFonts w:ascii="Times New Roman" w:hAnsi="Times New Roman" w:cs="Times New Roman"/>
                <w:noProof/>
                <w:webHidden/>
                <w:sz w:val="24"/>
                <w:szCs w:val="24"/>
              </w:rPr>
            </w:r>
            <w:r w:rsidR="00B51A43" w:rsidRPr="00140BA8">
              <w:rPr>
                <w:rFonts w:ascii="Times New Roman" w:hAnsi="Times New Roman" w:cs="Times New Roman"/>
                <w:noProof/>
                <w:webHidden/>
                <w:sz w:val="24"/>
                <w:szCs w:val="24"/>
              </w:rPr>
              <w:fldChar w:fldCharType="separate"/>
            </w:r>
            <w:r w:rsidR="00B51A43" w:rsidRPr="00140BA8">
              <w:rPr>
                <w:rFonts w:ascii="Times New Roman" w:hAnsi="Times New Roman" w:cs="Times New Roman"/>
                <w:noProof/>
                <w:webHidden/>
                <w:sz w:val="24"/>
                <w:szCs w:val="24"/>
              </w:rPr>
              <w:t>17</w:t>
            </w:r>
            <w:r w:rsidR="00B51A43" w:rsidRPr="00140BA8">
              <w:rPr>
                <w:rFonts w:ascii="Times New Roman" w:hAnsi="Times New Roman" w:cs="Times New Roman"/>
                <w:noProof/>
                <w:webHidden/>
                <w:sz w:val="24"/>
                <w:szCs w:val="24"/>
              </w:rPr>
              <w:fldChar w:fldCharType="end"/>
            </w:r>
          </w:hyperlink>
        </w:p>
        <w:p w14:paraId="239A1FAF" w14:textId="77777777" w:rsidR="00B51A43" w:rsidRPr="00140BA8" w:rsidRDefault="00434502" w:rsidP="00B51A43">
          <w:pPr>
            <w:pStyle w:val="TOC1"/>
            <w:tabs>
              <w:tab w:val="left" w:pos="440"/>
              <w:tab w:val="right" w:leader="dot" w:pos="9016"/>
            </w:tabs>
            <w:spacing w:line="360" w:lineRule="auto"/>
            <w:rPr>
              <w:rFonts w:ascii="Times New Roman" w:eastAsiaTheme="minorEastAsia" w:hAnsi="Times New Roman" w:cs="Times New Roman"/>
              <w:noProof/>
              <w:sz w:val="24"/>
              <w:szCs w:val="24"/>
              <w:lang w:eastAsia="en-GB"/>
            </w:rPr>
          </w:pPr>
          <w:hyperlink w:anchor="_Toc164696624" w:history="1">
            <w:r w:rsidR="00B51A43" w:rsidRPr="00140BA8">
              <w:rPr>
                <w:rStyle w:val="Hyperlink"/>
                <w:rFonts w:ascii="Times New Roman" w:hAnsi="Times New Roman" w:cs="Times New Roman"/>
                <w:noProof/>
                <w:sz w:val="24"/>
                <w:szCs w:val="24"/>
              </w:rPr>
              <w:t>4</w:t>
            </w:r>
            <w:r w:rsidR="00B51A43" w:rsidRPr="00140BA8">
              <w:rPr>
                <w:rFonts w:ascii="Times New Roman" w:eastAsiaTheme="minorEastAsia" w:hAnsi="Times New Roman" w:cs="Times New Roman"/>
                <w:noProof/>
                <w:sz w:val="24"/>
                <w:szCs w:val="24"/>
                <w:lang w:eastAsia="en-GB"/>
              </w:rPr>
              <w:tab/>
            </w:r>
            <w:r w:rsidR="00B51A43" w:rsidRPr="00140BA8">
              <w:rPr>
                <w:rStyle w:val="Hyperlink"/>
                <w:rFonts w:ascii="Times New Roman" w:hAnsi="Times New Roman" w:cs="Times New Roman"/>
                <w:noProof/>
                <w:sz w:val="24"/>
                <w:szCs w:val="24"/>
              </w:rPr>
              <w:t>References</w:t>
            </w:r>
            <w:r w:rsidR="00B51A43" w:rsidRPr="00140BA8">
              <w:rPr>
                <w:rFonts w:ascii="Times New Roman" w:hAnsi="Times New Roman" w:cs="Times New Roman"/>
                <w:noProof/>
                <w:webHidden/>
                <w:sz w:val="24"/>
                <w:szCs w:val="24"/>
              </w:rPr>
              <w:tab/>
            </w:r>
            <w:r w:rsidR="00B51A43" w:rsidRPr="00140BA8">
              <w:rPr>
                <w:rFonts w:ascii="Times New Roman" w:hAnsi="Times New Roman" w:cs="Times New Roman"/>
                <w:noProof/>
                <w:webHidden/>
                <w:sz w:val="24"/>
                <w:szCs w:val="24"/>
              </w:rPr>
              <w:fldChar w:fldCharType="begin"/>
            </w:r>
            <w:r w:rsidR="00B51A43" w:rsidRPr="00140BA8">
              <w:rPr>
                <w:rFonts w:ascii="Times New Roman" w:hAnsi="Times New Roman" w:cs="Times New Roman"/>
                <w:noProof/>
                <w:webHidden/>
                <w:sz w:val="24"/>
                <w:szCs w:val="24"/>
              </w:rPr>
              <w:instrText xml:space="preserve"> PAGEREF _Toc164696624 \h </w:instrText>
            </w:r>
            <w:r w:rsidR="00B51A43" w:rsidRPr="00140BA8">
              <w:rPr>
                <w:rFonts w:ascii="Times New Roman" w:hAnsi="Times New Roman" w:cs="Times New Roman"/>
                <w:noProof/>
                <w:webHidden/>
                <w:sz w:val="24"/>
                <w:szCs w:val="24"/>
              </w:rPr>
            </w:r>
            <w:r w:rsidR="00B51A43" w:rsidRPr="00140BA8">
              <w:rPr>
                <w:rFonts w:ascii="Times New Roman" w:hAnsi="Times New Roman" w:cs="Times New Roman"/>
                <w:noProof/>
                <w:webHidden/>
                <w:sz w:val="24"/>
                <w:szCs w:val="24"/>
              </w:rPr>
              <w:fldChar w:fldCharType="separate"/>
            </w:r>
            <w:r w:rsidR="00B51A43" w:rsidRPr="00140BA8">
              <w:rPr>
                <w:rFonts w:ascii="Times New Roman" w:hAnsi="Times New Roman" w:cs="Times New Roman"/>
                <w:noProof/>
                <w:webHidden/>
                <w:sz w:val="24"/>
                <w:szCs w:val="24"/>
              </w:rPr>
              <w:t>19</w:t>
            </w:r>
            <w:r w:rsidR="00B51A43" w:rsidRPr="00140BA8">
              <w:rPr>
                <w:rFonts w:ascii="Times New Roman" w:hAnsi="Times New Roman" w:cs="Times New Roman"/>
                <w:noProof/>
                <w:webHidden/>
                <w:sz w:val="24"/>
                <w:szCs w:val="24"/>
              </w:rPr>
              <w:fldChar w:fldCharType="end"/>
            </w:r>
          </w:hyperlink>
        </w:p>
        <w:p w14:paraId="6ABE4614" w14:textId="77777777" w:rsidR="00B51A43" w:rsidRPr="007D6CAF" w:rsidRDefault="00B51A43" w:rsidP="00B51A43">
          <w:pPr>
            <w:spacing w:line="360" w:lineRule="auto"/>
            <w:rPr>
              <w:rFonts w:ascii="Times New Roman" w:hAnsi="Times New Roman" w:cs="Times New Roman"/>
              <w:sz w:val="24"/>
              <w:szCs w:val="24"/>
            </w:rPr>
          </w:pPr>
          <w:r w:rsidRPr="00140BA8">
            <w:rPr>
              <w:rFonts w:ascii="Times New Roman" w:hAnsi="Times New Roman" w:cs="Times New Roman"/>
              <w:b/>
              <w:bCs/>
              <w:noProof/>
              <w:sz w:val="24"/>
              <w:szCs w:val="24"/>
            </w:rPr>
            <w:fldChar w:fldCharType="end"/>
          </w:r>
        </w:p>
      </w:sdtContent>
    </w:sdt>
    <w:p w14:paraId="20934E60" w14:textId="77777777" w:rsidR="00B51A43" w:rsidRDefault="00B51A43" w:rsidP="00B51A43"/>
    <w:p w14:paraId="4E327BEF" w14:textId="77777777" w:rsidR="00B51A43" w:rsidRDefault="00B51A43" w:rsidP="00B51A43"/>
    <w:p w14:paraId="01C96F79" w14:textId="77777777" w:rsidR="00B51A43" w:rsidRDefault="00B51A43" w:rsidP="00B51A43"/>
    <w:p w14:paraId="27C61ACC" w14:textId="77777777" w:rsidR="00B51A43" w:rsidRDefault="00B51A43" w:rsidP="00B51A43"/>
    <w:p w14:paraId="75FED388" w14:textId="77777777" w:rsidR="00B51A43" w:rsidRDefault="00B51A43" w:rsidP="00B51A43"/>
    <w:p w14:paraId="4C060DEE" w14:textId="77777777" w:rsidR="00B51A43" w:rsidRDefault="00B51A43" w:rsidP="00B51A43"/>
    <w:p w14:paraId="1F513150" w14:textId="77777777" w:rsidR="00B51A43" w:rsidRDefault="00B51A43" w:rsidP="00B51A43"/>
    <w:p w14:paraId="08DD9957" w14:textId="77777777" w:rsidR="00B51A43" w:rsidRDefault="00B51A43" w:rsidP="00B51A43"/>
    <w:p w14:paraId="385058D3" w14:textId="77777777" w:rsidR="00B51A43" w:rsidRDefault="00B51A43" w:rsidP="00B51A43"/>
    <w:p w14:paraId="7D6C75A8" w14:textId="77777777" w:rsidR="00B51A43" w:rsidRDefault="00B51A43" w:rsidP="00B51A43"/>
    <w:p w14:paraId="44EABA86" w14:textId="77777777" w:rsidR="00B51A43" w:rsidRDefault="00B51A43" w:rsidP="00B51A43"/>
    <w:p w14:paraId="7C027055" w14:textId="77777777" w:rsidR="00B51A43" w:rsidRDefault="00B51A43" w:rsidP="00B51A43"/>
    <w:p w14:paraId="049C5BED" w14:textId="77777777" w:rsidR="00B51A43" w:rsidRDefault="00B51A43" w:rsidP="00B51A43"/>
    <w:p w14:paraId="7D7F4E10" w14:textId="77777777" w:rsidR="00B51A43" w:rsidRDefault="00B51A43" w:rsidP="00B51A43"/>
    <w:p w14:paraId="17E2BA25" w14:textId="77777777" w:rsidR="00B51A43" w:rsidRDefault="00B51A43" w:rsidP="00B51A43"/>
    <w:p w14:paraId="700BDA81" w14:textId="77777777" w:rsidR="00B51A43" w:rsidRDefault="00B51A43" w:rsidP="00B51A43">
      <w:pPr>
        <w:pStyle w:val="Heading1"/>
      </w:pPr>
      <w:bookmarkStart w:id="0" w:name="_Toc164696613"/>
      <w:r>
        <w:t>Introduction</w:t>
      </w:r>
      <w:bookmarkEnd w:id="0"/>
    </w:p>
    <w:p w14:paraId="11CA887E" w14:textId="77777777" w:rsidR="00B51A43" w:rsidRDefault="00B51A43" w:rsidP="00B51A43">
      <w:pPr>
        <w:pStyle w:val="Content"/>
      </w:pPr>
      <w:r>
        <w:t>Capri Holdings Limited, previously known as Michael Kors Holdings Limited, came into being on 31st December 2018 as a global luxury fashion group (Capri Holdings Limited, 2021). The parent company is registered in the British Virgin Islands and headquartered in London and New York. Capri Holdings owns everything within the luxury sphere, which means it is very involved in design, marketing, distribution, and retailing of women's and men's clothes, accessories, and shoes (Capri Holdings Limited, 2021).</w:t>
      </w:r>
    </w:p>
    <w:p w14:paraId="21E3068B" w14:textId="77777777" w:rsidR="00B51A43" w:rsidRDefault="00B51A43" w:rsidP="00B51A43">
      <w:pPr>
        <w:pStyle w:val="Content"/>
      </w:pPr>
      <w:r w:rsidRPr="00A612F0">
        <w:rPr>
          <w:b/>
          <w:bCs/>
        </w:rPr>
        <w:t>Business Model:</w:t>
      </w:r>
      <w:r>
        <w:t xml:space="preserve"> Capri Holdings operates three big fashion companies: Sneaker corporations such as Adidas, Nike and Fila and luxury fashion brands such as Michael Kors, Jimmy Choo, and Versace (Capri Holdings Limited, 2021). Every brand basically has its own design philosophy but at the same time going along with the advantages of Group's common resources, platforms, and shared properties. The company disperse its products through the retail store network or wholesale distribution to department stores and specialty stores or e-commerce sites (Capri Holdings Limited, 2021).</w:t>
      </w:r>
    </w:p>
    <w:p w14:paraId="1D7EC1E3" w14:textId="77777777" w:rsidR="00B51A43" w:rsidRDefault="00B51A43" w:rsidP="00B51A43">
      <w:pPr>
        <w:pStyle w:val="Content"/>
      </w:pPr>
      <w:r w:rsidRPr="00A612F0">
        <w:rPr>
          <w:b/>
          <w:bCs/>
        </w:rPr>
        <w:t>Marketplace and Major Competitors:</w:t>
      </w:r>
      <w:r w:rsidRPr="00A612F0">
        <w:t xml:space="preserve"> The view of Capri Holdings relates to the top luxury segment, with the target focus on wealthy customers who are always looking for real class and come back with fresh ideas. Its main competitors are other elite brands in the same high-end category. These include the groups like LVMH, Kering, Richemont and Tapestry as well as individuals’ brands including those of Prada, Burberry, and Hermes (Deloitte, 2023).</w:t>
      </w:r>
    </w:p>
    <w:p w14:paraId="22E0EE91" w14:textId="77777777" w:rsidR="00B51A43" w:rsidRDefault="00B51A43" w:rsidP="00B51A43">
      <w:pPr>
        <w:pStyle w:val="Content"/>
      </w:pPr>
      <w:r>
        <w:t>Events of years 2018 to 2023</w:t>
      </w:r>
    </w:p>
    <w:p w14:paraId="2A2D06FF" w14:textId="77777777" w:rsidR="00B51A43" w:rsidRDefault="00B51A43" w:rsidP="00B51A43">
      <w:pPr>
        <w:pStyle w:val="Content"/>
      </w:pPr>
      <w:r w:rsidRPr="00EC1747">
        <w:rPr>
          <w:b/>
          <w:bCs/>
        </w:rPr>
        <w:t>2018:</w:t>
      </w:r>
      <w:r>
        <w:t xml:space="preserve"> The $2.1 billion purchase by Gianni Versace was the culmination of the business name changing from Michael Kors Holdings Limited to Capri Holdings Limited (Forbes, 2018).</w:t>
      </w:r>
    </w:p>
    <w:p w14:paraId="1C7221B5" w14:textId="77777777" w:rsidR="00B51A43" w:rsidRDefault="00B51A43" w:rsidP="00B51A43">
      <w:pPr>
        <w:pStyle w:val="Content"/>
      </w:pPr>
      <w:r w:rsidRPr="00EC1747">
        <w:rPr>
          <w:b/>
          <w:bCs/>
        </w:rPr>
        <w:t>2019:</w:t>
      </w:r>
      <w:r>
        <w:t xml:space="preserve"> From the hiring of Cedric Wilmotte to the temporary CEO of Michael Kors. Announced the recruitment of Jenna Hendricks as the Senior Vice President, Chief People Officer (WSJ Markets, 2020).</w:t>
      </w:r>
    </w:p>
    <w:p w14:paraId="6183D1A7" w14:textId="77777777" w:rsidR="00B51A43" w:rsidRDefault="00B51A43" w:rsidP="00B51A43">
      <w:pPr>
        <w:pStyle w:val="Content"/>
      </w:pPr>
      <w:r w:rsidRPr="00EC1747">
        <w:rPr>
          <w:b/>
          <w:bCs/>
        </w:rPr>
        <w:t>2020:</w:t>
      </w:r>
      <w:r>
        <w:t xml:space="preserve"> </w:t>
      </w:r>
      <w:r w:rsidRPr="00EE3D85">
        <w:t>One of the issues people face during the COVID-19 pandemic is that multiple stores closed for a period, thus hindering consumer spending. The implementation of a cost-saving program was a tactic engaged in to tackle the adverse effect of the pandemic (Capri Holdings, 2020).</w:t>
      </w:r>
    </w:p>
    <w:p w14:paraId="190ED6A7" w14:textId="77777777" w:rsidR="00B51A43" w:rsidRDefault="00B51A43" w:rsidP="00B51A43">
      <w:pPr>
        <w:pStyle w:val="Content"/>
      </w:pPr>
      <w:r w:rsidRPr="00EC1747">
        <w:rPr>
          <w:b/>
          <w:bCs/>
        </w:rPr>
        <w:lastRenderedPageBreak/>
        <w:t>2021:</w:t>
      </w:r>
      <w:r>
        <w:t xml:space="preserve"> Focus on entering rising e-commerce channels and improving digital marketing will be considered the top priority. The 40th anniversary of Michael Kors is celebrated by the release of a special collection and campaign while for Versace the collaboration with the premium streetwear store KITH is a limited edition (Vogue, 2021).</w:t>
      </w:r>
    </w:p>
    <w:p w14:paraId="694D761E" w14:textId="77777777" w:rsidR="00B51A43" w:rsidRDefault="00B51A43" w:rsidP="00B51A43">
      <w:pPr>
        <w:pStyle w:val="Content"/>
      </w:pPr>
      <w:r w:rsidRPr="00EC1747">
        <w:rPr>
          <w:b/>
          <w:bCs/>
        </w:rPr>
        <w:t>2022:</w:t>
      </w:r>
      <w:r>
        <w:t xml:space="preserve"> </w:t>
      </w:r>
      <w:r w:rsidRPr="00B85C41">
        <w:t>The decision taken was to appoint Cedric Wilmotte as the CEO of the Michael Kors brand (Capri Holdings Limited, 2022). Allotted $10 million for two projects which include COVID-19 relief and achieving diversity, equity, and inclusion. Versace has collaborated with the luxury car brand Lamborghini on a capsule collection of products (Fashion Network, 2022).</w:t>
      </w:r>
    </w:p>
    <w:p w14:paraId="5BB9589B" w14:textId="77777777" w:rsidR="00B51A43" w:rsidRDefault="00B51A43" w:rsidP="00B51A43">
      <w:pPr>
        <w:pStyle w:val="Content"/>
      </w:pPr>
      <w:r w:rsidRPr="00EC1747">
        <w:rPr>
          <w:b/>
          <w:bCs/>
        </w:rPr>
        <w:t>2023:</w:t>
      </w:r>
      <w:r>
        <w:t xml:space="preserve"> Recent outstanding financial statements that imply a resilient recovery from the recession after the economic stagnation caused by the pandemic. The brand has publicly announced its commitment to reach net-zero emissions by 2050 (Capri Holdings Limited, 2023). Jimmy Choo introduced another sustainability program emphasizing on use of eco-materials and eco-friendly processes (Jimmy choo, 2023).</w:t>
      </w:r>
    </w:p>
    <w:p w14:paraId="708907E0" w14:textId="77777777" w:rsidR="00B51A43" w:rsidRDefault="00B51A43" w:rsidP="00B51A43">
      <w:pPr>
        <w:pStyle w:val="Heading1"/>
      </w:pPr>
      <w:bookmarkStart w:id="1" w:name="_Toc164696614"/>
      <w:r>
        <w:t>Financial Performance of Capri Holdings</w:t>
      </w:r>
      <w:bookmarkEnd w:id="1"/>
    </w:p>
    <w:p w14:paraId="540006D9" w14:textId="77777777" w:rsidR="00B51A43" w:rsidRDefault="00B51A43" w:rsidP="00B51A43">
      <w:pPr>
        <w:pStyle w:val="Heading2"/>
      </w:pPr>
      <w:bookmarkStart w:id="2" w:name="_Toc164696615"/>
      <w:r>
        <w:t>Financial Ratios</w:t>
      </w:r>
      <w:bookmarkEnd w:id="2"/>
    </w:p>
    <w:p w14:paraId="20139105" w14:textId="77777777" w:rsidR="00B51A43" w:rsidRPr="00512DD3" w:rsidRDefault="00B51A43" w:rsidP="00B51A43">
      <w:pPr>
        <w:pStyle w:val="Content"/>
        <w:rPr>
          <w:b/>
          <w:bCs/>
        </w:rPr>
      </w:pPr>
      <w:r w:rsidRPr="00512DD3">
        <w:rPr>
          <w:b/>
          <w:bCs/>
        </w:rPr>
        <w:t>Profitability ratio: Net Profit Margin</w:t>
      </w:r>
    </w:p>
    <w:p w14:paraId="29AF2CA8" w14:textId="77777777" w:rsidR="00B51A43" w:rsidRPr="00512DD3" w:rsidRDefault="00B51A43" w:rsidP="00B51A43">
      <w:pPr>
        <w:rPr>
          <w:b/>
          <w:bCs/>
        </w:rPr>
      </w:pPr>
      <m:oMathPara>
        <m:oMath>
          <m:r>
            <m:rPr>
              <m:sty m:val="bi"/>
            </m:rPr>
            <w:rPr>
              <w:rFonts w:ascii="Cambria Math" w:hAnsi="Cambria Math"/>
            </w:rPr>
            <m:t>net profit margin=</m:t>
          </m:r>
          <m:f>
            <m:fPr>
              <m:ctrlPr>
                <w:rPr>
                  <w:rFonts w:ascii="Cambria Math" w:hAnsi="Cambria Math"/>
                  <w:b/>
                  <w:bCs/>
                  <w:i/>
                </w:rPr>
              </m:ctrlPr>
            </m:fPr>
            <m:num>
              <m:r>
                <m:rPr>
                  <m:sty m:val="bi"/>
                </m:rPr>
                <w:rPr>
                  <w:rFonts w:ascii="Cambria Math" w:hAnsi="Cambria Math"/>
                </w:rPr>
                <m:t>net profit (profit for the year)</m:t>
              </m:r>
            </m:num>
            <m:den>
              <m:r>
                <m:rPr>
                  <m:sty m:val="bi"/>
                </m:rPr>
                <w:rPr>
                  <w:rFonts w:ascii="Cambria Math" w:hAnsi="Cambria Math"/>
                </w:rPr>
                <m:t>sales (revenue)</m:t>
              </m:r>
            </m:den>
          </m:f>
        </m:oMath>
      </m:oMathPara>
    </w:p>
    <w:tbl>
      <w:tblPr>
        <w:tblStyle w:val="PlainTable1"/>
        <w:tblW w:w="7532" w:type="dxa"/>
        <w:tblInd w:w="596" w:type="dxa"/>
        <w:tblLook w:val="04A0" w:firstRow="1" w:lastRow="0" w:firstColumn="1" w:lastColumn="0" w:noHBand="0" w:noVBand="1"/>
      </w:tblPr>
      <w:tblGrid>
        <w:gridCol w:w="636"/>
        <w:gridCol w:w="2392"/>
        <w:gridCol w:w="2396"/>
        <w:gridCol w:w="2108"/>
      </w:tblGrid>
      <w:tr w:rsidR="00B51A43" w:rsidRPr="00512DD3" w14:paraId="3819EDDF" w14:textId="77777777" w:rsidTr="006C32AF">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4050F994" w14:textId="77777777" w:rsidR="00B51A43" w:rsidRPr="00512DD3" w:rsidRDefault="00B51A43" w:rsidP="006C32AF">
            <w:pPr>
              <w:jc w:val="center"/>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Year</w:t>
            </w:r>
          </w:p>
        </w:tc>
        <w:tc>
          <w:tcPr>
            <w:tcW w:w="0" w:type="auto"/>
            <w:hideMark/>
          </w:tcPr>
          <w:p w14:paraId="7D8386B7" w14:textId="77777777" w:rsidR="00B51A43" w:rsidRPr="00512DD3" w:rsidRDefault="00B51A43" w:rsidP="006C32A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Net Income (in $ millions)</w:t>
            </w:r>
          </w:p>
        </w:tc>
        <w:tc>
          <w:tcPr>
            <w:tcW w:w="2396" w:type="dxa"/>
            <w:hideMark/>
          </w:tcPr>
          <w:p w14:paraId="39D42686" w14:textId="77777777" w:rsidR="00B51A43" w:rsidRPr="00512DD3" w:rsidRDefault="00B51A43" w:rsidP="006C32A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Revenue (in $ millions)</w:t>
            </w:r>
          </w:p>
        </w:tc>
        <w:tc>
          <w:tcPr>
            <w:tcW w:w="0" w:type="auto"/>
            <w:hideMark/>
          </w:tcPr>
          <w:p w14:paraId="1AD6A8E4" w14:textId="77777777" w:rsidR="00B51A43" w:rsidRPr="00512DD3" w:rsidRDefault="00B51A43" w:rsidP="006C32A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Net Profit Margin (%)</w:t>
            </w:r>
          </w:p>
        </w:tc>
      </w:tr>
      <w:tr w:rsidR="00B51A43" w:rsidRPr="00512DD3" w14:paraId="39D3D8C4" w14:textId="77777777" w:rsidTr="006C32AF">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55C762F2" w14:textId="77777777" w:rsidR="00B51A43" w:rsidRPr="00512DD3" w:rsidRDefault="00B51A43" w:rsidP="006C32AF">
            <w:pPr>
              <w:jc w:val="center"/>
              <w:rPr>
                <w:rFonts w:ascii="Times New Roman" w:eastAsia="Times New Roman" w:hAnsi="Times New Roman" w:cs="Times New Roman"/>
                <w:b w:val="0"/>
                <w:bCs w:val="0"/>
                <w:color w:val="0D0D0D"/>
                <w:kern w:val="0"/>
                <w:sz w:val="21"/>
                <w:szCs w:val="21"/>
                <w:lang w:eastAsia="en-GB"/>
                <w14:ligatures w14:val="none"/>
              </w:rPr>
            </w:pPr>
            <w:r w:rsidRPr="00130F04">
              <w:rPr>
                <w:rFonts w:ascii="Times New Roman" w:hAnsi="Times New Roman" w:cs="Times New Roman"/>
                <w:b w:val="0"/>
                <w:bCs w:val="0"/>
                <w:sz w:val="21"/>
                <w:szCs w:val="21"/>
              </w:rPr>
              <w:t>2019</w:t>
            </w:r>
          </w:p>
        </w:tc>
        <w:tc>
          <w:tcPr>
            <w:tcW w:w="0" w:type="auto"/>
            <w:hideMark/>
          </w:tcPr>
          <w:p w14:paraId="5D2BBD12" w14:textId="77777777" w:rsidR="00B51A43" w:rsidRPr="00512DD3"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543</w:t>
            </w:r>
          </w:p>
        </w:tc>
        <w:tc>
          <w:tcPr>
            <w:tcW w:w="2396" w:type="dxa"/>
            <w:hideMark/>
          </w:tcPr>
          <w:p w14:paraId="72014F9A" w14:textId="77777777" w:rsidR="00B51A43" w:rsidRPr="00512DD3"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5,238</w:t>
            </w:r>
          </w:p>
        </w:tc>
        <w:tc>
          <w:tcPr>
            <w:tcW w:w="0" w:type="auto"/>
            <w:hideMark/>
          </w:tcPr>
          <w:p w14:paraId="3757AEA6" w14:textId="77777777" w:rsidR="00B51A43" w:rsidRPr="00512DD3"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10.36</w:t>
            </w:r>
          </w:p>
        </w:tc>
      </w:tr>
      <w:tr w:rsidR="00B51A43" w:rsidRPr="00512DD3" w14:paraId="6C70E872" w14:textId="77777777" w:rsidTr="006C32AF">
        <w:trPr>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0F2FB577" w14:textId="77777777" w:rsidR="00B51A43" w:rsidRPr="00512DD3" w:rsidRDefault="00B51A43" w:rsidP="006C32AF">
            <w:pPr>
              <w:jc w:val="center"/>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2020</w:t>
            </w:r>
          </w:p>
        </w:tc>
        <w:tc>
          <w:tcPr>
            <w:tcW w:w="0" w:type="auto"/>
            <w:hideMark/>
          </w:tcPr>
          <w:p w14:paraId="34515D0A" w14:textId="77777777" w:rsidR="00B51A43" w:rsidRPr="00512DD3"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-223</w:t>
            </w:r>
          </w:p>
        </w:tc>
        <w:tc>
          <w:tcPr>
            <w:tcW w:w="2396" w:type="dxa"/>
            <w:hideMark/>
          </w:tcPr>
          <w:p w14:paraId="306B1510" w14:textId="77777777" w:rsidR="00B51A43" w:rsidRPr="00512DD3"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5,551</w:t>
            </w:r>
          </w:p>
        </w:tc>
        <w:tc>
          <w:tcPr>
            <w:tcW w:w="0" w:type="auto"/>
            <w:hideMark/>
          </w:tcPr>
          <w:p w14:paraId="1713C4C8" w14:textId="77777777" w:rsidR="00B51A43" w:rsidRPr="00512DD3"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-4.02</w:t>
            </w:r>
          </w:p>
        </w:tc>
      </w:tr>
      <w:tr w:rsidR="00B51A43" w:rsidRPr="00512DD3" w14:paraId="0733BF4D" w14:textId="77777777" w:rsidTr="006C32AF">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42925BAB" w14:textId="77777777" w:rsidR="00B51A43" w:rsidRPr="00512DD3" w:rsidRDefault="00B51A43" w:rsidP="006C32AF">
            <w:pPr>
              <w:jc w:val="center"/>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2021</w:t>
            </w:r>
          </w:p>
        </w:tc>
        <w:tc>
          <w:tcPr>
            <w:tcW w:w="0" w:type="auto"/>
            <w:hideMark/>
          </w:tcPr>
          <w:p w14:paraId="03D38B83" w14:textId="77777777" w:rsidR="00B51A43" w:rsidRPr="00512DD3"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-62</w:t>
            </w:r>
          </w:p>
        </w:tc>
        <w:tc>
          <w:tcPr>
            <w:tcW w:w="2396" w:type="dxa"/>
            <w:hideMark/>
          </w:tcPr>
          <w:p w14:paraId="659BD2A4" w14:textId="77777777" w:rsidR="00B51A43" w:rsidRPr="00512DD3"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4,060</w:t>
            </w:r>
          </w:p>
        </w:tc>
        <w:tc>
          <w:tcPr>
            <w:tcW w:w="0" w:type="auto"/>
            <w:hideMark/>
          </w:tcPr>
          <w:p w14:paraId="25ECC44F" w14:textId="77777777" w:rsidR="00B51A43" w:rsidRPr="00512DD3"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-1.53</w:t>
            </w:r>
          </w:p>
        </w:tc>
      </w:tr>
      <w:tr w:rsidR="00B51A43" w:rsidRPr="00512DD3" w14:paraId="7582DC34" w14:textId="77777777" w:rsidTr="006C32AF">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673EB414" w14:textId="77777777" w:rsidR="00B51A43" w:rsidRPr="00512DD3" w:rsidRDefault="00B51A43" w:rsidP="006C32AF">
            <w:pPr>
              <w:jc w:val="center"/>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2022</w:t>
            </w:r>
          </w:p>
        </w:tc>
        <w:tc>
          <w:tcPr>
            <w:tcW w:w="0" w:type="auto"/>
            <w:hideMark/>
          </w:tcPr>
          <w:p w14:paraId="6B8F4B90" w14:textId="77777777" w:rsidR="00B51A43" w:rsidRPr="00512DD3"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822</w:t>
            </w:r>
          </w:p>
        </w:tc>
        <w:tc>
          <w:tcPr>
            <w:tcW w:w="2396" w:type="dxa"/>
            <w:hideMark/>
          </w:tcPr>
          <w:p w14:paraId="7352CD85" w14:textId="77777777" w:rsidR="00B51A43" w:rsidRPr="00512DD3"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5,654</w:t>
            </w:r>
          </w:p>
        </w:tc>
        <w:tc>
          <w:tcPr>
            <w:tcW w:w="0" w:type="auto"/>
            <w:hideMark/>
          </w:tcPr>
          <w:p w14:paraId="4AA34B0C" w14:textId="77777777" w:rsidR="00B51A43" w:rsidRPr="00512DD3"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14.54</w:t>
            </w:r>
          </w:p>
        </w:tc>
      </w:tr>
      <w:tr w:rsidR="00B51A43" w:rsidRPr="00512DD3" w14:paraId="1A2EDCDB" w14:textId="77777777" w:rsidTr="006C32AF">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0" w:type="auto"/>
            <w:hideMark/>
          </w:tcPr>
          <w:p w14:paraId="3846B6B8" w14:textId="77777777" w:rsidR="00B51A43" w:rsidRPr="00512DD3" w:rsidRDefault="00B51A43" w:rsidP="006C32AF">
            <w:pPr>
              <w:jc w:val="center"/>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2023</w:t>
            </w:r>
          </w:p>
        </w:tc>
        <w:tc>
          <w:tcPr>
            <w:tcW w:w="0" w:type="auto"/>
            <w:hideMark/>
          </w:tcPr>
          <w:p w14:paraId="0BDC8631" w14:textId="77777777" w:rsidR="00B51A43" w:rsidRPr="00512DD3"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616</w:t>
            </w:r>
          </w:p>
        </w:tc>
        <w:tc>
          <w:tcPr>
            <w:tcW w:w="2396" w:type="dxa"/>
            <w:hideMark/>
          </w:tcPr>
          <w:p w14:paraId="2614B502" w14:textId="77777777" w:rsidR="00B51A43" w:rsidRPr="00512DD3"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5,619</w:t>
            </w:r>
          </w:p>
        </w:tc>
        <w:tc>
          <w:tcPr>
            <w:tcW w:w="0" w:type="auto"/>
            <w:hideMark/>
          </w:tcPr>
          <w:p w14:paraId="0370D1D7" w14:textId="77777777" w:rsidR="00B51A43" w:rsidRPr="00512DD3"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30F04">
              <w:rPr>
                <w:rFonts w:ascii="Times New Roman" w:hAnsi="Times New Roman" w:cs="Times New Roman"/>
                <w:sz w:val="21"/>
                <w:szCs w:val="21"/>
              </w:rPr>
              <w:t>10.96</w:t>
            </w:r>
          </w:p>
        </w:tc>
      </w:tr>
    </w:tbl>
    <w:p w14:paraId="12DB766F" w14:textId="77777777" w:rsidR="00B51A43" w:rsidRDefault="00B51A43" w:rsidP="00B51A43">
      <w:pPr>
        <w:pStyle w:val="Content"/>
      </w:pPr>
      <w:r w:rsidRPr="00FE551D">
        <w:t xml:space="preserve">The net profit margin of Capri Holdings was varying within the last 5 years. Back in 2019, the company possessed a positive net margin of 10.36%. Nevertheless, 2020 and 2021 especially saw a negative net profit margin for the brand of -4.02% and -1.53%, respectively, which was probably because of covid-19 on the fashion industry. When recounting the 2022 performance of the company, it can be noted that the company made a net profit margin of 14.5% which was the highest in the five-year period. Seen in 2023, the net profit margin was </w:t>
      </w:r>
      <w:r w:rsidRPr="00FE551D">
        <w:lastRenderedPageBreak/>
        <w:t>able to sustain its strength at 10.96%, offering an indication of the business's resilience to the challenges of the past.</w:t>
      </w:r>
    </w:p>
    <w:p w14:paraId="085B2EA2" w14:textId="77777777" w:rsidR="00B51A43" w:rsidRPr="00194156" w:rsidRDefault="00B51A43" w:rsidP="00B51A43">
      <w:pPr>
        <w:pStyle w:val="Content"/>
        <w:rPr>
          <w:b/>
          <w:bCs/>
        </w:rPr>
      </w:pPr>
      <w:r w:rsidRPr="00194156">
        <w:rPr>
          <w:b/>
          <w:bCs/>
        </w:rPr>
        <w:t>Liquidity Ratio: Cash Ratio</w:t>
      </w:r>
    </w:p>
    <w:p w14:paraId="2D18BA12" w14:textId="77777777" w:rsidR="00B51A43" w:rsidRPr="00130F04" w:rsidRDefault="00B51A43" w:rsidP="00B51A43">
      <w:pPr>
        <w:rPr>
          <w:rFonts w:eastAsiaTheme="minorEastAsia"/>
        </w:rPr>
      </w:pPr>
      <m:oMathPara>
        <m:oMath>
          <m:r>
            <w:rPr>
              <w:rFonts w:ascii="Cambria Math" w:hAnsi="Cambria Math"/>
            </w:rPr>
            <m:t>cash ratio=</m:t>
          </m:r>
          <m:f>
            <m:fPr>
              <m:ctrlPr>
                <w:rPr>
                  <w:rFonts w:ascii="Cambria Math" w:hAnsi="Cambria Math"/>
                  <w:i/>
                </w:rPr>
              </m:ctrlPr>
            </m:fPr>
            <m:num>
              <m:r>
                <w:rPr>
                  <w:rFonts w:ascii="Cambria Math" w:hAnsi="Cambria Math"/>
                </w:rPr>
                <m:t>cash</m:t>
              </m:r>
            </m:num>
            <m:den>
              <m:r>
                <w:rPr>
                  <w:rFonts w:ascii="Cambria Math" w:hAnsi="Cambria Math"/>
                </w:rPr>
                <m:t>current liability</m:t>
              </m:r>
            </m:den>
          </m:f>
        </m:oMath>
      </m:oMathPara>
    </w:p>
    <w:p w14:paraId="28A70760" w14:textId="77777777" w:rsidR="00B51A43" w:rsidRPr="00130F04" w:rsidRDefault="00B51A43" w:rsidP="00B51A43">
      <w:pPr>
        <w:rPr>
          <w:rFonts w:eastAsiaTheme="minorEastAsia"/>
        </w:rPr>
      </w:pPr>
    </w:p>
    <w:p w14:paraId="2AD2C89D" w14:textId="77777777" w:rsidR="00B51A43" w:rsidRPr="007E4DB4" w:rsidRDefault="00B51A43" w:rsidP="00B51A43"/>
    <w:tbl>
      <w:tblPr>
        <w:tblStyle w:val="PlainTable1"/>
        <w:tblW w:w="6658" w:type="dxa"/>
        <w:tblInd w:w="1178" w:type="dxa"/>
        <w:tblLook w:val="04A0" w:firstRow="1" w:lastRow="0" w:firstColumn="1" w:lastColumn="0" w:noHBand="0" w:noVBand="1"/>
      </w:tblPr>
      <w:tblGrid>
        <w:gridCol w:w="681"/>
        <w:gridCol w:w="1724"/>
        <w:gridCol w:w="2693"/>
        <w:gridCol w:w="1560"/>
      </w:tblGrid>
      <w:tr w:rsidR="00B51A43" w:rsidRPr="00130F04" w14:paraId="559CCA31" w14:textId="77777777" w:rsidTr="006C32AF">
        <w:trPr>
          <w:cnfStyle w:val="100000000000" w:firstRow="1" w:lastRow="0" w:firstColumn="0" w:lastColumn="0" w:oddVBand="0" w:evenVBand="0" w:oddHBand="0"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0" w:type="auto"/>
            <w:hideMark/>
          </w:tcPr>
          <w:p w14:paraId="73670799" w14:textId="77777777" w:rsidR="00B51A43" w:rsidRPr="00130F04" w:rsidRDefault="00B51A43" w:rsidP="006C32AF">
            <w:pPr>
              <w:jc w:val="center"/>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Year</w:t>
            </w:r>
          </w:p>
        </w:tc>
        <w:tc>
          <w:tcPr>
            <w:tcW w:w="1724" w:type="dxa"/>
            <w:hideMark/>
          </w:tcPr>
          <w:p w14:paraId="529B6D3F" w14:textId="77777777" w:rsidR="00B51A43" w:rsidRPr="00130F04" w:rsidRDefault="00B51A43" w:rsidP="006C32A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Cash and Cash Equivalents (in $ millions)</w:t>
            </w:r>
          </w:p>
        </w:tc>
        <w:tc>
          <w:tcPr>
            <w:tcW w:w="2693" w:type="dxa"/>
            <w:hideMark/>
          </w:tcPr>
          <w:p w14:paraId="2FBADCAF" w14:textId="77777777" w:rsidR="00B51A43" w:rsidRPr="00130F04" w:rsidRDefault="00B51A43" w:rsidP="006C32A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Total Current Liabilities (in $ millions)</w:t>
            </w:r>
          </w:p>
        </w:tc>
        <w:tc>
          <w:tcPr>
            <w:tcW w:w="1560" w:type="dxa"/>
            <w:hideMark/>
          </w:tcPr>
          <w:p w14:paraId="2EB0F466" w14:textId="77777777" w:rsidR="00B51A43" w:rsidRPr="00130F04" w:rsidRDefault="00B51A43" w:rsidP="006C32A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Cash Ratio</w:t>
            </w:r>
          </w:p>
        </w:tc>
      </w:tr>
      <w:tr w:rsidR="00B51A43" w:rsidRPr="00130F04" w14:paraId="76102CC8" w14:textId="77777777" w:rsidTr="006C32AF">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0" w:type="auto"/>
            <w:hideMark/>
          </w:tcPr>
          <w:p w14:paraId="7B058B2B" w14:textId="77777777" w:rsidR="00B51A43" w:rsidRPr="00130F04" w:rsidRDefault="00B51A43" w:rsidP="006C32AF">
            <w:pPr>
              <w:rPr>
                <w:rFonts w:ascii="Times New Roman" w:eastAsia="Times New Roman" w:hAnsi="Times New Roman" w:cs="Times New Roman"/>
                <w:b w:val="0"/>
                <w:bCs w:val="0"/>
                <w:color w:val="0D0D0D"/>
                <w:kern w:val="0"/>
                <w:sz w:val="20"/>
                <w:szCs w:val="20"/>
                <w:lang w:eastAsia="en-GB"/>
                <w14:ligatures w14:val="none"/>
              </w:rPr>
            </w:pPr>
            <w:r w:rsidRPr="00130F04">
              <w:rPr>
                <w:rFonts w:ascii="Times New Roman" w:eastAsia="Times New Roman" w:hAnsi="Times New Roman" w:cs="Times New Roman"/>
                <w:b w:val="0"/>
                <w:bCs w:val="0"/>
                <w:color w:val="0D0D0D"/>
                <w:kern w:val="0"/>
                <w:sz w:val="20"/>
                <w:szCs w:val="20"/>
                <w:lang w:eastAsia="en-GB"/>
                <w14:ligatures w14:val="none"/>
              </w:rPr>
              <w:t>2019</w:t>
            </w:r>
          </w:p>
        </w:tc>
        <w:tc>
          <w:tcPr>
            <w:tcW w:w="1724" w:type="dxa"/>
            <w:hideMark/>
          </w:tcPr>
          <w:p w14:paraId="1EB8FADE" w14:textId="77777777" w:rsidR="00B51A43" w:rsidRPr="00130F04" w:rsidRDefault="00B51A43" w:rsidP="006C32A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$513</w:t>
            </w:r>
          </w:p>
        </w:tc>
        <w:tc>
          <w:tcPr>
            <w:tcW w:w="2693" w:type="dxa"/>
            <w:hideMark/>
          </w:tcPr>
          <w:p w14:paraId="397CCF12" w14:textId="77777777" w:rsidR="00B51A43" w:rsidRPr="00130F04" w:rsidRDefault="00B51A43" w:rsidP="006C32A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$1,542</w:t>
            </w:r>
          </w:p>
        </w:tc>
        <w:tc>
          <w:tcPr>
            <w:tcW w:w="1560" w:type="dxa"/>
            <w:hideMark/>
          </w:tcPr>
          <w:p w14:paraId="0420B6C4" w14:textId="77777777" w:rsidR="00B51A43" w:rsidRPr="00130F04" w:rsidRDefault="00B51A43" w:rsidP="006C32A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0.33</w:t>
            </w:r>
          </w:p>
        </w:tc>
      </w:tr>
      <w:tr w:rsidR="00B51A43" w:rsidRPr="00130F04" w14:paraId="242FD75D" w14:textId="77777777" w:rsidTr="006C32AF">
        <w:trPr>
          <w:trHeight w:val="416"/>
        </w:trPr>
        <w:tc>
          <w:tcPr>
            <w:cnfStyle w:val="001000000000" w:firstRow="0" w:lastRow="0" w:firstColumn="1" w:lastColumn="0" w:oddVBand="0" w:evenVBand="0" w:oddHBand="0" w:evenHBand="0" w:firstRowFirstColumn="0" w:firstRowLastColumn="0" w:lastRowFirstColumn="0" w:lastRowLastColumn="0"/>
            <w:tcW w:w="0" w:type="auto"/>
            <w:hideMark/>
          </w:tcPr>
          <w:p w14:paraId="6592DB9B" w14:textId="77777777" w:rsidR="00B51A43" w:rsidRPr="00130F04" w:rsidRDefault="00B51A43" w:rsidP="006C32AF">
            <w:pPr>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2020</w:t>
            </w:r>
          </w:p>
        </w:tc>
        <w:tc>
          <w:tcPr>
            <w:tcW w:w="1724" w:type="dxa"/>
            <w:hideMark/>
          </w:tcPr>
          <w:p w14:paraId="4DFFB953" w14:textId="77777777" w:rsidR="00B51A43" w:rsidRPr="00130F04" w:rsidRDefault="00B51A43" w:rsidP="006C32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$636</w:t>
            </w:r>
          </w:p>
        </w:tc>
        <w:tc>
          <w:tcPr>
            <w:tcW w:w="2693" w:type="dxa"/>
            <w:hideMark/>
          </w:tcPr>
          <w:p w14:paraId="66759432" w14:textId="77777777" w:rsidR="00B51A43" w:rsidRPr="00130F04" w:rsidRDefault="00B51A43" w:rsidP="006C32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$1,401</w:t>
            </w:r>
          </w:p>
        </w:tc>
        <w:tc>
          <w:tcPr>
            <w:tcW w:w="1560" w:type="dxa"/>
            <w:hideMark/>
          </w:tcPr>
          <w:p w14:paraId="47C32359" w14:textId="77777777" w:rsidR="00B51A43" w:rsidRPr="00130F04" w:rsidRDefault="00B51A43" w:rsidP="006C32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0.45</w:t>
            </w:r>
          </w:p>
        </w:tc>
      </w:tr>
      <w:tr w:rsidR="00B51A43" w:rsidRPr="00130F04" w14:paraId="2B18237B" w14:textId="77777777" w:rsidTr="006C32AF">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0" w:type="auto"/>
            <w:hideMark/>
          </w:tcPr>
          <w:p w14:paraId="5A65CFF1" w14:textId="77777777" w:rsidR="00B51A43" w:rsidRPr="00130F04" w:rsidRDefault="00B51A43" w:rsidP="006C32AF">
            <w:pPr>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2021</w:t>
            </w:r>
          </w:p>
        </w:tc>
        <w:tc>
          <w:tcPr>
            <w:tcW w:w="1724" w:type="dxa"/>
            <w:hideMark/>
          </w:tcPr>
          <w:p w14:paraId="0EE7437E" w14:textId="77777777" w:rsidR="00B51A43" w:rsidRPr="00130F04" w:rsidRDefault="00B51A43" w:rsidP="006C32A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$513</w:t>
            </w:r>
          </w:p>
        </w:tc>
        <w:tc>
          <w:tcPr>
            <w:tcW w:w="2693" w:type="dxa"/>
            <w:hideMark/>
          </w:tcPr>
          <w:p w14:paraId="591504AD" w14:textId="77777777" w:rsidR="00B51A43" w:rsidRPr="00130F04" w:rsidRDefault="00B51A43" w:rsidP="006C32A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$1,621</w:t>
            </w:r>
          </w:p>
        </w:tc>
        <w:tc>
          <w:tcPr>
            <w:tcW w:w="1560" w:type="dxa"/>
            <w:hideMark/>
          </w:tcPr>
          <w:p w14:paraId="16613AC4" w14:textId="77777777" w:rsidR="00B51A43" w:rsidRPr="00130F04" w:rsidRDefault="00B51A43" w:rsidP="006C32A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0.32</w:t>
            </w:r>
          </w:p>
        </w:tc>
      </w:tr>
      <w:tr w:rsidR="00B51A43" w:rsidRPr="00130F04" w14:paraId="13858397" w14:textId="77777777" w:rsidTr="006C32AF">
        <w:trPr>
          <w:trHeight w:val="427"/>
        </w:trPr>
        <w:tc>
          <w:tcPr>
            <w:cnfStyle w:val="001000000000" w:firstRow="0" w:lastRow="0" w:firstColumn="1" w:lastColumn="0" w:oddVBand="0" w:evenVBand="0" w:oddHBand="0" w:evenHBand="0" w:firstRowFirstColumn="0" w:firstRowLastColumn="0" w:lastRowFirstColumn="0" w:lastRowLastColumn="0"/>
            <w:tcW w:w="0" w:type="auto"/>
            <w:hideMark/>
          </w:tcPr>
          <w:p w14:paraId="5815FAF3" w14:textId="77777777" w:rsidR="00B51A43" w:rsidRPr="00130F04" w:rsidRDefault="00B51A43" w:rsidP="006C32AF">
            <w:pPr>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2022</w:t>
            </w:r>
          </w:p>
        </w:tc>
        <w:tc>
          <w:tcPr>
            <w:tcW w:w="1724" w:type="dxa"/>
            <w:hideMark/>
          </w:tcPr>
          <w:p w14:paraId="5E49313D" w14:textId="77777777" w:rsidR="00B51A43" w:rsidRPr="00130F04" w:rsidRDefault="00B51A43" w:rsidP="006C32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$573</w:t>
            </w:r>
          </w:p>
        </w:tc>
        <w:tc>
          <w:tcPr>
            <w:tcW w:w="2693" w:type="dxa"/>
            <w:hideMark/>
          </w:tcPr>
          <w:p w14:paraId="38F2DFC1" w14:textId="77777777" w:rsidR="00B51A43" w:rsidRPr="00130F04" w:rsidRDefault="00B51A43" w:rsidP="006C32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$1,566</w:t>
            </w:r>
          </w:p>
        </w:tc>
        <w:tc>
          <w:tcPr>
            <w:tcW w:w="1560" w:type="dxa"/>
            <w:hideMark/>
          </w:tcPr>
          <w:p w14:paraId="587ECCD9" w14:textId="77777777" w:rsidR="00B51A43" w:rsidRPr="00130F04" w:rsidRDefault="00B51A43" w:rsidP="006C32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0.37</w:t>
            </w:r>
          </w:p>
        </w:tc>
      </w:tr>
      <w:tr w:rsidR="00B51A43" w:rsidRPr="00130F04" w14:paraId="2A75F01B" w14:textId="77777777" w:rsidTr="006C32AF">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0415FAC5" w14:textId="77777777" w:rsidR="00B51A43" w:rsidRPr="00130F04" w:rsidRDefault="00B51A43" w:rsidP="006C32AF">
            <w:pPr>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2023</w:t>
            </w:r>
          </w:p>
        </w:tc>
        <w:tc>
          <w:tcPr>
            <w:tcW w:w="1724" w:type="dxa"/>
            <w:hideMark/>
          </w:tcPr>
          <w:p w14:paraId="5A4212E9" w14:textId="77777777" w:rsidR="00B51A43" w:rsidRPr="00130F04" w:rsidRDefault="00B51A43" w:rsidP="006C32A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$545</w:t>
            </w:r>
          </w:p>
        </w:tc>
        <w:tc>
          <w:tcPr>
            <w:tcW w:w="2693" w:type="dxa"/>
            <w:hideMark/>
          </w:tcPr>
          <w:p w14:paraId="33DC4917" w14:textId="77777777" w:rsidR="00B51A43" w:rsidRPr="00130F04" w:rsidRDefault="00B51A43" w:rsidP="006C32A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$1,450</w:t>
            </w:r>
          </w:p>
        </w:tc>
        <w:tc>
          <w:tcPr>
            <w:tcW w:w="1560" w:type="dxa"/>
            <w:hideMark/>
          </w:tcPr>
          <w:p w14:paraId="24ECC608" w14:textId="77777777" w:rsidR="00B51A43" w:rsidRPr="00130F04" w:rsidRDefault="00B51A43" w:rsidP="006C32A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0"/>
                <w:szCs w:val="20"/>
                <w:lang w:eastAsia="en-GB"/>
                <w14:ligatures w14:val="none"/>
              </w:rPr>
            </w:pPr>
            <w:r w:rsidRPr="00130F04">
              <w:rPr>
                <w:rFonts w:ascii="Times New Roman" w:eastAsia="Times New Roman" w:hAnsi="Times New Roman" w:cs="Times New Roman"/>
                <w:color w:val="0D0D0D"/>
                <w:kern w:val="0"/>
                <w:sz w:val="20"/>
                <w:szCs w:val="20"/>
                <w:lang w:eastAsia="en-GB"/>
                <w14:ligatures w14:val="none"/>
              </w:rPr>
              <w:t>0.38</w:t>
            </w:r>
          </w:p>
        </w:tc>
      </w:tr>
    </w:tbl>
    <w:p w14:paraId="0989156D" w14:textId="77777777" w:rsidR="00B51A43" w:rsidRDefault="00B51A43" w:rsidP="00B51A43">
      <w:pPr>
        <w:pStyle w:val="Content"/>
      </w:pPr>
      <w:r w:rsidRPr="00FE551D">
        <w:t>The cash ratio of Capri Holdings has remained around 0.32 to 0.45, only fluctuating by a small percentage in recent years. The fact that cash and cash equivalents hold a similar ratio with current liabilities suggests that the amount of cash and cash equivalents of the company remains unchanged. A cash ratio of 0.38 in 2023 means that this company has 0.38% of its current liabilities covered with cash and cash equivalents. Despite having a smaller cash ratio than the ideal cash ratio of 1, such lower ratios are not uncommon among fashion brands since their businesses require maintaining a lower cash ratio because of the nature of their business.</w:t>
      </w:r>
    </w:p>
    <w:p w14:paraId="6B07B35D" w14:textId="77777777" w:rsidR="00B51A43" w:rsidRPr="00194156" w:rsidRDefault="00B51A43" w:rsidP="00B51A43">
      <w:pPr>
        <w:pStyle w:val="Content"/>
        <w:rPr>
          <w:b/>
          <w:bCs/>
        </w:rPr>
      </w:pPr>
      <w:r w:rsidRPr="00194156">
        <w:rPr>
          <w:b/>
          <w:bCs/>
        </w:rPr>
        <w:t>Gearing ratio: Debt-to-equity ratio</w:t>
      </w:r>
    </w:p>
    <w:p w14:paraId="2178DC8A" w14:textId="77777777" w:rsidR="00B51A43" w:rsidRDefault="00B51A43" w:rsidP="00B51A43">
      <w:pPr>
        <w:pStyle w:val="Content"/>
      </w:pPr>
      <m:oMathPara>
        <m:oMath>
          <m:r>
            <w:rPr>
              <w:rFonts w:ascii="Cambria Math" w:hAnsi="Cambria Math"/>
            </w:rPr>
            <m:t xml:space="preserve">debt to equity ratio= </m:t>
          </m:r>
          <m:f>
            <m:fPr>
              <m:ctrlPr>
                <w:rPr>
                  <w:rFonts w:ascii="Cambria Math" w:hAnsi="Cambria Math"/>
                  <w:i/>
                </w:rPr>
              </m:ctrlPr>
            </m:fPr>
            <m:num>
              <m:r>
                <w:rPr>
                  <w:rFonts w:ascii="Cambria Math" w:hAnsi="Cambria Math"/>
                </w:rPr>
                <m:t>total debt(borrowings, loan, debt)</m:t>
              </m:r>
            </m:num>
            <m:den>
              <m:r>
                <w:rPr>
                  <w:rFonts w:ascii="Cambria Math" w:hAnsi="Cambria Math"/>
                </w:rPr>
                <m:t>total equity</m:t>
              </m:r>
            </m:den>
          </m:f>
        </m:oMath>
      </m:oMathPara>
    </w:p>
    <w:tbl>
      <w:tblPr>
        <w:tblStyle w:val="PlainTable1"/>
        <w:tblW w:w="8326" w:type="dxa"/>
        <w:tblLook w:val="04A0" w:firstRow="1" w:lastRow="0" w:firstColumn="1" w:lastColumn="0" w:noHBand="0" w:noVBand="1"/>
      </w:tblPr>
      <w:tblGrid>
        <w:gridCol w:w="661"/>
        <w:gridCol w:w="2266"/>
        <w:gridCol w:w="3464"/>
        <w:gridCol w:w="1935"/>
      </w:tblGrid>
      <w:tr w:rsidR="00B51A43" w:rsidRPr="00CE388C" w14:paraId="04EFD5FF" w14:textId="77777777" w:rsidTr="006C32AF">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0" w:type="auto"/>
            <w:hideMark/>
          </w:tcPr>
          <w:p w14:paraId="34B16763" w14:textId="77777777" w:rsidR="00B51A43" w:rsidRPr="00CE388C" w:rsidRDefault="00B51A43" w:rsidP="006C32AF">
            <w:pPr>
              <w:jc w:val="center"/>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Year</w:t>
            </w:r>
          </w:p>
        </w:tc>
        <w:tc>
          <w:tcPr>
            <w:tcW w:w="0" w:type="auto"/>
            <w:hideMark/>
          </w:tcPr>
          <w:p w14:paraId="14D7FEDC" w14:textId="77777777" w:rsidR="00B51A43" w:rsidRPr="00CE388C" w:rsidRDefault="00B51A43" w:rsidP="006C32A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Total Debt (in $ millions)</w:t>
            </w:r>
          </w:p>
        </w:tc>
        <w:tc>
          <w:tcPr>
            <w:tcW w:w="0" w:type="auto"/>
            <w:hideMark/>
          </w:tcPr>
          <w:p w14:paraId="3D58F2BF" w14:textId="77777777" w:rsidR="00B51A43" w:rsidRPr="00CE388C" w:rsidRDefault="00B51A43" w:rsidP="006C32A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Total Shareholder Equity (in $ millions)</w:t>
            </w:r>
          </w:p>
        </w:tc>
        <w:tc>
          <w:tcPr>
            <w:tcW w:w="0" w:type="auto"/>
            <w:hideMark/>
          </w:tcPr>
          <w:p w14:paraId="18656567" w14:textId="77777777" w:rsidR="00B51A43" w:rsidRPr="00CE388C" w:rsidRDefault="00B51A43" w:rsidP="006C32A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Debt-to-Equity Ratio</w:t>
            </w:r>
          </w:p>
        </w:tc>
      </w:tr>
      <w:tr w:rsidR="00B51A43" w:rsidRPr="00CE388C" w14:paraId="131B0748" w14:textId="77777777" w:rsidTr="006C32AF">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0" w:type="auto"/>
            <w:hideMark/>
          </w:tcPr>
          <w:p w14:paraId="7FF1463D" w14:textId="77777777" w:rsidR="00B51A43" w:rsidRPr="00CE388C" w:rsidRDefault="00B51A43" w:rsidP="006C32AF">
            <w:pPr>
              <w:jc w:val="center"/>
              <w:rPr>
                <w:rFonts w:ascii="Times New Roman" w:eastAsia="Times New Roman" w:hAnsi="Times New Roman" w:cs="Times New Roman"/>
                <w:b w:val="0"/>
                <w:bCs w:val="0"/>
                <w:color w:val="0D0D0D"/>
                <w:kern w:val="0"/>
                <w:sz w:val="21"/>
                <w:szCs w:val="21"/>
                <w:lang w:eastAsia="en-GB"/>
                <w14:ligatures w14:val="none"/>
              </w:rPr>
            </w:pPr>
            <w:r w:rsidRPr="00CE388C">
              <w:rPr>
                <w:rFonts w:ascii="Times New Roman" w:eastAsia="Times New Roman" w:hAnsi="Times New Roman" w:cs="Times New Roman"/>
                <w:b w:val="0"/>
                <w:bCs w:val="0"/>
                <w:color w:val="0D0D0D"/>
                <w:kern w:val="0"/>
                <w:sz w:val="21"/>
                <w:szCs w:val="21"/>
                <w:lang w:eastAsia="en-GB"/>
                <w14:ligatures w14:val="none"/>
              </w:rPr>
              <w:t>2019</w:t>
            </w:r>
          </w:p>
        </w:tc>
        <w:tc>
          <w:tcPr>
            <w:tcW w:w="0" w:type="auto"/>
            <w:hideMark/>
          </w:tcPr>
          <w:p w14:paraId="6620919C" w14:textId="77777777" w:rsidR="00B51A43" w:rsidRPr="00CE388C"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$2,566</w:t>
            </w:r>
          </w:p>
        </w:tc>
        <w:tc>
          <w:tcPr>
            <w:tcW w:w="0" w:type="auto"/>
            <w:hideMark/>
          </w:tcPr>
          <w:p w14:paraId="0A7F0CD4" w14:textId="77777777" w:rsidR="00B51A43" w:rsidRPr="00CE388C"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$2,432</w:t>
            </w:r>
          </w:p>
        </w:tc>
        <w:tc>
          <w:tcPr>
            <w:tcW w:w="0" w:type="auto"/>
            <w:hideMark/>
          </w:tcPr>
          <w:p w14:paraId="471BDDDB" w14:textId="77777777" w:rsidR="00B51A43" w:rsidRPr="00CE388C"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1.054</w:t>
            </w:r>
          </w:p>
        </w:tc>
      </w:tr>
      <w:tr w:rsidR="00B51A43" w:rsidRPr="00CE388C" w14:paraId="20C8FBDC" w14:textId="77777777" w:rsidTr="006C32AF">
        <w:trPr>
          <w:trHeight w:val="314"/>
        </w:trPr>
        <w:tc>
          <w:tcPr>
            <w:cnfStyle w:val="001000000000" w:firstRow="0" w:lastRow="0" w:firstColumn="1" w:lastColumn="0" w:oddVBand="0" w:evenVBand="0" w:oddHBand="0" w:evenHBand="0" w:firstRowFirstColumn="0" w:firstRowLastColumn="0" w:lastRowFirstColumn="0" w:lastRowLastColumn="0"/>
            <w:tcW w:w="0" w:type="auto"/>
            <w:hideMark/>
          </w:tcPr>
          <w:p w14:paraId="0EF31E24" w14:textId="77777777" w:rsidR="00B51A43" w:rsidRPr="00CE388C" w:rsidRDefault="00B51A43" w:rsidP="006C32AF">
            <w:pPr>
              <w:jc w:val="center"/>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2020</w:t>
            </w:r>
          </w:p>
        </w:tc>
        <w:tc>
          <w:tcPr>
            <w:tcW w:w="0" w:type="auto"/>
            <w:hideMark/>
          </w:tcPr>
          <w:p w14:paraId="1FD7FB69" w14:textId="77777777" w:rsidR="00B51A43" w:rsidRPr="00CE388C"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$2,481</w:t>
            </w:r>
          </w:p>
        </w:tc>
        <w:tc>
          <w:tcPr>
            <w:tcW w:w="0" w:type="auto"/>
            <w:hideMark/>
          </w:tcPr>
          <w:p w14:paraId="3BD4A4B1" w14:textId="77777777" w:rsidR="00B51A43" w:rsidRPr="00CE388C"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$2,168</w:t>
            </w:r>
          </w:p>
        </w:tc>
        <w:tc>
          <w:tcPr>
            <w:tcW w:w="0" w:type="auto"/>
            <w:hideMark/>
          </w:tcPr>
          <w:p w14:paraId="67BEE0F5" w14:textId="77777777" w:rsidR="00B51A43" w:rsidRPr="00CE388C"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1.143</w:t>
            </w:r>
          </w:p>
        </w:tc>
      </w:tr>
      <w:tr w:rsidR="00B51A43" w:rsidRPr="00CE388C" w14:paraId="65C9F85E" w14:textId="77777777" w:rsidTr="006C32AF">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0" w:type="auto"/>
            <w:hideMark/>
          </w:tcPr>
          <w:p w14:paraId="5972ED21" w14:textId="77777777" w:rsidR="00B51A43" w:rsidRPr="00CE388C" w:rsidRDefault="00B51A43" w:rsidP="006C32AF">
            <w:pPr>
              <w:jc w:val="center"/>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2021</w:t>
            </w:r>
          </w:p>
        </w:tc>
        <w:tc>
          <w:tcPr>
            <w:tcW w:w="0" w:type="auto"/>
            <w:hideMark/>
          </w:tcPr>
          <w:p w14:paraId="28FFEC66" w14:textId="77777777" w:rsidR="00B51A43" w:rsidRPr="00CE388C"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$1,692</w:t>
            </w:r>
          </w:p>
        </w:tc>
        <w:tc>
          <w:tcPr>
            <w:tcW w:w="0" w:type="auto"/>
            <w:hideMark/>
          </w:tcPr>
          <w:p w14:paraId="7D1CBD9F" w14:textId="77777777" w:rsidR="00B51A43" w:rsidRPr="00CE388C"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$2,157</w:t>
            </w:r>
          </w:p>
        </w:tc>
        <w:tc>
          <w:tcPr>
            <w:tcW w:w="0" w:type="auto"/>
            <w:hideMark/>
          </w:tcPr>
          <w:p w14:paraId="52A38248" w14:textId="77777777" w:rsidR="00B51A43" w:rsidRPr="00CE388C"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0.784</w:t>
            </w:r>
          </w:p>
        </w:tc>
      </w:tr>
      <w:tr w:rsidR="00B51A43" w:rsidRPr="00CE388C" w14:paraId="0733BD3A" w14:textId="77777777" w:rsidTr="006C32AF">
        <w:trPr>
          <w:trHeight w:val="327"/>
        </w:trPr>
        <w:tc>
          <w:tcPr>
            <w:cnfStyle w:val="001000000000" w:firstRow="0" w:lastRow="0" w:firstColumn="1" w:lastColumn="0" w:oddVBand="0" w:evenVBand="0" w:oddHBand="0" w:evenHBand="0" w:firstRowFirstColumn="0" w:firstRowLastColumn="0" w:lastRowFirstColumn="0" w:lastRowLastColumn="0"/>
            <w:tcW w:w="0" w:type="auto"/>
            <w:hideMark/>
          </w:tcPr>
          <w:p w14:paraId="104A23CA" w14:textId="77777777" w:rsidR="00B51A43" w:rsidRPr="00CE388C" w:rsidRDefault="00B51A43" w:rsidP="006C32AF">
            <w:pPr>
              <w:jc w:val="center"/>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2022</w:t>
            </w:r>
          </w:p>
        </w:tc>
        <w:tc>
          <w:tcPr>
            <w:tcW w:w="0" w:type="auto"/>
            <w:hideMark/>
          </w:tcPr>
          <w:p w14:paraId="074BB69B" w14:textId="77777777" w:rsidR="00B51A43" w:rsidRPr="00CE388C"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$1,574</w:t>
            </w:r>
          </w:p>
        </w:tc>
        <w:tc>
          <w:tcPr>
            <w:tcW w:w="0" w:type="auto"/>
            <w:hideMark/>
          </w:tcPr>
          <w:p w14:paraId="7EA910F3" w14:textId="77777777" w:rsidR="00B51A43" w:rsidRPr="00CE388C"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$2,558</w:t>
            </w:r>
          </w:p>
        </w:tc>
        <w:tc>
          <w:tcPr>
            <w:tcW w:w="0" w:type="auto"/>
            <w:hideMark/>
          </w:tcPr>
          <w:p w14:paraId="36FC46C5" w14:textId="77777777" w:rsidR="00B51A43" w:rsidRPr="00CE388C"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0.615</w:t>
            </w:r>
          </w:p>
        </w:tc>
      </w:tr>
      <w:tr w:rsidR="00B51A43" w:rsidRPr="00CE388C" w14:paraId="01910A80" w14:textId="77777777" w:rsidTr="006C32A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6EEFC63" w14:textId="77777777" w:rsidR="00B51A43" w:rsidRPr="00CE388C" w:rsidRDefault="00B51A43" w:rsidP="006C32AF">
            <w:pPr>
              <w:jc w:val="center"/>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2023</w:t>
            </w:r>
          </w:p>
        </w:tc>
        <w:tc>
          <w:tcPr>
            <w:tcW w:w="0" w:type="auto"/>
            <w:hideMark/>
          </w:tcPr>
          <w:p w14:paraId="79554325" w14:textId="77777777" w:rsidR="00B51A43" w:rsidRPr="00CE388C"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$2,256</w:t>
            </w:r>
          </w:p>
        </w:tc>
        <w:tc>
          <w:tcPr>
            <w:tcW w:w="0" w:type="auto"/>
            <w:hideMark/>
          </w:tcPr>
          <w:p w14:paraId="56FDD2D5" w14:textId="77777777" w:rsidR="00B51A43" w:rsidRPr="00CE388C"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$1,849</w:t>
            </w:r>
          </w:p>
        </w:tc>
        <w:tc>
          <w:tcPr>
            <w:tcW w:w="0" w:type="auto"/>
            <w:hideMark/>
          </w:tcPr>
          <w:p w14:paraId="628E20E6" w14:textId="77777777" w:rsidR="00B51A43" w:rsidRPr="00CE388C"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CE388C">
              <w:rPr>
                <w:rFonts w:ascii="Times New Roman" w:eastAsia="Times New Roman" w:hAnsi="Times New Roman" w:cs="Times New Roman"/>
                <w:color w:val="0D0D0D"/>
                <w:kern w:val="0"/>
                <w:sz w:val="21"/>
                <w:szCs w:val="21"/>
                <w:lang w:eastAsia="en-GB"/>
                <w14:ligatures w14:val="none"/>
              </w:rPr>
              <w:t>1.221</w:t>
            </w:r>
          </w:p>
        </w:tc>
      </w:tr>
    </w:tbl>
    <w:p w14:paraId="344C760A" w14:textId="77777777" w:rsidR="00B51A43" w:rsidRDefault="00B51A43" w:rsidP="00B51A43">
      <w:pPr>
        <w:pStyle w:val="Content"/>
      </w:pPr>
      <w:r w:rsidRPr="00FE551D">
        <w:lastRenderedPageBreak/>
        <w:t>The debt-to-equity ratio in the last five years has evidenced a great deal of volatility for Capri Holdings. In 2019 and 2020, the company's debt-to-equity was 1.054 and 1.143 respectively, handily showing that the company's debt capital exceeded equity capital. Yet, in 2021 and 2022, the company's debt-to-equity ratio became lower, dropping to 0.784 and 0.615, showing that the company was ordering less debt with respect to equity. The debt-to-equity ratio was 1.221 at the end of 2023, showing that the business has increased the borrowing. Admittedly, because of higher debt to equity ratio it is a reason to be worried, yet one should not forget the means of the company to make profit.</w:t>
      </w:r>
    </w:p>
    <w:p w14:paraId="7459378C" w14:textId="77777777" w:rsidR="00B51A43" w:rsidRPr="00194156" w:rsidRDefault="00B51A43" w:rsidP="00B51A43">
      <w:pPr>
        <w:pStyle w:val="Content"/>
        <w:rPr>
          <w:b/>
          <w:bCs/>
        </w:rPr>
      </w:pPr>
      <w:r w:rsidRPr="00194156">
        <w:rPr>
          <w:b/>
          <w:bCs/>
        </w:rPr>
        <w:t xml:space="preserve">Efficiency Ratio: Asset Turnover </w:t>
      </w:r>
    </w:p>
    <w:p w14:paraId="1DB4DA01" w14:textId="77777777" w:rsidR="00B51A43" w:rsidRPr="002B6ADA" w:rsidRDefault="00B51A43" w:rsidP="00B51A43">
      <w:pPr>
        <w:pStyle w:val="Content"/>
      </w:pPr>
      <m:oMathPara>
        <m:oMath>
          <m:r>
            <w:rPr>
              <w:rFonts w:ascii="Cambria Math" w:hAnsi="Cambria Math"/>
            </w:rPr>
            <m:t>asset turnover=</m:t>
          </m:r>
          <m:f>
            <m:fPr>
              <m:ctrlPr>
                <w:rPr>
                  <w:rFonts w:ascii="Cambria Math" w:hAnsi="Cambria Math"/>
                  <w:i/>
                </w:rPr>
              </m:ctrlPr>
            </m:fPr>
            <m:num>
              <m:r>
                <w:rPr>
                  <w:rFonts w:ascii="Cambria Math" w:hAnsi="Cambria Math"/>
                </w:rPr>
                <m:t>sales</m:t>
              </m:r>
            </m:num>
            <m:den>
              <m:r>
                <w:rPr>
                  <w:rFonts w:ascii="Cambria Math" w:hAnsi="Cambria Math"/>
                </w:rPr>
                <m:t>total asset</m:t>
              </m:r>
            </m:den>
          </m:f>
        </m:oMath>
      </m:oMathPara>
    </w:p>
    <w:tbl>
      <w:tblPr>
        <w:tblStyle w:val="PlainTable1"/>
        <w:tblW w:w="8555" w:type="dxa"/>
        <w:tblLook w:val="04A0" w:firstRow="1" w:lastRow="0" w:firstColumn="1" w:lastColumn="0" w:noHBand="0" w:noVBand="1"/>
      </w:tblPr>
      <w:tblGrid>
        <w:gridCol w:w="734"/>
        <w:gridCol w:w="3097"/>
        <w:gridCol w:w="2884"/>
        <w:gridCol w:w="1840"/>
      </w:tblGrid>
      <w:tr w:rsidR="00B51A43" w:rsidRPr="00194156" w14:paraId="31CFE469" w14:textId="77777777" w:rsidTr="006C32AF">
        <w:trPr>
          <w:cnfStyle w:val="100000000000" w:firstRow="1" w:lastRow="0" w:firstColumn="0" w:lastColumn="0" w:oddVBand="0" w:evenVBand="0" w:oddHBand="0"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0" w:type="auto"/>
            <w:hideMark/>
          </w:tcPr>
          <w:p w14:paraId="3E1C1608" w14:textId="77777777" w:rsidR="00B51A43" w:rsidRPr="00194156" w:rsidRDefault="00B51A43" w:rsidP="006C32AF">
            <w:pPr>
              <w:jc w:val="center"/>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Year</w:t>
            </w:r>
          </w:p>
        </w:tc>
        <w:tc>
          <w:tcPr>
            <w:tcW w:w="0" w:type="auto"/>
            <w:hideMark/>
          </w:tcPr>
          <w:p w14:paraId="5685F730" w14:textId="77777777" w:rsidR="00B51A43" w:rsidRPr="00194156" w:rsidRDefault="00B51A43" w:rsidP="006C32A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Sales/Revenue (in $ millions)</w:t>
            </w:r>
          </w:p>
        </w:tc>
        <w:tc>
          <w:tcPr>
            <w:tcW w:w="0" w:type="auto"/>
            <w:hideMark/>
          </w:tcPr>
          <w:p w14:paraId="6C68D4CF" w14:textId="77777777" w:rsidR="00B51A43" w:rsidRPr="00194156" w:rsidRDefault="00B51A43" w:rsidP="006C32A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Total Assets (in $ millions)</w:t>
            </w:r>
          </w:p>
        </w:tc>
        <w:tc>
          <w:tcPr>
            <w:tcW w:w="0" w:type="auto"/>
            <w:hideMark/>
          </w:tcPr>
          <w:p w14:paraId="0CB90A61" w14:textId="77777777" w:rsidR="00B51A43" w:rsidRPr="00194156" w:rsidRDefault="00B51A43" w:rsidP="006C32A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Efficiency Ratio</w:t>
            </w:r>
          </w:p>
        </w:tc>
      </w:tr>
      <w:tr w:rsidR="00B51A43" w:rsidRPr="00194156" w14:paraId="7819654F" w14:textId="77777777" w:rsidTr="006C32AF">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0" w:type="auto"/>
            <w:hideMark/>
          </w:tcPr>
          <w:p w14:paraId="0F7A5A54" w14:textId="77777777" w:rsidR="00B51A43" w:rsidRPr="00194156" w:rsidRDefault="00B51A43" w:rsidP="006C32AF">
            <w:pPr>
              <w:jc w:val="center"/>
              <w:rPr>
                <w:rFonts w:ascii="Times New Roman" w:eastAsia="Times New Roman" w:hAnsi="Times New Roman" w:cs="Times New Roman"/>
                <w:b w:val="0"/>
                <w:bCs w:val="0"/>
                <w:color w:val="0D0D0D"/>
                <w:kern w:val="0"/>
                <w:sz w:val="21"/>
                <w:szCs w:val="21"/>
                <w:lang w:eastAsia="en-GB"/>
                <w14:ligatures w14:val="none"/>
              </w:rPr>
            </w:pPr>
            <w:r w:rsidRPr="00194156">
              <w:rPr>
                <w:rFonts w:ascii="Times New Roman" w:eastAsia="Times New Roman" w:hAnsi="Times New Roman" w:cs="Times New Roman"/>
                <w:b w:val="0"/>
                <w:bCs w:val="0"/>
                <w:color w:val="0D0D0D"/>
                <w:kern w:val="0"/>
                <w:sz w:val="21"/>
                <w:szCs w:val="21"/>
                <w:lang w:eastAsia="en-GB"/>
                <w14:ligatures w14:val="none"/>
              </w:rPr>
              <w:t>2019</w:t>
            </w:r>
          </w:p>
        </w:tc>
        <w:tc>
          <w:tcPr>
            <w:tcW w:w="0" w:type="auto"/>
            <w:hideMark/>
          </w:tcPr>
          <w:p w14:paraId="63E7F53F" w14:textId="77777777" w:rsidR="00B51A43" w:rsidRPr="00194156"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$5,238</w:t>
            </w:r>
          </w:p>
        </w:tc>
        <w:tc>
          <w:tcPr>
            <w:tcW w:w="0" w:type="auto"/>
            <w:hideMark/>
          </w:tcPr>
          <w:p w14:paraId="54B85C95" w14:textId="77777777" w:rsidR="00B51A43" w:rsidRPr="00194156"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$6,650</w:t>
            </w:r>
          </w:p>
        </w:tc>
        <w:tc>
          <w:tcPr>
            <w:tcW w:w="0" w:type="auto"/>
            <w:hideMark/>
          </w:tcPr>
          <w:p w14:paraId="3FC4B325" w14:textId="77777777" w:rsidR="00B51A43" w:rsidRPr="00194156"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0.787</w:t>
            </w:r>
          </w:p>
        </w:tc>
      </w:tr>
      <w:tr w:rsidR="00B51A43" w:rsidRPr="00194156" w14:paraId="513951D3" w14:textId="77777777" w:rsidTr="006C32AF">
        <w:trPr>
          <w:trHeight w:val="281"/>
        </w:trPr>
        <w:tc>
          <w:tcPr>
            <w:cnfStyle w:val="001000000000" w:firstRow="0" w:lastRow="0" w:firstColumn="1" w:lastColumn="0" w:oddVBand="0" w:evenVBand="0" w:oddHBand="0" w:evenHBand="0" w:firstRowFirstColumn="0" w:firstRowLastColumn="0" w:lastRowFirstColumn="0" w:lastRowLastColumn="0"/>
            <w:tcW w:w="0" w:type="auto"/>
            <w:hideMark/>
          </w:tcPr>
          <w:p w14:paraId="015083DC" w14:textId="77777777" w:rsidR="00B51A43" w:rsidRPr="00194156" w:rsidRDefault="00B51A43" w:rsidP="006C32AF">
            <w:pPr>
              <w:jc w:val="center"/>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2020</w:t>
            </w:r>
          </w:p>
        </w:tc>
        <w:tc>
          <w:tcPr>
            <w:tcW w:w="0" w:type="auto"/>
            <w:hideMark/>
          </w:tcPr>
          <w:p w14:paraId="08DF41A7" w14:textId="77777777" w:rsidR="00B51A43" w:rsidRPr="00194156"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$5,551</w:t>
            </w:r>
          </w:p>
        </w:tc>
        <w:tc>
          <w:tcPr>
            <w:tcW w:w="0" w:type="auto"/>
            <w:hideMark/>
          </w:tcPr>
          <w:p w14:paraId="77E65605" w14:textId="77777777" w:rsidR="00B51A43" w:rsidRPr="00194156"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$7,946</w:t>
            </w:r>
          </w:p>
        </w:tc>
        <w:tc>
          <w:tcPr>
            <w:tcW w:w="0" w:type="auto"/>
            <w:hideMark/>
          </w:tcPr>
          <w:p w14:paraId="5A7EE58E" w14:textId="77777777" w:rsidR="00B51A43" w:rsidRPr="00194156"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0.698</w:t>
            </w:r>
          </w:p>
        </w:tc>
      </w:tr>
      <w:tr w:rsidR="00B51A43" w:rsidRPr="00194156" w14:paraId="17D938AB" w14:textId="77777777" w:rsidTr="006C32AF">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0" w:type="auto"/>
            <w:hideMark/>
          </w:tcPr>
          <w:p w14:paraId="1F04F24E" w14:textId="77777777" w:rsidR="00B51A43" w:rsidRPr="00194156" w:rsidRDefault="00B51A43" w:rsidP="006C32AF">
            <w:pPr>
              <w:jc w:val="center"/>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2021</w:t>
            </w:r>
          </w:p>
        </w:tc>
        <w:tc>
          <w:tcPr>
            <w:tcW w:w="0" w:type="auto"/>
            <w:hideMark/>
          </w:tcPr>
          <w:p w14:paraId="1BD06E55" w14:textId="77777777" w:rsidR="00B51A43" w:rsidRPr="00194156"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$4,060</w:t>
            </w:r>
          </w:p>
        </w:tc>
        <w:tc>
          <w:tcPr>
            <w:tcW w:w="0" w:type="auto"/>
            <w:hideMark/>
          </w:tcPr>
          <w:p w14:paraId="26257E1C" w14:textId="77777777" w:rsidR="00B51A43" w:rsidRPr="00194156"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$7,481</w:t>
            </w:r>
          </w:p>
        </w:tc>
        <w:tc>
          <w:tcPr>
            <w:tcW w:w="0" w:type="auto"/>
            <w:hideMark/>
          </w:tcPr>
          <w:p w14:paraId="0763B9BD" w14:textId="77777777" w:rsidR="00B51A43" w:rsidRPr="00194156"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0.543</w:t>
            </w:r>
          </w:p>
        </w:tc>
      </w:tr>
      <w:tr w:rsidR="00B51A43" w:rsidRPr="00194156" w14:paraId="3880C8A5" w14:textId="77777777" w:rsidTr="006C32AF">
        <w:trPr>
          <w:trHeight w:val="293"/>
        </w:trPr>
        <w:tc>
          <w:tcPr>
            <w:cnfStyle w:val="001000000000" w:firstRow="0" w:lastRow="0" w:firstColumn="1" w:lastColumn="0" w:oddVBand="0" w:evenVBand="0" w:oddHBand="0" w:evenHBand="0" w:firstRowFirstColumn="0" w:firstRowLastColumn="0" w:lastRowFirstColumn="0" w:lastRowLastColumn="0"/>
            <w:tcW w:w="0" w:type="auto"/>
            <w:hideMark/>
          </w:tcPr>
          <w:p w14:paraId="035FA3A9" w14:textId="77777777" w:rsidR="00B51A43" w:rsidRPr="00194156" w:rsidRDefault="00B51A43" w:rsidP="006C32AF">
            <w:pPr>
              <w:jc w:val="center"/>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2022</w:t>
            </w:r>
          </w:p>
        </w:tc>
        <w:tc>
          <w:tcPr>
            <w:tcW w:w="0" w:type="auto"/>
            <w:hideMark/>
          </w:tcPr>
          <w:p w14:paraId="07162BF7" w14:textId="77777777" w:rsidR="00B51A43" w:rsidRPr="00194156"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$5,654</w:t>
            </w:r>
          </w:p>
        </w:tc>
        <w:tc>
          <w:tcPr>
            <w:tcW w:w="0" w:type="auto"/>
            <w:hideMark/>
          </w:tcPr>
          <w:p w14:paraId="78A16497" w14:textId="77777777" w:rsidR="00B51A43" w:rsidRPr="00194156"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$7,480</w:t>
            </w:r>
          </w:p>
        </w:tc>
        <w:tc>
          <w:tcPr>
            <w:tcW w:w="0" w:type="auto"/>
            <w:hideMark/>
          </w:tcPr>
          <w:p w14:paraId="629CE818" w14:textId="77777777" w:rsidR="00B51A43" w:rsidRPr="00194156" w:rsidRDefault="00B51A43" w:rsidP="006C32A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0.755</w:t>
            </w:r>
          </w:p>
        </w:tc>
      </w:tr>
      <w:tr w:rsidR="00B51A43" w:rsidRPr="00194156" w14:paraId="7CD4D1CD" w14:textId="77777777" w:rsidTr="006C32AF">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0" w:type="auto"/>
            <w:hideMark/>
          </w:tcPr>
          <w:p w14:paraId="3F9E394F" w14:textId="77777777" w:rsidR="00B51A43" w:rsidRPr="00194156" w:rsidRDefault="00B51A43" w:rsidP="006C32AF">
            <w:pPr>
              <w:jc w:val="center"/>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2023</w:t>
            </w:r>
          </w:p>
        </w:tc>
        <w:tc>
          <w:tcPr>
            <w:tcW w:w="0" w:type="auto"/>
            <w:hideMark/>
          </w:tcPr>
          <w:p w14:paraId="34095D99" w14:textId="77777777" w:rsidR="00B51A43" w:rsidRPr="00194156"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$5,619</w:t>
            </w:r>
          </w:p>
        </w:tc>
        <w:tc>
          <w:tcPr>
            <w:tcW w:w="0" w:type="auto"/>
            <w:hideMark/>
          </w:tcPr>
          <w:p w14:paraId="66587E83" w14:textId="77777777" w:rsidR="00B51A43" w:rsidRPr="00194156"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$7,295</w:t>
            </w:r>
          </w:p>
        </w:tc>
        <w:tc>
          <w:tcPr>
            <w:tcW w:w="0" w:type="auto"/>
            <w:hideMark/>
          </w:tcPr>
          <w:p w14:paraId="6BFA4FD0" w14:textId="77777777" w:rsidR="00B51A43" w:rsidRPr="00194156" w:rsidRDefault="00B51A43" w:rsidP="006C32A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kern w:val="0"/>
                <w:sz w:val="21"/>
                <w:szCs w:val="21"/>
                <w:lang w:eastAsia="en-GB"/>
                <w14:ligatures w14:val="none"/>
              </w:rPr>
            </w:pPr>
            <w:r w:rsidRPr="00194156">
              <w:rPr>
                <w:rFonts w:ascii="Times New Roman" w:eastAsia="Times New Roman" w:hAnsi="Times New Roman" w:cs="Times New Roman"/>
                <w:color w:val="0D0D0D"/>
                <w:kern w:val="0"/>
                <w:sz w:val="21"/>
                <w:szCs w:val="21"/>
                <w:lang w:eastAsia="en-GB"/>
                <w14:ligatures w14:val="none"/>
              </w:rPr>
              <w:t>0.770</w:t>
            </w:r>
          </w:p>
        </w:tc>
      </w:tr>
    </w:tbl>
    <w:p w14:paraId="0B818D67" w14:textId="77777777" w:rsidR="00B51A43" w:rsidRDefault="00B51A43" w:rsidP="00B51A43">
      <w:pPr>
        <w:pStyle w:val="Content"/>
      </w:pPr>
      <w:r w:rsidRPr="008C1D82">
        <w:t>Capri Holdings' asset turnover ratio has fluctuated over the past five years, ranging from 0.543 to 0.787. This ratio measures how efficiently the company uses its assets to generate revenue. A higher ratio indicates that the company is using its assets more efficiently. In 2023, the asset turnover ratio was 0.770, which means that the company generated $0.77 of revenue for every $1 of assets. While this ratio is lower than the ratio in 2019, it is an improvement from the previous two years, suggesting that the company is improving its efficiency in using its assets to generate revenue.</w:t>
      </w:r>
    </w:p>
    <w:p w14:paraId="041A5980" w14:textId="77777777" w:rsidR="00B51A43" w:rsidRDefault="00B51A43" w:rsidP="00B51A43">
      <w:pPr>
        <w:pStyle w:val="Heading2"/>
      </w:pPr>
      <w:bookmarkStart w:id="3" w:name="_Toc164696616"/>
      <w:r>
        <w:t>Critical Evaluation of Financial ratios</w:t>
      </w:r>
      <w:bookmarkEnd w:id="3"/>
    </w:p>
    <w:p w14:paraId="01E83601" w14:textId="77777777" w:rsidR="00B51A43" w:rsidRDefault="00B51A43" w:rsidP="00B51A43">
      <w:pPr>
        <w:pStyle w:val="Content"/>
      </w:pPr>
      <w:r w:rsidRPr="00C27919">
        <w:t>Net profit margin is one of the most important performance measurements of a business success, while remaining efficient in cost management. The net profit margin of Capri Holdings fluctuates significantly over the past five years. In 2020 and 2021, negative profit margins were likely the result of the COVID–19 pandemic effects. Nevertheless, the firm made good its losses in 2022 and 2023 when its net profit margin was 14.54% and 10.96%, respectively. This shows that the firm found a way to accommodate a difficult economic environment.</w:t>
      </w:r>
      <w:r>
        <w:t xml:space="preserve"> </w:t>
      </w:r>
      <w:r w:rsidRPr="00C27919">
        <w:t xml:space="preserve">According to Selling and Stickney's study (1989), clothing manufacturers have an average net profit margin that ranges between 5% and 6%. Capri Holdings has earned a </w:t>
      </w:r>
      <w:r w:rsidRPr="00C27919">
        <w:lastRenderedPageBreak/>
        <w:t>2023 net profit margin, which surpasses this indicator, demonstrating great EBIT. While the company's net profit margin is lower than some of its competitors', including LVMH, which reported a net profit margin of 17.2% in 2022 (LVMH, 2023), it continues to be competitive in the industry.</w:t>
      </w:r>
    </w:p>
    <w:p w14:paraId="446C882C" w14:textId="77777777" w:rsidR="00B51A43" w:rsidRDefault="00B51A43" w:rsidP="00B51A43">
      <w:pPr>
        <w:pStyle w:val="Content"/>
      </w:pPr>
      <w:r w:rsidRPr="00E33C52">
        <w:rPr>
          <w:b/>
          <w:bCs/>
        </w:rPr>
        <w:t>Liquidity Ratio: Cash Ratio:</w:t>
      </w:r>
      <w:r>
        <w:t xml:space="preserve"> The cash ratio is a tight indicator of a firm's liquidity because it looks at the cash and some equivalents in line with current liabilities. For the last five-year, Capri Holdings cash ratio has been within the range of 0.32 and 0.45. This implies that the company achieved this liquidity during the pandemic which means that it has overcome all the challenges associated with the pandemic. On the other hand, a cash ratio of lower than 1 indicates that the company does not have significant amount of money to cover its obligations which will do all simultaneously. As per Subramanyam (2014) an ordinary business should maintain a minimum cash ratio of 0.2 to 0.5. The cash ratio of Capri Holdings trending between this range shows that the company’s liquidity position is significant.</w:t>
      </w:r>
    </w:p>
    <w:p w14:paraId="12B0E897" w14:textId="77777777" w:rsidR="00B51A43" w:rsidRDefault="00B51A43" w:rsidP="00B51A43">
      <w:pPr>
        <w:pStyle w:val="Content"/>
      </w:pPr>
      <w:r w:rsidRPr="00E33C52">
        <w:rPr>
          <w:b/>
          <w:bCs/>
        </w:rPr>
        <w:t>Gearing Ratio: Debt-to-Equity Ratio:</w:t>
      </w:r>
      <w:r>
        <w:t xml:space="preserve"> The debt-to-equity-ratio shows how much a company leans to financing its operations by debt or also by equity Capri Holding is seen to have a relative increase in the debt-to-equity ratio during 2019, 2020, and 2023, probably caused by the high use of external financing. A relatively higher debt-to-equity ratio may raise serious alarm bells because it indicates that the company is depending largely on debt to fund its operations thus exposing the company to great financial risk. Based on the comments of Van Horne and Wachowicz (2005), the debt-to-equity ratio at 1 or below is normally considered to be safe; on the other hand, ratios higher than 2 may show high financial risk. Capri Holdings' debt equity ratio of 1.221 for 2022 puts the company in this range, therefore, its financial leverage is moderate.</w:t>
      </w:r>
    </w:p>
    <w:p w14:paraId="27D7A2DA" w14:textId="77777777" w:rsidR="00B51A43" w:rsidRDefault="00B51A43" w:rsidP="00B51A43">
      <w:pPr>
        <w:pStyle w:val="Content"/>
      </w:pPr>
      <w:r w:rsidRPr="00E33C52">
        <w:rPr>
          <w:b/>
          <w:bCs/>
        </w:rPr>
        <w:t>Efficiency Ratio: Asset Turnover:</w:t>
      </w:r>
      <w:r>
        <w:t xml:space="preserve"> Asset turnover indicates the rate at which a company can generate extra revenue from its existing assets. For the past five years Capri Holdings has had different asset turnover ratios, including 0.543 and 0.787 in the recent five years, and 0.770 in 2023. This clearly implies that the company made $0.77 of revenue from each dollar of assets for this period. As found by the study of Fairfield and Yohn (2001), this ratio is negatively linked with asset utilization, asset productivity, and general business efficiency. However, it is crucial to compare the ratio with industry norms. As for the apparel industry, the average asset turnover rate is often around 1.5 (CSIMarket, 2023). Capri Holdings' asset turnover </w:t>
      </w:r>
      <w:r>
        <w:lastRenderedPageBreak/>
        <w:t>ratio is lower than that of other companies in the field, which may indicate that the company is not performing at the highest level possible when it comes to asset utilization.</w:t>
      </w:r>
    </w:p>
    <w:p w14:paraId="168F4F4D" w14:textId="77777777" w:rsidR="00B51A43" w:rsidRDefault="00B51A43" w:rsidP="00B51A43">
      <w:pPr>
        <w:pStyle w:val="Heading2"/>
      </w:pPr>
      <w:bookmarkStart w:id="4" w:name="_Toc164696617"/>
      <w:r>
        <w:t>Comparison with Tapestry Inc.,</w:t>
      </w:r>
      <w:bookmarkEnd w:id="4"/>
    </w:p>
    <w:p w14:paraId="12E2091A" w14:textId="77777777" w:rsidR="00B51A43" w:rsidRDefault="00B51A43" w:rsidP="00B51A43">
      <w:pPr>
        <w:pStyle w:val="Content"/>
      </w:pPr>
      <w:r w:rsidRPr="00716751">
        <w:t xml:space="preserve">To compare Capri Holdings to its major competitor, Tapestry Inc., </w:t>
      </w:r>
      <w:r>
        <w:t>Including</w:t>
      </w:r>
      <w:r w:rsidRPr="00716751">
        <w:t xml:space="preserve"> the same financial ratios for both companies using data from their respective fiscal year 202</w:t>
      </w:r>
      <w:r>
        <w:t>3</w:t>
      </w:r>
      <w:r w:rsidRPr="00716751">
        <w:t xml:space="preserve"> annual reports (Capri Holdings, 202</w:t>
      </w:r>
      <w:r>
        <w:t>3</w:t>
      </w:r>
      <w:r w:rsidRPr="00716751">
        <w:t>; Tapestry Inc., 202</w:t>
      </w:r>
      <w:r>
        <w:t>3</w:t>
      </w:r>
      <w:r w:rsidRPr="00716751">
        <w:t>). The ratios for Tapestry Inc. are as follows:</w:t>
      </w:r>
    </w:p>
    <w:tbl>
      <w:tblPr>
        <w:tblStyle w:val="PlainTable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7"/>
        <w:gridCol w:w="3577"/>
        <w:gridCol w:w="3139"/>
        <w:gridCol w:w="809"/>
      </w:tblGrid>
      <w:tr w:rsidR="00B51A43" w:rsidRPr="00716751" w14:paraId="71B1FFB0" w14:textId="77777777" w:rsidTr="006C32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83F2E8" w14:textId="77777777" w:rsidR="00B51A43" w:rsidRPr="00716751" w:rsidRDefault="00B51A43" w:rsidP="006C32AF">
            <w:pPr>
              <w:jc w:val="center"/>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Ratio</w:t>
            </w:r>
          </w:p>
        </w:tc>
        <w:tc>
          <w:tcPr>
            <w:tcW w:w="0" w:type="auto"/>
            <w:hideMark/>
          </w:tcPr>
          <w:p w14:paraId="550A5432" w14:textId="77777777" w:rsidR="00B51A43" w:rsidRPr="00716751" w:rsidRDefault="00B51A43" w:rsidP="006C32A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Formula</w:t>
            </w:r>
          </w:p>
        </w:tc>
        <w:tc>
          <w:tcPr>
            <w:tcW w:w="0" w:type="auto"/>
            <w:hideMark/>
          </w:tcPr>
          <w:p w14:paraId="084CD88F" w14:textId="77777777" w:rsidR="00B51A43" w:rsidRPr="00716751" w:rsidRDefault="00B51A43" w:rsidP="006C32A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Calculation</w:t>
            </w:r>
          </w:p>
        </w:tc>
        <w:tc>
          <w:tcPr>
            <w:tcW w:w="0" w:type="auto"/>
            <w:hideMark/>
          </w:tcPr>
          <w:p w14:paraId="071CA9FD" w14:textId="77777777" w:rsidR="00B51A43" w:rsidRPr="00716751" w:rsidRDefault="00B51A43" w:rsidP="006C32A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Result</w:t>
            </w:r>
          </w:p>
        </w:tc>
      </w:tr>
      <w:tr w:rsidR="00B51A43" w:rsidRPr="00716751" w14:paraId="736A166E" w14:textId="77777777" w:rsidTr="006C32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AAE64B" w14:textId="77777777" w:rsidR="00B51A43" w:rsidRPr="00716751" w:rsidRDefault="00B51A43" w:rsidP="006C32AF">
            <w:pPr>
              <w:rPr>
                <w:rFonts w:ascii="Times New Roman" w:eastAsia="Times New Roman" w:hAnsi="Times New Roman" w:cs="Times New Roman"/>
                <w:b w:val="0"/>
                <w:bCs w:val="0"/>
                <w:color w:val="29261B"/>
                <w:spacing w:val="-4"/>
                <w:kern w:val="0"/>
                <w:sz w:val="20"/>
                <w:szCs w:val="20"/>
                <w:lang w:eastAsia="en-GB"/>
                <w14:ligatures w14:val="none"/>
              </w:rPr>
            </w:pPr>
            <w:r w:rsidRPr="00716751">
              <w:rPr>
                <w:rFonts w:ascii="Times New Roman" w:eastAsia="Times New Roman" w:hAnsi="Times New Roman" w:cs="Times New Roman"/>
                <w:b w:val="0"/>
                <w:bCs w:val="0"/>
                <w:color w:val="29261B"/>
                <w:spacing w:val="-4"/>
                <w:kern w:val="0"/>
                <w:sz w:val="20"/>
                <w:szCs w:val="20"/>
                <w:lang w:eastAsia="en-GB"/>
                <w14:ligatures w14:val="none"/>
              </w:rPr>
              <w:t>Net Profit Margin</w:t>
            </w:r>
          </w:p>
        </w:tc>
        <w:tc>
          <w:tcPr>
            <w:tcW w:w="0" w:type="auto"/>
            <w:hideMark/>
          </w:tcPr>
          <w:p w14:paraId="3B519FB1" w14:textId="77777777" w:rsidR="00B51A43" w:rsidRPr="00716751" w:rsidRDefault="00B51A43" w:rsidP="006C32A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Net Income / Revenue</w:t>
            </w:r>
          </w:p>
        </w:tc>
        <w:tc>
          <w:tcPr>
            <w:tcW w:w="0" w:type="auto"/>
            <w:hideMark/>
          </w:tcPr>
          <w:p w14:paraId="456817FA" w14:textId="77777777" w:rsidR="00B51A43" w:rsidRPr="00716751" w:rsidRDefault="00B51A43" w:rsidP="006C32A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$856 million / $6,685 million</w:t>
            </w:r>
          </w:p>
        </w:tc>
        <w:tc>
          <w:tcPr>
            <w:tcW w:w="0" w:type="auto"/>
            <w:hideMark/>
          </w:tcPr>
          <w:p w14:paraId="456CA105" w14:textId="77777777" w:rsidR="00B51A43" w:rsidRPr="00716751" w:rsidRDefault="00B51A43" w:rsidP="006C32A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12.80%</w:t>
            </w:r>
          </w:p>
        </w:tc>
      </w:tr>
      <w:tr w:rsidR="00B51A43" w:rsidRPr="00716751" w14:paraId="577FD618" w14:textId="77777777" w:rsidTr="006C32A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EB5D17" w14:textId="77777777" w:rsidR="00B51A43" w:rsidRPr="00716751" w:rsidRDefault="00B51A43" w:rsidP="006C32AF">
            <w:pPr>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Cash Ratio</w:t>
            </w:r>
          </w:p>
        </w:tc>
        <w:tc>
          <w:tcPr>
            <w:tcW w:w="0" w:type="auto"/>
            <w:hideMark/>
          </w:tcPr>
          <w:p w14:paraId="2B5F212F" w14:textId="77777777" w:rsidR="00B51A43" w:rsidRPr="00716751" w:rsidRDefault="00B51A43" w:rsidP="006C32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Cash and Cash Equivalents / Total Current Liabilities</w:t>
            </w:r>
          </w:p>
        </w:tc>
        <w:tc>
          <w:tcPr>
            <w:tcW w:w="0" w:type="auto"/>
            <w:hideMark/>
          </w:tcPr>
          <w:p w14:paraId="7B88DC24" w14:textId="77777777" w:rsidR="00B51A43" w:rsidRPr="00716751" w:rsidRDefault="00B51A43" w:rsidP="006C32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$557 million / $1,287 million</w:t>
            </w:r>
          </w:p>
        </w:tc>
        <w:tc>
          <w:tcPr>
            <w:tcW w:w="0" w:type="auto"/>
            <w:hideMark/>
          </w:tcPr>
          <w:p w14:paraId="4C7249A3" w14:textId="77777777" w:rsidR="00B51A43" w:rsidRPr="00716751" w:rsidRDefault="00B51A43" w:rsidP="006C32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0.4328</w:t>
            </w:r>
          </w:p>
        </w:tc>
      </w:tr>
      <w:tr w:rsidR="00B51A43" w:rsidRPr="00716751" w14:paraId="5D912B81" w14:textId="77777777" w:rsidTr="006C32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45356D" w14:textId="77777777" w:rsidR="00B51A43" w:rsidRPr="00716751" w:rsidRDefault="00B51A43" w:rsidP="006C32AF">
            <w:pPr>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Debt-to-Equity Ratio</w:t>
            </w:r>
          </w:p>
        </w:tc>
        <w:tc>
          <w:tcPr>
            <w:tcW w:w="0" w:type="auto"/>
            <w:hideMark/>
          </w:tcPr>
          <w:p w14:paraId="201F8738" w14:textId="77777777" w:rsidR="00B51A43" w:rsidRPr="00716751" w:rsidRDefault="00B51A43" w:rsidP="006C32A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Total Debt / Total Shareholder Equity</w:t>
            </w:r>
          </w:p>
        </w:tc>
        <w:tc>
          <w:tcPr>
            <w:tcW w:w="0" w:type="auto"/>
            <w:hideMark/>
          </w:tcPr>
          <w:p w14:paraId="7493230B" w14:textId="77777777" w:rsidR="00B51A43" w:rsidRPr="00716751" w:rsidRDefault="00B51A43" w:rsidP="006C32A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($2,971 million + $298 million) / $936 million</w:t>
            </w:r>
          </w:p>
        </w:tc>
        <w:tc>
          <w:tcPr>
            <w:tcW w:w="0" w:type="auto"/>
            <w:hideMark/>
          </w:tcPr>
          <w:p w14:paraId="4BB44393" w14:textId="77777777" w:rsidR="00B51A43" w:rsidRPr="00716751" w:rsidRDefault="00B51A43" w:rsidP="006C32A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3.53</w:t>
            </w:r>
          </w:p>
        </w:tc>
      </w:tr>
      <w:tr w:rsidR="00B51A43" w:rsidRPr="00716751" w14:paraId="065BE00E" w14:textId="77777777" w:rsidTr="006C32A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3ECA2F" w14:textId="77777777" w:rsidR="00B51A43" w:rsidRPr="00716751" w:rsidRDefault="00B51A43" w:rsidP="006C32AF">
            <w:pPr>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Asset Turnover</w:t>
            </w:r>
          </w:p>
        </w:tc>
        <w:tc>
          <w:tcPr>
            <w:tcW w:w="0" w:type="auto"/>
            <w:hideMark/>
          </w:tcPr>
          <w:p w14:paraId="74DF2A23" w14:textId="77777777" w:rsidR="00B51A43" w:rsidRPr="00716751" w:rsidRDefault="00B51A43" w:rsidP="006C32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Sales/Revenue / Total Assets</w:t>
            </w:r>
          </w:p>
        </w:tc>
        <w:tc>
          <w:tcPr>
            <w:tcW w:w="0" w:type="auto"/>
            <w:hideMark/>
          </w:tcPr>
          <w:p w14:paraId="30608258" w14:textId="77777777" w:rsidR="00B51A43" w:rsidRPr="00716751" w:rsidRDefault="00B51A43" w:rsidP="006C32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$6,661 million / $7,117 million</w:t>
            </w:r>
          </w:p>
        </w:tc>
        <w:tc>
          <w:tcPr>
            <w:tcW w:w="0" w:type="auto"/>
            <w:hideMark/>
          </w:tcPr>
          <w:p w14:paraId="017526BD" w14:textId="77777777" w:rsidR="00B51A43" w:rsidRPr="00716751" w:rsidRDefault="00B51A43" w:rsidP="006C32A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9261B"/>
                <w:spacing w:val="-4"/>
                <w:kern w:val="0"/>
                <w:sz w:val="20"/>
                <w:szCs w:val="20"/>
                <w:lang w:eastAsia="en-GB"/>
                <w14:ligatures w14:val="none"/>
              </w:rPr>
            </w:pPr>
            <w:r w:rsidRPr="00716751">
              <w:rPr>
                <w:rFonts w:ascii="Times New Roman" w:eastAsia="Times New Roman" w:hAnsi="Times New Roman" w:cs="Times New Roman"/>
                <w:color w:val="29261B"/>
                <w:spacing w:val="-4"/>
                <w:kern w:val="0"/>
                <w:sz w:val="20"/>
                <w:szCs w:val="20"/>
                <w:lang w:eastAsia="en-GB"/>
                <w14:ligatures w14:val="none"/>
              </w:rPr>
              <w:t>0.9339</w:t>
            </w:r>
          </w:p>
        </w:tc>
      </w:tr>
    </w:tbl>
    <w:p w14:paraId="0DAF1FD4" w14:textId="77777777" w:rsidR="00B51A43" w:rsidRDefault="00B51A43" w:rsidP="00B51A43">
      <w:pPr>
        <w:pStyle w:val="Content"/>
      </w:pPr>
      <w:r w:rsidRPr="00EB71C2">
        <w:rPr>
          <w:b/>
          <w:bCs/>
        </w:rPr>
        <w:t>Profitability:</w:t>
      </w:r>
      <w:r>
        <w:t xml:space="preserve"> Net Profit Margin: Tapestry Inc.'s net profit margin of 12.80% in the fiscal year 2023 is higher than that of Capri Holdings' of 10.96% (12.80%&gt;10.96%). This suggests that Tapestry Inc. is more profit generating than Capri Holdings as the former is creating more net income for each revenue dollar. Higher net profits bring in the conclusion that Tapestry Inc. can manage its costs and expenses in the proper proportion with the revenue generated (Brigham, 2016). This difference in profitability could be brought about by either pricing strategies, cost control measures done or product mix that the firm is dealing with (Selling &amp; Stickney, 1989). The competitiveness of Capri Holdings with the Tapestry Inc requires the management to analyse these factors and come up with the solutions that will improve the profitability of the company.</w:t>
      </w:r>
    </w:p>
    <w:p w14:paraId="1264C378" w14:textId="77777777" w:rsidR="00B51A43" w:rsidRDefault="00B51A43" w:rsidP="00B51A43">
      <w:pPr>
        <w:pStyle w:val="Content"/>
      </w:pPr>
      <w:r w:rsidRPr="00EB71C2">
        <w:rPr>
          <w:b/>
          <w:bCs/>
        </w:rPr>
        <w:t>Liquidity:</w:t>
      </w:r>
      <w:r>
        <w:t xml:space="preserve"> Cash Ratio: Tapestry Inc.'s cash ratio 0.4328 was just above Capri Holdings' cash ratio of 0.38. Its superior current ratio means that Tapestry Inc. enjoys a better liquidity position, and there are more cash and cash equivalents available for it to cover its current liabilities. By having a higher cash ration, an organization has a better buffer against short-term financial obligations and uncertainties as stated by Bhimani et al. (2019). On the other hand, both companies show a cash ratio lower than 1, which could mean that they would have difficulties taking on short-term commitments if they are due all at once (Subramanyam, 2014). Capri Holdings need to maintain the current cash level to give him an ability to increase liquidity and his financial flexibility.</w:t>
      </w:r>
    </w:p>
    <w:p w14:paraId="3EAB96AF" w14:textId="77777777" w:rsidR="00B51A43" w:rsidRDefault="00B51A43" w:rsidP="00B51A43">
      <w:pPr>
        <w:pStyle w:val="Content"/>
      </w:pPr>
      <w:r w:rsidRPr="00EB71C2">
        <w:rPr>
          <w:b/>
          <w:bCs/>
        </w:rPr>
        <w:lastRenderedPageBreak/>
        <w:t>Gearing: Debt-to-Equity Ratio:</w:t>
      </w:r>
      <w:r>
        <w:t xml:space="preserve"> Tapestry Inc.'s debt-to-equity ratio is 3.53, more than double of that of Capri Holdings' debt-to-equity ratio which stands at 1.221. This tells us that Tapestry, Inc. makes more use of debt funding on the contrary to Capri Holdings. The significant debt-to-capital ratio implies higher financial risk and potentially increased financial leverage (Berk et al., 2013). High financial leverage is useful when the economy is booming since it enables the multiplying of the company’s equity return. Although this facilitates growth, it is equally crucial to think of the risks of financial distress caused by economic slump (Van Horne and Wachowicz, 2005). Capri Holdings' lesser debt/ equity ratio is a sign of a more careful approach to financing, which can be advantageous from the standpoint of financial stability but restrictive in terms of business growth opportunities.</w:t>
      </w:r>
    </w:p>
    <w:p w14:paraId="57C09D88" w14:textId="77777777" w:rsidR="00B51A43" w:rsidRDefault="00B51A43" w:rsidP="00B51A43">
      <w:pPr>
        <w:pStyle w:val="Content"/>
      </w:pPr>
      <w:r w:rsidRPr="00EB71C2">
        <w:rPr>
          <w:b/>
          <w:bCs/>
        </w:rPr>
        <w:t>Efficiency: Asset Turnover:</w:t>
      </w:r>
      <w:r>
        <w:t xml:space="preserve"> Tapestry Inc.'s asset turnover ratio is above Capri Holdings' at 0.9339 as against the ratio of 0.770. Such a ratio suggests that Tapestry Inc is good at generating revenue from its assets i.e. it is less likely to tie up a lot of resources in less important and value-destroying lines of business unlike Capri Holdings. A higher asset turnover ratio shows the ability to more productively and efficiently use the assets the company has at hand (Brigham, 2016) The asset management performance of Capri Holdings should be analysed, and initiatives should be taken to improving it, such as optimizing inventory or production process, or purchasing equipment with higher efficiency. Apart from increasing assets' turnover, the overall conclusion would result in higher revenue generation and superior financial performance.</w:t>
      </w:r>
    </w:p>
    <w:p w14:paraId="13685448" w14:textId="77777777" w:rsidR="00B51A43" w:rsidRDefault="00B51A43" w:rsidP="00B51A43">
      <w:pPr>
        <w:pStyle w:val="Content"/>
      </w:pPr>
      <w:r w:rsidRPr="00EB71C2">
        <w:t>Therefore, it is observed that Tapestry Inc. has a higher return on equity, slightly better current ratio, and a lower inventory turnover ratio in comparison to Capri Holdings. Nevertheless, the second company for consideration has a debt-to-equity ratio which is significantly higher, meaning there is a potential financial risk that is of a higher level. Capri Holdings should work on improving its profitability by the means of inspecting the factors such as pricing, cost, and the product line. Furthermore, Capri Holdings must give its attention to strengthen its liquidity and asset turnover to improve its operating results and compete strongly against Tapestry Inc in the marketplace. It is better to interpret these indicators in the context of the luxury apparel industry and the style of managing money for each company.</w:t>
      </w:r>
    </w:p>
    <w:p w14:paraId="24761AE3" w14:textId="77777777" w:rsidR="00B51A43" w:rsidRDefault="00B51A43" w:rsidP="00B51A43">
      <w:pPr>
        <w:pStyle w:val="Heading2"/>
      </w:pPr>
      <w:bookmarkStart w:id="5" w:name="_Toc164696618"/>
      <w:r>
        <w:lastRenderedPageBreak/>
        <w:t>Recommendations on Improving Financial management</w:t>
      </w:r>
      <w:bookmarkEnd w:id="5"/>
    </w:p>
    <w:p w14:paraId="61F229F0" w14:textId="77777777" w:rsidR="00B51A43" w:rsidRDefault="00B51A43" w:rsidP="00B51A43">
      <w:pPr>
        <w:pStyle w:val="Content"/>
      </w:pPr>
      <w:r>
        <w:t>The financial management of Capri Holdings should be improved, which can be done by addressing several areas, such as profitability, liquidity, leverage finance, as well as assets efficiency. Through these elements, Capri Holdings will create a strong financial base and emerge as a better player in the luxury fashion industry.</w:t>
      </w:r>
    </w:p>
    <w:p w14:paraId="223FD43A" w14:textId="77777777" w:rsidR="00B51A43" w:rsidRDefault="00B51A43" w:rsidP="00B51A43">
      <w:pPr>
        <w:pStyle w:val="Content"/>
      </w:pPr>
    </w:p>
    <w:p w14:paraId="05BD681A" w14:textId="77777777" w:rsidR="00B51A43" w:rsidRDefault="00B51A43" w:rsidP="00B51A43">
      <w:pPr>
        <w:pStyle w:val="Content"/>
      </w:pPr>
    </w:p>
    <w:p w14:paraId="4E4F554E" w14:textId="77777777" w:rsidR="00B51A43" w:rsidRDefault="00B51A43" w:rsidP="00B51A43">
      <w:pPr>
        <w:pStyle w:val="Content"/>
      </w:pPr>
      <w:r w:rsidRPr="00F66456">
        <w:t>Improving Profitability: Capri Holdings' net profit margin of 10.96% in fiscal year 2023 is lower than its competitor Tapestry Inc.'s net profit margin of 12.80%. To improve profitability, Capri Holdings should:</w:t>
      </w:r>
    </w:p>
    <w:p w14:paraId="54888373" w14:textId="186F1A90" w:rsidR="00B51A43" w:rsidRDefault="00B51A43" w:rsidP="00B51A43">
      <w:pPr>
        <w:pStyle w:val="Content"/>
        <w:numPr>
          <w:ilvl w:val="0"/>
          <w:numId w:val="2"/>
        </w:numPr>
      </w:pPr>
      <w:r>
        <w:t xml:space="preserve">Undertake its pricing strategies review to establish that they are competitive and at par with the price value. A value-based pricing or dynamic pricing approach may be considered, depending on the revenue maximization objective of the firm (Nagle &amp; Müller, 2017). A value-based pricing strategy is defined by setting prices based on the customer’s judgment of the product's value, while a dynamic pricing strategy is defined by changing prices in real-time according to market demand and supply. </w:t>
      </w:r>
    </w:p>
    <w:p w14:paraId="1427C51F" w14:textId="77777777" w:rsidR="00B51A43" w:rsidRDefault="00B51A43" w:rsidP="00B51A43">
      <w:pPr>
        <w:pStyle w:val="Content"/>
        <w:numPr>
          <w:ilvl w:val="0"/>
          <w:numId w:val="2"/>
        </w:numPr>
      </w:pPr>
      <w:r>
        <w:t xml:space="preserve">Carry out an evaluation of its cost structure and find out what areas can be cut and which of them can be made more efficient. This can be achieved by removing unused operations, shortening supplier contracts, or applying lean manufacturing technologies (Bhimani &amp; Horngren, 2008). The streamlining operations process aligns with the same goals as the elimination of redundant processes, the reduction of waste, and the enhancement of coordination between different departments. </w:t>
      </w:r>
    </w:p>
    <w:p w14:paraId="54C1F0C8" w14:textId="77777777" w:rsidR="00B51A43" w:rsidRDefault="00B51A43" w:rsidP="00B51A43">
      <w:pPr>
        <w:pStyle w:val="Content"/>
        <w:numPr>
          <w:ilvl w:val="0"/>
          <w:numId w:val="2"/>
        </w:numPr>
      </w:pPr>
      <w:r>
        <w:t>Assess its product mix and maximize profit margins on highly contributing products. The firm needs to decide whether to discontinue or re-brand products that have underperformed or not to use its limited resources effectively. Through an exhaustive evaluation of its product mix, Capri Holdings can spot the items that yield the greatest profit margins and thus target more investment towards their fabrication and marketing. On the contrary, the company may consider discontinuing or repositioning items with low gains or those that do not sync with the general think of its brand.</w:t>
      </w:r>
    </w:p>
    <w:p w14:paraId="2F3EFD2D" w14:textId="77777777" w:rsidR="00B51A43" w:rsidRDefault="00B51A43" w:rsidP="00B51A43">
      <w:pPr>
        <w:pStyle w:val="Content"/>
      </w:pPr>
      <w:r>
        <w:lastRenderedPageBreak/>
        <w:t xml:space="preserve">Enhancing Liquidity: Capri Holding's cash ratio of 0.38 in the fiscal year 2023 was slightly lesser in comparison to the 0.4328 cash ratio of Tapestry Inc. To improve liquidity, Capri Holdings should: </w:t>
      </w:r>
    </w:p>
    <w:p w14:paraId="1E837CFE" w14:textId="77777777" w:rsidR="00B51A43" w:rsidRDefault="00B51A43" w:rsidP="00B51A43">
      <w:pPr>
        <w:pStyle w:val="Content"/>
        <w:numPr>
          <w:ilvl w:val="0"/>
          <w:numId w:val="3"/>
        </w:numPr>
      </w:pPr>
      <w:r>
        <w:t xml:space="preserve">Efficient cash management measures should be put in place. The most important among them are supply chain optimization, restructuring of accounts receivables and stocks. Determining if cutting down on inventories is beneficial to Capri Holdings hinges on the fact that cash is segregated and tied up in unsold goods. A reduction in the number of unsold items also helps to prevent obsolescence. Properly managing account collections can assist the company to boost its cash flow and eliminate non-payment uncertainty. </w:t>
      </w:r>
    </w:p>
    <w:p w14:paraId="355EE75A" w14:textId="77777777" w:rsidR="00B51A43" w:rsidRDefault="00B51A43" w:rsidP="00B51A43">
      <w:pPr>
        <w:pStyle w:val="Content"/>
        <w:numPr>
          <w:ilvl w:val="0"/>
          <w:numId w:val="3"/>
        </w:numPr>
      </w:pPr>
      <w:r>
        <w:t>Look into bill factoring or selling accounts receivable at discount to speed up the cash flow and drop chances of defaulting. Factoring or selling receivable to third party factor at discount is the process of converting AR into the immediate cash. This is also going to be supposed to boosting the company’s monetary flow into the business and lessening the possibility of customers defaulting their payment. On the other hand, the factors that the company should consider include the costs and the benefits.</w:t>
      </w:r>
    </w:p>
    <w:p w14:paraId="14DE41B0" w14:textId="77777777" w:rsidR="00B51A43" w:rsidRDefault="00B51A43" w:rsidP="00B51A43">
      <w:pPr>
        <w:pStyle w:val="Content"/>
        <w:numPr>
          <w:ilvl w:val="0"/>
          <w:numId w:val="3"/>
        </w:numPr>
      </w:pPr>
      <w:r>
        <w:t xml:space="preserve">Form a cash pool or a credit line to help overcome the liquidity challenges related to urgent payments or swap risks (Nu Giang &amp; Hung Vu, 2008). Notwithstanding any short-term financial problems, having a cash fund or a line of credit will allow Capri Holdings to secure or seize unplanned lucrative opportunities. There should be a size of the cash reserve for the company that will satisfy its liquidity requirements and allow for the tolerable level of risk. </w:t>
      </w:r>
    </w:p>
    <w:p w14:paraId="2D8AB62F" w14:textId="77777777" w:rsidR="00B51A43" w:rsidRDefault="00B51A43" w:rsidP="00B51A43">
      <w:pPr>
        <w:pStyle w:val="Content"/>
      </w:pPr>
      <w:r>
        <w:t xml:space="preserve">Capri Holdings' debt-to-equity ratio of 1.221 in fiscal year 2023 is lower than Tapestry Inc.'s ratio of 3.53, indicating a more conservative financing approach. However, Capri Holdings should evaluate its capital structure and determine the optimal mix of debt and equity financing to support growth strategies and minimize the weighted average cost of capital (WACC) (Brigham, 2016). This involves balancing the benefits of financial leverage with the risks of financial distress. Judiciously using debt financing for value-creating investments, such as expanding into new markets or acquiring complementary brands, can help create shareholder value (Berk et al., 2013). Nonetheless, Capri Holdings must maintain a healthy </w:t>
      </w:r>
      <w:r>
        <w:lastRenderedPageBreak/>
        <w:t>debt-to-equity ratio and have contingency plans to manage debt obligations during economic downturns (Van Horne &amp; Wachowicz, 2005).</w:t>
      </w:r>
    </w:p>
    <w:p w14:paraId="3D7BFA39" w14:textId="77777777" w:rsidR="00B51A43" w:rsidRDefault="00B51A43" w:rsidP="00B51A43">
      <w:pPr>
        <w:pStyle w:val="Content"/>
      </w:pPr>
      <w:r>
        <w:t>To improve asset efficiency, as Capri Holdings' asset turnover ratio of 0.770 in fiscal year 2023 is lower than Tapestry Inc.'s ratio of 0.9339, the company should analyse asset utilization and identify areas for improvement. This includes optimizing inventory management, reducing lead times, and increasing supply chain efficiency (Fairfield &amp; Yohn, 2001). These measures can help reduce costs, minimize risks, and improve overall competitiveness. Investing in technology and automation can streamline processes, reduce waste, and improve productivity (Schroeder et al., 2022). Implementing an ERP system, automating production processes, and leveraging data analytics and AI can help Capri Holdings optimize its operations and strategies. Regularly reviewing and disposing of underperforming or non-core assets can free up resources for more productive investments (Ross, 2015), but the company must carefully evaluate the costs and benefits to avoid compromising its competitiveness and long-term growth prospects.</w:t>
      </w:r>
    </w:p>
    <w:p w14:paraId="583B2BAE" w14:textId="77777777" w:rsidR="00B51A43" w:rsidRDefault="00B51A43" w:rsidP="00B51A43">
      <w:pPr>
        <w:pStyle w:val="Content"/>
      </w:pPr>
      <w:r>
        <w:t>By focusing on these areas and implementing the recommended strategies, Capri Holdings can improve its financial performance and create shareholder value. Continuous monitoring of financial ratios, benchmarking against industry peers, adapting to market conditions and competitive dynamics, and regular stakeholder communication can help Capri Holdings build trust and support for its financial management decisions.</w:t>
      </w:r>
    </w:p>
    <w:p w14:paraId="71079D48" w14:textId="77777777" w:rsidR="00B51A43" w:rsidRDefault="00B51A43" w:rsidP="00B51A43">
      <w:pPr>
        <w:pStyle w:val="Heading1"/>
      </w:pPr>
      <w:bookmarkStart w:id="6" w:name="_Toc164696619"/>
      <w:r>
        <w:t>Evaluate Investment Projects</w:t>
      </w:r>
      <w:bookmarkEnd w:id="6"/>
    </w:p>
    <w:p w14:paraId="4C29C2A6" w14:textId="77777777" w:rsidR="00B51A43" w:rsidRPr="00E37193" w:rsidRDefault="00B51A43" w:rsidP="00B51A43">
      <w:pPr>
        <w:pStyle w:val="Heading2"/>
      </w:pPr>
      <w:bookmarkStart w:id="7" w:name="_Toc164696620"/>
      <w:r>
        <w:t>Calculations of PBP, ARR, NPV</w:t>
      </w:r>
      <w:bookmarkEnd w:id="7"/>
    </w:p>
    <w:p w14:paraId="791D3EEE" w14:textId="77777777" w:rsidR="00B51A43" w:rsidRDefault="00B51A43" w:rsidP="00B51A43">
      <w:pPr>
        <w:pStyle w:val="Content"/>
      </w:pPr>
      <w:r>
        <w:t>To evaluate the investment projects and determine which one Capri Holdings should adopt, we will calculate the Payback Period (PBP), Accounting Rate of Return (ARR), and Net Present Value (NPV) for both projects. Cost of capital: 0.75%</w:t>
      </w:r>
    </w:p>
    <w:p w14:paraId="72042E7D" w14:textId="77777777" w:rsidR="00B51A43" w:rsidRDefault="00B51A43" w:rsidP="00B51A43">
      <w:pPr>
        <w:pStyle w:val="Content"/>
      </w:pPr>
      <w:r>
        <w:t>Project A:</w:t>
      </w:r>
    </w:p>
    <w:p w14:paraId="25785F55" w14:textId="77777777" w:rsidR="00B51A43" w:rsidRPr="003D136F" w:rsidRDefault="00B51A43" w:rsidP="00B51A43">
      <w:pPr>
        <w:pStyle w:val="Content"/>
        <w:rPr>
          <w:b/>
          <w:bCs/>
        </w:rPr>
      </w:pPr>
      <w:r w:rsidRPr="003D136F">
        <w:rPr>
          <w:b/>
          <w:bCs/>
        </w:rPr>
        <w:t>Payback Period (PBP):</w:t>
      </w:r>
    </w:p>
    <w:p w14:paraId="15EE0557" w14:textId="77777777" w:rsidR="00B51A43" w:rsidRDefault="00B51A43" w:rsidP="00B51A43">
      <w:pPr>
        <w:pStyle w:val="Content"/>
        <w:numPr>
          <w:ilvl w:val="0"/>
          <w:numId w:val="4"/>
        </w:numPr>
      </w:pPr>
      <w:r>
        <w:t>Year 0: -5000</w:t>
      </w:r>
    </w:p>
    <w:p w14:paraId="674F9CB1" w14:textId="77777777" w:rsidR="00B51A43" w:rsidRDefault="00B51A43" w:rsidP="00B51A43">
      <w:pPr>
        <w:pStyle w:val="Content"/>
        <w:numPr>
          <w:ilvl w:val="0"/>
          <w:numId w:val="4"/>
        </w:numPr>
      </w:pPr>
      <w:r>
        <w:t>Year 1: -5000 + 2500 = -2500</w:t>
      </w:r>
    </w:p>
    <w:p w14:paraId="743B1414" w14:textId="77777777" w:rsidR="00B51A43" w:rsidRDefault="00B51A43" w:rsidP="00B51A43">
      <w:pPr>
        <w:pStyle w:val="Content"/>
        <w:numPr>
          <w:ilvl w:val="0"/>
          <w:numId w:val="4"/>
        </w:numPr>
      </w:pPr>
      <w:r>
        <w:lastRenderedPageBreak/>
        <w:t>Year 2: -2500 + 2000 = -500</w:t>
      </w:r>
    </w:p>
    <w:p w14:paraId="197E450B" w14:textId="77777777" w:rsidR="00B51A43" w:rsidRDefault="00B51A43" w:rsidP="00B51A43">
      <w:pPr>
        <w:pStyle w:val="Content"/>
        <w:numPr>
          <w:ilvl w:val="0"/>
          <w:numId w:val="4"/>
        </w:numPr>
      </w:pPr>
      <w:r>
        <w:t>Year 3: -500 + 1000 = 500</w:t>
      </w:r>
    </w:p>
    <w:p w14:paraId="1C2B818D" w14:textId="77777777" w:rsidR="00B51A43" w:rsidRPr="00D671C7" w:rsidRDefault="00B51A43" w:rsidP="00B51A43">
      <w:pPr>
        <w:pStyle w:val="Content"/>
        <w:rPr>
          <w:b/>
          <w:bCs/>
        </w:rPr>
      </w:pPr>
      <w:r w:rsidRPr="00D671C7">
        <w:rPr>
          <w:b/>
          <w:bCs/>
        </w:rPr>
        <w:t>PBP for Project A = 2 + (500 / 1000) = 2.5 years</w:t>
      </w:r>
    </w:p>
    <w:p w14:paraId="4C15CDCC" w14:textId="77777777" w:rsidR="00B51A43" w:rsidRPr="003D136F" w:rsidRDefault="00B51A43" w:rsidP="00B51A43">
      <w:pPr>
        <w:pStyle w:val="Content"/>
        <w:rPr>
          <w:b/>
          <w:bCs/>
        </w:rPr>
      </w:pPr>
      <w:r w:rsidRPr="003D136F">
        <w:rPr>
          <w:b/>
          <w:bCs/>
        </w:rPr>
        <w:t>Accounting Rate of Return (ARR):</w:t>
      </w:r>
    </w:p>
    <w:p w14:paraId="7B84E133" w14:textId="77777777" w:rsidR="00B51A43" w:rsidRDefault="00B51A43" w:rsidP="00B51A43">
      <w:pPr>
        <w:pStyle w:val="Content"/>
      </w:pPr>
      <w:r>
        <w:t xml:space="preserve">   Average annual profit = (2500 + 2000 + 1000 - 442) / 4 = 1264.5</w:t>
      </w:r>
    </w:p>
    <w:p w14:paraId="33C0566B" w14:textId="77777777" w:rsidR="00B51A43" w:rsidRDefault="00B51A43" w:rsidP="00B51A43">
      <w:pPr>
        <w:pStyle w:val="Content"/>
      </w:pPr>
      <w:r>
        <w:t xml:space="preserve">   Average investment = 5000 / 2 = 2500</w:t>
      </w:r>
    </w:p>
    <w:p w14:paraId="74C00821" w14:textId="77777777" w:rsidR="00B51A43" w:rsidRPr="00D671C7" w:rsidRDefault="00B51A43" w:rsidP="00B51A43">
      <w:pPr>
        <w:pStyle w:val="Content"/>
        <w:rPr>
          <w:b/>
          <w:bCs/>
        </w:rPr>
      </w:pPr>
      <w:r w:rsidRPr="00D671C7">
        <w:rPr>
          <w:b/>
          <w:bCs/>
        </w:rPr>
        <w:t xml:space="preserve">   ARR for Project A = (1264.5 / 2500) * 100 = 50.58%</w:t>
      </w:r>
    </w:p>
    <w:p w14:paraId="0604E236" w14:textId="77777777" w:rsidR="00B51A43" w:rsidRPr="003D136F" w:rsidRDefault="00B51A43" w:rsidP="00B51A43">
      <w:pPr>
        <w:pStyle w:val="Content"/>
        <w:rPr>
          <w:b/>
          <w:bCs/>
        </w:rPr>
      </w:pPr>
      <w:r w:rsidRPr="003D136F">
        <w:rPr>
          <w:b/>
          <w:bCs/>
        </w:rPr>
        <w:t>Net Present Value (NPV):</w:t>
      </w:r>
    </w:p>
    <w:p w14:paraId="0466EDCA" w14:textId="77777777" w:rsidR="00B51A43" w:rsidRDefault="00B51A43" w:rsidP="00B51A43">
      <w:pPr>
        <w:pStyle w:val="Content"/>
      </w:pPr>
      <w:r>
        <w:t xml:space="preserve">   NPV = -5000 + (2500 / (1 + </w:t>
      </w:r>
      <w:proofErr w:type="gramStart"/>
      <w:r>
        <w:t>0.0075)^</w:t>
      </w:r>
      <w:proofErr w:type="gramEnd"/>
      <w:r>
        <w:t>1) + (2000 / (1 + 0.0075)^2) + (1000 / (1 + 0.0075)^3) - (442 / (1 + 0.0075)^4)</w:t>
      </w:r>
    </w:p>
    <w:p w14:paraId="7BBD0C63" w14:textId="77777777" w:rsidR="00B51A43" w:rsidRDefault="00B51A43" w:rsidP="00B51A43">
      <w:pPr>
        <w:pStyle w:val="Content"/>
      </w:pPr>
      <w:r>
        <w:t>NPV = -5000 + 2481.98 + 1974.31 + 977.10 - 428.92 = 58.55</w:t>
      </w:r>
    </w:p>
    <w:p w14:paraId="1E912009" w14:textId="77777777" w:rsidR="00B51A43" w:rsidRPr="00D671C7" w:rsidRDefault="00B51A43" w:rsidP="00B51A43">
      <w:pPr>
        <w:pStyle w:val="Content"/>
        <w:rPr>
          <w:b/>
          <w:bCs/>
        </w:rPr>
      </w:pPr>
      <w:r>
        <w:t xml:space="preserve">   </w:t>
      </w:r>
      <w:r w:rsidRPr="00D671C7">
        <w:rPr>
          <w:b/>
          <w:bCs/>
        </w:rPr>
        <w:t>NPV for Project A = £58.55 million</w:t>
      </w:r>
    </w:p>
    <w:p w14:paraId="4086CCAA" w14:textId="77777777" w:rsidR="00B51A43" w:rsidRPr="00515F1B" w:rsidRDefault="00B51A43" w:rsidP="00B51A43">
      <w:pPr>
        <w:pStyle w:val="Content"/>
        <w:rPr>
          <w:b/>
          <w:bCs/>
        </w:rPr>
      </w:pPr>
      <w:r w:rsidRPr="00515F1B">
        <w:rPr>
          <w:b/>
          <w:bCs/>
        </w:rPr>
        <w:t>For Project B:</w:t>
      </w:r>
    </w:p>
    <w:p w14:paraId="0E6675F8" w14:textId="77777777" w:rsidR="00B51A43" w:rsidRDefault="00B51A43" w:rsidP="00B51A43">
      <w:pPr>
        <w:pStyle w:val="Content"/>
        <w:numPr>
          <w:ilvl w:val="0"/>
          <w:numId w:val="5"/>
        </w:numPr>
      </w:pPr>
      <w:r>
        <w:t>Year 0: The initial investment is -1000 (cash outflow). Cumulative cash flow at the end of Year 0 = -1000</w:t>
      </w:r>
    </w:p>
    <w:p w14:paraId="0BC86744" w14:textId="77777777" w:rsidR="00B51A43" w:rsidRDefault="00B51A43" w:rsidP="00B51A43">
      <w:pPr>
        <w:pStyle w:val="Content"/>
        <w:numPr>
          <w:ilvl w:val="0"/>
          <w:numId w:val="5"/>
        </w:numPr>
      </w:pPr>
      <w:r>
        <w:t>Year 1: The cash flow is 1500 (cash inflow). Cumulative cash flow at the end of Year 1 = -1000 + 1500 = 500</w:t>
      </w:r>
    </w:p>
    <w:p w14:paraId="222E49B6" w14:textId="77777777" w:rsidR="00B51A43" w:rsidRDefault="00B51A43" w:rsidP="00B51A43">
      <w:pPr>
        <w:pStyle w:val="Content"/>
        <w:numPr>
          <w:ilvl w:val="0"/>
          <w:numId w:val="5"/>
        </w:numPr>
      </w:pPr>
      <w:r w:rsidRPr="003D136F">
        <w:t>PBP = Number of years before recovery + (Unrecovered amount at the start of the year / Cash flow during the year)</w:t>
      </w:r>
    </w:p>
    <w:p w14:paraId="64CE92D2" w14:textId="77777777" w:rsidR="00B51A43" w:rsidRPr="00D671C7" w:rsidRDefault="00B51A43" w:rsidP="00B51A43">
      <w:pPr>
        <w:pStyle w:val="Content"/>
        <w:rPr>
          <w:b/>
          <w:bCs/>
        </w:rPr>
      </w:pPr>
      <w:r w:rsidRPr="00D671C7">
        <w:rPr>
          <w:b/>
          <w:bCs/>
        </w:rPr>
        <w:t>PBP = 0 + (1000 / 1500) = 0.67 years, or approximately 8 months</w:t>
      </w:r>
    </w:p>
    <w:p w14:paraId="63E37BF9" w14:textId="77777777" w:rsidR="00B51A43" w:rsidRPr="00515F1B" w:rsidRDefault="00B51A43" w:rsidP="00B51A43">
      <w:pPr>
        <w:pStyle w:val="Content"/>
        <w:rPr>
          <w:b/>
          <w:bCs/>
        </w:rPr>
      </w:pPr>
      <w:r w:rsidRPr="00515F1B">
        <w:rPr>
          <w:b/>
          <w:bCs/>
        </w:rPr>
        <w:t>Accounting Rate of Return (ARR):</w:t>
      </w:r>
    </w:p>
    <w:p w14:paraId="2917D8B3" w14:textId="77777777" w:rsidR="00B51A43" w:rsidRDefault="00B51A43" w:rsidP="00B51A43">
      <w:pPr>
        <w:pStyle w:val="Content"/>
      </w:pPr>
      <w:r>
        <w:t>Average annual profit = (1500 + 1000 + 1000 - 470) / 4 = 757.5</w:t>
      </w:r>
    </w:p>
    <w:p w14:paraId="12E10B52" w14:textId="77777777" w:rsidR="00B51A43" w:rsidRDefault="00B51A43" w:rsidP="00B51A43">
      <w:pPr>
        <w:pStyle w:val="Content"/>
      </w:pPr>
      <w:r>
        <w:t xml:space="preserve">Average </w:t>
      </w:r>
      <w:proofErr w:type="gramStart"/>
      <w:r>
        <w:t>investment  =</w:t>
      </w:r>
      <w:proofErr w:type="gramEnd"/>
      <w:r>
        <w:t xml:space="preserve"> 1000 / 2 = 500</w:t>
      </w:r>
    </w:p>
    <w:p w14:paraId="5E7BF66B" w14:textId="77777777" w:rsidR="00B51A43" w:rsidRPr="00D671C7" w:rsidRDefault="00B51A43" w:rsidP="00B51A43">
      <w:pPr>
        <w:pStyle w:val="Content"/>
        <w:rPr>
          <w:b/>
          <w:bCs/>
        </w:rPr>
      </w:pPr>
      <w:r w:rsidRPr="00D671C7">
        <w:rPr>
          <w:b/>
          <w:bCs/>
        </w:rPr>
        <w:lastRenderedPageBreak/>
        <w:t xml:space="preserve"> ARR for Project B = (757.5 / 500) * 100 = 151.5%</w:t>
      </w:r>
    </w:p>
    <w:p w14:paraId="54A95876" w14:textId="77777777" w:rsidR="00B51A43" w:rsidRPr="00D671C7" w:rsidRDefault="00B51A43" w:rsidP="00B51A43">
      <w:pPr>
        <w:pStyle w:val="Content"/>
        <w:rPr>
          <w:b/>
          <w:bCs/>
        </w:rPr>
      </w:pPr>
      <w:r w:rsidRPr="00D671C7">
        <w:rPr>
          <w:b/>
          <w:bCs/>
        </w:rPr>
        <w:t>Net Present Value (NPV):</w:t>
      </w:r>
    </w:p>
    <w:p w14:paraId="7FB38ECA" w14:textId="77777777" w:rsidR="00B51A43" w:rsidRDefault="00B51A43" w:rsidP="00B51A43">
      <w:pPr>
        <w:pStyle w:val="Content"/>
      </w:pPr>
      <w:r>
        <w:t xml:space="preserve">NPV = -1000 + (1500 / (1 + </w:t>
      </w:r>
      <w:proofErr w:type="gramStart"/>
      <w:r>
        <w:t>0.0075)^</w:t>
      </w:r>
      <w:proofErr w:type="gramEnd"/>
      <w:r>
        <w:t>1) + (1000 / (1 + 0.0075)^2) + (1000 / (1 + 0.0075)^3) - (470 / (1 + 0.0075)^4)</w:t>
      </w:r>
    </w:p>
    <w:p w14:paraId="2679D91D" w14:textId="77777777" w:rsidR="00B51A43" w:rsidRDefault="00B51A43" w:rsidP="00B51A43">
      <w:pPr>
        <w:pStyle w:val="Content"/>
      </w:pPr>
      <w:r>
        <w:t xml:space="preserve">NPV = -1000 + </w:t>
      </w:r>
      <w:r w:rsidRPr="00515F1B">
        <w:t>1488.12</w:t>
      </w:r>
      <w:r>
        <w:t xml:space="preserve"> </w:t>
      </w:r>
      <w:r w:rsidRPr="00515F1B">
        <w:t>+</w:t>
      </w:r>
      <w:r>
        <w:t xml:space="preserve"> </w:t>
      </w:r>
      <w:r w:rsidRPr="00515F1B">
        <w:t>985.43</w:t>
      </w:r>
      <w:r>
        <w:t xml:space="preserve"> </w:t>
      </w:r>
      <w:r w:rsidRPr="00515F1B">
        <w:t>+</w:t>
      </w:r>
      <w:r>
        <w:t xml:space="preserve"> </w:t>
      </w:r>
      <w:r w:rsidRPr="00515F1B">
        <w:t>977.10</w:t>
      </w:r>
      <w:r>
        <w:t xml:space="preserve"> </w:t>
      </w:r>
      <w:r w:rsidRPr="00515F1B">
        <w:t>−</w:t>
      </w:r>
      <w:r>
        <w:t xml:space="preserve"> </w:t>
      </w:r>
      <w:r w:rsidRPr="00515F1B">
        <w:t>456.13</w:t>
      </w:r>
    </w:p>
    <w:p w14:paraId="2B8AFF95" w14:textId="77777777" w:rsidR="00B51A43" w:rsidRPr="00D671C7" w:rsidRDefault="00B51A43" w:rsidP="00B51A43">
      <w:pPr>
        <w:pStyle w:val="Content"/>
        <w:rPr>
          <w:b/>
          <w:bCs/>
        </w:rPr>
      </w:pPr>
      <w:r w:rsidRPr="00D671C7">
        <w:rPr>
          <w:b/>
          <w:bCs/>
        </w:rPr>
        <w:t>NPV for Project B = £2,994.52 million</w:t>
      </w:r>
    </w:p>
    <w:p w14:paraId="0E7BCD00" w14:textId="77777777" w:rsidR="00B51A43" w:rsidRPr="00D671C7" w:rsidRDefault="00B51A43" w:rsidP="00B51A43">
      <w:pPr>
        <w:pStyle w:val="Content"/>
        <w:rPr>
          <w:b/>
          <w:bCs/>
        </w:rPr>
      </w:pPr>
      <w:r w:rsidRPr="00D671C7">
        <w:rPr>
          <w:b/>
          <w:bCs/>
        </w:rPr>
        <w:t>Evaluation and Recommendation:</w:t>
      </w:r>
    </w:p>
    <w:p w14:paraId="3E74329F" w14:textId="77777777" w:rsidR="00B51A43" w:rsidRDefault="00B51A43" w:rsidP="00B51A43">
      <w:pPr>
        <w:pStyle w:val="Content"/>
      </w:pPr>
      <w:r w:rsidRPr="00D671C7">
        <w:rPr>
          <w:b/>
          <w:bCs/>
        </w:rPr>
        <w:t>Payback Period (PBP):</w:t>
      </w:r>
      <w:r>
        <w:t xml:space="preserve"> Project B has a shorter payback period of 1 year compared to Project A's 2.5 years. A shorter PBP is generally preferred as it indicates a quicker recovery of the initial investment.</w:t>
      </w:r>
    </w:p>
    <w:p w14:paraId="0AC6CB64" w14:textId="77777777" w:rsidR="00B51A43" w:rsidRDefault="00B51A43" w:rsidP="00B51A43">
      <w:pPr>
        <w:pStyle w:val="Content"/>
      </w:pPr>
      <w:r w:rsidRPr="00D671C7">
        <w:rPr>
          <w:b/>
          <w:bCs/>
        </w:rPr>
        <w:t>Accounting Rate of Return (ARR):</w:t>
      </w:r>
      <w:r>
        <w:t xml:space="preserve"> Project B has a significantly higher ARR of 151.5% compared to Project A's 50.58%. A higher ARR indicates better profitability relative to the investment.</w:t>
      </w:r>
    </w:p>
    <w:p w14:paraId="077575B3" w14:textId="77777777" w:rsidR="00B51A43" w:rsidRDefault="00B51A43" w:rsidP="00B51A43">
      <w:pPr>
        <w:pStyle w:val="Content"/>
      </w:pPr>
      <w:r w:rsidRPr="00D671C7">
        <w:rPr>
          <w:b/>
          <w:bCs/>
        </w:rPr>
        <w:t>Net Present Value (NPV):</w:t>
      </w:r>
      <w:r>
        <w:t xml:space="preserve"> Both projects have positive NPVs, with Project B having a substantially higher NPV of </w:t>
      </w:r>
      <w:r w:rsidRPr="00D671C7">
        <w:rPr>
          <w:b/>
          <w:bCs/>
        </w:rPr>
        <w:t>£2,994.52 million</w:t>
      </w:r>
      <w:r>
        <w:t xml:space="preserve"> compared to Project A's </w:t>
      </w:r>
      <w:r w:rsidRPr="00D671C7">
        <w:rPr>
          <w:b/>
          <w:bCs/>
        </w:rPr>
        <w:t xml:space="preserve">£58.59 million. </w:t>
      </w:r>
      <w:r>
        <w:t>A higher NPV indicates a more profitable investment.</w:t>
      </w:r>
    </w:p>
    <w:p w14:paraId="40311A9C" w14:textId="77777777" w:rsidR="00B51A43" w:rsidRDefault="00B51A43" w:rsidP="00B51A43">
      <w:pPr>
        <w:pStyle w:val="Content"/>
      </w:pPr>
      <w:r>
        <w:t>Considering all three calculations, Capri Holdings adopt Project B. Although Project A has a positive NPV, Project B outperforms it in terms of PBP, ARR, and NPV. The shorter payback period of Project B means that the company will recover its investment faster, reducing the risk associated with the project. The higher ARR suggests that Project B is more profitable relative to the investment required. Finally, the significantly higher NPV of Project B indicates that it will generate more value for the company in the long run, considering the time value of money.</w:t>
      </w:r>
    </w:p>
    <w:p w14:paraId="36D6B08F" w14:textId="77777777" w:rsidR="00B51A43" w:rsidRDefault="00B51A43" w:rsidP="00B51A43">
      <w:pPr>
        <w:pStyle w:val="Heading2"/>
      </w:pPr>
      <w:bookmarkStart w:id="8" w:name="_Toc164696621"/>
      <w:r>
        <w:t>Initial Investment Increase</w:t>
      </w:r>
      <w:bookmarkEnd w:id="8"/>
    </w:p>
    <w:p w14:paraId="65402847" w14:textId="77777777" w:rsidR="00B51A43" w:rsidRDefault="00B51A43" w:rsidP="00B51A43">
      <w:pPr>
        <w:pStyle w:val="Content"/>
      </w:pPr>
      <w:r>
        <w:t>For Project A</w:t>
      </w:r>
    </w:p>
    <w:p w14:paraId="69560CD3" w14:textId="77777777" w:rsidR="00B51A43" w:rsidRDefault="00B51A43" w:rsidP="00B51A43">
      <w:pPr>
        <w:pStyle w:val="Content"/>
      </w:pPr>
      <w:r>
        <w:t>Initial investment (Year 0): -5000 X 1.1 = -5500 (Increase in Initial Investments by 10%)</w:t>
      </w:r>
    </w:p>
    <w:p w14:paraId="2536DD1C" w14:textId="77777777" w:rsidR="00B51A43" w:rsidRDefault="00B51A43" w:rsidP="00B51A43">
      <w:pPr>
        <w:pStyle w:val="Content"/>
      </w:pPr>
      <w:r>
        <w:lastRenderedPageBreak/>
        <w:t>Adjusted Cash Flows (Decrease all cash flows by 10%):</w:t>
      </w:r>
    </w:p>
    <w:p w14:paraId="44CD4893" w14:textId="77777777" w:rsidR="00B51A43" w:rsidRDefault="00B51A43" w:rsidP="00B51A43">
      <w:pPr>
        <w:pStyle w:val="Content"/>
      </w:pPr>
      <w:r>
        <w:t>Year 1: 2500 * 0.9 = 2250</w:t>
      </w:r>
    </w:p>
    <w:p w14:paraId="1265FB3C" w14:textId="77777777" w:rsidR="00B51A43" w:rsidRDefault="00B51A43" w:rsidP="00B51A43">
      <w:pPr>
        <w:pStyle w:val="Content"/>
      </w:pPr>
      <w:r>
        <w:t>Year 2: 2000 * 0.9 = 1800</w:t>
      </w:r>
    </w:p>
    <w:p w14:paraId="6D63D960" w14:textId="77777777" w:rsidR="00B51A43" w:rsidRDefault="00B51A43" w:rsidP="00B51A43">
      <w:pPr>
        <w:pStyle w:val="Content"/>
      </w:pPr>
      <w:r>
        <w:t>Year 3: 1000 * 0.9 = 900</w:t>
      </w:r>
    </w:p>
    <w:p w14:paraId="2A973B00" w14:textId="77777777" w:rsidR="00B51A43" w:rsidRDefault="00B51A43" w:rsidP="00B51A43">
      <w:pPr>
        <w:pStyle w:val="Content"/>
      </w:pPr>
      <w:r>
        <w:t>Year 4: -442 * 0.9 = -397.8</w:t>
      </w:r>
    </w:p>
    <w:p w14:paraId="06BF440C" w14:textId="77777777" w:rsidR="00B51A43" w:rsidRDefault="00B51A43" w:rsidP="00B51A43">
      <w:pPr>
        <w:pStyle w:val="Content"/>
      </w:pPr>
    </w:p>
    <w:p w14:paraId="72A23A0D" w14:textId="77777777" w:rsidR="00B51A43" w:rsidRDefault="00B51A43" w:rsidP="00B51A43">
      <w:pPr>
        <w:pStyle w:val="Content"/>
      </w:pPr>
      <w:r>
        <w:t xml:space="preserve">NPV = -5500 + (2250 / (1 + </w:t>
      </w:r>
      <w:proofErr w:type="gramStart"/>
      <w:r>
        <w:t>0.0075)^</w:t>
      </w:r>
      <w:proofErr w:type="gramEnd"/>
      <w:r>
        <w:t>1) + (1800 / (1 + 0.0075)^2) + (900 / (1 + 0.0075)^3) - (397.8 / (1 + 0.0075)^4)</w:t>
      </w:r>
    </w:p>
    <w:p w14:paraId="5499FFAE" w14:textId="77777777" w:rsidR="00B51A43" w:rsidRDefault="00B51A43" w:rsidP="00B51A43">
      <w:pPr>
        <w:pStyle w:val="Content"/>
      </w:pPr>
      <w:r>
        <w:t>NPV = -5500 + 2233.20 + 1776.51 + 884.57 - 386.37</w:t>
      </w:r>
    </w:p>
    <w:p w14:paraId="32F292E6" w14:textId="77777777" w:rsidR="00B51A43" w:rsidRDefault="00B51A43" w:rsidP="00B51A43">
      <w:pPr>
        <w:pStyle w:val="Content"/>
      </w:pPr>
      <w:r>
        <w:t>NPV for Project A (adjusted) = -£992.09 million</w:t>
      </w:r>
    </w:p>
    <w:p w14:paraId="1EFA4F7C" w14:textId="77777777" w:rsidR="00B51A43" w:rsidRDefault="00B51A43" w:rsidP="00B51A43">
      <w:pPr>
        <w:pStyle w:val="Content"/>
      </w:pPr>
      <w:r>
        <w:t>Project B:</w:t>
      </w:r>
    </w:p>
    <w:p w14:paraId="03C7F7EE" w14:textId="77777777" w:rsidR="00B51A43" w:rsidRDefault="00B51A43" w:rsidP="00B51A43">
      <w:pPr>
        <w:pStyle w:val="Content"/>
      </w:pPr>
      <w:r>
        <w:t>Initial investment (Year 0): -1000 * 1.1 = -1100</w:t>
      </w:r>
    </w:p>
    <w:p w14:paraId="297F1B90" w14:textId="77777777" w:rsidR="00B51A43" w:rsidRDefault="00B51A43" w:rsidP="00B51A43">
      <w:pPr>
        <w:pStyle w:val="Content"/>
      </w:pPr>
      <w:r>
        <w:t>Adjusted Cash Flows:</w:t>
      </w:r>
    </w:p>
    <w:p w14:paraId="0C511C56" w14:textId="77777777" w:rsidR="00B51A43" w:rsidRDefault="00B51A43" w:rsidP="00B51A43">
      <w:pPr>
        <w:pStyle w:val="Content"/>
      </w:pPr>
      <w:r>
        <w:t>Year 1: 1500 * 0.9 = 1350</w:t>
      </w:r>
    </w:p>
    <w:p w14:paraId="1EB8CB7D" w14:textId="77777777" w:rsidR="00B51A43" w:rsidRDefault="00B51A43" w:rsidP="00B51A43">
      <w:pPr>
        <w:pStyle w:val="Content"/>
      </w:pPr>
      <w:r>
        <w:t>Year 2: 1000 * 0.9 = 900</w:t>
      </w:r>
    </w:p>
    <w:p w14:paraId="32632F63" w14:textId="77777777" w:rsidR="00B51A43" w:rsidRDefault="00B51A43" w:rsidP="00B51A43">
      <w:pPr>
        <w:pStyle w:val="Content"/>
      </w:pPr>
      <w:r>
        <w:t>Year 3: 1000 * 0.9 = 900</w:t>
      </w:r>
    </w:p>
    <w:p w14:paraId="221DAC8D" w14:textId="77777777" w:rsidR="00B51A43" w:rsidRDefault="00B51A43" w:rsidP="00B51A43">
      <w:pPr>
        <w:pStyle w:val="Content"/>
      </w:pPr>
      <w:r>
        <w:t>Year 4: -470 * 0.9 = -423</w:t>
      </w:r>
    </w:p>
    <w:p w14:paraId="677170EA" w14:textId="77777777" w:rsidR="00B51A43" w:rsidRDefault="00B51A43" w:rsidP="00B51A43">
      <w:pPr>
        <w:pStyle w:val="Content"/>
      </w:pPr>
      <w:r>
        <w:t xml:space="preserve">NPV = -1100 + (1350 / (1 + </w:t>
      </w:r>
      <w:proofErr w:type="gramStart"/>
      <w:r>
        <w:t>0.0075)^</w:t>
      </w:r>
      <w:proofErr w:type="gramEnd"/>
      <w:r>
        <w:t>1) + (900 / (1 + 0.0075)^2) + (900 / (1 + 0.0075)^3) - (423 / (1 + 0.0075)^4)</w:t>
      </w:r>
    </w:p>
    <w:p w14:paraId="0605BD18" w14:textId="77777777" w:rsidR="00B51A43" w:rsidRDefault="00B51A43" w:rsidP="00B51A43">
      <w:pPr>
        <w:pStyle w:val="Content"/>
      </w:pPr>
      <w:r>
        <w:t>NPV = -1100 + 1339.95 + 886.66 + 879.89 - 410.60</w:t>
      </w:r>
    </w:p>
    <w:p w14:paraId="2533ED67" w14:textId="77777777" w:rsidR="00B51A43" w:rsidRDefault="00B51A43" w:rsidP="00B51A43">
      <w:pPr>
        <w:pStyle w:val="Content"/>
      </w:pPr>
      <w:r>
        <w:t>NPV for Project B (adjusted) = £1,595.90 million</w:t>
      </w:r>
    </w:p>
    <w:p w14:paraId="54275E49" w14:textId="77777777" w:rsidR="00B51A43" w:rsidRDefault="00B51A43" w:rsidP="00B51A43">
      <w:pPr>
        <w:pStyle w:val="Content"/>
      </w:pPr>
      <w:r>
        <w:t xml:space="preserve">Project A: The re-calculated NPV of Project A has moved towards the negative side as it comes at -£992,09 million. Both reflect the reduction in earnings because of Project A and </w:t>
      </w:r>
      <w:r>
        <w:lastRenderedPageBreak/>
        <w:t>mean that the latter should not be chosen. The initial investment and the cash flows of the project decrease by 10% and 10% respectively, making the project much riskier than before.</w:t>
      </w:r>
    </w:p>
    <w:p w14:paraId="0558F682" w14:textId="77777777" w:rsidR="00B51A43" w:rsidRDefault="00B51A43" w:rsidP="00B51A43">
      <w:pPr>
        <w:pStyle w:val="Content"/>
      </w:pPr>
      <w:r>
        <w:t>Project B: Over the subsequent several years, the amended NPV for Project B continued positive at £1,595.90 million because the initial investment and the future cash flows declined. The NPV has diminished (from £1,945.43 million to £1,595.90 million) compared to the original scenario, but still profitable and commercially appealing.</w:t>
      </w:r>
    </w:p>
    <w:p w14:paraId="40F5807D" w14:textId="77777777" w:rsidR="00B51A43" w:rsidRDefault="00B51A43" w:rsidP="00B51A43">
      <w:pPr>
        <w:pStyle w:val="Content"/>
      </w:pPr>
    </w:p>
    <w:p w14:paraId="254F1C25" w14:textId="77777777" w:rsidR="00B51A43" w:rsidRDefault="00B51A43" w:rsidP="00B51A43">
      <w:pPr>
        <w:pStyle w:val="Content"/>
      </w:pPr>
      <w:r>
        <w:t>In short, after considering the new circumstances in which an initial investment increment and a cash flow deduction of 10%, Project B still represents a greater option for Capri Holdings. There are two projects: Project A does not make a profit and therefore should be rejected. Project B although leads to the smaller NPV, still obtains the positive return and is planned for investments. The operability of the projects to shifts in initial investments and cash flows demonstrates the critical need for carrying out sensitivity analysis and considering the probable risks when analysing investment prospects.</w:t>
      </w:r>
    </w:p>
    <w:p w14:paraId="66F77E06" w14:textId="77777777" w:rsidR="00B51A43" w:rsidRDefault="00B51A43" w:rsidP="00B51A43">
      <w:pPr>
        <w:pStyle w:val="Heading2"/>
      </w:pPr>
      <w:bookmarkStart w:id="9" w:name="_Toc164696622"/>
      <w:r w:rsidRPr="00F415A3">
        <w:t>Advantages and Shortcomings of PBP, ARR, and NPV Techniques</w:t>
      </w:r>
      <w:bookmarkEnd w:id="9"/>
    </w:p>
    <w:p w14:paraId="3FAA8A11" w14:textId="77777777" w:rsidR="00B51A43" w:rsidRDefault="00B51A43" w:rsidP="00B51A43">
      <w:pPr>
        <w:pStyle w:val="Content"/>
      </w:pPr>
      <w:r>
        <w:t>Payback Period (PBP):</w:t>
      </w:r>
    </w:p>
    <w:p w14:paraId="0C7F7882" w14:textId="77777777" w:rsidR="00B51A43" w:rsidRDefault="00B51A43" w:rsidP="00B51A43">
      <w:pPr>
        <w:pStyle w:val="Content"/>
      </w:pPr>
      <w:r>
        <w:t>Advantages:</w:t>
      </w:r>
    </w:p>
    <w:p w14:paraId="113ECDE6" w14:textId="77777777" w:rsidR="00B51A43" w:rsidRDefault="00B51A43" w:rsidP="00B51A43">
      <w:pPr>
        <w:pStyle w:val="Content"/>
        <w:numPr>
          <w:ilvl w:val="0"/>
          <w:numId w:val="6"/>
        </w:numPr>
      </w:pPr>
      <w:r>
        <w:t>Simplicity: Probably, PBP, due to the simplicity of calculations and understanding of it, is attractive to the managers.</w:t>
      </w:r>
    </w:p>
    <w:p w14:paraId="316DACA6" w14:textId="77777777" w:rsidR="00B51A43" w:rsidRDefault="00B51A43" w:rsidP="00B51A43">
      <w:pPr>
        <w:pStyle w:val="Content"/>
        <w:numPr>
          <w:ilvl w:val="0"/>
          <w:numId w:val="6"/>
        </w:numPr>
      </w:pPr>
      <w:r>
        <w:t>Liquidity and risk assessment: The platform offers a prompt liquidity test and risk assessment of a financing efficiency of the project according to experts' opinions (Gitman et al., 2015).</w:t>
      </w:r>
    </w:p>
    <w:p w14:paraId="578529B4" w14:textId="77777777" w:rsidR="00B51A43" w:rsidRDefault="00B51A43" w:rsidP="00B51A43">
      <w:pPr>
        <w:pStyle w:val="Content"/>
      </w:pPr>
      <w:r>
        <w:t>Shortcomings:</w:t>
      </w:r>
    </w:p>
    <w:p w14:paraId="2A9DD095" w14:textId="77777777" w:rsidR="00B51A43" w:rsidRDefault="00B51A43" w:rsidP="00B51A43">
      <w:pPr>
        <w:pStyle w:val="Content"/>
        <w:numPr>
          <w:ilvl w:val="0"/>
          <w:numId w:val="7"/>
        </w:numPr>
      </w:pPr>
      <w:r>
        <w:t xml:space="preserve">Ignores post-payback cash flows: Two serious limitations of the PBP are that this technique ignores the cash flows of both the post-payback period and the long-term </w:t>
      </w:r>
      <w:proofErr w:type="gramStart"/>
      <w:r>
        <w:t>perspective(</w:t>
      </w:r>
      <w:proofErr w:type="gramEnd"/>
      <w:r>
        <w:t>Business,2017).</w:t>
      </w:r>
    </w:p>
    <w:p w14:paraId="0357B714" w14:textId="77777777" w:rsidR="00B51A43" w:rsidRDefault="00B51A43" w:rsidP="00B51A43">
      <w:pPr>
        <w:pStyle w:val="Content"/>
        <w:numPr>
          <w:ilvl w:val="0"/>
          <w:numId w:val="7"/>
        </w:numPr>
      </w:pPr>
      <w:r>
        <w:lastRenderedPageBreak/>
        <w:t>Time value of money: The policy ignores the principle of time-value of money and by so doing fewer optimum decisions are reached (Ross, 2015).</w:t>
      </w:r>
    </w:p>
    <w:p w14:paraId="571730AA" w14:textId="77777777" w:rsidR="00B51A43" w:rsidRDefault="00B51A43" w:rsidP="00B51A43">
      <w:pPr>
        <w:pStyle w:val="Content"/>
      </w:pPr>
      <w:r>
        <w:t>Accounting Rate of Return (ARR):</w:t>
      </w:r>
    </w:p>
    <w:p w14:paraId="2FB2BEA7" w14:textId="77777777" w:rsidR="00B51A43" w:rsidRDefault="00B51A43" w:rsidP="00B51A43">
      <w:pPr>
        <w:pStyle w:val="Content"/>
      </w:pPr>
      <w:r>
        <w:t>Advantages:</w:t>
      </w:r>
    </w:p>
    <w:p w14:paraId="7748DEC9" w14:textId="77777777" w:rsidR="00B51A43" w:rsidRDefault="00B51A43" w:rsidP="00B51A43">
      <w:pPr>
        <w:pStyle w:val="Content"/>
        <w:numPr>
          <w:ilvl w:val="0"/>
          <w:numId w:val="8"/>
        </w:numPr>
      </w:pPr>
      <w:r>
        <w:t xml:space="preserve">Simplicity: ARR is easy to depend on, and its data to be used are available to </w:t>
      </w:r>
      <w:proofErr w:type="gramStart"/>
      <w:r>
        <w:t>every the</w:t>
      </w:r>
      <w:proofErr w:type="gramEnd"/>
      <w:r>
        <w:t xml:space="preserve"> accounting data (Drury, 2013).</w:t>
      </w:r>
    </w:p>
    <w:p w14:paraId="4197C838" w14:textId="77777777" w:rsidR="00B51A43" w:rsidRDefault="00B51A43" w:rsidP="00B51A43">
      <w:pPr>
        <w:pStyle w:val="Content"/>
        <w:numPr>
          <w:ilvl w:val="0"/>
          <w:numId w:val="8"/>
        </w:numPr>
      </w:pPr>
      <w:r>
        <w:t>Profitability measure: ARR measures the profitability of a project (Atrill &amp; McLaney, 2006) with this approach.</w:t>
      </w:r>
    </w:p>
    <w:p w14:paraId="76E8E847" w14:textId="77777777" w:rsidR="00B51A43" w:rsidRDefault="00B51A43" w:rsidP="00B51A43">
      <w:pPr>
        <w:pStyle w:val="Content"/>
      </w:pPr>
      <w:r>
        <w:t>Shortcomings:</w:t>
      </w:r>
    </w:p>
    <w:p w14:paraId="6023E720" w14:textId="77777777" w:rsidR="00B51A43" w:rsidRDefault="00B51A43" w:rsidP="00B51A43">
      <w:pPr>
        <w:pStyle w:val="Content"/>
        <w:numPr>
          <w:ilvl w:val="0"/>
          <w:numId w:val="9"/>
        </w:numPr>
      </w:pPr>
      <w:r>
        <w:t>Time value of money: ARR fails to incorporate the time valuation of money which might create misleading project valuating (Brigham, 2016).</w:t>
      </w:r>
    </w:p>
    <w:p w14:paraId="5C668FDD" w14:textId="77777777" w:rsidR="00B51A43" w:rsidRDefault="00B51A43" w:rsidP="00B51A43">
      <w:pPr>
        <w:pStyle w:val="Content"/>
        <w:numPr>
          <w:ilvl w:val="0"/>
          <w:numId w:val="9"/>
        </w:numPr>
      </w:pPr>
      <w:r>
        <w:t>Cash flow timing: In the light of all this, ARR treats all cash flows as though they occurred presently and disregards their magnitudes, concentrating only on accounting profits.</w:t>
      </w:r>
    </w:p>
    <w:p w14:paraId="65A9F7EF" w14:textId="77777777" w:rsidR="00B51A43" w:rsidRDefault="00B51A43" w:rsidP="00B51A43">
      <w:pPr>
        <w:pStyle w:val="Content"/>
      </w:pPr>
      <w:r>
        <w:t>Net Present Value (NPV):</w:t>
      </w:r>
    </w:p>
    <w:p w14:paraId="4499862F" w14:textId="77777777" w:rsidR="00B51A43" w:rsidRDefault="00B51A43" w:rsidP="00B51A43">
      <w:pPr>
        <w:pStyle w:val="Content"/>
      </w:pPr>
      <w:r>
        <w:t>Advantages:</w:t>
      </w:r>
    </w:p>
    <w:p w14:paraId="50BD844D" w14:textId="77777777" w:rsidR="00B51A43" w:rsidRDefault="00B51A43" w:rsidP="00B51A43">
      <w:pPr>
        <w:pStyle w:val="Content"/>
        <w:numPr>
          <w:ilvl w:val="0"/>
          <w:numId w:val="10"/>
        </w:numPr>
      </w:pPr>
      <w:r>
        <w:t>Time value of money: These features are also included in this analysis, which gives a more precise assessment of the project’s worth (Ross, 2015).</w:t>
      </w:r>
    </w:p>
    <w:p w14:paraId="118965E7" w14:textId="77777777" w:rsidR="00B51A43" w:rsidRDefault="00B51A43" w:rsidP="00B51A43">
      <w:pPr>
        <w:pStyle w:val="Content"/>
        <w:numPr>
          <w:ilvl w:val="0"/>
          <w:numId w:val="10"/>
        </w:numPr>
      </w:pPr>
      <w:r>
        <w:t>Cash flow focus: NPV utilizes cash flows not accounting income; hence, the true value of a project is correctly shown by not using accounting income (Berk et al., 2013).</w:t>
      </w:r>
    </w:p>
    <w:p w14:paraId="5F16FFEB" w14:textId="77777777" w:rsidR="00B51A43" w:rsidRDefault="00B51A43" w:rsidP="00B51A43">
      <w:pPr>
        <w:pStyle w:val="Content"/>
        <w:numPr>
          <w:ilvl w:val="0"/>
          <w:numId w:val="10"/>
        </w:numPr>
      </w:pPr>
      <w:r>
        <w:t>Clear decision rule: NPV is a comprehensive criterion of distinguishing between projects with positive and negative NPV. Positive NPV reflects a situation when the project justifies its initial investment whereas negative NPV maximizes the return (Brigham, 2016).</w:t>
      </w:r>
    </w:p>
    <w:p w14:paraId="1064D2A2" w14:textId="77777777" w:rsidR="00B51A43" w:rsidRDefault="00B51A43" w:rsidP="00B51A43">
      <w:pPr>
        <w:pStyle w:val="Content"/>
      </w:pPr>
      <w:r>
        <w:t>Shortcomings:</w:t>
      </w:r>
    </w:p>
    <w:p w14:paraId="06F158C9" w14:textId="77777777" w:rsidR="00B51A43" w:rsidRDefault="00B51A43" w:rsidP="00B51A43">
      <w:pPr>
        <w:pStyle w:val="Content"/>
        <w:numPr>
          <w:ilvl w:val="0"/>
          <w:numId w:val="11"/>
        </w:numPr>
      </w:pPr>
      <w:r>
        <w:lastRenderedPageBreak/>
        <w:t>Estimation accuracy: NPV hinges on determining actual cash flow amounts of future events and appropriate discount rates for those events that are both challenging and error-prone.</w:t>
      </w:r>
    </w:p>
    <w:p w14:paraId="73E7D8E1" w14:textId="77777777" w:rsidR="00B51A43" w:rsidRDefault="00B51A43" w:rsidP="00B51A43">
      <w:pPr>
        <w:pStyle w:val="Content"/>
        <w:numPr>
          <w:ilvl w:val="0"/>
          <w:numId w:val="11"/>
        </w:numPr>
      </w:pPr>
      <w:r>
        <w:t>Sensitivity to assumptions: NPV can be vulnerable if the assumptions of the projections changes, for instance, if the discount rate is or the expected cash flows are altered (</w:t>
      </w:r>
      <w:proofErr w:type="gramStart"/>
      <w:r>
        <w:t>Gotze  et al.</w:t>
      </w:r>
      <w:proofErr w:type="gramEnd"/>
      <w:r>
        <w:t>, 2008).</w:t>
      </w:r>
    </w:p>
    <w:p w14:paraId="207822FB" w14:textId="77777777" w:rsidR="00B51A43" w:rsidRDefault="00B51A43" w:rsidP="00B51A43">
      <w:pPr>
        <w:pStyle w:val="Heading2"/>
      </w:pPr>
      <w:bookmarkStart w:id="10" w:name="_Toc164696623"/>
      <w:r w:rsidRPr="009826C7">
        <w:t>Non-Financial Factors for Management</w:t>
      </w:r>
      <w:bookmarkEnd w:id="10"/>
    </w:p>
    <w:p w14:paraId="3BE2B8BF" w14:textId="77777777" w:rsidR="00B51A43" w:rsidRDefault="00B51A43" w:rsidP="00B51A43">
      <w:pPr>
        <w:pStyle w:val="Content"/>
        <w:numPr>
          <w:ilvl w:val="0"/>
          <w:numId w:val="12"/>
        </w:numPr>
      </w:pPr>
      <w:r>
        <w:t>Strategic alignment: The Project should be in line with the company’s strategic objectives and long-term goals and should also contribute to the organization’s sustainable growth (Johnson et al., 2020).</w:t>
      </w:r>
    </w:p>
    <w:p w14:paraId="03D64EC2" w14:textId="77777777" w:rsidR="00B51A43" w:rsidRDefault="00B51A43" w:rsidP="00B51A43">
      <w:pPr>
        <w:pStyle w:val="Content"/>
        <w:numPr>
          <w:ilvl w:val="0"/>
          <w:numId w:val="12"/>
        </w:numPr>
      </w:pPr>
      <w:r>
        <w:t>Competitive advantage: The project should form part of the competitiveness of the company in the market; through the augmentation of market position, brand equation or customer loyalty (Porter, 1985).</w:t>
      </w:r>
    </w:p>
    <w:p w14:paraId="4F981402" w14:textId="77777777" w:rsidR="00B51A43" w:rsidRDefault="00B51A43" w:rsidP="00B51A43">
      <w:pPr>
        <w:pStyle w:val="Content"/>
        <w:numPr>
          <w:ilvl w:val="0"/>
          <w:numId w:val="12"/>
        </w:numPr>
      </w:pPr>
      <w:r>
        <w:t>Technological feasibility: The organization should establish whether it possesses the required technology abilities and assets capable for thriving the project (Schilling, 2017).</w:t>
      </w:r>
    </w:p>
    <w:p w14:paraId="18447F06" w14:textId="77777777" w:rsidR="00B51A43" w:rsidRDefault="00B51A43" w:rsidP="00B51A43">
      <w:pPr>
        <w:pStyle w:val="Content"/>
        <w:numPr>
          <w:ilvl w:val="0"/>
          <w:numId w:val="12"/>
        </w:numPr>
      </w:pPr>
      <w:r>
        <w:t>Human resources: The business association should look at the inventory and the skills they currently must make decisions on employee training and hiring (Armstrong &amp; Taylor 2014).</w:t>
      </w:r>
    </w:p>
    <w:p w14:paraId="16C9CB0B" w14:textId="77777777" w:rsidR="00B51A43" w:rsidRDefault="00B51A43" w:rsidP="00B51A43">
      <w:pPr>
        <w:pStyle w:val="Content"/>
        <w:numPr>
          <w:ilvl w:val="0"/>
          <w:numId w:val="12"/>
        </w:numPr>
      </w:pPr>
      <w:r>
        <w:t>Environmental and social impact: Besides assessing the environmental and social effects on the part of the organization, these may compromise the reputation and the long-term sustainability of the firm (Crane et al., 2019).</w:t>
      </w:r>
    </w:p>
    <w:p w14:paraId="567F31DF" w14:textId="77777777" w:rsidR="00B51A43" w:rsidRDefault="00B51A43" w:rsidP="00B51A43">
      <w:pPr>
        <w:pStyle w:val="Content"/>
        <w:numPr>
          <w:ilvl w:val="0"/>
          <w:numId w:val="12"/>
        </w:numPr>
      </w:pPr>
      <w:r>
        <w:t>Legal and regulatory compliance: Company has to make sure the project is in line with the applicable laws, regulations and standards to diminish a probability of problems, that may occur due to those reasons (Chaffey &amp; Wood, 2005).</w:t>
      </w:r>
    </w:p>
    <w:p w14:paraId="68A91FC9" w14:textId="77777777" w:rsidR="00B51A43" w:rsidRPr="009826C7" w:rsidRDefault="00B51A43" w:rsidP="00B51A43">
      <w:pPr>
        <w:pStyle w:val="Content"/>
        <w:numPr>
          <w:ilvl w:val="0"/>
          <w:numId w:val="12"/>
        </w:numPr>
      </w:pPr>
      <w:r>
        <w:t xml:space="preserve">Organizational culture: The project has to be aligned with the company culture and </w:t>
      </w:r>
      <w:proofErr w:type="gramStart"/>
      <w:r>
        <w:t>contract,</w:t>
      </w:r>
      <w:proofErr w:type="gramEnd"/>
      <w:r>
        <w:t xml:space="preserve"> therefore it has to fit to implement successfully including team buy-in which will lead to success (Schein, 2010).</w:t>
      </w:r>
    </w:p>
    <w:p w14:paraId="3B3551D0" w14:textId="77777777" w:rsidR="00B51A43" w:rsidRDefault="00B51A43" w:rsidP="00B51A43">
      <w:pPr>
        <w:pStyle w:val="Content"/>
      </w:pPr>
    </w:p>
    <w:p w14:paraId="079072B4" w14:textId="77777777" w:rsidR="00B51A43" w:rsidRDefault="00B51A43" w:rsidP="00B51A43"/>
    <w:p w14:paraId="4B8D2A92" w14:textId="77777777" w:rsidR="00B51A43" w:rsidRDefault="00B51A43" w:rsidP="00B51A43"/>
    <w:p w14:paraId="01A71250" w14:textId="77777777" w:rsidR="00B51A43" w:rsidRDefault="00B51A43" w:rsidP="00B51A43"/>
    <w:p w14:paraId="0176306D" w14:textId="77777777" w:rsidR="00B51A43" w:rsidRDefault="00B51A43" w:rsidP="00B51A43"/>
    <w:p w14:paraId="2E2C8344" w14:textId="77777777" w:rsidR="00B51A43" w:rsidRDefault="00B51A43" w:rsidP="00B51A43"/>
    <w:p w14:paraId="7CB4997B" w14:textId="77777777" w:rsidR="00B51A43" w:rsidRDefault="00B51A43" w:rsidP="00B51A43"/>
    <w:p w14:paraId="37710A11" w14:textId="77777777" w:rsidR="00B51A43" w:rsidRPr="00660D76" w:rsidRDefault="00B51A43" w:rsidP="00B51A43"/>
    <w:p w14:paraId="069C1282" w14:textId="77777777" w:rsidR="00B51A43" w:rsidRDefault="00B51A43" w:rsidP="00B51A43">
      <w:pPr>
        <w:pStyle w:val="Heading1"/>
        <w:rPr>
          <w:noProof/>
        </w:rPr>
      </w:pPr>
      <w:bookmarkStart w:id="11" w:name="_Toc164696624"/>
      <w:r>
        <w:rPr>
          <w:noProof/>
        </w:rPr>
        <w:t>References</w:t>
      </w:r>
      <w:bookmarkEnd w:id="11"/>
    </w:p>
    <w:p w14:paraId="2C7EC105" w14:textId="77777777" w:rsidR="00B51A43" w:rsidRDefault="00B51A43" w:rsidP="00B51A43">
      <w:pPr>
        <w:pStyle w:val="Content"/>
      </w:pPr>
      <w:r w:rsidRPr="00543C6F">
        <w:t>Atrill, P. and McLaney, E.J., 2006. Accounting and Finance for Non-specialists. Pearson Education.</w:t>
      </w:r>
    </w:p>
    <w:p w14:paraId="15BFB4B6" w14:textId="77777777" w:rsidR="00B51A43" w:rsidRDefault="00B51A43" w:rsidP="00B51A43">
      <w:pPr>
        <w:pStyle w:val="Content"/>
      </w:pPr>
      <w:r w:rsidRPr="00D264F0">
        <w:t>Berk, J., DeMarzo, P., Harford, J., Ford, G., Mollica, V. and Finch, N., 2013. Fundamentals of corporate finance. Pearson Higher Education AU.</w:t>
      </w:r>
    </w:p>
    <w:p w14:paraId="76846010" w14:textId="77777777" w:rsidR="00B51A43" w:rsidRDefault="00B51A43" w:rsidP="00B51A43">
      <w:pPr>
        <w:pStyle w:val="Content"/>
      </w:pPr>
      <w:r w:rsidRPr="00D264F0">
        <w:t>Bhimani, A. and Horngren, C.T., 2008. Management and cost accounting (Vol. 1). Pearson Education.</w:t>
      </w:r>
    </w:p>
    <w:p w14:paraId="4F663D9F" w14:textId="77777777" w:rsidR="00B51A43" w:rsidRPr="00543C6F" w:rsidRDefault="00B51A43" w:rsidP="00B51A43">
      <w:pPr>
        <w:pStyle w:val="Content"/>
      </w:pPr>
      <w:r w:rsidRPr="00D264F0">
        <w:t>Brigham, E.F., 2016. Financial management: Theory and practice. Cengage Learning Canada Inc.</w:t>
      </w:r>
    </w:p>
    <w:p w14:paraId="2056E7B0" w14:textId="77777777" w:rsidR="00B51A43" w:rsidRDefault="00B51A43" w:rsidP="00B51A43">
      <w:pPr>
        <w:pStyle w:val="Bibliography"/>
        <w:spacing w:line="360" w:lineRule="auto"/>
        <w:rPr>
          <w:rFonts w:ascii="Times New Roman" w:hAnsi="Times New Roman" w:cs="Times New Roman"/>
          <w:noProof/>
          <w:sz w:val="24"/>
          <w:szCs w:val="24"/>
        </w:rPr>
      </w:pPr>
      <w:r w:rsidRPr="003216C3">
        <w:rPr>
          <w:rFonts w:ascii="Times New Roman" w:hAnsi="Times New Roman" w:cs="Times New Roman"/>
          <w:noProof/>
          <w:sz w:val="24"/>
          <w:szCs w:val="24"/>
        </w:rPr>
        <w:t>Capri Holdings Limited</w:t>
      </w:r>
      <w:r w:rsidRPr="00EE1051">
        <w:rPr>
          <w:rFonts w:ascii="Times New Roman" w:hAnsi="Times New Roman" w:cs="Times New Roman"/>
          <w:noProof/>
          <w:sz w:val="24"/>
          <w:szCs w:val="24"/>
        </w:rPr>
        <w:t>, 20</w:t>
      </w:r>
      <w:r>
        <w:rPr>
          <w:rFonts w:ascii="Times New Roman" w:hAnsi="Times New Roman" w:cs="Times New Roman"/>
          <w:noProof/>
          <w:sz w:val="24"/>
          <w:szCs w:val="24"/>
        </w:rPr>
        <w:t>21</w:t>
      </w:r>
      <w:r w:rsidRPr="00EE1051">
        <w:rPr>
          <w:rFonts w:ascii="Times New Roman" w:hAnsi="Times New Roman" w:cs="Times New Roman"/>
          <w:noProof/>
          <w:sz w:val="24"/>
          <w:szCs w:val="24"/>
        </w:rPr>
        <w:t xml:space="preserve">. </w:t>
      </w:r>
      <w:r>
        <w:rPr>
          <w:rFonts w:ascii="Times New Roman" w:hAnsi="Times New Roman" w:cs="Times New Roman"/>
          <w:i/>
          <w:iCs/>
          <w:noProof/>
          <w:sz w:val="24"/>
          <w:szCs w:val="24"/>
        </w:rPr>
        <w:t>About</w:t>
      </w:r>
      <w:r w:rsidRPr="00EE1051">
        <w:rPr>
          <w:rFonts w:ascii="Times New Roman" w:hAnsi="Times New Roman" w:cs="Times New Roman"/>
          <w:i/>
          <w:iCs/>
          <w:noProof/>
          <w:sz w:val="24"/>
          <w:szCs w:val="24"/>
        </w:rPr>
        <w:t xml:space="preserve">. </w:t>
      </w:r>
      <w:r w:rsidRPr="00EE1051">
        <w:rPr>
          <w:rFonts w:ascii="Times New Roman" w:hAnsi="Times New Roman" w:cs="Times New Roman"/>
          <w:noProof/>
          <w:sz w:val="24"/>
          <w:szCs w:val="24"/>
        </w:rPr>
        <w:t xml:space="preserve">[Online] </w:t>
      </w:r>
      <w:r w:rsidRPr="00EE1051">
        <w:rPr>
          <w:rFonts w:ascii="Times New Roman" w:hAnsi="Times New Roman" w:cs="Times New Roman"/>
          <w:noProof/>
          <w:sz w:val="24"/>
          <w:szCs w:val="24"/>
        </w:rPr>
        <w:br/>
        <w:t xml:space="preserve">Available at: </w:t>
      </w:r>
      <w:r w:rsidRPr="003216C3">
        <w:rPr>
          <w:rFonts w:ascii="Times New Roman" w:hAnsi="Times New Roman" w:cs="Times New Roman"/>
          <w:noProof/>
          <w:sz w:val="24"/>
          <w:szCs w:val="24"/>
          <w:u w:val="single"/>
        </w:rPr>
        <w:t>https://www.capriholdings.com/news-releases/news-releases-details/2024/Capri-Holdings-Limited-Announces-Third-Quarter-Fiscal-2024-Results/default.aspx#:~:text=About%20Capri%20Holdings%20Limited,each%20of%20our%20luxury%20brands.</w:t>
      </w:r>
      <w:r w:rsidRPr="00EE1051">
        <w:rPr>
          <w:rFonts w:ascii="Times New Roman" w:hAnsi="Times New Roman" w:cs="Times New Roman"/>
          <w:noProof/>
          <w:sz w:val="24"/>
          <w:szCs w:val="24"/>
        </w:rPr>
        <w:br/>
        <w:t xml:space="preserve">[Accessed </w:t>
      </w:r>
      <w:r>
        <w:rPr>
          <w:rFonts w:ascii="Times New Roman" w:hAnsi="Times New Roman" w:cs="Times New Roman"/>
          <w:noProof/>
          <w:sz w:val="24"/>
          <w:szCs w:val="24"/>
        </w:rPr>
        <w:t>25</w:t>
      </w:r>
      <w:r w:rsidRPr="00EE1051">
        <w:rPr>
          <w:rFonts w:ascii="Times New Roman" w:hAnsi="Times New Roman" w:cs="Times New Roman"/>
          <w:noProof/>
          <w:sz w:val="24"/>
          <w:szCs w:val="24"/>
        </w:rPr>
        <w:t xml:space="preserve"> March 2024].</w:t>
      </w:r>
    </w:p>
    <w:p w14:paraId="41030622" w14:textId="77777777" w:rsidR="00B51A43" w:rsidRPr="004630B9" w:rsidRDefault="00B51A43" w:rsidP="00B51A43">
      <w:pPr>
        <w:pStyle w:val="Bibliography"/>
        <w:spacing w:line="360" w:lineRule="auto"/>
        <w:rPr>
          <w:rFonts w:ascii="Times New Roman" w:hAnsi="Times New Roman" w:cs="Times New Roman"/>
          <w:noProof/>
          <w:sz w:val="24"/>
          <w:szCs w:val="24"/>
        </w:rPr>
      </w:pPr>
      <w:r w:rsidRPr="003216C3">
        <w:rPr>
          <w:rFonts w:ascii="Times New Roman" w:hAnsi="Times New Roman" w:cs="Times New Roman"/>
          <w:noProof/>
          <w:sz w:val="24"/>
          <w:szCs w:val="24"/>
        </w:rPr>
        <w:t>Capri Holdings Limited</w:t>
      </w:r>
      <w:r w:rsidRPr="00EE1051">
        <w:rPr>
          <w:rFonts w:ascii="Times New Roman" w:hAnsi="Times New Roman" w:cs="Times New Roman"/>
          <w:noProof/>
          <w:sz w:val="24"/>
          <w:szCs w:val="24"/>
        </w:rPr>
        <w:t>, 20</w:t>
      </w:r>
      <w:r>
        <w:rPr>
          <w:rFonts w:ascii="Times New Roman" w:hAnsi="Times New Roman" w:cs="Times New Roman"/>
          <w:noProof/>
          <w:sz w:val="24"/>
          <w:szCs w:val="24"/>
        </w:rPr>
        <w:t>23</w:t>
      </w:r>
      <w:r w:rsidRPr="00EE1051">
        <w:rPr>
          <w:rFonts w:ascii="Times New Roman" w:hAnsi="Times New Roman" w:cs="Times New Roman"/>
          <w:noProof/>
          <w:sz w:val="24"/>
          <w:szCs w:val="24"/>
        </w:rPr>
        <w:t xml:space="preserve">. </w:t>
      </w:r>
      <w:r>
        <w:rPr>
          <w:rFonts w:ascii="Times New Roman" w:hAnsi="Times New Roman" w:cs="Times New Roman"/>
          <w:i/>
          <w:iCs/>
          <w:noProof/>
          <w:sz w:val="24"/>
          <w:szCs w:val="24"/>
        </w:rPr>
        <w:t>Annual Reports</w:t>
      </w:r>
      <w:r w:rsidRPr="00EE1051">
        <w:rPr>
          <w:rFonts w:ascii="Times New Roman" w:hAnsi="Times New Roman" w:cs="Times New Roman"/>
          <w:i/>
          <w:iCs/>
          <w:noProof/>
          <w:sz w:val="24"/>
          <w:szCs w:val="24"/>
        </w:rPr>
        <w:t xml:space="preserve">. </w:t>
      </w:r>
      <w:r w:rsidRPr="00EE1051">
        <w:rPr>
          <w:rFonts w:ascii="Times New Roman" w:hAnsi="Times New Roman" w:cs="Times New Roman"/>
          <w:noProof/>
          <w:sz w:val="24"/>
          <w:szCs w:val="24"/>
        </w:rPr>
        <w:t xml:space="preserve">[Online] </w:t>
      </w:r>
      <w:r w:rsidRPr="00EE1051">
        <w:rPr>
          <w:rFonts w:ascii="Times New Roman" w:hAnsi="Times New Roman" w:cs="Times New Roman"/>
          <w:noProof/>
          <w:sz w:val="24"/>
          <w:szCs w:val="24"/>
        </w:rPr>
        <w:br/>
        <w:t xml:space="preserve">Available at: </w:t>
      </w:r>
      <w:r w:rsidRPr="004630B9">
        <w:rPr>
          <w:rFonts w:ascii="Times New Roman" w:hAnsi="Times New Roman" w:cs="Times New Roman"/>
          <w:noProof/>
          <w:sz w:val="24"/>
          <w:szCs w:val="24"/>
          <w:u w:val="single"/>
        </w:rPr>
        <w:t>https://www.capriholdings.com/financials/annual-reports/default.aspx</w:t>
      </w:r>
      <w:r w:rsidRPr="00EE1051">
        <w:rPr>
          <w:rFonts w:ascii="Times New Roman" w:hAnsi="Times New Roman" w:cs="Times New Roman"/>
          <w:noProof/>
          <w:sz w:val="24"/>
          <w:szCs w:val="24"/>
        </w:rPr>
        <w:br/>
        <w:t xml:space="preserve">[Accessed </w:t>
      </w:r>
      <w:r>
        <w:rPr>
          <w:rFonts w:ascii="Times New Roman" w:hAnsi="Times New Roman" w:cs="Times New Roman"/>
          <w:noProof/>
          <w:sz w:val="24"/>
          <w:szCs w:val="24"/>
        </w:rPr>
        <w:t>25</w:t>
      </w:r>
      <w:r w:rsidRPr="00EE1051">
        <w:rPr>
          <w:rFonts w:ascii="Times New Roman" w:hAnsi="Times New Roman" w:cs="Times New Roman"/>
          <w:noProof/>
          <w:sz w:val="24"/>
          <w:szCs w:val="24"/>
        </w:rPr>
        <w:t xml:space="preserve"> March 2024].</w:t>
      </w:r>
    </w:p>
    <w:p w14:paraId="2C0F0CDC" w14:textId="77777777" w:rsidR="00B51A43"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Capri Holdings Limited, 2022. Capri Holdings Appoints Cedric Wilmotte CEO of Michael Kors. [Online] </w:t>
      </w:r>
    </w:p>
    <w:p w14:paraId="586D2AD6"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noProof/>
          <w:sz w:val="24"/>
          <w:szCs w:val="24"/>
        </w:rPr>
        <w:lastRenderedPageBreak/>
        <w:t xml:space="preserve">Available at: </w:t>
      </w:r>
      <w:r w:rsidRPr="00724109">
        <w:rPr>
          <w:rFonts w:ascii="Times New Roman" w:hAnsi="Times New Roman" w:cs="Times New Roman"/>
          <w:noProof/>
          <w:sz w:val="24"/>
          <w:szCs w:val="24"/>
          <w:u w:val="single"/>
        </w:rPr>
        <w:t>https://www.capriholdings.com/news-releases/news-releases-details/2023/Capri-Holdings-Appoints-Cedric-Wilmotte-CEO-of-Michael-Kors/default.aspx</w:t>
      </w:r>
      <w:r w:rsidRPr="00724109">
        <w:rPr>
          <w:rFonts w:ascii="Times New Roman" w:hAnsi="Times New Roman" w:cs="Times New Roman"/>
          <w:noProof/>
          <w:sz w:val="24"/>
          <w:szCs w:val="24"/>
        </w:rPr>
        <w:br/>
        <w:t>[Accessed 25 March 2024].</w:t>
      </w:r>
    </w:p>
    <w:p w14:paraId="6F11488E"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Capri Holdings Limited, 2023. Capri Holdings Limited Announces Third Quarter Fiscal 2023 Results. [Online] </w:t>
      </w:r>
    </w:p>
    <w:p w14:paraId="0519503F" w14:textId="77777777" w:rsidR="00B51A43" w:rsidRPr="00DF5B4A" w:rsidRDefault="00B51A43" w:rsidP="00B51A43">
      <w:pPr>
        <w:spacing w:line="360" w:lineRule="auto"/>
        <w:rPr>
          <w:rFonts w:ascii="Times New Roman" w:hAnsi="Times New Roman" w:cs="Times New Roman"/>
          <w:sz w:val="24"/>
          <w:szCs w:val="24"/>
          <w:u w:val="single"/>
        </w:rPr>
      </w:pPr>
      <w:r w:rsidRPr="00724109">
        <w:rPr>
          <w:rFonts w:ascii="Times New Roman" w:hAnsi="Times New Roman" w:cs="Times New Roman"/>
          <w:sz w:val="24"/>
          <w:szCs w:val="24"/>
        </w:rPr>
        <w:t xml:space="preserve">Available at: </w:t>
      </w:r>
      <w:r w:rsidRPr="00DF5B4A">
        <w:rPr>
          <w:rFonts w:ascii="Times New Roman" w:hAnsi="Times New Roman" w:cs="Times New Roman"/>
          <w:sz w:val="24"/>
          <w:szCs w:val="24"/>
          <w:u w:val="single"/>
        </w:rPr>
        <w:t>https://www.capriholdings.com/news-releases/news-releases-details/2024/Capri-Holdings-Limited-Announces-Third-Quarter-Fiscal-2024-Results/default.aspx</w:t>
      </w:r>
    </w:p>
    <w:p w14:paraId="372840A7"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[Accessed 24 March 2024].</w:t>
      </w:r>
    </w:p>
    <w:p w14:paraId="1E451040"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Capri Holdings Limted, 2020. Capri Holdings Limited provides COVID-19 global business update. [Online] </w:t>
      </w:r>
    </w:p>
    <w:p w14:paraId="5A8D28F6"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Available at: </w:t>
      </w:r>
      <w:r w:rsidRPr="00DF5B4A">
        <w:rPr>
          <w:rFonts w:ascii="Times New Roman" w:hAnsi="Times New Roman" w:cs="Times New Roman"/>
          <w:sz w:val="24"/>
          <w:szCs w:val="24"/>
          <w:u w:val="single"/>
        </w:rPr>
        <w:t>https://www.capriholdings.com/news-releases/news-releases-details/2020/Capri-Holdings-Limited-Provides-COVID-19-Related-Business-Update/default.aspx</w:t>
      </w:r>
    </w:p>
    <w:p w14:paraId="74694AAB" w14:textId="77777777" w:rsidR="00B51A43"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[Accessed </w:t>
      </w:r>
      <w:r>
        <w:rPr>
          <w:rFonts w:ascii="Times New Roman" w:hAnsi="Times New Roman" w:cs="Times New Roman"/>
          <w:sz w:val="24"/>
          <w:szCs w:val="24"/>
        </w:rPr>
        <w:t>06</w:t>
      </w:r>
      <w:r w:rsidRPr="00724109">
        <w:rPr>
          <w:rFonts w:ascii="Times New Roman" w:hAnsi="Times New Roman" w:cs="Times New Roman"/>
          <w:sz w:val="24"/>
          <w:szCs w:val="24"/>
        </w:rPr>
        <w:t xml:space="preserve"> </w:t>
      </w:r>
      <w:r>
        <w:rPr>
          <w:rFonts w:ascii="Times New Roman" w:hAnsi="Times New Roman" w:cs="Times New Roman"/>
          <w:sz w:val="24"/>
          <w:szCs w:val="24"/>
        </w:rPr>
        <w:t>April</w:t>
      </w:r>
      <w:r w:rsidRPr="00724109">
        <w:rPr>
          <w:rFonts w:ascii="Times New Roman" w:hAnsi="Times New Roman" w:cs="Times New Roman"/>
          <w:sz w:val="24"/>
          <w:szCs w:val="24"/>
        </w:rPr>
        <w:t xml:space="preserve"> 2024].</w:t>
      </w:r>
    </w:p>
    <w:p w14:paraId="06627225" w14:textId="77777777" w:rsidR="00B51A43" w:rsidRDefault="00B51A43" w:rsidP="00B51A43">
      <w:pPr>
        <w:spacing w:line="360" w:lineRule="auto"/>
        <w:rPr>
          <w:rFonts w:ascii="Times New Roman" w:hAnsi="Times New Roman" w:cs="Times New Roman"/>
          <w:sz w:val="24"/>
          <w:szCs w:val="24"/>
        </w:rPr>
      </w:pPr>
      <w:r w:rsidRPr="00D264F0">
        <w:rPr>
          <w:rFonts w:ascii="Times New Roman" w:hAnsi="Times New Roman" w:cs="Times New Roman"/>
          <w:sz w:val="24"/>
          <w:szCs w:val="24"/>
        </w:rPr>
        <w:t>Chaffey, D. and Wood, S., 2005. Business information management: Improving performance using information systems (p. 662). Harlow: Financial Times Prentice Hall.</w:t>
      </w:r>
    </w:p>
    <w:p w14:paraId="09C197D6" w14:textId="77777777" w:rsidR="00B51A43" w:rsidRDefault="00B51A43" w:rsidP="00B51A43">
      <w:pPr>
        <w:spacing w:line="360" w:lineRule="auto"/>
        <w:rPr>
          <w:rFonts w:ascii="Times New Roman" w:hAnsi="Times New Roman" w:cs="Times New Roman"/>
          <w:sz w:val="24"/>
          <w:szCs w:val="24"/>
        </w:rPr>
      </w:pPr>
      <w:r w:rsidRPr="00D264F0">
        <w:rPr>
          <w:rFonts w:ascii="Times New Roman" w:hAnsi="Times New Roman" w:cs="Times New Roman"/>
          <w:sz w:val="24"/>
          <w:szCs w:val="24"/>
        </w:rPr>
        <w:t>Crane, A., Matten, D., Glozer, S. and Spence, L.J., 2019. Business ethics: Managing corporate citizenship and sustainability in the age of globalization. Oxford University Press, USA.</w:t>
      </w:r>
    </w:p>
    <w:p w14:paraId="62EAAE87" w14:textId="77777777" w:rsidR="00B51A43" w:rsidRDefault="00B51A43" w:rsidP="00B51A43">
      <w:pPr>
        <w:pStyle w:val="Bibliography"/>
        <w:spacing w:line="360" w:lineRule="auto"/>
        <w:rPr>
          <w:rFonts w:ascii="Times New Roman" w:hAnsi="Times New Roman" w:cs="Times New Roman"/>
          <w:noProof/>
          <w:sz w:val="24"/>
          <w:szCs w:val="24"/>
        </w:rPr>
      </w:pPr>
      <w:r>
        <w:rPr>
          <w:rFonts w:ascii="Times New Roman" w:hAnsi="Times New Roman" w:cs="Times New Roman"/>
          <w:noProof/>
          <w:sz w:val="24"/>
          <w:szCs w:val="24"/>
        </w:rPr>
        <w:t>CSIMarket</w:t>
      </w:r>
      <w:r w:rsidRPr="00EE1051">
        <w:rPr>
          <w:rFonts w:ascii="Times New Roman" w:hAnsi="Times New Roman" w:cs="Times New Roman"/>
          <w:noProof/>
          <w:sz w:val="24"/>
          <w:szCs w:val="24"/>
        </w:rPr>
        <w:t>, 20</w:t>
      </w:r>
      <w:r>
        <w:rPr>
          <w:rFonts w:ascii="Times New Roman" w:hAnsi="Times New Roman" w:cs="Times New Roman"/>
          <w:noProof/>
          <w:sz w:val="24"/>
          <w:szCs w:val="24"/>
        </w:rPr>
        <w:t>23</w:t>
      </w:r>
      <w:r w:rsidRPr="00EE1051">
        <w:rPr>
          <w:rFonts w:ascii="Times New Roman" w:hAnsi="Times New Roman" w:cs="Times New Roman"/>
          <w:noProof/>
          <w:sz w:val="24"/>
          <w:szCs w:val="24"/>
        </w:rPr>
        <w:t xml:space="preserve">. </w:t>
      </w:r>
      <w:r w:rsidRPr="00D264F0">
        <w:rPr>
          <w:rFonts w:ascii="Times New Roman" w:hAnsi="Times New Roman" w:cs="Times New Roman"/>
          <w:i/>
          <w:iCs/>
          <w:noProof/>
          <w:sz w:val="24"/>
          <w:szCs w:val="24"/>
        </w:rPr>
        <w:t>Price To Earnings Ratio for Retail Apparel Industry</w:t>
      </w:r>
      <w:r w:rsidRPr="00EE1051">
        <w:rPr>
          <w:rFonts w:ascii="Times New Roman" w:hAnsi="Times New Roman" w:cs="Times New Roman"/>
          <w:i/>
          <w:iCs/>
          <w:noProof/>
          <w:sz w:val="24"/>
          <w:szCs w:val="24"/>
        </w:rPr>
        <w:t xml:space="preserve">. </w:t>
      </w:r>
      <w:r w:rsidRPr="00EE1051">
        <w:rPr>
          <w:rFonts w:ascii="Times New Roman" w:hAnsi="Times New Roman" w:cs="Times New Roman"/>
          <w:noProof/>
          <w:sz w:val="24"/>
          <w:szCs w:val="24"/>
        </w:rPr>
        <w:t xml:space="preserve">[Online] </w:t>
      </w:r>
      <w:r w:rsidRPr="00EE1051">
        <w:rPr>
          <w:rFonts w:ascii="Times New Roman" w:hAnsi="Times New Roman" w:cs="Times New Roman"/>
          <w:noProof/>
          <w:sz w:val="24"/>
          <w:szCs w:val="24"/>
        </w:rPr>
        <w:br/>
        <w:t>Available at:</w:t>
      </w:r>
      <w:r>
        <w:rPr>
          <w:rFonts w:ascii="Times New Roman" w:hAnsi="Times New Roman" w:cs="Times New Roman"/>
          <w:noProof/>
          <w:sz w:val="24"/>
          <w:szCs w:val="24"/>
        </w:rPr>
        <w:t xml:space="preserve"> </w:t>
      </w:r>
      <w:r w:rsidRPr="00D264F0">
        <w:rPr>
          <w:rFonts w:ascii="Times New Roman" w:hAnsi="Times New Roman" w:cs="Times New Roman"/>
          <w:noProof/>
          <w:sz w:val="24"/>
          <w:szCs w:val="24"/>
          <w:u w:val="single"/>
        </w:rPr>
        <w:t>https://csimarket.com/Industry/industry_valuation_ttm.php?pe&amp;ind=1301#:~:text=Retail%20Apparel%20Industry's%20current%20Price,to%20earnings%20ratio%20in%20the</w:t>
      </w:r>
      <w:r w:rsidRPr="00EE1051">
        <w:rPr>
          <w:rFonts w:ascii="Times New Roman" w:hAnsi="Times New Roman" w:cs="Times New Roman"/>
          <w:noProof/>
          <w:sz w:val="24"/>
          <w:szCs w:val="24"/>
        </w:rPr>
        <w:br/>
        <w:t xml:space="preserve">[Accessed </w:t>
      </w:r>
      <w:r>
        <w:rPr>
          <w:rFonts w:ascii="Times New Roman" w:hAnsi="Times New Roman" w:cs="Times New Roman"/>
          <w:noProof/>
          <w:sz w:val="24"/>
          <w:szCs w:val="24"/>
        </w:rPr>
        <w:t>15 April</w:t>
      </w:r>
      <w:r w:rsidRPr="00EE1051">
        <w:rPr>
          <w:rFonts w:ascii="Times New Roman" w:hAnsi="Times New Roman" w:cs="Times New Roman"/>
          <w:noProof/>
          <w:sz w:val="24"/>
          <w:szCs w:val="24"/>
        </w:rPr>
        <w:t xml:space="preserve"> 2024].</w:t>
      </w:r>
    </w:p>
    <w:p w14:paraId="60365D50" w14:textId="77777777" w:rsidR="00B51A43" w:rsidRPr="00A66C79" w:rsidRDefault="00B51A43" w:rsidP="00B51A43"/>
    <w:p w14:paraId="20A6B1F6"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Deloitte, 2023. Global Powers of Luxury Goods 2023. [Online] </w:t>
      </w:r>
    </w:p>
    <w:p w14:paraId="3605F36C"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Available at: </w:t>
      </w:r>
      <w:r w:rsidRPr="00DF5B4A">
        <w:rPr>
          <w:rFonts w:ascii="Times New Roman" w:hAnsi="Times New Roman" w:cs="Times New Roman"/>
          <w:sz w:val="24"/>
          <w:szCs w:val="24"/>
          <w:u w:val="single"/>
        </w:rPr>
        <w:t>https://www.deloitte.com/global/en/Industries/consumer/analysis/gx-cb-global-powers-of-luxury-goods.html</w:t>
      </w:r>
    </w:p>
    <w:p w14:paraId="1D5853E6" w14:textId="77777777" w:rsidR="00B51A43"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[Accessed 25 March 2024].</w:t>
      </w:r>
    </w:p>
    <w:p w14:paraId="609753FA" w14:textId="77777777" w:rsidR="00B51A43" w:rsidRPr="00724109" w:rsidRDefault="00B51A43" w:rsidP="00B51A43">
      <w:pPr>
        <w:spacing w:line="360" w:lineRule="auto"/>
        <w:rPr>
          <w:rFonts w:ascii="Times New Roman" w:hAnsi="Times New Roman" w:cs="Times New Roman"/>
          <w:sz w:val="24"/>
          <w:szCs w:val="24"/>
        </w:rPr>
      </w:pPr>
      <w:r w:rsidRPr="00A66C79">
        <w:rPr>
          <w:rFonts w:ascii="Times New Roman" w:hAnsi="Times New Roman" w:cs="Times New Roman"/>
          <w:sz w:val="24"/>
          <w:szCs w:val="24"/>
        </w:rPr>
        <w:lastRenderedPageBreak/>
        <w:t>Drury, C.M., 2013. Management and cost accounting. Springer.</w:t>
      </w:r>
    </w:p>
    <w:p w14:paraId="287D8B38"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Fashion Network, 2022. Versace to design Lamborghini bags, interiors. [Online] </w:t>
      </w:r>
    </w:p>
    <w:p w14:paraId="73529E4F" w14:textId="77777777" w:rsidR="00B51A43" w:rsidRPr="00DF5B4A" w:rsidRDefault="00B51A43" w:rsidP="00B51A43">
      <w:pPr>
        <w:spacing w:line="360" w:lineRule="auto"/>
        <w:rPr>
          <w:rFonts w:ascii="Times New Roman" w:hAnsi="Times New Roman" w:cs="Times New Roman"/>
          <w:sz w:val="24"/>
          <w:szCs w:val="24"/>
          <w:u w:val="single"/>
        </w:rPr>
      </w:pPr>
      <w:r w:rsidRPr="00724109">
        <w:rPr>
          <w:rFonts w:ascii="Times New Roman" w:hAnsi="Times New Roman" w:cs="Times New Roman"/>
          <w:sz w:val="24"/>
          <w:szCs w:val="24"/>
        </w:rPr>
        <w:t xml:space="preserve">Available at: </w:t>
      </w:r>
      <w:r w:rsidRPr="00DF5B4A">
        <w:rPr>
          <w:rFonts w:ascii="Times New Roman" w:hAnsi="Times New Roman" w:cs="Times New Roman"/>
          <w:sz w:val="24"/>
          <w:szCs w:val="24"/>
          <w:u w:val="single"/>
        </w:rPr>
        <w:t>https://uk.fashionnetwork.com/news/versace-to-design-lamborghini-bags-interiors,492794.html</w:t>
      </w:r>
    </w:p>
    <w:p w14:paraId="43903B07" w14:textId="77777777" w:rsidR="00B51A43"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[Accessed 25 March 2024].</w:t>
      </w:r>
    </w:p>
    <w:p w14:paraId="0F355EFA" w14:textId="77777777" w:rsidR="00B51A43" w:rsidRPr="00724109" w:rsidRDefault="00B51A43" w:rsidP="00B51A43">
      <w:pPr>
        <w:spacing w:line="360" w:lineRule="auto"/>
        <w:rPr>
          <w:rFonts w:ascii="Times New Roman" w:hAnsi="Times New Roman" w:cs="Times New Roman"/>
          <w:sz w:val="24"/>
          <w:szCs w:val="24"/>
        </w:rPr>
      </w:pPr>
      <w:r w:rsidRPr="00A66C79">
        <w:rPr>
          <w:rFonts w:ascii="Times New Roman" w:hAnsi="Times New Roman" w:cs="Times New Roman"/>
          <w:sz w:val="24"/>
          <w:szCs w:val="24"/>
        </w:rPr>
        <w:t>Fairfield, P.M. and Yohn, T.L., 2001. Using asset turnover and profit margin to forecast changes in profitability. Review of accounting Studies, 6, pp.371-385.</w:t>
      </w:r>
    </w:p>
    <w:p w14:paraId="0D8951B9"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Forbes, 2018. Michael Kors Announces Acquisition </w:t>
      </w:r>
      <w:proofErr w:type="gramStart"/>
      <w:r w:rsidRPr="00724109">
        <w:rPr>
          <w:rFonts w:ascii="Times New Roman" w:hAnsi="Times New Roman" w:cs="Times New Roman"/>
          <w:sz w:val="24"/>
          <w:szCs w:val="24"/>
        </w:rPr>
        <w:t>Of</w:t>
      </w:r>
      <w:proofErr w:type="gramEnd"/>
      <w:r w:rsidRPr="00724109">
        <w:rPr>
          <w:rFonts w:ascii="Times New Roman" w:hAnsi="Times New Roman" w:cs="Times New Roman"/>
          <w:sz w:val="24"/>
          <w:szCs w:val="24"/>
        </w:rPr>
        <w:t xml:space="preserve"> Versace For $2.1 Billion. [Online] </w:t>
      </w:r>
    </w:p>
    <w:p w14:paraId="6810E2D2" w14:textId="77777777" w:rsidR="00B51A43" w:rsidRPr="00DF5B4A" w:rsidRDefault="00B51A43" w:rsidP="00B51A43">
      <w:pPr>
        <w:spacing w:line="360" w:lineRule="auto"/>
        <w:rPr>
          <w:rFonts w:ascii="Times New Roman" w:hAnsi="Times New Roman" w:cs="Times New Roman"/>
          <w:sz w:val="24"/>
          <w:szCs w:val="24"/>
          <w:u w:val="single"/>
        </w:rPr>
      </w:pPr>
      <w:r w:rsidRPr="00724109">
        <w:rPr>
          <w:rFonts w:ascii="Times New Roman" w:hAnsi="Times New Roman" w:cs="Times New Roman"/>
          <w:sz w:val="24"/>
          <w:szCs w:val="24"/>
        </w:rPr>
        <w:t xml:space="preserve">Available at: </w:t>
      </w:r>
      <w:r w:rsidRPr="00DF5B4A">
        <w:rPr>
          <w:rFonts w:ascii="Times New Roman" w:hAnsi="Times New Roman" w:cs="Times New Roman"/>
          <w:sz w:val="24"/>
          <w:szCs w:val="24"/>
          <w:u w:val="single"/>
        </w:rPr>
        <w:t>https://www.forbes.com/sites/marioabad/2018/09/24/michael-kors-versace/</w:t>
      </w:r>
    </w:p>
    <w:p w14:paraId="6ADA9077" w14:textId="77777777" w:rsidR="00B51A43"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[Accessed 25 March 2024].</w:t>
      </w:r>
    </w:p>
    <w:p w14:paraId="5DE520F0" w14:textId="77777777" w:rsidR="00B51A43" w:rsidRDefault="00B51A43" w:rsidP="00B51A43">
      <w:pPr>
        <w:spacing w:line="360" w:lineRule="auto"/>
        <w:rPr>
          <w:rFonts w:ascii="Times New Roman" w:hAnsi="Times New Roman" w:cs="Times New Roman"/>
          <w:sz w:val="24"/>
          <w:szCs w:val="24"/>
        </w:rPr>
      </w:pPr>
      <w:r w:rsidRPr="00A66C79">
        <w:rPr>
          <w:rFonts w:ascii="Times New Roman" w:hAnsi="Times New Roman" w:cs="Times New Roman"/>
          <w:sz w:val="24"/>
          <w:szCs w:val="24"/>
        </w:rPr>
        <w:t>Gitman, L.J., Juchau, R. and Flanagan, J., 2015. Principles of managerial finance. Pearson Higher Education AU.</w:t>
      </w:r>
    </w:p>
    <w:p w14:paraId="3A2D6CD5" w14:textId="77777777" w:rsidR="00B51A43" w:rsidRPr="00724109" w:rsidRDefault="00B51A43" w:rsidP="00B51A43">
      <w:pPr>
        <w:spacing w:line="360" w:lineRule="auto"/>
        <w:rPr>
          <w:rFonts w:ascii="Times New Roman" w:hAnsi="Times New Roman" w:cs="Times New Roman"/>
          <w:sz w:val="24"/>
          <w:szCs w:val="24"/>
        </w:rPr>
      </w:pPr>
      <w:r w:rsidRPr="00A66C79">
        <w:rPr>
          <w:rFonts w:ascii="Times New Roman" w:hAnsi="Times New Roman" w:cs="Times New Roman"/>
          <w:sz w:val="24"/>
          <w:szCs w:val="24"/>
        </w:rPr>
        <w:t>Götze, U., Northcott, D. and Schuster, P., 2008. Investment appraisal. Methods and models, 2.</w:t>
      </w:r>
    </w:p>
    <w:p w14:paraId="7BB4F274"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Jimmy choo, 2023. Sustainability. [Online] </w:t>
      </w:r>
    </w:p>
    <w:p w14:paraId="67C64C7E"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Available at: </w:t>
      </w:r>
      <w:r w:rsidRPr="00DF5B4A">
        <w:rPr>
          <w:rFonts w:ascii="Times New Roman" w:hAnsi="Times New Roman" w:cs="Times New Roman"/>
          <w:sz w:val="24"/>
          <w:szCs w:val="24"/>
          <w:u w:val="single"/>
        </w:rPr>
        <w:t>https://www.jimmychoo.com/en/eco-feature-products.html</w:t>
      </w:r>
    </w:p>
    <w:p w14:paraId="3D715D75" w14:textId="77777777" w:rsidR="00B51A43"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[Accessed 25 March 2024].</w:t>
      </w:r>
    </w:p>
    <w:p w14:paraId="411B299F" w14:textId="77777777" w:rsidR="00B51A43" w:rsidRDefault="00B51A43" w:rsidP="00B51A43">
      <w:pPr>
        <w:spacing w:line="360" w:lineRule="auto"/>
        <w:rPr>
          <w:rFonts w:ascii="Times New Roman" w:hAnsi="Times New Roman" w:cs="Times New Roman"/>
          <w:sz w:val="24"/>
          <w:szCs w:val="24"/>
        </w:rPr>
      </w:pPr>
      <w:r w:rsidRPr="00A66C79">
        <w:rPr>
          <w:rFonts w:ascii="Times New Roman" w:hAnsi="Times New Roman" w:cs="Times New Roman"/>
          <w:sz w:val="24"/>
          <w:szCs w:val="24"/>
        </w:rPr>
        <w:t>Johnson, J., Whittington, R., Regnér, P., Angwin, D., Johnson, G. and Scholes, K., 2020. Exploring strategy. Pearson UK.</w:t>
      </w:r>
    </w:p>
    <w:p w14:paraId="4A18839D" w14:textId="77777777" w:rsidR="00B51A43" w:rsidRPr="00724109" w:rsidRDefault="00B51A43" w:rsidP="00B51A43">
      <w:pPr>
        <w:spacing w:line="360" w:lineRule="auto"/>
        <w:rPr>
          <w:rFonts w:ascii="Times New Roman" w:hAnsi="Times New Roman" w:cs="Times New Roman"/>
          <w:sz w:val="24"/>
          <w:szCs w:val="24"/>
        </w:rPr>
      </w:pPr>
      <w:r>
        <w:rPr>
          <w:rFonts w:ascii="Times New Roman" w:hAnsi="Times New Roman" w:cs="Times New Roman"/>
          <w:sz w:val="24"/>
          <w:szCs w:val="24"/>
        </w:rPr>
        <w:t>LVMH</w:t>
      </w:r>
      <w:r w:rsidRPr="00724109">
        <w:rPr>
          <w:rFonts w:ascii="Times New Roman" w:hAnsi="Times New Roman" w:cs="Times New Roman"/>
          <w:sz w:val="24"/>
          <w:szCs w:val="24"/>
        </w:rPr>
        <w:t>, 202</w:t>
      </w:r>
      <w:r>
        <w:rPr>
          <w:rFonts w:ascii="Times New Roman" w:hAnsi="Times New Roman" w:cs="Times New Roman"/>
          <w:sz w:val="24"/>
          <w:szCs w:val="24"/>
        </w:rPr>
        <w:t>3</w:t>
      </w:r>
      <w:r w:rsidRPr="00724109">
        <w:rPr>
          <w:rFonts w:ascii="Times New Roman" w:hAnsi="Times New Roman" w:cs="Times New Roman"/>
          <w:sz w:val="24"/>
          <w:szCs w:val="24"/>
        </w:rPr>
        <w:t xml:space="preserve">. </w:t>
      </w:r>
      <w:r w:rsidRPr="00DF5B4A">
        <w:rPr>
          <w:rFonts w:ascii="Times New Roman" w:hAnsi="Times New Roman" w:cs="Times New Roman"/>
          <w:sz w:val="24"/>
          <w:szCs w:val="24"/>
        </w:rPr>
        <w:t xml:space="preserve">2023: New record year for LVMH </w:t>
      </w:r>
      <w:r w:rsidRPr="00724109">
        <w:rPr>
          <w:rFonts w:ascii="Times New Roman" w:hAnsi="Times New Roman" w:cs="Times New Roman"/>
          <w:sz w:val="24"/>
          <w:szCs w:val="24"/>
        </w:rPr>
        <w:t xml:space="preserve">[Online] </w:t>
      </w:r>
    </w:p>
    <w:p w14:paraId="297E097C"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Available at: </w:t>
      </w:r>
      <w:r w:rsidRPr="00DF5B4A">
        <w:rPr>
          <w:rFonts w:ascii="Times New Roman" w:hAnsi="Times New Roman" w:cs="Times New Roman"/>
          <w:sz w:val="24"/>
          <w:szCs w:val="24"/>
          <w:u w:val="single"/>
        </w:rPr>
        <w:t>https://www.lvmh.com/news-documents/press-releases/2023-new-record-year-for-lvmh/#:~:text=LVMH%20Mo%C3%ABt%20Hennessy%20Louis%20Vuitton,13%25%20with%20respect%20to%202022.</w:t>
      </w:r>
    </w:p>
    <w:p w14:paraId="633E9FA7" w14:textId="77777777" w:rsidR="00B51A43"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[Accessed 25 March 2024].</w:t>
      </w:r>
    </w:p>
    <w:p w14:paraId="747FC00D" w14:textId="77777777" w:rsidR="00B51A43" w:rsidRDefault="00B51A43" w:rsidP="00B51A43">
      <w:pPr>
        <w:spacing w:line="360" w:lineRule="auto"/>
        <w:rPr>
          <w:rFonts w:ascii="Times New Roman" w:hAnsi="Times New Roman" w:cs="Times New Roman"/>
          <w:sz w:val="24"/>
          <w:szCs w:val="24"/>
        </w:rPr>
      </w:pPr>
      <w:r w:rsidRPr="001D7936">
        <w:rPr>
          <w:rFonts w:ascii="Times New Roman" w:hAnsi="Times New Roman" w:cs="Times New Roman"/>
          <w:sz w:val="24"/>
          <w:szCs w:val="24"/>
        </w:rPr>
        <w:t>Nagle, T.T. and Müller, G., 2017. The strategy and tactics of pricing: A guide to growing more profitably. Routledge.</w:t>
      </w:r>
    </w:p>
    <w:p w14:paraId="63F7B2A0" w14:textId="77777777" w:rsidR="00B51A43" w:rsidRDefault="00B51A43" w:rsidP="00B51A43">
      <w:pPr>
        <w:spacing w:line="360" w:lineRule="auto"/>
        <w:rPr>
          <w:rFonts w:ascii="Times New Roman" w:hAnsi="Times New Roman" w:cs="Times New Roman"/>
          <w:sz w:val="24"/>
          <w:szCs w:val="24"/>
        </w:rPr>
      </w:pPr>
      <w:r w:rsidRPr="001D7936">
        <w:rPr>
          <w:rFonts w:ascii="Times New Roman" w:hAnsi="Times New Roman" w:cs="Times New Roman"/>
          <w:sz w:val="24"/>
          <w:szCs w:val="24"/>
        </w:rPr>
        <w:lastRenderedPageBreak/>
        <w:t>Porter Michael, E., 1985. Competitive advantage: creating and sustaining superior performance. New York.</w:t>
      </w:r>
    </w:p>
    <w:p w14:paraId="308C805D" w14:textId="77777777" w:rsidR="00B51A43" w:rsidRDefault="00B51A43" w:rsidP="00B51A43">
      <w:pPr>
        <w:spacing w:line="360" w:lineRule="auto"/>
        <w:rPr>
          <w:rFonts w:ascii="Times New Roman" w:hAnsi="Times New Roman" w:cs="Times New Roman"/>
          <w:sz w:val="24"/>
          <w:szCs w:val="24"/>
        </w:rPr>
      </w:pPr>
      <w:r w:rsidRPr="000A7F5B">
        <w:rPr>
          <w:rFonts w:ascii="Times New Roman" w:hAnsi="Times New Roman" w:cs="Times New Roman"/>
          <w:sz w:val="24"/>
          <w:szCs w:val="24"/>
        </w:rPr>
        <w:t>Ross, S., 2015. Ebook: Fundamentals of Corporate Finance. McGraw Hill.</w:t>
      </w:r>
    </w:p>
    <w:p w14:paraId="19253A44" w14:textId="77777777" w:rsidR="00B51A43" w:rsidRDefault="00B51A43" w:rsidP="00B51A43">
      <w:pPr>
        <w:spacing w:line="360" w:lineRule="auto"/>
        <w:rPr>
          <w:rFonts w:ascii="Times New Roman" w:hAnsi="Times New Roman" w:cs="Times New Roman"/>
          <w:sz w:val="24"/>
          <w:szCs w:val="24"/>
        </w:rPr>
      </w:pPr>
      <w:r w:rsidRPr="000A7F5B">
        <w:rPr>
          <w:rFonts w:ascii="Times New Roman" w:hAnsi="Times New Roman" w:cs="Times New Roman"/>
          <w:sz w:val="24"/>
          <w:szCs w:val="24"/>
        </w:rPr>
        <w:t>Schein, E.H., 2010. Organizational culture and leadership (Vol. 2). John Wiley &amp; Sons.</w:t>
      </w:r>
    </w:p>
    <w:p w14:paraId="44390B4F" w14:textId="77777777" w:rsidR="00B51A43" w:rsidRDefault="00B51A43" w:rsidP="00B51A43">
      <w:pPr>
        <w:spacing w:line="360" w:lineRule="auto"/>
        <w:rPr>
          <w:rFonts w:ascii="Times New Roman" w:hAnsi="Times New Roman" w:cs="Times New Roman"/>
          <w:sz w:val="24"/>
          <w:szCs w:val="24"/>
        </w:rPr>
      </w:pPr>
      <w:r w:rsidRPr="000A7F5B">
        <w:rPr>
          <w:rFonts w:ascii="Times New Roman" w:hAnsi="Times New Roman" w:cs="Times New Roman"/>
          <w:sz w:val="24"/>
          <w:szCs w:val="24"/>
        </w:rPr>
        <w:t>Schilling, M.A., 2017. Strategic management of technological innovation. McGraw-Hill.</w:t>
      </w:r>
    </w:p>
    <w:p w14:paraId="5B73AFE9" w14:textId="77777777" w:rsidR="00B51A43" w:rsidRDefault="00B51A43" w:rsidP="00B51A43">
      <w:pPr>
        <w:spacing w:line="360" w:lineRule="auto"/>
        <w:rPr>
          <w:rFonts w:ascii="Times New Roman" w:hAnsi="Times New Roman" w:cs="Times New Roman"/>
          <w:sz w:val="24"/>
          <w:szCs w:val="24"/>
        </w:rPr>
      </w:pPr>
      <w:r w:rsidRPr="000A7F5B">
        <w:rPr>
          <w:rFonts w:ascii="Times New Roman" w:hAnsi="Times New Roman" w:cs="Times New Roman"/>
          <w:sz w:val="24"/>
          <w:szCs w:val="24"/>
        </w:rPr>
        <w:t>Schroeder, R.G., Clark, M.W. and Cathey, J.M., 2022. Financial accounting theory and analysis: text and cases. John Wiley &amp; Sons.</w:t>
      </w:r>
    </w:p>
    <w:p w14:paraId="0030722A" w14:textId="77777777" w:rsidR="00B51A43" w:rsidRDefault="00B51A43" w:rsidP="00B51A43">
      <w:pPr>
        <w:spacing w:line="360" w:lineRule="auto"/>
        <w:rPr>
          <w:rFonts w:ascii="Times New Roman" w:hAnsi="Times New Roman" w:cs="Times New Roman"/>
          <w:sz w:val="24"/>
          <w:szCs w:val="24"/>
        </w:rPr>
      </w:pPr>
      <w:r w:rsidRPr="000A7F5B">
        <w:rPr>
          <w:rFonts w:ascii="Times New Roman" w:hAnsi="Times New Roman" w:cs="Times New Roman"/>
          <w:sz w:val="24"/>
          <w:szCs w:val="24"/>
        </w:rPr>
        <w:t>Selling, T.I. and Stickney, C.P., 1989. The effects of business environment and strategy on a firm’s rate of return on assets. Financial Analysts Journal, 45(1), pp.43-52.</w:t>
      </w:r>
    </w:p>
    <w:p w14:paraId="5D9853AD" w14:textId="77777777" w:rsidR="00B51A43" w:rsidRDefault="00B51A43" w:rsidP="00B51A43">
      <w:pPr>
        <w:spacing w:line="360" w:lineRule="auto"/>
        <w:rPr>
          <w:rFonts w:ascii="Times New Roman" w:hAnsi="Times New Roman" w:cs="Times New Roman"/>
          <w:sz w:val="24"/>
          <w:szCs w:val="24"/>
        </w:rPr>
      </w:pPr>
      <w:r w:rsidRPr="000A7F5B">
        <w:rPr>
          <w:rFonts w:ascii="Times New Roman" w:hAnsi="Times New Roman" w:cs="Times New Roman"/>
          <w:sz w:val="24"/>
          <w:szCs w:val="24"/>
        </w:rPr>
        <w:t>Subramanyam, K.R., 2014. Financial statement analysis. McGraw-Hill.</w:t>
      </w:r>
    </w:p>
    <w:p w14:paraId="37CF0A50" w14:textId="77777777" w:rsidR="00B51A43" w:rsidRPr="00724109" w:rsidRDefault="00B51A43" w:rsidP="00B51A43">
      <w:pPr>
        <w:spacing w:line="360" w:lineRule="auto"/>
        <w:rPr>
          <w:rFonts w:ascii="Times New Roman" w:hAnsi="Times New Roman" w:cs="Times New Roman"/>
          <w:sz w:val="24"/>
          <w:szCs w:val="24"/>
        </w:rPr>
      </w:pPr>
      <w:r>
        <w:rPr>
          <w:rFonts w:ascii="Times New Roman" w:hAnsi="Times New Roman" w:cs="Times New Roman"/>
          <w:sz w:val="24"/>
          <w:szCs w:val="24"/>
        </w:rPr>
        <w:t>Tapestry</w:t>
      </w:r>
      <w:r w:rsidRPr="00724109">
        <w:rPr>
          <w:rFonts w:ascii="Times New Roman" w:hAnsi="Times New Roman" w:cs="Times New Roman"/>
          <w:sz w:val="24"/>
          <w:szCs w:val="24"/>
        </w:rPr>
        <w:t>, 2023.</w:t>
      </w:r>
      <w:r w:rsidRPr="000A7F5B">
        <w:t xml:space="preserve"> </w:t>
      </w:r>
      <w:r w:rsidRPr="000A7F5B">
        <w:rPr>
          <w:rFonts w:ascii="Times New Roman" w:hAnsi="Times New Roman" w:cs="Times New Roman"/>
          <w:sz w:val="24"/>
          <w:szCs w:val="24"/>
        </w:rPr>
        <w:t>Tapestry, Inc. Reports Fiscal 2023 First Quarter Results</w:t>
      </w:r>
      <w:r w:rsidRPr="00724109">
        <w:rPr>
          <w:rFonts w:ascii="Times New Roman" w:hAnsi="Times New Roman" w:cs="Times New Roman"/>
          <w:sz w:val="24"/>
          <w:szCs w:val="24"/>
        </w:rPr>
        <w:t xml:space="preserve">. [Online] </w:t>
      </w:r>
    </w:p>
    <w:p w14:paraId="1CCB6798" w14:textId="77777777" w:rsidR="00B51A43" w:rsidRDefault="00B51A43" w:rsidP="00B51A43">
      <w:pPr>
        <w:spacing w:line="360" w:lineRule="auto"/>
        <w:rPr>
          <w:rFonts w:ascii="Times New Roman" w:hAnsi="Times New Roman" w:cs="Times New Roman"/>
          <w:sz w:val="24"/>
          <w:szCs w:val="24"/>
          <w:u w:val="single"/>
        </w:rPr>
      </w:pPr>
      <w:r w:rsidRPr="00724109">
        <w:rPr>
          <w:rFonts w:ascii="Times New Roman" w:hAnsi="Times New Roman" w:cs="Times New Roman"/>
          <w:sz w:val="24"/>
          <w:szCs w:val="24"/>
        </w:rPr>
        <w:t xml:space="preserve">Available at: </w:t>
      </w:r>
      <w:r w:rsidRPr="000A7F5B">
        <w:rPr>
          <w:rFonts w:ascii="Times New Roman" w:hAnsi="Times New Roman" w:cs="Times New Roman"/>
          <w:sz w:val="24"/>
          <w:szCs w:val="24"/>
          <w:u w:val="single"/>
        </w:rPr>
        <w:t xml:space="preserve">https://www.sec.gov/Archives/edgar/data/1116132/000115752322001586/a52965818ex99_1.htm </w:t>
      </w:r>
    </w:p>
    <w:p w14:paraId="42520577" w14:textId="77777777" w:rsidR="00B51A43"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[Accessed </w:t>
      </w:r>
      <w:r>
        <w:rPr>
          <w:rFonts w:ascii="Times New Roman" w:hAnsi="Times New Roman" w:cs="Times New Roman"/>
          <w:sz w:val="24"/>
          <w:szCs w:val="24"/>
        </w:rPr>
        <w:t>1</w:t>
      </w:r>
      <w:r w:rsidRPr="00724109">
        <w:rPr>
          <w:rFonts w:ascii="Times New Roman" w:hAnsi="Times New Roman" w:cs="Times New Roman"/>
          <w:sz w:val="24"/>
          <w:szCs w:val="24"/>
        </w:rPr>
        <w:t>5 March 2024].</w:t>
      </w:r>
    </w:p>
    <w:p w14:paraId="5FA87880" w14:textId="77777777" w:rsidR="00B51A43" w:rsidRPr="00724109" w:rsidRDefault="00B51A43" w:rsidP="00B51A43">
      <w:pPr>
        <w:spacing w:line="360" w:lineRule="auto"/>
        <w:rPr>
          <w:rFonts w:ascii="Times New Roman" w:hAnsi="Times New Roman" w:cs="Times New Roman"/>
          <w:sz w:val="24"/>
          <w:szCs w:val="24"/>
        </w:rPr>
      </w:pPr>
      <w:r w:rsidRPr="00A66C79">
        <w:rPr>
          <w:rFonts w:ascii="Times New Roman" w:hAnsi="Times New Roman" w:cs="Times New Roman"/>
          <w:sz w:val="24"/>
          <w:szCs w:val="24"/>
        </w:rPr>
        <w:t>Van Horne, J.C. and Wachowicz, J.M., 2005. Fundamentals of financial management. Pearson education.</w:t>
      </w:r>
    </w:p>
    <w:p w14:paraId="5D23B145"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Vogue, 2021. Michael Kors At 40: A Celebration </w:t>
      </w:r>
      <w:proofErr w:type="gramStart"/>
      <w:r w:rsidRPr="00724109">
        <w:rPr>
          <w:rFonts w:ascii="Times New Roman" w:hAnsi="Times New Roman" w:cs="Times New Roman"/>
          <w:sz w:val="24"/>
          <w:szCs w:val="24"/>
        </w:rPr>
        <w:t>Of</w:t>
      </w:r>
      <w:proofErr w:type="gramEnd"/>
      <w:r w:rsidRPr="00724109">
        <w:rPr>
          <w:rFonts w:ascii="Times New Roman" w:hAnsi="Times New Roman" w:cs="Times New Roman"/>
          <w:sz w:val="24"/>
          <w:szCs w:val="24"/>
        </w:rPr>
        <w:t xml:space="preserve"> The Designer’s Life In Fashion. [Online] </w:t>
      </w:r>
    </w:p>
    <w:p w14:paraId="3D549E0D"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Available at: </w:t>
      </w:r>
      <w:r w:rsidRPr="00DF5B4A">
        <w:rPr>
          <w:rFonts w:ascii="Times New Roman" w:hAnsi="Times New Roman" w:cs="Times New Roman"/>
          <w:sz w:val="24"/>
          <w:szCs w:val="24"/>
          <w:u w:val="single"/>
        </w:rPr>
        <w:t>https://www.vogue.co.uk/fashion/article/michael-kors-at-40</w:t>
      </w:r>
    </w:p>
    <w:p w14:paraId="72402778"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[Accessed 25 March 2024].</w:t>
      </w:r>
    </w:p>
    <w:p w14:paraId="22372320"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WSJ Markets, 2020. Capri Holdings Ltd. [Online] </w:t>
      </w:r>
    </w:p>
    <w:p w14:paraId="384B5845"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 xml:space="preserve">Available at: </w:t>
      </w:r>
      <w:r w:rsidRPr="00DF5B4A">
        <w:rPr>
          <w:rFonts w:ascii="Times New Roman" w:hAnsi="Times New Roman" w:cs="Times New Roman"/>
          <w:sz w:val="24"/>
          <w:szCs w:val="24"/>
          <w:u w:val="single"/>
        </w:rPr>
        <w:t>https://www.wsj.com/market-data/quotes/CPRI/company-people</w:t>
      </w:r>
    </w:p>
    <w:p w14:paraId="3D861A25" w14:textId="77777777" w:rsidR="00B51A43" w:rsidRPr="00724109" w:rsidRDefault="00B51A43" w:rsidP="00B51A43">
      <w:pPr>
        <w:spacing w:line="360" w:lineRule="auto"/>
        <w:rPr>
          <w:rFonts w:ascii="Times New Roman" w:hAnsi="Times New Roman" w:cs="Times New Roman"/>
          <w:sz w:val="24"/>
          <w:szCs w:val="24"/>
        </w:rPr>
      </w:pPr>
      <w:r w:rsidRPr="00724109">
        <w:rPr>
          <w:rFonts w:ascii="Times New Roman" w:hAnsi="Times New Roman" w:cs="Times New Roman"/>
          <w:sz w:val="24"/>
          <w:szCs w:val="24"/>
        </w:rPr>
        <w:t>[Accessed 24 March 2024].</w:t>
      </w:r>
    </w:p>
    <w:p w14:paraId="5CA5D76E" w14:textId="77777777" w:rsidR="00B51A43" w:rsidRDefault="00B51A43" w:rsidP="00B51A43"/>
    <w:p w14:paraId="61467691" w14:textId="77777777" w:rsidR="00B51A43" w:rsidRPr="00724109" w:rsidRDefault="00B51A43" w:rsidP="00B51A43"/>
    <w:p w14:paraId="673F902F" w14:textId="77777777" w:rsidR="00B51A43" w:rsidRDefault="00B51A43" w:rsidP="00B51A43">
      <w:pPr>
        <w:spacing w:line="360" w:lineRule="auto"/>
      </w:pPr>
    </w:p>
    <w:p w14:paraId="0C8B506A" w14:textId="77777777" w:rsidR="00B51A43" w:rsidRPr="00EB640B" w:rsidRDefault="00B51A43" w:rsidP="00B51A43">
      <w:pPr>
        <w:pStyle w:val="Content"/>
      </w:pPr>
    </w:p>
    <w:p w14:paraId="7716CD84" w14:textId="77777777" w:rsidR="00290F74" w:rsidRDefault="00290F74"/>
    <w:sectPr w:rsidR="00290F74" w:rsidSect="00B51A4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69BF91" w14:textId="77777777" w:rsidR="00434502" w:rsidRDefault="00434502">
      <w:pPr>
        <w:spacing w:after="0" w:line="240" w:lineRule="auto"/>
      </w:pPr>
      <w:r>
        <w:separator/>
      </w:r>
    </w:p>
  </w:endnote>
  <w:endnote w:type="continuationSeparator" w:id="0">
    <w:p w14:paraId="72BD982A" w14:textId="77777777" w:rsidR="00434502" w:rsidRDefault="00434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03628050"/>
      <w:docPartObj>
        <w:docPartGallery w:val="Page Numbers (Bottom of Page)"/>
        <w:docPartUnique/>
      </w:docPartObj>
    </w:sdtPr>
    <w:sdtEndPr>
      <w:rPr>
        <w:noProof/>
      </w:rPr>
    </w:sdtEndPr>
    <w:sdtContent>
      <w:p w14:paraId="25810E96" w14:textId="77777777" w:rsidR="00B51A43" w:rsidRDefault="00B51A43">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63196828" w14:textId="77777777" w:rsidR="00B51A43" w:rsidRDefault="00B51A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7791C8" w14:textId="77777777" w:rsidR="00434502" w:rsidRDefault="00434502">
      <w:pPr>
        <w:spacing w:after="0" w:line="240" w:lineRule="auto"/>
      </w:pPr>
      <w:r>
        <w:separator/>
      </w:r>
    </w:p>
  </w:footnote>
  <w:footnote w:type="continuationSeparator" w:id="0">
    <w:p w14:paraId="6490D407" w14:textId="77777777" w:rsidR="00434502" w:rsidRDefault="004345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B5A09"/>
    <w:multiLevelType w:val="hybridMultilevel"/>
    <w:tmpl w:val="9D9A8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9387C"/>
    <w:multiLevelType w:val="hybridMultilevel"/>
    <w:tmpl w:val="71C06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A1023A"/>
    <w:multiLevelType w:val="hybridMultilevel"/>
    <w:tmpl w:val="30F0E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D3BEE"/>
    <w:multiLevelType w:val="hybridMultilevel"/>
    <w:tmpl w:val="92C07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544998"/>
    <w:multiLevelType w:val="hybridMultilevel"/>
    <w:tmpl w:val="473A1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0E5F77"/>
    <w:multiLevelType w:val="hybridMultilevel"/>
    <w:tmpl w:val="2B442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3A69B1"/>
    <w:multiLevelType w:val="hybridMultilevel"/>
    <w:tmpl w:val="DDACA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20DB0"/>
    <w:multiLevelType w:val="hybridMultilevel"/>
    <w:tmpl w:val="7FBCE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8F1DF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5AD55580"/>
    <w:multiLevelType w:val="hybridMultilevel"/>
    <w:tmpl w:val="9FA62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1B0128"/>
    <w:multiLevelType w:val="hybridMultilevel"/>
    <w:tmpl w:val="F2DCA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8832E4"/>
    <w:multiLevelType w:val="hybridMultilevel"/>
    <w:tmpl w:val="31D41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5814133">
    <w:abstractNumId w:val="8"/>
  </w:num>
  <w:num w:numId="2" w16cid:durableId="1790927953">
    <w:abstractNumId w:val="5"/>
  </w:num>
  <w:num w:numId="3" w16cid:durableId="335769428">
    <w:abstractNumId w:val="7"/>
  </w:num>
  <w:num w:numId="4" w16cid:durableId="96869023">
    <w:abstractNumId w:val="0"/>
  </w:num>
  <w:num w:numId="5" w16cid:durableId="1009523439">
    <w:abstractNumId w:val="11"/>
  </w:num>
  <w:num w:numId="6" w16cid:durableId="2024360401">
    <w:abstractNumId w:val="2"/>
  </w:num>
  <w:num w:numId="7" w16cid:durableId="872226606">
    <w:abstractNumId w:val="9"/>
  </w:num>
  <w:num w:numId="8" w16cid:durableId="467548064">
    <w:abstractNumId w:val="3"/>
  </w:num>
  <w:num w:numId="9" w16cid:durableId="1178815575">
    <w:abstractNumId w:val="10"/>
  </w:num>
  <w:num w:numId="10" w16cid:durableId="341397342">
    <w:abstractNumId w:val="1"/>
  </w:num>
  <w:num w:numId="11" w16cid:durableId="1007288981">
    <w:abstractNumId w:val="6"/>
  </w:num>
  <w:num w:numId="12" w16cid:durableId="6646318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2"/>
    <w:compatSetting w:name="useWord2013TrackBottomHyphenation" w:uri="http://schemas.microsoft.com/office/word" w:val="1"/>
  </w:compat>
  <w:rsids>
    <w:rsidRoot w:val="00B51A43"/>
    <w:rsid w:val="00091AD6"/>
    <w:rsid w:val="00290F74"/>
    <w:rsid w:val="00434502"/>
    <w:rsid w:val="00B51A43"/>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B8FF9"/>
  <w15:chartTrackingRefBased/>
  <w15:docId w15:val="{32EAF249-C9E3-4883-A878-32D0400BC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8"/>
        <w:lang w:val="en-IN" w:eastAsia="zh-CN"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A43"/>
    <w:rPr>
      <w:rFonts w:eastAsiaTheme="minorHAnsi"/>
      <w:szCs w:val="22"/>
      <w:lang w:val="en-GB" w:eastAsia="en-US" w:bidi="ar-SA"/>
    </w:rPr>
  </w:style>
  <w:style w:type="paragraph" w:styleId="Heading1">
    <w:name w:val="heading 1"/>
    <w:basedOn w:val="Normal"/>
    <w:next w:val="Content"/>
    <w:link w:val="Heading1Char"/>
    <w:uiPriority w:val="9"/>
    <w:qFormat/>
    <w:rsid w:val="00B51A43"/>
    <w:pPr>
      <w:keepNext/>
      <w:keepLines/>
      <w:numPr>
        <w:numId w:val="1"/>
      </w:numPr>
      <w:spacing w:before="120" w:after="240" w:line="240" w:lineRule="auto"/>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B51A43"/>
    <w:pPr>
      <w:keepNext/>
      <w:keepLines/>
      <w:numPr>
        <w:ilvl w:val="1"/>
        <w:numId w:val="1"/>
      </w:numPr>
      <w:spacing w:before="120" w:after="240" w:line="240" w:lineRule="auto"/>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Content"/>
    <w:link w:val="Heading3Char"/>
    <w:uiPriority w:val="9"/>
    <w:unhideWhenUsed/>
    <w:qFormat/>
    <w:rsid w:val="00B51A43"/>
    <w:pPr>
      <w:keepNext/>
      <w:keepLines/>
      <w:numPr>
        <w:ilvl w:val="2"/>
        <w:numId w:val="1"/>
      </w:numPr>
      <w:spacing w:before="120" w:after="240" w:line="240" w:lineRule="auto"/>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semiHidden/>
    <w:unhideWhenUsed/>
    <w:qFormat/>
    <w:rsid w:val="00B51A43"/>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51A43"/>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51A43"/>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51A43"/>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51A4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51A4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A43"/>
    <w:rPr>
      <w:rFonts w:ascii="Times New Roman" w:eastAsiaTheme="majorEastAsia" w:hAnsi="Times New Roman" w:cstheme="majorBidi"/>
      <w:b/>
      <w:color w:val="000000" w:themeColor="text1"/>
      <w:sz w:val="28"/>
      <w:szCs w:val="32"/>
      <w:lang w:val="en-GB" w:eastAsia="en-US" w:bidi="ar-SA"/>
    </w:rPr>
  </w:style>
  <w:style w:type="character" w:customStyle="1" w:styleId="Heading2Char">
    <w:name w:val="Heading 2 Char"/>
    <w:basedOn w:val="DefaultParagraphFont"/>
    <w:link w:val="Heading2"/>
    <w:uiPriority w:val="9"/>
    <w:rsid w:val="00B51A43"/>
    <w:rPr>
      <w:rFonts w:ascii="Times New Roman" w:eastAsiaTheme="majorEastAsia" w:hAnsi="Times New Roman" w:cstheme="majorBidi"/>
      <w:b/>
      <w:color w:val="000000" w:themeColor="text1"/>
      <w:sz w:val="24"/>
      <w:szCs w:val="26"/>
      <w:lang w:val="en-GB" w:eastAsia="en-US" w:bidi="ar-SA"/>
    </w:rPr>
  </w:style>
  <w:style w:type="character" w:customStyle="1" w:styleId="Heading3Char">
    <w:name w:val="Heading 3 Char"/>
    <w:basedOn w:val="DefaultParagraphFont"/>
    <w:link w:val="Heading3"/>
    <w:uiPriority w:val="9"/>
    <w:rsid w:val="00B51A43"/>
    <w:rPr>
      <w:rFonts w:ascii="Times New Roman" w:eastAsiaTheme="majorEastAsia" w:hAnsi="Times New Roman" w:cstheme="majorBidi"/>
      <w:b/>
      <w:color w:val="000000" w:themeColor="text1"/>
      <w:sz w:val="24"/>
      <w:szCs w:val="24"/>
      <w:lang w:val="en-GB" w:eastAsia="en-US" w:bidi="ar-SA"/>
    </w:rPr>
  </w:style>
  <w:style w:type="character" w:customStyle="1" w:styleId="Heading4Char">
    <w:name w:val="Heading 4 Char"/>
    <w:basedOn w:val="DefaultParagraphFont"/>
    <w:link w:val="Heading4"/>
    <w:uiPriority w:val="9"/>
    <w:semiHidden/>
    <w:rsid w:val="00B51A43"/>
    <w:rPr>
      <w:rFonts w:asciiTheme="majorHAnsi" w:eastAsiaTheme="majorEastAsia" w:hAnsiTheme="majorHAnsi" w:cstheme="majorBidi"/>
      <w:i/>
      <w:iCs/>
      <w:color w:val="2F5496" w:themeColor="accent1" w:themeShade="BF"/>
      <w:szCs w:val="22"/>
      <w:lang w:val="en-GB" w:eastAsia="en-US" w:bidi="ar-SA"/>
    </w:rPr>
  </w:style>
  <w:style w:type="character" w:customStyle="1" w:styleId="Heading5Char">
    <w:name w:val="Heading 5 Char"/>
    <w:basedOn w:val="DefaultParagraphFont"/>
    <w:link w:val="Heading5"/>
    <w:uiPriority w:val="9"/>
    <w:semiHidden/>
    <w:rsid w:val="00B51A43"/>
    <w:rPr>
      <w:rFonts w:asciiTheme="majorHAnsi" w:eastAsiaTheme="majorEastAsia" w:hAnsiTheme="majorHAnsi" w:cstheme="majorBidi"/>
      <w:color w:val="2F5496" w:themeColor="accent1" w:themeShade="BF"/>
      <w:szCs w:val="22"/>
      <w:lang w:val="en-GB" w:eastAsia="en-US" w:bidi="ar-SA"/>
    </w:rPr>
  </w:style>
  <w:style w:type="character" w:customStyle="1" w:styleId="Heading6Char">
    <w:name w:val="Heading 6 Char"/>
    <w:basedOn w:val="DefaultParagraphFont"/>
    <w:link w:val="Heading6"/>
    <w:uiPriority w:val="9"/>
    <w:semiHidden/>
    <w:rsid w:val="00B51A43"/>
    <w:rPr>
      <w:rFonts w:asciiTheme="majorHAnsi" w:eastAsiaTheme="majorEastAsia" w:hAnsiTheme="majorHAnsi" w:cstheme="majorBidi"/>
      <w:color w:val="1F3763" w:themeColor="accent1" w:themeShade="7F"/>
      <w:szCs w:val="22"/>
      <w:lang w:val="en-GB" w:eastAsia="en-US" w:bidi="ar-SA"/>
    </w:rPr>
  </w:style>
  <w:style w:type="character" w:customStyle="1" w:styleId="Heading7Char">
    <w:name w:val="Heading 7 Char"/>
    <w:basedOn w:val="DefaultParagraphFont"/>
    <w:link w:val="Heading7"/>
    <w:uiPriority w:val="9"/>
    <w:semiHidden/>
    <w:rsid w:val="00B51A43"/>
    <w:rPr>
      <w:rFonts w:asciiTheme="majorHAnsi" w:eastAsiaTheme="majorEastAsia" w:hAnsiTheme="majorHAnsi" w:cstheme="majorBidi"/>
      <w:i/>
      <w:iCs/>
      <w:color w:val="1F3763" w:themeColor="accent1" w:themeShade="7F"/>
      <w:szCs w:val="22"/>
      <w:lang w:val="en-GB" w:eastAsia="en-US" w:bidi="ar-SA"/>
    </w:rPr>
  </w:style>
  <w:style w:type="character" w:customStyle="1" w:styleId="Heading8Char">
    <w:name w:val="Heading 8 Char"/>
    <w:basedOn w:val="DefaultParagraphFont"/>
    <w:link w:val="Heading8"/>
    <w:uiPriority w:val="9"/>
    <w:semiHidden/>
    <w:rsid w:val="00B51A43"/>
    <w:rPr>
      <w:rFonts w:asciiTheme="majorHAnsi" w:eastAsiaTheme="majorEastAsia" w:hAnsiTheme="majorHAnsi" w:cstheme="majorBidi"/>
      <w:color w:val="272727" w:themeColor="text1" w:themeTint="D8"/>
      <w:sz w:val="21"/>
      <w:szCs w:val="21"/>
      <w:lang w:val="en-GB" w:eastAsia="en-US" w:bidi="ar-SA"/>
    </w:rPr>
  </w:style>
  <w:style w:type="character" w:customStyle="1" w:styleId="Heading9Char">
    <w:name w:val="Heading 9 Char"/>
    <w:basedOn w:val="DefaultParagraphFont"/>
    <w:link w:val="Heading9"/>
    <w:uiPriority w:val="9"/>
    <w:semiHidden/>
    <w:rsid w:val="00B51A43"/>
    <w:rPr>
      <w:rFonts w:asciiTheme="majorHAnsi" w:eastAsiaTheme="majorEastAsia" w:hAnsiTheme="majorHAnsi" w:cstheme="majorBidi"/>
      <w:i/>
      <w:iCs/>
      <w:color w:val="272727" w:themeColor="text1" w:themeTint="D8"/>
      <w:sz w:val="21"/>
      <w:szCs w:val="21"/>
      <w:lang w:val="en-GB" w:eastAsia="en-US" w:bidi="ar-SA"/>
    </w:rPr>
  </w:style>
  <w:style w:type="paragraph" w:customStyle="1" w:styleId="Content">
    <w:name w:val="Content"/>
    <w:basedOn w:val="Normal"/>
    <w:qFormat/>
    <w:rsid w:val="00B51A43"/>
    <w:pPr>
      <w:spacing w:before="120" w:after="240" w:line="360" w:lineRule="auto"/>
      <w:jc w:val="both"/>
    </w:pPr>
    <w:rPr>
      <w:rFonts w:ascii="Times New Roman" w:hAnsi="Times New Roman"/>
      <w:color w:val="000000" w:themeColor="text1"/>
      <w:sz w:val="24"/>
    </w:rPr>
  </w:style>
  <w:style w:type="table" w:styleId="PlainTable1">
    <w:name w:val="Plain Table 1"/>
    <w:basedOn w:val="TableNormal"/>
    <w:uiPriority w:val="41"/>
    <w:rsid w:val="00B51A43"/>
    <w:pPr>
      <w:spacing w:after="0" w:line="240" w:lineRule="auto"/>
    </w:pPr>
    <w:rPr>
      <w:rFonts w:eastAsiaTheme="minorHAnsi"/>
      <w:szCs w:val="22"/>
      <w:lang w:val="en-GB" w:eastAsia="en-US"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B51A43"/>
  </w:style>
  <w:style w:type="paragraph" w:styleId="TOCHeading">
    <w:name w:val="TOC Heading"/>
    <w:basedOn w:val="Heading1"/>
    <w:next w:val="Normal"/>
    <w:uiPriority w:val="39"/>
    <w:unhideWhenUsed/>
    <w:qFormat/>
    <w:rsid w:val="00B51A43"/>
    <w:pPr>
      <w:numPr>
        <w:numId w:val="0"/>
      </w:numPr>
      <w:spacing w:before="240" w:after="0" w:line="259" w:lineRule="auto"/>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B51A43"/>
    <w:pPr>
      <w:spacing w:after="100"/>
    </w:pPr>
  </w:style>
  <w:style w:type="paragraph" w:styleId="TOC2">
    <w:name w:val="toc 2"/>
    <w:basedOn w:val="Normal"/>
    <w:next w:val="Normal"/>
    <w:autoRedefine/>
    <w:uiPriority w:val="39"/>
    <w:unhideWhenUsed/>
    <w:rsid w:val="00B51A43"/>
    <w:pPr>
      <w:spacing w:after="100"/>
      <w:ind w:left="220"/>
    </w:pPr>
  </w:style>
  <w:style w:type="character" w:styleId="Hyperlink">
    <w:name w:val="Hyperlink"/>
    <w:basedOn w:val="DefaultParagraphFont"/>
    <w:uiPriority w:val="99"/>
    <w:unhideWhenUsed/>
    <w:rsid w:val="00B51A43"/>
    <w:rPr>
      <w:color w:val="0563C1" w:themeColor="hyperlink"/>
      <w:u w:val="single"/>
    </w:rPr>
  </w:style>
  <w:style w:type="paragraph" w:styleId="Footer">
    <w:name w:val="footer"/>
    <w:basedOn w:val="Normal"/>
    <w:link w:val="FooterChar"/>
    <w:uiPriority w:val="99"/>
    <w:unhideWhenUsed/>
    <w:rsid w:val="00B51A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1A43"/>
    <w:rPr>
      <w:rFonts w:eastAsiaTheme="minorHAnsi"/>
      <w:szCs w:val="22"/>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5675</Words>
  <Characters>32348</Characters>
  <Application>Microsoft Office Word</Application>
  <DocSecurity>0</DocSecurity>
  <Lines>269</Lines>
  <Paragraphs>75</Paragraphs>
  <ScaleCrop>false</ScaleCrop>
  <Company/>
  <LinksUpToDate>false</LinksUpToDate>
  <CharactersWithSpaces>37948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yagnesh soni</dc:creator>
  <cp:keywords/>
  <dc:description/>
  <cp:lastModifiedBy>yagnesh soni</cp:lastModifiedBy>
  <cp:revision>3</cp:revision>
  <dcterms:created xsi:type="dcterms:W3CDTF">2024-04-23T22:28:00Z</dcterms:created>
  <dcterms:modified xsi:type="dcterms:W3CDTF">2024-04-23T22:32:00Z</dcterms:modified>
</cp:coreProperties>
</file>