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93868" w:rsidRPr="003466A0" w:rsidRDefault="00393868">
      <w:pPr>
        <w:rPr>
          <w:b/>
          <w:sz w:val="32"/>
          <w:u w:val="single"/>
        </w:rPr>
      </w:pPr>
      <w:r w:rsidRPr="003466A0">
        <w:rPr>
          <w:b/>
          <w:sz w:val="32"/>
          <w:u w:val="single"/>
        </w:rPr>
        <w:t xml:space="preserve">The </w:t>
      </w:r>
      <w:r>
        <w:rPr>
          <w:b/>
          <w:sz w:val="32"/>
          <w:u w:val="single"/>
        </w:rPr>
        <w:t>P</w:t>
      </w:r>
      <w:r w:rsidRPr="003466A0">
        <w:rPr>
          <w:b/>
          <w:sz w:val="32"/>
          <w:u w:val="single"/>
        </w:rPr>
        <w:t xml:space="preserve">ressures and </w:t>
      </w:r>
      <w:r>
        <w:rPr>
          <w:b/>
          <w:sz w:val="32"/>
          <w:u w:val="single"/>
        </w:rPr>
        <w:t>M</w:t>
      </w:r>
      <w:r w:rsidRPr="003466A0">
        <w:rPr>
          <w:b/>
          <w:sz w:val="32"/>
          <w:u w:val="single"/>
        </w:rPr>
        <w:t xml:space="preserve">otivations of the Ptolemaic </w:t>
      </w:r>
      <w:r>
        <w:rPr>
          <w:b/>
          <w:sz w:val="32"/>
          <w:u w:val="single"/>
        </w:rPr>
        <w:t>E</w:t>
      </w:r>
      <w:r w:rsidRPr="003466A0">
        <w:rPr>
          <w:b/>
          <w:sz w:val="32"/>
          <w:u w:val="single"/>
        </w:rPr>
        <w:t xml:space="preserve">lephant </w:t>
      </w:r>
      <w:r>
        <w:rPr>
          <w:b/>
          <w:sz w:val="32"/>
          <w:u w:val="single"/>
        </w:rPr>
        <w:t>H</w:t>
      </w:r>
      <w:r w:rsidRPr="003466A0">
        <w:rPr>
          <w:b/>
          <w:sz w:val="32"/>
          <w:u w:val="single"/>
        </w:rPr>
        <w:t>unts</w:t>
      </w:r>
      <w:r w:rsidR="00281B2F">
        <w:rPr>
          <w:b/>
          <w:sz w:val="32"/>
          <w:u w:val="single"/>
        </w:rPr>
        <w:t>, and the power of War Elephants</w:t>
      </w:r>
      <w:r w:rsidRPr="003466A0">
        <w:rPr>
          <w:b/>
          <w:sz w:val="32"/>
          <w:u w:val="single"/>
        </w:rPr>
        <w:t>.</w:t>
      </w:r>
    </w:p>
    <w:p w:rsidR="00393868" w:rsidRDefault="00393868"/>
    <w:p w:rsidR="00393868" w:rsidRPr="009D6334" w:rsidRDefault="00393868">
      <w:pPr>
        <w:rPr>
          <w:b/>
          <w:u w:val="single"/>
        </w:rPr>
      </w:pPr>
      <w:r w:rsidRPr="009D6334">
        <w:rPr>
          <w:b/>
          <w:u w:val="single"/>
        </w:rPr>
        <w:t>Introduction</w:t>
      </w:r>
    </w:p>
    <w:p w:rsidR="00393868" w:rsidRPr="009C3BD0" w:rsidRDefault="00393868">
      <w:r w:rsidRPr="009C3BD0">
        <w:t xml:space="preserve">War elephants, </w:t>
      </w:r>
      <w:r w:rsidR="00281B2F" w:rsidRPr="009C3BD0">
        <w:t>or perhaps</w:t>
      </w:r>
      <w:r w:rsidRPr="009C3BD0">
        <w:t xml:space="preserve"> more accurately, the military use of elephants</w:t>
      </w:r>
      <w:r w:rsidR="0058125A">
        <w:t>,</w:t>
      </w:r>
      <w:r w:rsidRPr="009C3BD0">
        <w:t xml:space="preserve"> originated in Northern India, probably around 1000 BC, and were seen by the Indian kings and rulers of the period  as both a major  military capability resource and as  a symbol of  power and authority.</w:t>
      </w:r>
      <w:r w:rsidR="00281B2F" w:rsidRPr="009C3BD0">
        <w:rPr>
          <w:rStyle w:val="FootnoteReference"/>
        </w:rPr>
        <w:footnoteReference w:id="1"/>
      </w:r>
      <w:r w:rsidRPr="009C3BD0">
        <w:t xml:space="preserve">  The war elephant was not the first or only use of the  elephant as a resource to the kings of the emerging Indian states of the time; domesticated trained elephants served many functions in Indian society</w:t>
      </w:r>
      <w:r w:rsidR="0058125A">
        <w:t>;</w:t>
      </w:r>
      <w:r w:rsidRPr="009C3BD0">
        <w:t xml:space="preserve"> from tasks such as logging and forestry, through to ceremonial modes of transport  and mounts from which to hunt.</w:t>
      </w:r>
      <w:r w:rsidR="00281B2F" w:rsidRPr="009C3BD0">
        <w:rPr>
          <w:rStyle w:val="FootnoteReference"/>
        </w:rPr>
        <w:footnoteReference w:id="2"/>
      </w:r>
      <w:r w:rsidR="00281B2F" w:rsidRPr="009C3BD0">
        <w:t xml:space="preserve"> </w:t>
      </w:r>
      <w:r w:rsidRPr="009C3BD0">
        <w:t>However, once the use of elephants in warfare became established</w:t>
      </w:r>
      <w:r w:rsidR="00281B2F" w:rsidRPr="009C3BD0">
        <w:t>,</w:t>
      </w:r>
      <w:r w:rsidRPr="009C3BD0">
        <w:t xml:space="preserve"> it soon became the dominant reason for kings and rulers to have them, primarily because they provided significant military capability that human beings could not; in particular the advantages  of size and weight made them a  formidable  mobile platform,  with the ability to withstand and continue to operate while under attack by most weapons of the day.</w:t>
      </w:r>
    </w:p>
    <w:p w:rsidR="00393868" w:rsidRPr="009C3BD0" w:rsidRDefault="00393868">
      <w:pPr>
        <w:rPr>
          <w:b/>
          <w:u w:val="single"/>
        </w:rPr>
      </w:pPr>
      <w:r w:rsidRPr="009C3BD0">
        <w:t xml:space="preserve">Unsurprisingly, the use of war elephants (like all capabilities that offer military </w:t>
      </w:r>
      <w:r w:rsidR="00281B2F" w:rsidRPr="009C3BD0">
        <w:t>advantage) expanded</w:t>
      </w:r>
      <w:r w:rsidRPr="009C3BD0">
        <w:t xml:space="preserve"> over time well beyond India. Towards the West, war elephant use spread progressively to Persia, </w:t>
      </w:r>
      <w:r w:rsidR="0058125A">
        <w:t>t</w:t>
      </w:r>
      <w:r w:rsidR="00281B2F" w:rsidRPr="009C3BD0">
        <w:t>he Seleucid</w:t>
      </w:r>
      <w:r w:rsidRPr="009C3BD0">
        <w:t xml:space="preserve"> Empire</w:t>
      </w:r>
      <w:r w:rsidR="00281B2F" w:rsidRPr="009C3BD0">
        <w:t>,</w:t>
      </w:r>
      <w:r w:rsidRPr="009C3BD0">
        <w:t xml:space="preserve"> and</w:t>
      </w:r>
      <w:r w:rsidR="00281B2F" w:rsidRPr="009C3BD0">
        <w:t xml:space="preserve"> Ptolemaic</w:t>
      </w:r>
      <w:r w:rsidRPr="009C3BD0">
        <w:t xml:space="preserve"> </w:t>
      </w:r>
      <w:r w:rsidR="00281B2F" w:rsidRPr="009C3BD0">
        <w:t>Egypt, and</w:t>
      </w:r>
      <w:r w:rsidRPr="009C3BD0">
        <w:t xml:space="preserve"> in the East to Cambodia, Laos, Thailand and other South East Asian Kingdoms.  Initially</w:t>
      </w:r>
      <w:r w:rsidR="0058125A">
        <w:t>,</w:t>
      </w:r>
      <w:r w:rsidRPr="009C3BD0">
        <w:t xml:space="preserve"> at least in </w:t>
      </w:r>
      <w:r w:rsidR="00281B2F" w:rsidRPr="009C3BD0">
        <w:t>the West</w:t>
      </w:r>
      <w:r w:rsidR="0058125A">
        <w:t>,</w:t>
      </w:r>
      <w:r w:rsidRPr="009C3BD0">
        <w:t xml:space="preserve"> most war elephants came from the Indian subcontinent, but by the time </w:t>
      </w:r>
      <w:r w:rsidR="00281B2F" w:rsidRPr="009C3BD0">
        <w:t>of the various</w:t>
      </w:r>
      <w:r w:rsidRPr="009C3BD0">
        <w:t xml:space="preserve"> conflict</w:t>
      </w:r>
      <w:r w:rsidR="00281B2F" w:rsidRPr="009C3BD0">
        <w:t>s</w:t>
      </w:r>
      <w:r w:rsidRPr="009C3BD0">
        <w:t xml:space="preserve"> between the </w:t>
      </w:r>
      <w:r w:rsidR="00281B2F" w:rsidRPr="009C3BD0">
        <w:t>Seleucids and</w:t>
      </w:r>
      <w:r w:rsidRPr="009C3BD0">
        <w:t xml:space="preserve"> Ptolemaic Egypt, it had become </w:t>
      </w:r>
      <w:r w:rsidR="00281B2F" w:rsidRPr="009C3BD0">
        <w:t>practically impossible</w:t>
      </w:r>
      <w:r w:rsidRPr="009C3BD0">
        <w:t xml:space="preserve"> for the Egyptians to access Indian elephants</w:t>
      </w:r>
      <w:r w:rsidR="00281B2F" w:rsidRPr="009C3BD0">
        <w:t>.</w:t>
      </w:r>
      <w:r w:rsidRPr="009C3BD0">
        <w:t xml:space="preserve"> </w:t>
      </w:r>
      <w:r w:rsidR="00281B2F" w:rsidRPr="009C3BD0">
        <w:t>Consequently,</w:t>
      </w:r>
      <w:r w:rsidRPr="009C3BD0">
        <w:t xml:space="preserve"> they needed to find a new source</w:t>
      </w:r>
      <w:r w:rsidR="00281B2F" w:rsidRPr="009C3BD0">
        <w:t xml:space="preserve"> of war elephants</w:t>
      </w:r>
      <w:r w:rsidRPr="009C3BD0">
        <w:t>, and preferably one that</w:t>
      </w:r>
      <w:r w:rsidR="00281B2F" w:rsidRPr="009C3BD0">
        <w:t xml:space="preserve"> was</w:t>
      </w:r>
      <w:r w:rsidRPr="009C3BD0">
        <w:t xml:space="preserve"> not </w:t>
      </w:r>
      <w:r w:rsidR="0005352F" w:rsidRPr="009C3BD0">
        <w:t xml:space="preserve">dependent on access to </w:t>
      </w:r>
      <w:r w:rsidR="009A3232" w:rsidRPr="009C3BD0">
        <w:t>I</w:t>
      </w:r>
      <w:r w:rsidR="0005352F" w:rsidRPr="009C3BD0">
        <w:t>ndia</w:t>
      </w:r>
      <w:r w:rsidRPr="009C3BD0">
        <w:t xml:space="preserve">. This was the underlying rationale for the </w:t>
      </w:r>
      <w:r w:rsidR="00281B2F" w:rsidRPr="009C3BD0">
        <w:t>Ptolemaic elephant</w:t>
      </w:r>
      <w:r w:rsidRPr="009C3BD0">
        <w:t xml:space="preserve"> hunting </w:t>
      </w:r>
      <w:r w:rsidR="00281B2F" w:rsidRPr="009C3BD0">
        <w:t>programme</w:t>
      </w:r>
      <w:r w:rsidR="009A3232" w:rsidRPr="009C3BD0">
        <w:t xml:space="preserve"> in Africa</w:t>
      </w:r>
      <w:r w:rsidR="00281B2F" w:rsidRPr="009C3BD0">
        <w:t>.</w:t>
      </w:r>
    </w:p>
    <w:p w:rsidR="00393868" w:rsidRDefault="00393868">
      <w:r>
        <w:t>Whilst the evidence that Ptolemaic elephant hunting did occur is unquestionable, as is the evidence of the sheer size and scale of their operations, debate in scholarship has moved backwards and forwards as to the relative motivations of this elephant hunting enterprise. This essay will attempt to argue the case that though the prestige of possessing a large elephant corps was certainly a factor, the primary Ptolemaic motivation for elephant ‘hunting’ can be explained and accounted for in purely military terms. Specifically, they needed to develop a mirrored capability as a deterrent to the Indian Elephants of their principal, and really</w:t>
      </w:r>
      <w:r w:rsidR="0058125A">
        <w:t>,</w:t>
      </w:r>
      <w:r>
        <w:t xml:space="preserve"> only significant, external foe during that period, the Seleucid Empire.</w:t>
      </w:r>
    </w:p>
    <w:p w:rsidR="00393868" w:rsidRDefault="00393868">
      <w:r>
        <w:t>The first thing to address must be that the term ‘elephant hunting’ in this context is unhelpful, as it could both refer to the slaughtering of elephants for meat and ivory, and to the practice of the procurement of live elephants.</w:t>
      </w:r>
      <w:r>
        <w:rPr>
          <w:rStyle w:val="FootnoteReference"/>
        </w:rPr>
        <w:footnoteReference w:id="3"/>
      </w:r>
      <w:r>
        <w:t xml:space="preserve"> For the purposes of this article, we shall be focusing solely on the procurement of live elephants.</w:t>
      </w:r>
    </w:p>
    <w:p w:rsidR="00393868" w:rsidRDefault="00393868">
      <w:r>
        <w:t>Central to my argument is the belief that scholarship to this date has focused too heavily on the direct comparison made by Polybius in his account of the battle of Raphia between the two elephant types; the African Forest (Ptolemaic) and the Indian/Syrian (Seleucid) elephant, and has failed to analyse some of the other information given in his text, and that</w:t>
      </w:r>
      <w:r w:rsidR="0058125A">
        <w:t>,</w:t>
      </w:r>
      <w:r>
        <w:t xml:space="preserve"> if this were attempted</w:t>
      </w:r>
      <w:r w:rsidR="0058125A">
        <w:t>,</w:t>
      </w:r>
      <w:r>
        <w:t xml:space="preserve"> it would be recognised as of great importance, as this could lead to a potentially very different understanding of </w:t>
      </w:r>
      <w:r>
        <w:lastRenderedPageBreak/>
        <w:t xml:space="preserve">the events during the battle of Raphia. Furthermore, I should like to take this opportunity to attempt to dispel some of the assumptions about the usefulness of elephants, both generally and specifically regarding </w:t>
      </w:r>
      <w:bookmarkStart w:id="0" w:name="_Hlk536039277"/>
      <w:r>
        <w:t xml:space="preserve">the African Forest and the Indian/Syrian </w:t>
      </w:r>
      <w:bookmarkEnd w:id="0"/>
      <w:r>
        <w:t>elephant, both in and out of battle. (It should be noted that for the entirety of this article I am referring to the smaller African Forest Elephant and not the African Bush Elephant that we recognise today as the “African Elephant” this is because there is no convincing evidence that the latter were ever used in ancient warfare, or indeed any other warfare since they are notably difficult to train or control).</w:t>
      </w:r>
    </w:p>
    <w:p w:rsidR="00393868" w:rsidRDefault="00393868">
      <w:r>
        <w:t>In order to look at the pressure factors associated with the ‘hunting’ and procurement of elephants, it seems prudent to look at some of the reasons expounded by modern scholars as to why the practise ceased, and more generally look at why the ancient civilisations of the Mediterranean, and the peoples of the Indian subcontinent continued to use elephants as weapons of war, in some cases well into the late medieval age.</w:t>
      </w:r>
    </w:p>
    <w:p w:rsidR="00393868" w:rsidRDefault="00393868">
      <w:pPr>
        <w:rPr>
          <w:b/>
          <w:u w:val="single"/>
        </w:rPr>
      </w:pPr>
      <w:r w:rsidRPr="00542F48">
        <w:rPr>
          <w:b/>
          <w:u w:val="single"/>
        </w:rPr>
        <w:t>A</w:t>
      </w:r>
      <w:r>
        <w:rPr>
          <w:b/>
          <w:u w:val="single"/>
        </w:rPr>
        <w:t>n</w:t>
      </w:r>
      <w:r w:rsidRPr="00542F48">
        <w:rPr>
          <w:b/>
          <w:u w:val="single"/>
        </w:rPr>
        <w:t xml:space="preserve"> Overview of the Ptolemaic Elephant Hunting Programme.</w:t>
      </w:r>
    </w:p>
    <w:p w:rsidR="00393868" w:rsidRDefault="00393868" w:rsidP="00D4522A">
      <w:r>
        <w:t xml:space="preserve">It is important to note that the success of armies with war elephants is widely attested amongst ancient writers; they had been integral to the rise of the Seleucid Empire, as </w:t>
      </w:r>
      <w:proofErr w:type="spellStart"/>
      <w:r w:rsidR="007F4FCE">
        <w:t>Plutachs</w:t>
      </w:r>
      <w:proofErr w:type="spellEnd"/>
      <w:r>
        <w:t>’ accounts of the battle of Ipsos</w:t>
      </w:r>
      <w:r w:rsidR="007F4FCE">
        <w:t xml:space="preserve">, featuring in his </w:t>
      </w:r>
      <w:r w:rsidR="007F4FCE" w:rsidRPr="007F4FCE">
        <w:rPr>
          <w:i/>
        </w:rPr>
        <w:t>Life of Demetrius</w:t>
      </w:r>
      <w:r w:rsidR="007F4FCE">
        <w:t>,</w:t>
      </w:r>
      <w:r>
        <w:t xml:space="preserve"> show.</w:t>
      </w:r>
      <w:r>
        <w:rPr>
          <w:rStyle w:val="FootnoteReference"/>
        </w:rPr>
        <w:footnoteReference w:id="4"/>
      </w:r>
      <w:r>
        <w:t xml:space="preserve"> Furthermore, in his book </w:t>
      </w:r>
      <w:r w:rsidRPr="00C73F06">
        <w:rPr>
          <w:i/>
        </w:rPr>
        <w:t>War Elephants</w:t>
      </w:r>
      <w:r>
        <w:t xml:space="preserve">, Konstantin </w:t>
      </w:r>
      <w:proofErr w:type="spellStart"/>
      <w:r>
        <w:t>Nossov</w:t>
      </w:r>
      <w:proofErr w:type="spellEnd"/>
      <w:r>
        <w:t xml:space="preserve"> argues that they were widely used in several other battles before the reign of Ptolemy II Philadelphus.</w:t>
      </w:r>
      <w:r>
        <w:rPr>
          <w:rStyle w:val="FootnoteReference"/>
        </w:rPr>
        <w:footnoteReference w:id="5"/>
      </w:r>
      <w:r>
        <w:t xml:space="preserve"> In fact, after the battle of Ipsos, the Elephant became a major symbol of the Seleucid empire, regularly appearing on coins.</w:t>
      </w:r>
      <w:r>
        <w:rPr>
          <w:rStyle w:val="FootnoteReference"/>
        </w:rPr>
        <w:footnoteReference w:id="6"/>
      </w:r>
    </w:p>
    <w:p w:rsidR="00393868" w:rsidRPr="00D4522A" w:rsidRDefault="00393868">
      <w:r>
        <w:t>Previously, Ptolemy I would have been able to acquire Indian elephants from his conflicts with other S</w:t>
      </w:r>
      <w:r w:rsidRPr="00E75FF1">
        <w:t>uccessors</w:t>
      </w:r>
      <w:r>
        <w:t>, the most obvious example being from Demetrius after the Battle of Gaza.</w:t>
      </w:r>
      <w:r>
        <w:rPr>
          <w:rStyle w:val="FootnoteReference"/>
        </w:rPr>
        <w:footnoteReference w:id="7"/>
      </w:r>
      <w:r>
        <w:t xml:space="preserve"> However, once the Seleucid empire was formed, and started open hostilities towards Ptolemaic Egypt, it suddenly became impossible for the Ptolemies to acquire new Indian elephants. It is perhaps not surprising that this is the point where Philadelphus starts to invest in a massive, and highly costly effort to acquire elephants from the coasts of Ethiopia and potentially even further south along the east African coasts. </w:t>
      </w:r>
    </w:p>
    <w:p w:rsidR="00393868" w:rsidRDefault="00393868">
      <w:r>
        <w:t>Even by the standards of today, the transportation system set up by the Ptolemies to facilitate the capture and transportation of elephants from what is now Eritrea and Northern Somalia to northern Egypt is impressive.</w:t>
      </w:r>
    </w:p>
    <w:p w:rsidR="00393868" w:rsidRDefault="00393868">
      <w:r>
        <w:t>Firstly, there is a reasonable amount of evidence to suggest that the Egyptians under Ptolemy III engaged in</w:t>
      </w:r>
      <w:r w:rsidR="00B17C58">
        <w:t xml:space="preserve"> diplomacy and occasionally,</w:t>
      </w:r>
      <w:r>
        <w:t xml:space="preserve"> hostilit</w:t>
      </w:r>
      <w:r w:rsidR="00B17C58">
        <w:t>y</w:t>
      </w:r>
      <w:r>
        <w:t xml:space="preserve"> with their southern neighbours, predominantly the kingdom of Kush.</w:t>
      </w:r>
      <w:r>
        <w:rPr>
          <w:rStyle w:val="FootnoteReference"/>
        </w:rPr>
        <w:footnoteReference w:id="8"/>
      </w:r>
      <w:r>
        <w:t xml:space="preserve"> </w:t>
      </w:r>
      <w:r w:rsidR="00B17C58" w:rsidRPr="00763FB9">
        <w:t>Insofar as</w:t>
      </w:r>
      <w:r w:rsidRPr="00763FB9">
        <w:t xml:space="preserve"> some inscriptions and graffiti-based evidence from the area around Abu Simbel refer to at least one elephant rider or ‘Mahout’ (referred to in the graffito as an Indos), and other iconographic evidence refers to Ethiopian and Troglodytic Elephants in the Ptolemaic army, </w:t>
      </w:r>
      <w:r w:rsidRPr="00763FB9">
        <w:rPr>
          <w:rStyle w:val="FootnoteReference"/>
        </w:rPr>
        <w:footnoteReference w:id="9"/>
      </w:r>
      <w:r w:rsidRPr="00763FB9">
        <w:t xml:space="preserve"> the  </w:t>
      </w:r>
      <w:proofErr w:type="spellStart"/>
      <w:r w:rsidRPr="00763FB9">
        <w:t>Ptolomies</w:t>
      </w:r>
      <w:proofErr w:type="spellEnd"/>
      <w:r w:rsidRPr="00763FB9">
        <w:t xml:space="preserve"> appear to have been somewhat successful in acquiring elephants and so the possibility that that was indeed the purpose of those engagements is at least plausible.</w:t>
      </w:r>
    </w:p>
    <w:p w:rsidR="00393868" w:rsidRDefault="00393868">
      <w:r>
        <w:t xml:space="preserve">It further involved a large exploration effort, and Strabo and Diodorus refer to three such explorers, Eumedes and Satyrus in Strabo, and Simmias in Diodorus, who were each sent to reconnoitre the </w:t>
      </w:r>
      <w:r>
        <w:lastRenderedPageBreak/>
        <w:t>Arabian and African Red Sea coasts, seemingly for the specific purpose of finding good elephant hunting grounds.</w:t>
      </w:r>
      <w:r w:rsidR="00B17C58">
        <w:rPr>
          <w:rStyle w:val="FootnoteReference"/>
        </w:rPr>
        <w:footnoteReference w:id="10"/>
      </w:r>
      <w:r>
        <w:t xml:space="preserve"> These individuals seem also to have been instrumental in the construction of several new ports, the most obvious example being Ptolemais Theron (Ptolemais of the Hunts), which according to Strabo, was founded by this same Eumedes, at the behest of Ptolemy II Philadelphus.</w:t>
      </w:r>
      <w:r w:rsidR="000C57B5">
        <w:rPr>
          <w:rStyle w:val="FootnoteReference"/>
        </w:rPr>
        <w:footnoteReference w:id="11"/>
      </w:r>
      <w:r>
        <w:t xml:space="preserve"> The foundation of cities such as this in order to procure resources for war, in this case elephants, is analogous to the 5</w:t>
      </w:r>
      <w:r w:rsidRPr="00801F60">
        <w:rPr>
          <w:vertAlign w:val="superscript"/>
        </w:rPr>
        <w:t>th</w:t>
      </w:r>
      <w:r>
        <w:t xml:space="preserve"> century BCE foundation of Amphipolis by the Athenians in that case to secure Macedonian gold and high-quality ship building wood.</w:t>
      </w:r>
      <w:r>
        <w:rPr>
          <w:rStyle w:val="FootnoteReference"/>
        </w:rPr>
        <w:footnoteReference w:id="12"/>
      </w:r>
      <w:r>
        <w:t xml:space="preserve"> The name Ptolemais Theron obviously indicates its intended purpose.</w:t>
      </w:r>
    </w:p>
    <w:p w:rsidR="00393868" w:rsidRDefault="00393868">
      <w:r>
        <w:t xml:space="preserve">Furthermore, in order to reach this area and maintain a strong presence, a large network of forts had to be constructed to provide water for the elephant hunting parties, </w:t>
      </w:r>
      <w:proofErr w:type="gramStart"/>
      <w:r>
        <w:t>and also</w:t>
      </w:r>
      <w:proofErr w:type="gramEnd"/>
      <w:r>
        <w:t xml:space="preserve"> probably to secure the route against potential attacks from the hostile tribesmen indigenous to the area.</w:t>
      </w:r>
      <w:r>
        <w:rPr>
          <w:rStyle w:val="FootnoteReference"/>
        </w:rPr>
        <w:footnoteReference w:id="13"/>
      </w:r>
    </w:p>
    <w:p w:rsidR="00393868" w:rsidRDefault="00393868">
      <w:r>
        <w:t>These parties would then have to sail down the Red Sea in specially constructed ships designed to transport elephants (</w:t>
      </w:r>
      <w:proofErr w:type="spellStart"/>
      <w:r>
        <w:t>elephantagoi</w:t>
      </w:r>
      <w:proofErr w:type="spellEnd"/>
      <w:r>
        <w:t>), both the ones they were intending to capture, and the ones they would almost inevitably be bringing with them, as using tamed elephants to subdue wild ones seems to be one of the safest of the hunting techniques as referenced by Arrian in his Indica.</w:t>
      </w:r>
      <w:r>
        <w:rPr>
          <w:rStyle w:val="FootnoteReference"/>
        </w:rPr>
        <w:footnoteReference w:id="14"/>
      </w:r>
      <w:r>
        <w:t xml:space="preserve"> Typically, such parties would be hundreds strong.</w:t>
      </w:r>
      <w:r w:rsidR="000C57B5">
        <w:rPr>
          <w:rStyle w:val="FootnoteReference"/>
        </w:rPr>
        <w:footnoteReference w:id="15"/>
      </w:r>
      <w:r>
        <w:t xml:space="preserve"> The captured elephants would then have been taken on these same specialised ships back up the coast to one of the various ports, then back over the eastern desert and from there up the Nile to the Ptolemaic heartlands.</w:t>
      </w:r>
    </w:p>
    <w:p w:rsidR="00393868" w:rsidRDefault="00393868">
      <w:r>
        <w:t>This process and practise of elephant hunting continued throughout most of the early and mid-Ptolemaic period, outlasting five kings, before eventually ceasing sometime during the reign of Ptolemy VI.</w:t>
      </w:r>
    </w:p>
    <w:p w:rsidR="00393868" w:rsidRDefault="00393868">
      <w:r>
        <w:t>Given how long the practise lasted, and how much this sort of transport must have cost just to set up, together with the danger inherent in elephant hunting (and therefore the cost of equipping and paying the members of such an expedition), it is clear the Ptolemies must have had a very powerful reason for continuing the hunts, even in the face of the apparent failure of the Egyptian elephants at the battle of Raphia; although whether this was in fact a failure will be discussed later in this essay.</w:t>
      </w:r>
      <w:r>
        <w:rPr>
          <w:rStyle w:val="FootnoteReference"/>
        </w:rPr>
        <w:footnoteReference w:id="16"/>
      </w:r>
      <w:r>
        <w:t xml:space="preserve"> The question then becomes why were elephants so sought after by the Hellenistic rulers, to the extent that the Ptolemies would expend so much merely at the chance to acquire some for their military? This on the face of it appears especially perplexing given that it is nearly certain that the Ptolemies were aware of the relative inferiorities of their own elephants against those of the Seleucids well before the battle of Raphia.</w:t>
      </w:r>
    </w:p>
    <w:p w:rsidR="00393868" w:rsidRDefault="00393868">
      <w:r>
        <w:t xml:space="preserve">In order to answer this question, it will be necessary to discuss the merits and demerits, of both types of Elephants used by Hellenistic armies, both generally, and specifically </w:t>
      </w:r>
      <w:proofErr w:type="gramStart"/>
      <w:r>
        <w:t>with regard to</w:t>
      </w:r>
      <w:proofErr w:type="gramEnd"/>
      <w:r>
        <w:t xml:space="preserve"> the more regular elements of both armies.</w:t>
      </w:r>
    </w:p>
    <w:p w:rsidR="00393868" w:rsidRDefault="00393868">
      <w:r>
        <w:t>The first one is that elephants are a major burden on the supply train of an ancient army since they require an enormous amount of food</w:t>
      </w:r>
      <w:r w:rsidR="00E20381">
        <w:t>.</w:t>
      </w:r>
      <w:r>
        <w:t xml:space="preserve"> </w:t>
      </w:r>
      <w:r w:rsidR="00E20381">
        <w:t>A</w:t>
      </w:r>
      <w:r>
        <w:t xml:space="preserve">ccording to </w:t>
      </w:r>
      <w:proofErr w:type="spellStart"/>
      <w:r>
        <w:t>Nossov</w:t>
      </w:r>
      <w:proofErr w:type="spellEnd"/>
      <w:r w:rsidR="00E20381">
        <w:t xml:space="preserve"> the Mughal Emperor Baur claimed that an elephant required</w:t>
      </w:r>
      <w:r>
        <w:t xml:space="preserve"> </w:t>
      </w:r>
      <w:r w:rsidR="00E20381">
        <w:t>the same amount of food</w:t>
      </w:r>
      <w:r>
        <w:t xml:space="preserve"> that</w:t>
      </w:r>
      <w:r w:rsidR="00E20381">
        <w:t xml:space="preserve"> fifteen</w:t>
      </w:r>
      <w:r w:rsidR="000C57B5">
        <w:t xml:space="preserve"> cam</w:t>
      </w:r>
      <w:r w:rsidR="00E20381">
        <w:t>els required</w:t>
      </w:r>
      <w:r>
        <w:t xml:space="preserve"> to keep in good health.</w:t>
      </w:r>
      <w:r>
        <w:rPr>
          <w:rStyle w:val="FootnoteReference"/>
        </w:rPr>
        <w:footnoteReference w:id="17"/>
      </w:r>
      <w:r>
        <w:t xml:space="preserve"> </w:t>
      </w:r>
      <w:r>
        <w:lastRenderedPageBreak/>
        <w:t xml:space="preserve">This would not have been a problem for the first few weeks of campaigning, since the capability to use elephants as draft animals means they can carry more than enough food to sustain themselves. The problem arises when the ancient army starts to rely on foraging more and more, as unlike horses which are naturally adapted to graze for small amounts over large areas, elephants have no such natural adaptation. </w:t>
      </w:r>
    </w:p>
    <w:p w:rsidR="00393868" w:rsidRDefault="00393868">
      <w:r>
        <w:t>It is also a well-known fact the African Forest Elephants that the Ptolemies were able to procure through their extensive elephant hunting program were significantly smaller than those available to the Seleucids, and as shown in Polybius’s account of the Battle of Raphia, were potentially vulnerable to becoming terrified of the smell and noise of their larger Syrian/Indian counterparts.</w:t>
      </w:r>
      <w:r>
        <w:rPr>
          <w:rStyle w:val="FootnoteReference"/>
        </w:rPr>
        <w:footnoteReference w:id="18"/>
      </w:r>
      <w:r>
        <w:t xml:space="preserve"> This is in addition to the other issues that ancient authors have indicated that war elephants tend to suffer from, such as unreliability, most commonly expressed when they retreated in panic through their own ranks causing at the very least minor casualties, and at worst, in the eyes of the battlefield commander, large casualties, confusion and panic.</w:t>
      </w:r>
      <w:r>
        <w:rPr>
          <w:rStyle w:val="FootnoteReference"/>
        </w:rPr>
        <w:footnoteReference w:id="19"/>
      </w:r>
      <w:r>
        <w:t xml:space="preserve"> They also sometimes showed a timidity, as well as a massive vulnerability such as at the battle of </w:t>
      </w:r>
      <w:proofErr w:type="spellStart"/>
      <w:r>
        <w:t>Gabiene</w:t>
      </w:r>
      <w:proofErr w:type="spellEnd"/>
      <w:r>
        <w:t xml:space="preserve"> where the smaller elephant forces of </w:t>
      </w:r>
      <w:proofErr w:type="spellStart"/>
      <w:r>
        <w:t>Antigonus</w:t>
      </w:r>
      <w:proofErr w:type="spellEnd"/>
      <w:r>
        <w:t>, were able to defeat and rout the larger force of elephants fielded by Eumenes, simply by killing the latter’s lead animal, at which point the following elephants scattered regardless of the fact they still had larger numbers, since this is not a factor which seems to be  recognised as important by the individual elephants themselves; what concerns them is the loss of their leader.</w:t>
      </w:r>
      <w:r>
        <w:rPr>
          <w:rStyle w:val="FootnoteReference"/>
        </w:rPr>
        <w:footnoteReference w:id="20"/>
      </w:r>
    </w:p>
    <w:p w:rsidR="00393868" w:rsidRDefault="00393868">
      <w:r>
        <w:t xml:space="preserve">Taking into account all these impracticalities of deploying and effectively using elephants, we must ask </w:t>
      </w:r>
      <w:proofErr w:type="gramStart"/>
      <w:r>
        <w:t>the  question</w:t>
      </w:r>
      <w:proofErr w:type="gramEnd"/>
      <w:r>
        <w:t>, why would the Ptolemies expend so much effort and risk so many resources in acquiring something that was potentially so unreliable?</w:t>
      </w:r>
    </w:p>
    <w:p w:rsidR="00393868" w:rsidRDefault="00393868">
      <w:r>
        <w:t>The answer can be explained solely by an in-depth analysis of the many advantages of elephants on the battle field versus conventional human and equine forces. Firstly, they are extraordinarily resilient, to the extent that even when firearms were introduced to the Indian subcontinent, it was only the threat of artillery pieces that caused them to become obsolete as weapons of war, as even though a musket or rifle could theoretically fell an elephant in a single hit, this would require either an exceptionally good or an exceptionally lucky shot. Normally it took dozens, and sometimes hundreds of bullets to bring down a charging elephant.</w:t>
      </w:r>
      <w:r>
        <w:rPr>
          <w:rStyle w:val="FootnoteReference"/>
        </w:rPr>
        <w:footnoteReference w:id="21"/>
      </w:r>
      <w:r>
        <w:t xml:space="preserve"> The fact that even early modern firepower was/is not effective at stopping an elephant, is perhaps enough evidence on its own as to the potential battlefield effectiveness of elephants in the ancient period. </w:t>
      </w:r>
    </w:p>
    <w:p w:rsidR="00393868" w:rsidRDefault="00393868">
      <w:r>
        <w:t>But aside from the obvious use of elephants as nigh on impervious living battering rams, they also provided ancient generals with a fantastic battlefield control tool. It is a well attested fact in both ancient historic, and modern scientific discourse that horses are unnerved by the smell of elephants. Many Roman scholars are of the opinion that it is for this reason the Romans started to deploy their own elephants in wars, predominantly against the Iberians, their campaigns in Greece, and even sparingly in at least one of their invasions of Britain: because it immediately neutralised the cavalry.</w:t>
      </w:r>
      <w:r>
        <w:rPr>
          <w:rStyle w:val="FootnoteReference"/>
        </w:rPr>
        <w:footnoteReference w:id="22"/>
      </w:r>
      <w:r>
        <w:t>Indeed, specifically in the British Isles, where elephants had not previously been encountered, the British too, scattered in disarray.</w:t>
      </w:r>
    </w:p>
    <w:p w:rsidR="00393868" w:rsidRDefault="00393868">
      <w:r>
        <w:t xml:space="preserve">But perhaps the most important military use of elephants, though it is related to the previously mentioned points, is the psychological effect that they have upon the individual soldiers in the </w:t>
      </w:r>
      <w:r>
        <w:lastRenderedPageBreak/>
        <w:t xml:space="preserve">enemy army. It requires an enormous amount of discipline and/or faith in your comrades and commanding officers to keep calm when charged by other humans, let alone an elephant, which for many soldiers may well have been one of the first times they had seen one, and certainly had to fight one. This would only be exacerbated with the brutal ways war elephants kill humanoid targets. Diodorus, in his account of the Battle of the River </w:t>
      </w:r>
      <w:proofErr w:type="spellStart"/>
      <w:r>
        <w:t>Hydaspes</w:t>
      </w:r>
      <w:proofErr w:type="spellEnd"/>
      <w:r>
        <w:t>, describes that</w:t>
      </w:r>
      <w:r w:rsidRPr="00C63C6C">
        <w:t xml:space="preserve"> </w:t>
      </w:r>
      <w:r>
        <w:t>‘Some of the Macedonians were trodden under foot, armour and all, by the beasts and died, their bones crushed. Others were caught up by the elephants' trunks and, lifted on high, were dashed back down to the ground again, dying a fearful death. Many soldiers were pierced through by the tusks and died instantly, run through the whole body.’</w:t>
      </w:r>
      <w:r>
        <w:rPr>
          <w:rStyle w:val="FootnoteReference"/>
        </w:rPr>
        <w:footnoteReference w:id="23"/>
      </w:r>
      <w:r>
        <w:t xml:space="preserve"> Even by the standards of hand to hand fighting these would have been quite terrifying spectacles for soldiers to have to witnessed, and for those soldiers that were not experienced at facing elephants, the sight of a nigh-on impervious beast easily killing your comrades and friends would be terror inducing to the  point of hysteria.</w:t>
      </w:r>
    </w:p>
    <w:p w:rsidR="00393868" w:rsidRDefault="00393868">
      <w:r>
        <w:t xml:space="preserve">However, modern scholarship has for a long time been of the opinion that elephants were easy to counter, since many ancient authors state that there were at least since  the time of Alexander the Great, effective ways of dealing with them, such as opening your ranks to allow the elephants to pass through, and showering them with missile fire, and even simply attacking the legs and undersides of the animals with spears. </w:t>
      </w:r>
      <w:r>
        <w:rPr>
          <w:rStyle w:val="FootnoteReference"/>
        </w:rPr>
        <w:footnoteReference w:id="24"/>
      </w:r>
    </w:p>
    <w:p w:rsidR="00393868" w:rsidRDefault="00393868">
      <w:r>
        <w:t xml:space="preserve">However, there is a major difference between knowing how to counter something in theory and being able to pull it off in battle field conditions. It would need a very strong not to say charismatic leader to command the trust of his troops to achieve this. It is important to note that in every incident we see in ancient scholarship where a force of elephants </w:t>
      </w:r>
      <w:r w:rsidRPr="00763FB9">
        <w:rPr>
          <w:i/>
        </w:rPr>
        <w:t>have</w:t>
      </w:r>
      <w:r>
        <w:t xml:space="preserve"> been defeated by a force of infantry, the infantry in question have been very experienced, and lead by the foremost military minds of their time. Such was the case at the battles of the River </w:t>
      </w:r>
      <w:proofErr w:type="spellStart"/>
      <w:r>
        <w:t>Hydaspes</w:t>
      </w:r>
      <w:proofErr w:type="spellEnd"/>
      <w:r>
        <w:t xml:space="preserve"> with Macedonian/Persian army of Alexander the Great, Zama with the veteran Roman Legions under Scipio Africanus, veteran Roman legionaries and Greek allies under Eumenes II and Scipio </w:t>
      </w:r>
      <w:proofErr w:type="spellStart"/>
      <w:r>
        <w:t>Asiaticus</w:t>
      </w:r>
      <w:proofErr w:type="spellEnd"/>
      <w:r>
        <w:t xml:space="preserve"> and the veteran 5</w:t>
      </w:r>
      <w:r w:rsidRPr="006C42E1">
        <w:rPr>
          <w:vertAlign w:val="superscript"/>
        </w:rPr>
        <w:t>th</w:t>
      </w:r>
      <w:r>
        <w:t xml:space="preserve"> legion under Julius Caesar at Thapsus.</w:t>
      </w:r>
      <w:r>
        <w:rPr>
          <w:rStyle w:val="FootnoteReference"/>
        </w:rPr>
        <w:footnoteReference w:id="25"/>
      </w:r>
      <w:r>
        <w:t xml:space="preserve"> Even at the </w:t>
      </w:r>
      <w:proofErr w:type="spellStart"/>
      <w:r>
        <w:t>Hydaspes</w:t>
      </w:r>
      <w:proofErr w:type="spellEnd"/>
      <w:r>
        <w:t xml:space="preserve">, the elephants still seem to have inflicted significant casualties against the Macedonian phalanx, with Arrian stating that despite the Macedonians utilising javelins, the elephants of </w:t>
      </w:r>
      <w:proofErr w:type="spellStart"/>
      <w:r>
        <w:t>Poros</w:t>
      </w:r>
      <w:proofErr w:type="spellEnd"/>
      <w:r>
        <w:t xml:space="preserve"> ‘Rushed forward and demolished the Macedonian Phalanx, as dense as it was’.</w:t>
      </w:r>
      <w:r>
        <w:rPr>
          <w:rStyle w:val="FootnoteReference"/>
        </w:rPr>
        <w:footnoteReference w:id="26"/>
      </w:r>
      <w:r>
        <w:t xml:space="preserve"> It is the opinion of some scholars, including the ancient Diodorus Siculus and the modern </w:t>
      </w:r>
      <w:proofErr w:type="spellStart"/>
      <w:r>
        <w:t>Kossov</w:t>
      </w:r>
      <w:proofErr w:type="spellEnd"/>
      <w:r>
        <w:t xml:space="preserve"> that it was this very battle experience, and the prospect of facing larger Indian kingdoms, such as </w:t>
      </w:r>
      <w:proofErr w:type="spellStart"/>
      <w:r>
        <w:t>Gangaridae</w:t>
      </w:r>
      <w:proofErr w:type="spellEnd"/>
      <w:r>
        <w:t>, and the Mauryan empire of Chandragupta that curtailed and eventually effectively halted the Alexandrian push into the rest of India.</w:t>
      </w:r>
      <w:r>
        <w:rPr>
          <w:rStyle w:val="FootnoteReference"/>
        </w:rPr>
        <w:footnoteReference w:id="27"/>
      </w:r>
    </w:p>
    <w:p w:rsidR="00393868" w:rsidRDefault="00393868">
      <w:r>
        <w:t>It is also a mistake of scholarship to put such a heavy focus on the comparison of the two different kinds of elephants facing each other at the battle of Raphia</w:t>
      </w:r>
      <w:r w:rsidRPr="009E7810">
        <w:t xml:space="preserve">.  </w:t>
      </w:r>
      <w:r w:rsidRPr="00763FB9">
        <w:t xml:space="preserve">This </w:t>
      </w:r>
      <w:r w:rsidRPr="009E7810">
        <w:t>completely disregard</w:t>
      </w:r>
      <w:r w:rsidRPr="00763FB9">
        <w:t xml:space="preserve">s </w:t>
      </w:r>
      <w:r w:rsidRPr="009E7810">
        <w:t xml:space="preserve">the fact that if you deploy either of these two biological war machines against any of the much more numerous infantry and cavalry forces present in either armies, the obvious differences in size, strength and impact force of the elephants, </w:t>
      </w:r>
      <w:proofErr w:type="gramStart"/>
      <w:r w:rsidRPr="009E7810">
        <w:t>actually means</w:t>
      </w:r>
      <w:proofErr w:type="gramEnd"/>
      <w:r w:rsidRPr="009E7810">
        <w:t xml:space="preserve"> very little with</w:t>
      </w:r>
      <w:r>
        <w:t xml:space="preserve"> regard to their overall combat effectiveness</w:t>
      </w:r>
    </w:p>
    <w:p w:rsidR="00393868" w:rsidRDefault="00393868">
      <w:r>
        <w:t xml:space="preserve">A simple analysis and comparison of the physical capabilities of these beasts is more than </w:t>
      </w:r>
      <w:proofErr w:type="gramStart"/>
      <w:r>
        <w:t>sufficient</w:t>
      </w:r>
      <w:proofErr w:type="gramEnd"/>
      <w:r>
        <w:t xml:space="preserve"> to explain this point. Both the African Forest and Indian/Syrian elephants have similar speeds with </w:t>
      </w:r>
      <w:r>
        <w:lastRenderedPageBreak/>
        <w:t>the Indian elephant having a speed of roughly 12.1 meters per second, where as a modern Forest Elephant, which is the closest relation to the ancient beasts utilised for war by the Ptolemies is roughly 11 meters per second.</w:t>
      </w:r>
      <w:r>
        <w:rPr>
          <w:rStyle w:val="FootnoteReference"/>
        </w:rPr>
        <w:footnoteReference w:id="28"/>
      </w:r>
      <w:r>
        <w:t xml:space="preserve"> The weight of either an African forest elephant or an Indian elephant can vary widely in the wild, but it is a safe assumption the ones being used as war elephants would be of the largest sizes possible, as a result of their focussed training, access to medical care, and readily accessible food supplies, so I believe it is reasonable to use the upper measurements for both.  </w:t>
      </w:r>
      <w:proofErr w:type="gramStart"/>
      <w:r>
        <w:t>That being said an</w:t>
      </w:r>
      <w:proofErr w:type="gramEnd"/>
      <w:r>
        <w:t xml:space="preserve"> Indian Elephant weighs roughly 5000 kilograms, where as a Forest elephant weighs between 2700 and 3000 kilograms. </w:t>
      </w:r>
      <w:r>
        <w:rPr>
          <w:rStyle w:val="FootnoteReference"/>
        </w:rPr>
        <w:footnoteReference w:id="29"/>
      </w:r>
      <w:r>
        <w:t xml:space="preserve">This is a significant difference but as we shall see, in most cases, not necessarily relevant to their battlefield use or effectiveness. </w:t>
      </w:r>
    </w:p>
    <w:p w:rsidR="00393868" w:rsidRDefault="00393868" w:rsidP="00A577D4">
      <w:r>
        <w:t xml:space="preserve">Though there is no mathematical equation for measuring strength of an elephant in combat, we can get an indicative estimate of how powerful </w:t>
      </w:r>
      <w:proofErr w:type="gramStart"/>
      <w:r>
        <w:t>both of these</w:t>
      </w:r>
      <w:proofErr w:type="gramEnd"/>
      <w:r>
        <w:t xml:space="preserve"> animals are on the charge. Using the equation for Force f=mv, where m is mass and v is velocity, using the previous figures, the force of an impact of an Indian elephant works out as 60,500 newtons of force, whereas the African elephant charge has an impact force of 33,000 newtons. In terms of the difference in kinetic energy, an Indian elephants’ kinetic energy is roughly 336,025 joules, where as an African forest elephant is 181,500 joules.  For comparison, the equivalent numbers for a unladen large horse, when assuming the horses speed and weight to be 1</w:t>
      </w:r>
      <w:r w:rsidR="00ED235C">
        <w:t>8</w:t>
      </w:r>
      <w:r>
        <w:t xml:space="preserve"> metres per second, and </w:t>
      </w:r>
      <w:r w:rsidR="00ED235C">
        <w:t>550</w:t>
      </w:r>
      <w:r>
        <w:t xml:space="preserve"> kg respectively, are </w:t>
      </w:r>
      <w:r w:rsidR="00ED235C">
        <w:t>9900</w:t>
      </w:r>
      <w:r>
        <w:t xml:space="preserve"> newtons and </w:t>
      </w:r>
      <w:r w:rsidR="00ED235C">
        <w:t>72900</w:t>
      </w:r>
      <w:r>
        <w:t xml:space="preserve"> joules, i.e. a factor of</w:t>
      </w:r>
      <w:r w:rsidR="00ED235C">
        <w:t xml:space="preserve"> over</w:t>
      </w:r>
      <w:r>
        <w:t xml:space="preserve"> three times less than for a forest elephant. </w:t>
      </w:r>
      <w:r>
        <w:rPr>
          <w:rStyle w:val="FootnoteReference"/>
        </w:rPr>
        <w:footnoteReference w:id="30"/>
      </w:r>
      <w:r>
        <w:t xml:space="preserve"> It is worth bearing in mind that this horse will not be unladen on a battle field meaning that its impact force will go up, but its raw kinetic energy will go down as the square of its speed. This is also true of the elephants but would have proportionally less of an effect because of their increased strength. Furthermore, the speed of the horse would likely be lowered even further by the necessity to keep in formation and prevent collisions. This would again be less of a hinderance for elephants as their formations need to be more widely spaced to allow the elephant to exercise its reach and power once it has engaged in melee, meaning that elephant handlers do not need to moderate the speed of their charge, at least to the extent that a horseman does. The elephant thus has more independent space, so collisions are significantly less likely.</w:t>
      </w:r>
    </w:p>
    <w:p w:rsidR="00393868" w:rsidRDefault="00393868" w:rsidP="00A577D4">
      <w:r>
        <w:t>From this we can see that the Indian elephant is clearly more physically impressive than an African Forest elephant, but since both of them are so far in excess of the capabilities of a large horse and  therefore a man, the effectiveness of these beasts when facing anything on an ancient battlefield except each other are essentially moot, with the slight caveat that an Indian elephant has higher momentum and therefore would penetrate deeper into a formation than an African one. Even in saying that though, considering that the depth of most phalanxes was around 16 men deep, the momentum of either of these animals is more than enough to penetrate all the way through a standard depth phalanx.</w:t>
      </w:r>
    </w:p>
    <w:p w:rsidR="00393868" w:rsidRDefault="00393868" w:rsidP="00A577D4">
      <w:r>
        <w:t>Logistically however, the African forest elephant is vastly superior. Modern sources say both the different types of elephants dealt with in this essay need to eat roughly 5% of their body weight a day to stay healthy, meaning 250kg for a large Indian elephant but only 150kg for a large Forest elephant.</w:t>
      </w:r>
      <w:r w:rsidR="00ED235C">
        <w:rPr>
          <w:rStyle w:val="FootnoteReference"/>
        </w:rPr>
        <w:footnoteReference w:id="31"/>
      </w:r>
      <w:r>
        <w:t xml:space="preserve"> This is an enormous difference logistically between the two animals. This means the African elephant is much easier to keep operational in the field and would give the Egyptian forces a significant advantage in protracted campaigns.</w:t>
      </w:r>
    </w:p>
    <w:p w:rsidR="00393868" w:rsidRDefault="00393868" w:rsidP="00A577D4">
      <w:r>
        <w:lastRenderedPageBreak/>
        <w:t>From the perspective of the use of the elephant’s ability to scare cavalry, the</w:t>
      </w:r>
      <w:r w:rsidR="00D30377">
        <w:t>re</w:t>
      </w:r>
      <w:r>
        <w:t xml:space="preserve"> </w:t>
      </w:r>
      <w:r w:rsidR="00D30377">
        <w:t>appears</w:t>
      </w:r>
      <w:r>
        <w:t xml:space="preserve"> to be no evidence that either beast </w:t>
      </w:r>
      <w:proofErr w:type="gramStart"/>
      <w:r>
        <w:t>is more or less</w:t>
      </w:r>
      <w:proofErr w:type="gramEnd"/>
      <w:r>
        <w:t xml:space="preserve"> effective in this regard. In fact, speaking on the history channels program </w:t>
      </w:r>
      <w:r w:rsidRPr="00B673A6">
        <w:rPr>
          <w:i/>
        </w:rPr>
        <w:t>Decisive Battles</w:t>
      </w:r>
      <w:r>
        <w:t xml:space="preserve">, </w:t>
      </w:r>
      <w:r w:rsidR="0019259A">
        <w:t>Peter Connolly</w:t>
      </w:r>
      <w:r>
        <w:t xml:space="preserve"> seems to suggest that the main intended </w:t>
      </w:r>
      <w:r w:rsidR="00D30377">
        <w:t>function of</w:t>
      </w:r>
      <w:r>
        <w:t xml:space="preserve">  </w:t>
      </w:r>
      <w:r w:rsidR="00D30377">
        <w:t xml:space="preserve">the </w:t>
      </w:r>
      <w:r>
        <w:t>elephants in the Roman army at the battle of Cynoscephalae, the African forest elephant, was to scare the opposing Macedonian horses.</w:t>
      </w:r>
      <w:r>
        <w:rPr>
          <w:rStyle w:val="FootnoteReference"/>
        </w:rPr>
        <w:footnoteReference w:id="32"/>
      </w:r>
    </w:p>
    <w:p w:rsidR="00393868" w:rsidRDefault="00393868" w:rsidP="00A577D4">
      <w:r>
        <w:t xml:space="preserve">In summation, from a combat perspective, both the Indian and African Forest elephants have similar effectiveness versus a non-elephantine target, while practically, the Forest elephant; despite being harder to acquire and train, resulting in much higher acquisition costs, has a much lower maintenance cost when compared to the Seleucid beasts and therefore is in resource terms more efficient. </w:t>
      </w:r>
    </w:p>
    <w:p w:rsidR="00393868" w:rsidRDefault="00393868" w:rsidP="00A577D4">
      <w:proofErr w:type="gramStart"/>
      <w:r>
        <w:t>With this in mind, another</w:t>
      </w:r>
      <w:proofErr w:type="gramEnd"/>
      <w:r>
        <w:t xml:space="preserve"> interpretation of the Polybian account of Raphia is possible. Rather than the accepted position that the Egyptian elephants did not give a good account of themselves, since they did in fact lose the engagement with the Seleucid animals, the fact that the two-elephant corps engaged each other at all should be counted as a victory for the Ptolemaic long-term strategic planning.</w:t>
      </w:r>
      <w:r>
        <w:rPr>
          <w:rStyle w:val="FootnoteReference"/>
        </w:rPr>
        <w:footnoteReference w:id="33"/>
      </w:r>
      <w:r>
        <w:t xml:space="preserve"> </w:t>
      </w:r>
    </w:p>
    <w:p w:rsidR="00393868" w:rsidRDefault="00393868" w:rsidP="00A577D4">
      <w:r>
        <w:t>To explain this, let us imagine that the Egyptians did not have an elephant corps with which to counter the Seleucid animals. That would have essentially left the Seleucid animals free to be used in other parts of the battle field, potentially to inflict massive damage on other parts of the Egyptian army, either effectively neutralising the Ptolemaic horsemen by their sheer presence, or, causing potentially massive damage to the Ptolemaic phalanx.</w:t>
      </w:r>
    </w:p>
    <w:p w:rsidR="00393868" w:rsidRDefault="00393868" w:rsidP="00A577D4">
      <w:r>
        <w:t xml:space="preserve">Now let us imagine a situation where by the Seleucid Indian elephants were able to ignore the existence of the Egyptian African forest ones by out manoeuvring them: In such a situation the elephant armies do not engage with each other at all thus leaving the Egyptian elephants with a similar operational freedom to attack any part of the Seleucid army, and as we have already seen, the differences between the African forest and Indian elephants are almost irrelevant when they are combating humans and horses: if anything, using an Indian as opposed to a Forest elephant against anything other than another elephant is at least inefficient, and at worst, gross overkill. This scenario would have essentially guaranteed the battlefield degenerating into an enormous and chaotic melee, whereby its outcome is determined more by random chance and the luck of individual soldiers, than by any kind of planning or strategy imposed upon them from their monarchs and officers. That prospect is abhorrent to both commanders, but particularly so for the Seleucids, who were fighting in foreign territory, as not only did they have to win the battle to continue their offensive, they had to do so without taking significant losses. </w:t>
      </w:r>
    </w:p>
    <w:p w:rsidR="00393868" w:rsidRDefault="00393868" w:rsidP="00A577D4">
      <w:r>
        <w:t xml:space="preserve">This is because although theoretically the Seleucids could call up more men from their empire to continue the war effort, it would take much longer than it would for the Ptolemies and would run the risk of exposing their empire to foreign incursions on other frontiers and internal rebellion </w:t>
      </w:r>
      <w:r w:rsidR="00475E60">
        <w:t>and they were already  having to fight off the</w:t>
      </w:r>
      <w:r>
        <w:t xml:space="preserve"> rebellion of </w:t>
      </w:r>
      <w:proofErr w:type="spellStart"/>
      <w:r>
        <w:t>Acheaus</w:t>
      </w:r>
      <w:proofErr w:type="spellEnd"/>
      <w:r w:rsidR="00475E60">
        <w:t xml:space="preserve"> in Asia minor</w:t>
      </w:r>
      <w:r>
        <w:t>.</w:t>
      </w:r>
      <w:r>
        <w:rPr>
          <w:rStyle w:val="FootnoteReference"/>
        </w:rPr>
        <w:footnoteReference w:id="34"/>
      </w:r>
    </w:p>
    <w:p w:rsidR="00393868" w:rsidRDefault="00393868" w:rsidP="00A577D4">
      <w:r>
        <w:t>Ptolemy IV by comparison, a.) had a slightly larger army on the battlefield, and b.) merely had to deplete the Seleucid army sufficiently to halt their advance. Therefore, the odds entailed in random combat were in his favour.</w:t>
      </w:r>
    </w:p>
    <w:p w:rsidR="00393868" w:rsidRDefault="00393868" w:rsidP="00A577D4">
      <w:r>
        <w:lastRenderedPageBreak/>
        <w:t xml:space="preserve">The net result of which was that the Seleucids had to use their own elephants to engage and deal with the Egyptian Elephants otherwise they would have neutralised their own advantage. </w:t>
      </w:r>
    </w:p>
    <w:p w:rsidR="00393868" w:rsidRDefault="00393868" w:rsidP="00A577D4">
      <w:r>
        <w:t xml:space="preserve">Another important point to make is that in Polybius’ account he mentions that the Egyptian elephants were afraid to face the Seleucid ones and charged back through their own lines. The interesting and often overlooked part of this passage is that after this, no mention of the Seleucid Elephants is made at all. </w:t>
      </w:r>
    </w:p>
    <w:p w:rsidR="00393868" w:rsidRDefault="00393868" w:rsidP="00A577D4">
      <w:r>
        <w:t>Given the fact that in the Polybian account, he describes most of Ptolemy’s elephants as being captured, this leads me to believe that either, the Seleucid elephants pursued the Egyptian elephants from the field, rather than that they simply ran away,  and that they were then responsible for capturing the Egyptian beasts, and/or that they were captured by Antiochus during his over exuberant pursuit of the Egyptian left wing. The other possibility is that Polybius is mistaken, and it was the Seleucid elephants of Antiochus that were captured, but that is not especially likely. It does seem though that in any event Antiochus made a grave mistake in pursuing elephants rather than continuing to fight the battle he was engaged in.</w:t>
      </w:r>
    </w:p>
    <w:p w:rsidR="00393868" w:rsidRDefault="00393868" w:rsidP="00A577D4">
      <w:r>
        <w:t xml:space="preserve">However, in </w:t>
      </w:r>
      <w:proofErr w:type="gramStart"/>
      <w:r>
        <w:t>all of</w:t>
      </w:r>
      <w:proofErr w:type="gramEnd"/>
      <w:r>
        <w:t xml:space="preserve"> these scenarios the existence of the Egyptian elephants seems to have effectively neutralised the impact of the Seleucid ones, and in the scenario whereby Antiochus conducted his ill-fated pursuit specifically to acquire the Egyptian Elephants, they also would have been responsible for neutralising the entire Seleucid right wing (likely the strongest section of their army). So that even though the elephants were nominally defeated in combat, they could be said to have been responsible for the </w:t>
      </w:r>
      <w:proofErr w:type="gramStart"/>
      <w:r>
        <w:t>final outcome</w:t>
      </w:r>
      <w:proofErr w:type="gramEnd"/>
      <w:r>
        <w:t xml:space="preserve"> of the engagement.</w:t>
      </w:r>
    </w:p>
    <w:p w:rsidR="00393868" w:rsidRDefault="00393868" w:rsidP="00A577D4">
      <w:r>
        <w:t>Yet another possibility that deserves consideration is that Antiochus’s pursuit arose from the fact that he was forced to go around the elephants, there by placing himself and his cavalry even further away from his own troops, and thus distorting his view of the battle field and resulting in him becoming isolated in that way.</w:t>
      </w:r>
    </w:p>
    <w:p w:rsidR="00393868" w:rsidRDefault="00393868" w:rsidP="00A577D4">
      <w:r>
        <w:t xml:space="preserve">When read in this way, the Egyptian Elephants go from being an abject and disappointing failure to a, and possibly the, major factor leading to the Ptolemaic victory at Raphia. </w:t>
      </w:r>
    </w:p>
    <w:p w:rsidR="00393868" w:rsidRDefault="00393868" w:rsidP="00A577D4">
      <w:r>
        <w:t>This would explain why it was that after Raphia it seems that the Ptolemies, rather than giving up their elephant hunting practices, not only continued them, but sought to expand them</w:t>
      </w:r>
      <w:r w:rsidR="00131B49">
        <w:t>.</w:t>
      </w:r>
    </w:p>
    <w:p w:rsidR="00393868" w:rsidRDefault="00393868" w:rsidP="00A577D4">
      <w:r>
        <w:t>So, in conclusion, we see that although there may have been other motivating factors for the Ptolemies to engage in the procurement of live elephants, such as prestige, the potential increase in the utility and power of their military would be more than enough reason for them to engage in the procurement of live elephants for war, despite the additional use of resources in supply chain construction that this entailed. We also see that, far from being the total inferior of their Indian counterparts, the African forest elephants of the Ptolemies possess a significant advantage over them in terms of logistical efficiency, in that they were as effective as they needed to be while requiring less supplies and resources to maintain, and furthermore against ordinary forces (cavalry and infantry) often there was functionally, and effectively no difference between the two breeds of elephants on a battlefield.</w:t>
      </w:r>
    </w:p>
    <w:p w:rsidR="00393868" w:rsidRDefault="00393868" w:rsidP="00A577D4">
      <w:r>
        <w:t xml:space="preserve">We have also explored the possibility that, though Polybius may well have </w:t>
      </w:r>
      <w:proofErr w:type="gramStart"/>
      <w:r>
        <w:t>been of the opinion that</w:t>
      </w:r>
      <w:proofErr w:type="gramEnd"/>
      <w:r>
        <w:t xml:space="preserve"> the African forest elephants were a liability at the battle of Raphia, the Egyptian officials may well have thought differently, especially after the event, which was after all a success.  This would explain why the practice of elephant hunting continued for some time after this event, only really ceasing after the Seleucids could no longer field large quantities of elephants of their own, when the </w:t>
      </w:r>
      <w:r>
        <w:lastRenderedPageBreak/>
        <w:t>presence of the Parthians prevented Seleucid access to the Indian elephants, and coincidentally, at the same time</w:t>
      </w:r>
      <w:r w:rsidR="00A24B8C">
        <w:t xml:space="preserve"> as</w:t>
      </w:r>
      <w:r>
        <w:t xml:space="preserve"> the dilapidation of the Ptolemaic hunting grounds resulting in increased cost of such excursions.</w:t>
      </w:r>
      <w:r>
        <w:rPr>
          <w:rStyle w:val="FootnoteReference"/>
        </w:rPr>
        <w:footnoteReference w:id="35"/>
      </w:r>
    </w:p>
    <w:p w:rsidR="00393868" w:rsidRDefault="00393868" w:rsidP="00A577D4">
      <w:r>
        <w:t xml:space="preserve"> </w:t>
      </w:r>
    </w:p>
    <w:p w:rsidR="00393868" w:rsidRDefault="00393868"/>
    <w:p w:rsidR="00393868" w:rsidRDefault="00393868"/>
    <w:p w:rsidR="00393868" w:rsidRDefault="00393868"/>
    <w:p w:rsidR="00393868" w:rsidRDefault="00393868" w:rsidP="00E60F92">
      <w:pPr>
        <w:tabs>
          <w:tab w:val="left" w:pos="2490"/>
        </w:tabs>
      </w:pPr>
      <w:r>
        <w:tab/>
      </w:r>
    </w:p>
    <w:p w:rsidR="00393868" w:rsidRDefault="00393868"/>
    <w:p w:rsidR="00393868" w:rsidRDefault="00393868"/>
    <w:p w:rsidR="00393868" w:rsidRDefault="00393868"/>
    <w:p w:rsidR="00393868" w:rsidRDefault="00393868"/>
    <w:p w:rsidR="00393868" w:rsidRDefault="00393868"/>
    <w:p w:rsidR="00393868" w:rsidRDefault="00393868"/>
    <w:p w:rsidR="00393868" w:rsidRDefault="00393868">
      <w:r>
        <w:t xml:space="preserve"> </w:t>
      </w:r>
    </w:p>
    <w:p w:rsidR="00475E60" w:rsidRDefault="00475E60"/>
    <w:p w:rsidR="00475E60" w:rsidRDefault="00475E60"/>
    <w:p w:rsidR="00475E60" w:rsidRDefault="00475E60"/>
    <w:p w:rsidR="00475E60" w:rsidRDefault="00475E60"/>
    <w:p w:rsidR="00475E60" w:rsidRDefault="00475E60"/>
    <w:p w:rsidR="00475E60" w:rsidRDefault="00475E60"/>
    <w:p w:rsidR="00475E60" w:rsidRDefault="00475E60"/>
    <w:p w:rsidR="00475E60" w:rsidRDefault="00475E60"/>
    <w:p w:rsidR="00475E60" w:rsidRDefault="00475E60"/>
    <w:p w:rsidR="00475E60" w:rsidRDefault="00475E60"/>
    <w:p w:rsidR="00475E60" w:rsidRDefault="00475E60"/>
    <w:p w:rsidR="00475E60" w:rsidRDefault="00475E60"/>
    <w:p w:rsidR="00475E60" w:rsidRDefault="00475E60"/>
    <w:p w:rsidR="008733B9" w:rsidRDefault="008733B9"/>
    <w:p w:rsidR="00670718" w:rsidRDefault="00670718">
      <w:pPr>
        <w:rPr>
          <w:b/>
        </w:rPr>
      </w:pPr>
    </w:p>
    <w:p w:rsidR="00670718" w:rsidRDefault="00670718">
      <w:pPr>
        <w:rPr>
          <w:b/>
        </w:rPr>
      </w:pPr>
    </w:p>
    <w:p w:rsidR="00475E60" w:rsidRPr="001D3C55" w:rsidRDefault="00A24B8C">
      <w:pPr>
        <w:rPr>
          <w:b/>
        </w:rPr>
      </w:pPr>
      <w:r w:rsidRPr="001D3C55">
        <w:rPr>
          <w:b/>
        </w:rPr>
        <w:lastRenderedPageBreak/>
        <w:t>Bibliography</w:t>
      </w:r>
    </w:p>
    <w:p w:rsidR="00A24B8C" w:rsidRDefault="00A24B8C">
      <w:pPr>
        <w:rPr>
          <w:u w:val="single"/>
        </w:rPr>
      </w:pPr>
      <w:r w:rsidRPr="00A24B8C">
        <w:rPr>
          <w:u w:val="single"/>
        </w:rPr>
        <w:t>Ancient Sources</w:t>
      </w:r>
    </w:p>
    <w:p w:rsidR="001A36AF" w:rsidRDefault="005F19D4" w:rsidP="005F19D4">
      <w:r>
        <w:t xml:space="preserve">Arrian, </w:t>
      </w:r>
      <w:r w:rsidRPr="00A24B8C">
        <w:rPr>
          <w:i/>
        </w:rPr>
        <w:t>Anabasis</w:t>
      </w:r>
      <w:r w:rsidRPr="00942A2C">
        <w:t xml:space="preserve"> (</w:t>
      </w:r>
      <w:r>
        <w:t>1884</w:t>
      </w:r>
      <w:r w:rsidRPr="00942A2C">
        <w:t>)</w:t>
      </w:r>
      <w:r>
        <w:t xml:space="preserve"> translated by </w:t>
      </w:r>
      <w:proofErr w:type="spellStart"/>
      <w:r>
        <w:t>Chinnock</w:t>
      </w:r>
      <w:proofErr w:type="spellEnd"/>
      <w:r>
        <w:t>, E. London</w:t>
      </w:r>
      <w:r w:rsidR="001A36AF">
        <w:t>,</w:t>
      </w:r>
      <w:r>
        <w:t xml:space="preserve"> H</w:t>
      </w:r>
      <w:r w:rsidR="001A36AF">
        <w:t>odder and Stoughton</w:t>
      </w:r>
    </w:p>
    <w:p w:rsidR="005F19D4" w:rsidRPr="007F548D" w:rsidRDefault="005F19D4" w:rsidP="005F19D4">
      <w:r>
        <w:t xml:space="preserve">Arrian, </w:t>
      </w:r>
      <w:r w:rsidRPr="00A24B8C">
        <w:rPr>
          <w:i/>
        </w:rPr>
        <w:t>Indica</w:t>
      </w:r>
      <w:r>
        <w:rPr>
          <w:i/>
        </w:rPr>
        <w:t xml:space="preserve"> </w:t>
      </w:r>
      <w:r w:rsidRPr="007F548D">
        <w:t>(1933)Tr</w:t>
      </w:r>
      <w:r>
        <w:t xml:space="preserve">anslated by </w:t>
      </w:r>
      <w:r w:rsidRPr="007F548D">
        <w:t>Robson</w:t>
      </w:r>
      <w:r>
        <w:t xml:space="preserve">. E, Available at </w:t>
      </w:r>
      <w:hyperlink r:id="rId7" w:history="1">
        <w:r w:rsidRPr="00681534">
          <w:rPr>
            <w:rStyle w:val="Hyperlink"/>
          </w:rPr>
          <w:t>https://sourcebooks.fordham.edu/ancient/arrian-bookVIII-India.asp</w:t>
        </w:r>
      </w:hyperlink>
      <w:r>
        <w:t>; Accessed 15th January 209</w:t>
      </w:r>
    </w:p>
    <w:p w:rsidR="005F19D4" w:rsidRDefault="00A24B8C" w:rsidP="00A373D0">
      <w:pPr>
        <w:spacing w:after="0" w:line="240" w:lineRule="auto"/>
      </w:pPr>
      <w:r w:rsidRPr="00A24B8C">
        <w:t>Di</w:t>
      </w:r>
      <w:r>
        <w:t>odorus Siculus,</w:t>
      </w:r>
      <w:r w:rsidR="00942A2C">
        <w:t xml:space="preserve"> (1935) </w:t>
      </w:r>
      <w:proofErr w:type="spellStart"/>
      <w:r w:rsidR="00942A2C">
        <w:t>Oldfather</w:t>
      </w:r>
      <w:proofErr w:type="spellEnd"/>
      <w:r w:rsidR="00942A2C">
        <w:t xml:space="preserve"> C.</w:t>
      </w:r>
      <w:r>
        <w:t xml:space="preserve"> </w:t>
      </w:r>
      <w:r w:rsidR="00942A2C">
        <w:t>published in Vol. II</w:t>
      </w:r>
      <w:r w:rsidR="005F19D4">
        <w:t>, T</w:t>
      </w:r>
      <w:r w:rsidR="00942A2C">
        <w:t xml:space="preserve">he Loeb Classical Library edition, </w:t>
      </w:r>
    </w:p>
    <w:p w:rsidR="00942A2C" w:rsidRDefault="0053148D" w:rsidP="00A373D0">
      <w:pPr>
        <w:spacing w:after="120" w:line="240" w:lineRule="auto"/>
      </w:pPr>
      <w:r>
        <w:t xml:space="preserve">Available at: </w:t>
      </w:r>
      <w:r w:rsidRPr="0053148D">
        <w:t>penelope.uchicago.edu/Thayer/E/Roman/Texts/Diodorus</w:t>
      </w:r>
      <w:r w:rsidR="005F19D4">
        <w:t xml:space="preserve"> </w:t>
      </w:r>
      <w:r w:rsidRPr="0053148D">
        <w:t>Siculus/</w:t>
      </w:r>
      <w:r w:rsidR="005F19D4">
        <w:t>; Accessed 5</w:t>
      </w:r>
      <w:r w:rsidR="005F19D4" w:rsidRPr="005F19D4">
        <w:rPr>
          <w:vertAlign w:val="superscript"/>
        </w:rPr>
        <w:t>th</w:t>
      </w:r>
      <w:r w:rsidR="005F19D4">
        <w:t xml:space="preserve"> January 2019</w:t>
      </w:r>
    </w:p>
    <w:p w:rsidR="00670718" w:rsidRDefault="005F19D4" w:rsidP="005F19D4">
      <w:r>
        <w:t>Livy,</w:t>
      </w:r>
      <w:r w:rsidRPr="00A24B8C">
        <w:rPr>
          <w:i/>
        </w:rPr>
        <w:t xml:space="preserve"> The Founding of the </w:t>
      </w:r>
      <w:r w:rsidRPr="000C2B9E">
        <w:rPr>
          <w:i/>
        </w:rPr>
        <w:t>City Books XXXI-XXXIV</w:t>
      </w:r>
      <w:r>
        <w:rPr>
          <w:i/>
        </w:rPr>
        <w:t>.</w:t>
      </w:r>
      <w:r>
        <w:t xml:space="preserve"> Heinemann, Translation  by W Translation. Cambridge. Cambridge, Mass., Harvard University Press; and  London, Heinemann, W., Ltd. 1935</w:t>
      </w:r>
    </w:p>
    <w:p w:rsidR="005F19D4" w:rsidRDefault="005F19D4" w:rsidP="005F19D4">
      <w:r>
        <w:t xml:space="preserve">Plutarch, </w:t>
      </w:r>
      <w:r w:rsidRPr="00A24B8C">
        <w:rPr>
          <w:i/>
        </w:rPr>
        <w:t>Demetrius</w:t>
      </w:r>
      <w:r>
        <w:rPr>
          <w:i/>
        </w:rPr>
        <w:t xml:space="preserve"> </w:t>
      </w:r>
      <w:r w:rsidRPr="007F548D">
        <w:t>(1923)</w:t>
      </w:r>
      <w:r>
        <w:t xml:space="preserve"> translated Perrin. B,</w:t>
      </w:r>
      <w:r w:rsidRPr="007F548D">
        <w:t xml:space="preserve"> </w:t>
      </w:r>
      <w:r>
        <w:t>Loeb Classical Library edition Cambridge, MA</w:t>
      </w:r>
      <w:r w:rsidR="001D3C55">
        <w:t>, USA,</w:t>
      </w:r>
      <w:r>
        <w:t xml:space="preserve"> and London.</w:t>
      </w:r>
    </w:p>
    <w:p w:rsidR="005F19D4" w:rsidRPr="0053148D" w:rsidRDefault="005F19D4" w:rsidP="001A36AF">
      <w:pPr>
        <w:spacing w:after="0" w:line="240" w:lineRule="auto"/>
        <w:rPr>
          <w:iCs/>
        </w:rPr>
      </w:pPr>
      <w:proofErr w:type="spellStart"/>
      <w:r w:rsidRPr="00863386">
        <w:t>Polyaenus</w:t>
      </w:r>
      <w:proofErr w:type="spellEnd"/>
      <w:r>
        <w:t xml:space="preserve">, </w:t>
      </w:r>
      <w:r>
        <w:rPr>
          <w:i/>
        </w:rPr>
        <w:t>Stratagems.</w:t>
      </w:r>
      <w:r>
        <w:t xml:space="preserve"> </w:t>
      </w:r>
      <w:r>
        <w:rPr>
          <w:i/>
          <w:iCs/>
        </w:rPr>
        <w:t xml:space="preserve">(1793) </w:t>
      </w:r>
      <w:r w:rsidRPr="003B24FB">
        <w:rPr>
          <w:iCs/>
        </w:rPr>
        <w:t>Translated Shepard.</w:t>
      </w:r>
      <w:r>
        <w:rPr>
          <w:iCs/>
        </w:rPr>
        <w:t xml:space="preserve"> </w:t>
      </w:r>
      <w:r w:rsidRPr="003B24FB">
        <w:rPr>
          <w:iCs/>
        </w:rPr>
        <w:t>R, London, Printed  G. Nicol</w:t>
      </w:r>
      <w:r>
        <w:rPr>
          <w:iCs/>
        </w:rPr>
        <w:t>.</w:t>
      </w:r>
    </w:p>
    <w:p w:rsidR="001D3C55" w:rsidRDefault="005F19D4" w:rsidP="00A373D0">
      <w:pPr>
        <w:spacing w:after="120" w:line="240" w:lineRule="auto"/>
      </w:pPr>
      <w:r>
        <w:t xml:space="preserve">Available at </w:t>
      </w:r>
      <w:hyperlink r:id="rId8" w:history="1">
        <w:r w:rsidRPr="00546F34">
          <w:rPr>
            <w:rStyle w:val="Hyperlink"/>
          </w:rPr>
          <w:t>http://www.attalus.org/translate/polyaenus8A.html</w:t>
        </w:r>
      </w:hyperlink>
      <w:r>
        <w:rPr>
          <w:rStyle w:val="Hyperlink"/>
        </w:rPr>
        <w:t>;</w:t>
      </w:r>
      <w:r>
        <w:t xml:space="preserve"> Accessed 22nd January 2019</w:t>
      </w:r>
    </w:p>
    <w:p w:rsidR="005F19D4" w:rsidRPr="00C4607E" w:rsidRDefault="005F19D4" w:rsidP="005F19D4">
      <w:r>
        <w:t xml:space="preserve">Polybius, </w:t>
      </w:r>
      <w:r w:rsidRPr="00A24B8C">
        <w:rPr>
          <w:i/>
        </w:rPr>
        <w:t>Histories</w:t>
      </w:r>
      <w:r>
        <w:rPr>
          <w:i/>
        </w:rPr>
        <w:t>, (1962)</w:t>
      </w:r>
      <w:r w:rsidRPr="00C4607E">
        <w:t xml:space="preserve"> </w:t>
      </w:r>
      <w:r>
        <w:t xml:space="preserve">translated by </w:t>
      </w:r>
      <w:proofErr w:type="spellStart"/>
      <w:r>
        <w:t>Shuckburgh</w:t>
      </w:r>
      <w:proofErr w:type="spellEnd"/>
      <w:r>
        <w:t xml:space="preserve">, S. London, New York. Reprint Bloomington </w:t>
      </w:r>
    </w:p>
    <w:p w:rsidR="005F19D4" w:rsidRDefault="005F19D4" w:rsidP="000040F7">
      <w:r>
        <w:t xml:space="preserve">Strabo, </w:t>
      </w:r>
      <w:r w:rsidRPr="00A24B8C">
        <w:rPr>
          <w:i/>
        </w:rPr>
        <w:t>Geo</w:t>
      </w:r>
      <w:r>
        <w:rPr>
          <w:i/>
        </w:rPr>
        <w:t>graphy</w:t>
      </w:r>
      <w:r w:rsidRPr="00A24B8C">
        <w:rPr>
          <w:i/>
        </w:rPr>
        <w:t>,</w:t>
      </w:r>
      <w:r>
        <w:rPr>
          <w:i/>
        </w:rPr>
        <w:t xml:space="preserve"> (1932</w:t>
      </w:r>
      <w:r w:rsidRPr="008F44E6">
        <w:t>), translated by</w:t>
      </w:r>
      <w:r>
        <w:rPr>
          <w:i/>
        </w:rPr>
        <w:t xml:space="preserve"> </w:t>
      </w:r>
      <w:r>
        <w:t>Jones</w:t>
      </w:r>
      <w:r w:rsidRPr="003B24FB">
        <w:t xml:space="preserve">, </w:t>
      </w:r>
      <w:r>
        <w:t>H</w:t>
      </w:r>
      <w:r w:rsidRPr="003B24FB">
        <w:t>.</w:t>
      </w:r>
      <w:r w:rsidR="001A36AF">
        <w:t>,</w:t>
      </w:r>
      <w:r w:rsidRPr="003B24FB">
        <w:t xml:space="preserve"> Vol. VII of the Loeb Classical Library edition</w:t>
      </w:r>
      <w:r>
        <w:t xml:space="preserve"> </w:t>
      </w:r>
    </w:p>
    <w:p w:rsidR="000040F7" w:rsidRDefault="00A24B8C" w:rsidP="000040F7">
      <w:r>
        <w:t xml:space="preserve">Thucydides, </w:t>
      </w:r>
      <w:r w:rsidRPr="00A24B8C">
        <w:rPr>
          <w:i/>
        </w:rPr>
        <w:t>The Great Peloponnesian War</w:t>
      </w:r>
      <w:r w:rsidR="003B24FB">
        <w:rPr>
          <w:i/>
        </w:rPr>
        <w:t>.</w:t>
      </w:r>
      <w:r w:rsidR="000040F7" w:rsidRPr="000040F7">
        <w:t xml:space="preserve"> </w:t>
      </w:r>
      <w:r w:rsidR="000040F7">
        <w:t>Thucydides,</w:t>
      </w:r>
      <w:r w:rsidR="000040F7" w:rsidRPr="00B60A32">
        <w:t xml:space="preserve"> </w:t>
      </w:r>
      <w:r w:rsidR="000040F7">
        <w:t xml:space="preserve">(1910.) </w:t>
      </w:r>
      <w:r w:rsidR="000040F7" w:rsidRPr="00726377">
        <w:rPr>
          <w:i/>
        </w:rPr>
        <w:t>Peloponnesian War</w:t>
      </w:r>
      <w:r w:rsidR="000040F7">
        <w:t xml:space="preserve">. Dent, J. New York, E. P. Dutton. </w:t>
      </w:r>
    </w:p>
    <w:p w:rsidR="00A24B8C" w:rsidRDefault="00A24B8C"/>
    <w:p w:rsidR="00A24B8C" w:rsidRPr="001D3C55" w:rsidRDefault="00A24B8C">
      <w:pPr>
        <w:rPr>
          <w:u w:val="single"/>
        </w:rPr>
      </w:pPr>
      <w:r w:rsidRPr="001D3C55">
        <w:rPr>
          <w:u w:val="single"/>
        </w:rPr>
        <w:t>Modern Source</w:t>
      </w:r>
      <w:r w:rsidR="00DA2313" w:rsidRPr="001D3C55">
        <w:rPr>
          <w:u w:val="single"/>
        </w:rPr>
        <w:t>s</w:t>
      </w:r>
    </w:p>
    <w:p w:rsidR="002B5428" w:rsidRPr="002B5428" w:rsidRDefault="002B5428" w:rsidP="002B5428">
      <w:pPr>
        <w:rPr>
          <w:sz w:val="24"/>
          <w:szCs w:val="24"/>
        </w:rPr>
      </w:pPr>
      <w:r w:rsidRPr="002B5428">
        <w:rPr>
          <w:sz w:val="24"/>
          <w:szCs w:val="24"/>
        </w:rPr>
        <w:t>A-Z animals.com (2018a),</w:t>
      </w:r>
      <w:r>
        <w:rPr>
          <w:sz w:val="24"/>
          <w:szCs w:val="24"/>
        </w:rPr>
        <w:t xml:space="preserve"> Available </w:t>
      </w:r>
      <w:r w:rsidRPr="0083547D">
        <w:rPr>
          <w:color w:val="17365D" w:themeColor="text2" w:themeShade="BF"/>
          <w:sz w:val="24"/>
          <w:szCs w:val="24"/>
        </w:rPr>
        <w:t xml:space="preserve">at </w:t>
      </w:r>
      <w:r w:rsidRPr="0083547D">
        <w:rPr>
          <w:color w:val="3F3FB3"/>
          <w:sz w:val="24"/>
          <w:szCs w:val="24"/>
          <w:u w:val="single"/>
        </w:rPr>
        <w:t>https://a-z-animals.com/animals/asian-elephant/</w:t>
      </w:r>
      <w:r w:rsidRPr="0083547D">
        <w:rPr>
          <w:color w:val="3F3FB3"/>
          <w:sz w:val="24"/>
          <w:szCs w:val="24"/>
        </w:rPr>
        <w:t>.</w:t>
      </w:r>
      <w:r w:rsidRPr="002B5428">
        <w:rPr>
          <w:sz w:val="24"/>
          <w:szCs w:val="24"/>
        </w:rPr>
        <w:t xml:space="preserve"> accessed 13</w:t>
      </w:r>
      <w:r>
        <w:rPr>
          <w:sz w:val="24"/>
          <w:szCs w:val="24"/>
        </w:rPr>
        <w:t>th</w:t>
      </w:r>
      <w:r w:rsidRPr="002B5428">
        <w:rPr>
          <w:sz w:val="24"/>
          <w:szCs w:val="24"/>
        </w:rPr>
        <w:t xml:space="preserve"> January 2019</w:t>
      </w:r>
    </w:p>
    <w:p w:rsidR="002B5428" w:rsidRPr="002B5428" w:rsidRDefault="002B5428" w:rsidP="002B5428">
      <w:pPr>
        <w:rPr>
          <w:sz w:val="24"/>
          <w:szCs w:val="24"/>
        </w:rPr>
      </w:pPr>
      <w:r w:rsidRPr="002B5428">
        <w:rPr>
          <w:sz w:val="24"/>
          <w:szCs w:val="24"/>
        </w:rPr>
        <w:t xml:space="preserve">A-Z animals.com (2018b,) available at </w:t>
      </w:r>
      <w:hyperlink r:id="rId9" w:history="1">
        <w:r w:rsidRPr="002B5428">
          <w:rPr>
            <w:rStyle w:val="Hyperlink"/>
            <w:sz w:val="24"/>
            <w:szCs w:val="24"/>
          </w:rPr>
          <w:t>https://a-z-animals.com/animals/african-forest-elephant/</w:t>
        </w:r>
      </w:hyperlink>
      <w:r w:rsidRPr="002B5428">
        <w:rPr>
          <w:sz w:val="24"/>
          <w:szCs w:val="24"/>
        </w:rPr>
        <w:t>. Accessed 13</w:t>
      </w:r>
      <w:r>
        <w:rPr>
          <w:sz w:val="24"/>
          <w:szCs w:val="24"/>
        </w:rPr>
        <w:t>th</w:t>
      </w:r>
      <w:r w:rsidRPr="002B5428">
        <w:rPr>
          <w:sz w:val="24"/>
          <w:szCs w:val="24"/>
        </w:rPr>
        <w:t xml:space="preserve"> January 2019</w:t>
      </w:r>
    </w:p>
    <w:p w:rsidR="002B5428" w:rsidRPr="002B5428" w:rsidRDefault="002B5428" w:rsidP="002B5428">
      <w:pPr>
        <w:rPr>
          <w:sz w:val="24"/>
          <w:szCs w:val="24"/>
        </w:rPr>
      </w:pPr>
      <w:r w:rsidRPr="002B5428">
        <w:rPr>
          <w:sz w:val="24"/>
          <w:szCs w:val="24"/>
        </w:rPr>
        <w:t xml:space="preserve">A-Z animals.com (2018c), available at </w:t>
      </w:r>
      <w:hyperlink r:id="rId10" w:history="1">
        <w:r w:rsidRPr="002B5428">
          <w:rPr>
            <w:rStyle w:val="Hyperlink"/>
            <w:sz w:val="24"/>
            <w:szCs w:val="24"/>
          </w:rPr>
          <w:t>https://a-z-animals.com/animals/horse/</w:t>
        </w:r>
      </w:hyperlink>
      <w:r w:rsidRPr="002B5428">
        <w:rPr>
          <w:sz w:val="24"/>
          <w:szCs w:val="24"/>
        </w:rPr>
        <w:t>. accessed 13</w:t>
      </w:r>
      <w:r w:rsidR="001A36AF">
        <w:rPr>
          <w:sz w:val="24"/>
          <w:szCs w:val="24"/>
        </w:rPr>
        <w:t>th</w:t>
      </w:r>
      <w:r w:rsidRPr="002B5428">
        <w:rPr>
          <w:sz w:val="24"/>
          <w:szCs w:val="24"/>
        </w:rPr>
        <w:t xml:space="preserve"> January 2019</w:t>
      </w:r>
    </w:p>
    <w:p w:rsidR="00DA2313" w:rsidRPr="00DA2313" w:rsidRDefault="00DA2313" w:rsidP="002B5428">
      <w:pPr>
        <w:rPr>
          <w:iCs/>
          <w:sz w:val="24"/>
          <w:szCs w:val="24"/>
        </w:rPr>
      </w:pPr>
      <w:r w:rsidRPr="00DA2313">
        <w:rPr>
          <w:iCs/>
          <w:sz w:val="24"/>
          <w:szCs w:val="24"/>
        </w:rPr>
        <w:t xml:space="preserve">‘Birth of the Roman Empire’, (2004) </w:t>
      </w:r>
      <w:r w:rsidRPr="00DA2313">
        <w:rPr>
          <w:i/>
          <w:iCs/>
          <w:sz w:val="24"/>
          <w:szCs w:val="24"/>
        </w:rPr>
        <w:t>Decisive Battles,</w:t>
      </w:r>
      <w:r w:rsidRPr="00DA2313">
        <w:rPr>
          <w:iCs/>
          <w:sz w:val="24"/>
          <w:szCs w:val="24"/>
        </w:rPr>
        <w:t xml:space="preserve"> </w:t>
      </w:r>
      <w:r w:rsidR="00610ADE">
        <w:rPr>
          <w:iCs/>
          <w:sz w:val="24"/>
          <w:szCs w:val="24"/>
        </w:rPr>
        <w:t>S</w:t>
      </w:r>
      <w:r w:rsidRPr="00DA2313">
        <w:rPr>
          <w:iCs/>
          <w:sz w:val="24"/>
          <w:szCs w:val="24"/>
        </w:rPr>
        <w:t xml:space="preserve">eries 1, </w:t>
      </w:r>
      <w:r w:rsidR="00610ADE">
        <w:rPr>
          <w:iCs/>
          <w:sz w:val="24"/>
          <w:szCs w:val="24"/>
        </w:rPr>
        <w:t>E</w:t>
      </w:r>
      <w:r w:rsidRPr="00DA2313">
        <w:rPr>
          <w:iCs/>
          <w:sz w:val="24"/>
          <w:szCs w:val="24"/>
        </w:rPr>
        <w:t>pisode 10, History Channel, broadcast on the 1</w:t>
      </w:r>
      <w:r w:rsidRPr="00DA2313">
        <w:rPr>
          <w:iCs/>
          <w:sz w:val="24"/>
          <w:szCs w:val="24"/>
          <w:vertAlign w:val="superscript"/>
        </w:rPr>
        <w:t>st</w:t>
      </w:r>
      <w:r w:rsidRPr="00DA2313">
        <w:rPr>
          <w:iCs/>
          <w:sz w:val="24"/>
          <w:szCs w:val="24"/>
        </w:rPr>
        <w:t xml:space="preserve"> October</w:t>
      </w:r>
      <w:r w:rsidR="001D3C55">
        <w:rPr>
          <w:iCs/>
          <w:sz w:val="24"/>
          <w:szCs w:val="24"/>
        </w:rPr>
        <w:t xml:space="preserve"> 2004</w:t>
      </w:r>
      <w:r w:rsidRPr="00DA2313">
        <w:rPr>
          <w:iCs/>
          <w:sz w:val="24"/>
          <w:szCs w:val="24"/>
        </w:rPr>
        <w:t>.</w:t>
      </w:r>
    </w:p>
    <w:p w:rsidR="00DA2313" w:rsidRPr="001A36AF" w:rsidRDefault="00DA2313" w:rsidP="00DA2313">
      <w:pPr>
        <w:pStyle w:val="NormalWeb"/>
        <w:rPr>
          <w:rFonts w:ascii="Calibri" w:hAnsi="Calibri"/>
        </w:rPr>
      </w:pPr>
      <w:proofErr w:type="spellStart"/>
      <w:r w:rsidRPr="00DA2313">
        <w:rPr>
          <w:rFonts w:ascii="Calibri" w:hAnsi="Calibri"/>
        </w:rPr>
        <w:t>Burnstein</w:t>
      </w:r>
      <w:proofErr w:type="spellEnd"/>
      <w:r w:rsidRPr="00DA2313">
        <w:rPr>
          <w:rFonts w:ascii="Calibri" w:hAnsi="Calibri"/>
        </w:rPr>
        <w:t xml:space="preserve"> S.(1996) ‘</w:t>
      </w:r>
      <w:r w:rsidRPr="001A36AF">
        <w:rPr>
          <w:rFonts w:ascii="Calibri" w:hAnsi="Calibri"/>
          <w:i/>
        </w:rPr>
        <w:t>Ivory and Ptolemaic Exploration of the Red Sea. The Missing Factor’</w:t>
      </w:r>
      <w:r w:rsidR="001A36AF">
        <w:rPr>
          <w:rFonts w:ascii="Calibri" w:hAnsi="Calibri"/>
        </w:rPr>
        <w:t xml:space="preserve">, in </w:t>
      </w:r>
      <w:proofErr w:type="spellStart"/>
      <w:r w:rsidRPr="00DA2313">
        <w:rPr>
          <w:rStyle w:val="Emphasis"/>
          <w:rFonts w:ascii="Calibri" w:hAnsi="Calibri"/>
        </w:rPr>
        <w:t>Topoi</w:t>
      </w:r>
      <w:proofErr w:type="spellEnd"/>
      <w:r w:rsidRPr="00DA2313">
        <w:rPr>
          <w:rFonts w:ascii="Calibri" w:hAnsi="Calibri"/>
        </w:rPr>
        <w:t xml:space="preserve">, volume 6/2. pp. 799-807. </w:t>
      </w:r>
      <w:r w:rsidR="001A36AF">
        <w:rPr>
          <w:rFonts w:ascii="Calibri" w:hAnsi="Calibri"/>
        </w:rPr>
        <w:t xml:space="preserve">Available at </w:t>
      </w:r>
      <w:hyperlink r:id="rId11" w:history="1">
        <w:r w:rsidR="001A36AF" w:rsidRPr="00681534">
          <w:rPr>
            <w:rStyle w:val="Hyperlink"/>
            <w:rFonts w:ascii="Calibri" w:hAnsi="Calibri"/>
          </w:rPr>
          <w:t>https://doi.org/10.3406/topoi.1996.1696</w:t>
        </w:r>
      </w:hyperlink>
      <w:r w:rsidR="001A36AF">
        <w:rPr>
          <w:rStyle w:val="Hyperlink"/>
          <w:rFonts w:ascii="Calibri" w:hAnsi="Calibri"/>
        </w:rPr>
        <w:t>.</w:t>
      </w:r>
      <w:r w:rsidR="001A36AF" w:rsidRPr="001A36AF">
        <w:rPr>
          <w:rStyle w:val="Hyperlink"/>
          <w:rFonts w:ascii="Calibri" w:hAnsi="Calibri"/>
          <w:u w:val="none"/>
        </w:rPr>
        <w:t xml:space="preserve">  </w:t>
      </w:r>
      <w:r w:rsidR="001A36AF" w:rsidRPr="001A36AF">
        <w:rPr>
          <w:rStyle w:val="Hyperlink"/>
          <w:rFonts w:ascii="Calibri" w:hAnsi="Calibri"/>
          <w:color w:val="000000" w:themeColor="text1"/>
          <w:u w:val="none"/>
        </w:rPr>
        <w:t>Accessed 5</w:t>
      </w:r>
      <w:r w:rsidR="001A36AF" w:rsidRPr="001A36AF">
        <w:rPr>
          <w:rStyle w:val="Hyperlink"/>
          <w:rFonts w:ascii="Calibri" w:hAnsi="Calibri"/>
          <w:color w:val="000000" w:themeColor="text1"/>
          <w:u w:val="none"/>
          <w:vertAlign w:val="superscript"/>
        </w:rPr>
        <w:t>th</w:t>
      </w:r>
      <w:r w:rsidR="001A36AF" w:rsidRPr="001A36AF">
        <w:rPr>
          <w:rStyle w:val="Hyperlink"/>
          <w:rFonts w:ascii="Calibri" w:hAnsi="Calibri"/>
          <w:color w:val="000000" w:themeColor="text1"/>
          <w:u w:val="none"/>
        </w:rPr>
        <w:t xml:space="preserve"> January 2019</w:t>
      </w:r>
    </w:p>
    <w:p w:rsidR="00A24B8C" w:rsidRPr="00E33880" w:rsidRDefault="00A24B8C">
      <w:pPr>
        <w:rPr>
          <w:rFonts w:asciiTheme="majorHAnsi" w:hAnsiTheme="majorHAnsi"/>
          <w:sz w:val="24"/>
          <w:szCs w:val="24"/>
        </w:rPr>
      </w:pPr>
      <w:r w:rsidRPr="00E33880">
        <w:rPr>
          <w:rFonts w:asciiTheme="majorHAnsi" w:hAnsiTheme="majorHAnsi"/>
          <w:sz w:val="24"/>
          <w:szCs w:val="24"/>
        </w:rPr>
        <w:t>Cobb, M. (2016)</w:t>
      </w:r>
      <w:r w:rsidR="00B051F9" w:rsidRPr="00E33880">
        <w:rPr>
          <w:rFonts w:asciiTheme="majorHAnsi" w:hAnsiTheme="majorHAnsi"/>
          <w:sz w:val="24"/>
          <w:szCs w:val="24"/>
        </w:rPr>
        <w:t xml:space="preserve"> </w:t>
      </w:r>
      <w:r w:rsidR="00B051F9" w:rsidRPr="00E33880">
        <w:rPr>
          <w:rStyle w:val="Emphasis"/>
          <w:rFonts w:asciiTheme="majorHAnsi" w:hAnsiTheme="majorHAnsi"/>
          <w:sz w:val="24"/>
          <w:szCs w:val="24"/>
        </w:rPr>
        <w:t>The Decline of Ptolemaic Elephant Hunting: An Analysis of the Contributory Factors.</w:t>
      </w:r>
      <w:r w:rsidR="00B051F9" w:rsidRPr="00E33880">
        <w:rPr>
          <w:rFonts w:asciiTheme="majorHAnsi" w:hAnsiTheme="majorHAnsi"/>
          <w:sz w:val="24"/>
          <w:szCs w:val="24"/>
        </w:rPr>
        <w:t xml:space="preserve"> Greece &amp; Rome, 63 (2). pp. 192-204.</w:t>
      </w:r>
    </w:p>
    <w:p w:rsidR="00A24B8C" w:rsidRDefault="00304F3A">
      <w:pPr>
        <w:rPr>
          <w:rFonts w:asciiTheme="majorHAnsi" w:hAnsiTheme="majorHAnsi"/>
          <w:sz w:val="24"/>
          <w:szCs w:val="24"/>
        </w:rPr>
      </w:pPr>
      <w:proofErr w:type="spellStart"/>
      <w:r w:rsidRPr="00304F3A">
        <w:rPr>
          <w:rFonts w:asciiTheme="majorHAnsi" w:hAnsiTheme="majorHAnsi"/>
          <w:sz w:val="24"/>
          <w:szCs w:val="24"/>
        </w:rPr>
        <w:t>Mairs</w:t>
      </w:r>
      <w:proofErr w:type="spellEnd"/>
      <w:r w:rsidRPr="00304F3A">
        <w:rPr>
          <w:rFonts w:asciiTheme="majorHAnsi" w:hAnsiTheme="majorHAnsi"/>
          <w:sz w:val="24"/>
          <w:szCs w:val="24"/>
        </w:rPr>
        <w:t>, R (2013)</w:t>
      </w:r>
      <w:r w:rsidR="001A36AF">
        <w:rPr>
          <w:rFonts w:asciiTheme="majorHAnsi" w:hAnsiTheme="majorHAnsi"/>
          <w:sz w:val="24"/>
          <w:szCs w:val="24"/>
        </w:rPr>
        <w:t xml:space="preserve"> </w:t>
      </w:r>
      <w:r w:rsidRPr="00304F3A">
        <w:rPr>
          <w:rFonts w:asciiTheme="majorHAnsi" w:hAnsiTheme="majorHAnsi"/>
          <w:sz w:val="24"/>
          <w:szCs w:val="24"/>
        </w:rPr>
        <w:t>‘</w:t>
      </w:r>
      <w:r w:rsidRPr="00670718">
        <w:rPr>
          <w:rFonts w:asciiTheme="majorHAnsi" w:hAnsiTheme="majorHAnsi"/>
          <w:sz w:val="24"/>
          <w:szCs w:val="24"/>
        </w:rPr>
        <w:t>Intersecting Identities in Hellenistic and Roman Egypt’</w:t>
      </w:r>
      <w:r w:rsidRPr="00304F3A">
        <w:rPr>
          <w:rFonts w:asciiTheme="majorHAnsi" w:hAnsiTheme="majorHAnsi"/>
          <w:sz w:val="24"/>
          <w:szCs w:val="24"/>
        </w:rPr>
        <w:t xml:space="preserve">, in R. J. Dann and K. </w:t>
      </w:r>
      <w:proofErr w:type="spellStart"/>
      <w:r w:rsidRPr="00304F3A">
        <w:rPr>
          <w:rFonts w:asciiTheme="majorHAnsi" w:hAnsiTheme="majorHAnsi"/>
          <w:sz w:val="24"/>
          <w:szCs w:val="24"/>
        </w:rPr>
        <w:t>Exell</w:t>
      </w:r>
      <w:proofErr w:type="spellEnd"/>
      <w:r w:rsidRPr="00304F3A">
        <w:rPr>
          <w:rFonts w:asciiTheme="majorHAnsi" w:hAnsiTheme="majorHAnsi"/>
          <w:sz w:val="24"/>
          <w:szCs w:val="24"/>
        </w:rPr>
        <w:t xml:space="preserve"> (eds.), </w:t>
      </w:r>
      <w:r w:rsidRPr="00304F3A">
        <w:rPr>
          <w:rFonts w:asciiTheme="majorHAnsi" w:hAnsiTheme="majorHAnsi"/>
          <w:i/>
          <w:iCs/>
          <w:sz w:val="24"/>
          <w:szCs w:val="24"/>
        </w:rPr>
        <w:t xml:space="preserve">Egypt: Ancient Histories, Modern Archaeologies </w:t>
      </w:r>
      <w:r w:rsidRPr="00304F3A">
        <w:rPr>
          <w:rFonts w:asciiTheme="majorHAnsi" w:hAnsiTheme="majorHAnsi"/>
          <w:sz w:val="24"/>
          <w:szCs w:val="24"/>
        </w:rPr>
        <w:t>New York</w:t>
      </w:r>
    </w:p>
    <w:p w:rsidR="00670718" w:rsidRPr="00304F3A" w:rsidRDefault="00670718">
      <w:pPr>
        <w:rPr>
          <w:rFonts w:asciiTheme="majorHAnsi" w:hAnsiTheme="majorHAnsi"/>
          <w:sz w:val="24"/>
          <w:szCs w:val="24"/>
        </w:rPr>
      </w:pPr>
    </w:p>
    <w:p w:rsidR="001D3C55" w:rsidRPr="001D3C55" w:rsidRDefault="001D3C55" w:rsidP="001D3C55">
      <w:pPr>
        <w:spacing w:after="0" w:line="240" w:lineRule="auto"/>
        <w:rPr>
          <w:rFonts w:eastAsia="Times New Roman"/>
          <w:sz w:val="24"/>
          <w:szCs w:val="24"/>
          <w:lang w:eastAsia="en-GB"/>
        </w:rPr>
      </w:pPr>
      <w:proofErr w:type="spellStart"/>
      <w:r w:rsidRPr="001D3C55">
        <w:rPr>
          <w:rFonts w:eastAsia="Times New Roman"/>
          <w:sz w:val="24"/>
          <w:szCs w:val="24"/>
          <w:lang w:eastAsia="en-GB"/>
        </w:rPr>
        <w:t>Mitchiner</w:t>
      </w:r>
      <w:proofErr w:type="spellEnd"/>
      <w:r w:rsidRPr="001D3C55">
        <w:rPr>
          <w:rFonts w:eastAsia="Times New Roman"/>
          <w:sz w:val="24"/>
          <w:szCs w:val="24"/>
          <w:lang w:eastAsia="en-GB"/>
        </w:rPr>
        <w:t xml:space="preserve">, M. (1975.) </w:t>
      </w:r>
      <w:r w:rsidRPr="001D3C55">
        <w:rPr>
          <w:rFonts w:eastAsia="Times New Roman"/>
          <w:i/>
          <w:iCs/>
          <w:sz w:val="24"/>
          <w:szCs w:val="24"/>
          <w:lang w:eastAsia="en-GB"/>
        </w:rPr>
        <w:t>Indo-Greek and Indo-Scythian Coinage (in 9 volumes),</w:t>
      </w:r>
      <w:r w:rsidRPr="001D3C55">
        <w:rPr>
          <w:rFonts w:eastAsia="Times New Roman"/>
          <w:sz w:val="24"/>
          <w:szCs w:val="24"/>
          <w:lang w:eastAsia="en-GB"/>
        </w:rPr>
        <w:t xml:space="preserve"> London: Hawkins Publications</w:t>
      </w:r>
      <w:r w:rsidR="00670718">
        <w:rPr>
          <w:rFonts w:eastAsia="Times New Roman"/>
          <w:sz w:val="24"/>
          <w:szCs w:val="24"/>
          <w:lang w:eastAsia="en-GB"/>
        </w:rPr>
        <w:t>.</w:t>
      </w:r>
    </w:p>
    <w:p w:rsidR="001D3C55" w:rsidRPr="001D3C55" w:rsidRDefault="001D3C55" w:rsidP="001D3C55">
      <w:pPr>
        <w:rPr>
          <w:sz w:val="24"/>
          <w:szCs w:val="24"/>
        </w:rPr>
      </w:pPr>
      <w:r w:rsidRPr="001D3C55">
        <w:rPr>
          <w:sz w:val="24"/>
          <w:szCs w:val="24"/>
        </w:rPr>
        <w:t xml:space="preserve">Available at </w:t>
      </w:r>
      <w:hyperlink r:id="rId12" w:history="1">
        <w:r w:rsidRPr="00681534">
          <w:rPr>
            <w:rStyle w:val="Hyperlink"/>
            <w:sz w:val="24"/>
            <w:szCs w:val="24"/>
          </w:rPr>
          <w:t>http://coinindia.com/galleries-greek-seleucos1.html</w:t>
        </w:r>
      </w:hyperlink>
      <w:r>
        <w:rPr>
          <w:sz w:val="24"/>
          <w:szCs w:val="24"/>
        </w:rPr>
        <w:t>, Accessed 4</w:t>
      </w:r>
      <w:r w:rsidRPr="001D3C55">
        <w:rPr>
          <w:sz w:val="24"/>
          <w:szCs w:val="24"/>
          <w:vertAlign w:val="superscript"/>
        </w:rPr>
        <w:t>th</w:t>
      </w:r>
      <w:r>
        <w:rPr>
          <w:sz w:val="24"/>
          <w:szCs w:val="24"/>
        </w:rPr>
        <w:t xml:space="preserve"> January 2019</w:t>
      </w:r>
    </w:p>
    <w:p w:rsidR="00DA2313" w:rsidRPr="00DA2313" w:rsidRDefault="00DA2313" w:rsidP="00DA2313">
      <w:pPr>
        <w:rPr>
          <w:i/>
          <w:sz w:val="24"/>
          <w:szCs w:val="24"/>
        </w:rPr>
      </w:pPr>
      <w:proofErr w:type="spellStart"/>
      <w:r w:rsidRPr="00DA2313">
        <w:rPr>
          <w:sz w:val="24"/>
          <w:szCs w:val="24"/>
        </w:rPr>
        <w:t>Nossov</w:t>
      </w:r>
      <w:proofErr w:type="spellEnd"/>
      <w:r w:rsidRPr="00DA2313">
        <w:rPr>
          <w:sz w:val="24"/>
          <w:szCs w:val="24"/>
        </w:rPr>
        <w:t xml:space="preserve">, K (2008) </w:t>
      </w:r>
      <w:r w:rsidRPr="00DA2313">
        <w:rPr>
          <w:i/>
          <w:sz w:val="24"/>
          <w:szCs w:val="24"/>
        </w:rPr>
        <w:t xml:space="preserve">War Elephants, </w:t>
      </w:r>
      <w:r w:rsidRPr="00DA2313">
        <w:rPr>
          <w:sz w:val="24"/>
          <w:szCs w:val="24"/>
        </w:rPr>
        <w:t>Oxford, Osprey Publishing</w:t>
      </w:r>
    </w:p>
    <w:p w:rsidR="00DA2313" w:rsidRDefault="00DA2313" w:rsidP="00DA2313">
      <w:pPr>
        <w:rPr>
          <w:sz w:val="24"/>
          <w:szCs w:val="24"/>
        </w:rPr>
      </w:pPr>
      <w:proofErr w:type="spellStart"/>
      <w:r w:rsidRPr="00DA2313">
        <w:rPr>
          <w:sz w:val="24"/>
          <w:szCs w:val="24"/>
        </w:rPr>
        <w:t>Trautmann</w:t>
      </w:r>
      <w:proofErr w:type="spellEnd"/>
      <w:r w:rsidRPr="00DA2313">
        <w:rPr>
          <w:sz w:val="24"/>
          <w:szCs w:val="24"/>
        </w:rPr>
        <w:t xml:space="preserve">. T (2015) </w:t>
      </w:r>
      <w:r w:rsidRPr="001D3C55">
        <w:rPr>
          <w:i/>
          <w:sz w:val="24"/>
          <w:szCs w:val="24"/>
        </w:rPr>
        <w:t>Elephants and Kings, An Environmental Histor</w:t>
      </w:r>
      <w:r w:rsidRPr="00DA2313">
        <w:rPr>
          <w:sz w:val="24"/>
          <w:szCs w:val="24"/>
        </w:rPr>
        <w:t>y</w:t>
      </w:r>
      <w:r w:rsidR="001D3C55">
        <w:rPr>
          <w:sz w:val="24"/>
          <w:szCs w:val="24"/>
        </w:rPr>
        <w:t>,</w:t>
      </w:r>
      <w:r w:rsidRPr="00DA2313">
        <w:rPr>
          <w:sz w:val="24"/>
          <w:szCs w:val="24"/>
        </w:rPr>
        <w:t xml:space="preserve"> University of Chicago Press, Chicago.</w:t>
      </w:r>
    </w:p>
    <w:p w:rsidR="003B1908" w:rsidRDefault="003B1908" w:rsidP="00DA2313">
      <w:pPr>
        <w:rPr>
          <w:sz w:val="24"/>
          <w:szCs w:val="24"/>
        </w:rPr>
      </w:pPr>
    </w:p>
    <w:p w:rsidR="003B1908" w:rsidRPr="00DA2313" w:rsidRDefault="003B1908" w:rsidP="00DA2313">
      <w:pPr>
        <w:rPr>
          <w:sz w:val="24"/>
          <w:szCs w:val="24"/>
        </w:rPr>
      </w:pPr>
      <w:r>
        <w:rPr>
          <w:sz w:val="24"/>
          <w:szCs w:val="24"/>
        </w:rPr>
        <w:t xml:space="preserve">Wildpro.twycrosszoo.org </w:t>
      </w:r>
      <w:bookmarkStart w:id="1" w:name="_GoBack"/>
      <w:bookmarkEnd w:id="1"/>
      <w:r>
        <w:rPr>
          <w:sz w:val="24"/>
          <w:szCs w:val="24"/>
        </w:rPr>
        <w:t>(</w:t>
      </w:r>
      <w:proofErr w:type="spellStart"/>
      <w:r>
        <w:rPr>
          <w:sz w:val="24"/>
          <w:szCs w:val="24"/>
        </w:rPr>
        <w:t>n.d</w:t>
      </w:r>
      <w:proofErr w:type="spellEnd"/>
      <w:r>
        <w:rPr>
          <w:sz w:val="24"/>
          <w:szCs w:val="24"/>
        </w:rPr>
        <w:t>) ‘</w:t>
      </w:r>
      <w:r w:rsidRPr="003B1908">
        <w:rPr>
          <w:sz w:val="24"/>
          <w:szCs w:val="24"/>
        </w:rPr>
        <w:t xml:space="preserve">NATURAL DIET with literature reports for the Forest Elephant - Loxodonta </w:t>
      </w:r>
      <w:proofErr w:type="spellStart"/>
      <w:r w:rsidRPr="003B1908">
        <w:rPr>
          <w:sz w:val="24"/>
          <w:szCs w:val="24"/>
        </w:rPr>
        <w:t>cyclotis</w:t>
      </w:r>
      <w:proofErr w:type="spellEnd"/>
      <w:r>
        <w:rPr>
          <w:sz w:val="24"/>
          <w:szCs w:val="24"/>
        </w:rPr>
        <w:t>’</w:t>
      </w:r>
    </w:p>
    <w:p w:rsidR="00304F3A" w:rsidRPr="00E33880" w:rsidRDefault="003B1908">
      <w:pPr>
        <w:rPr>
          <w:rFonts w:asciiTheme="majorHAnsi" w:hAnsiTheme="majorHAnsi"/>
          <w:sz w:val="24"/>
          <w:szCs w:val="24"/>
        </w:rPr>
      </w:pPr>
      <w:r>
        <w:rPr>
          <w:sz w:val="24"/>
          <w:szCs w:val="24"/>
        </w:rPr>
        <w:t xml:space="preserve">Available at </w:t>
      </w:r>
      <w:r w:rsidRPr="003B1908">
        <w:rPr>
          <w:sz w:val="24"/>
          <w:szCs w:val="24"/>
        </w:rPr>
        <w:t>http://wildpro.twycrosszoo.org/S/0MProboscidae/Elephantidae/Loxodonta/Loxodonta_cyclotis/08LoxCycNatDiets.htm#Quantity</w:t>
      </w:r>
    </w:p>
    <w:p w:rsidR="00B051F9" w:rsidRPr="00E33880" w:rsidRDefault="00B051F9">
      <w:pPr>
        <w:rPr>
          <w:rFonts w:asciiTheme="majorHAnsi" w:hAnsiTheme="majorHAnsi"/>
          <w:sz w:val="24"/>
          <w:szCs w:val="24"/>
        </w:rPr>
      </w:pPr>
    </w:p>
    <w:p w:rsidR="009635D3" w:rsidRPr="00E33880" w:rsidRDefault="009635D3">
      <w:pPr>
        <w:rPr>
          <w:rFonts w:asciiTheme="majorHAnsi" w:hAnsiTheme="majorHAnsi"/>
          <w:sz w:val="24"/>
          <w:szCs w:val="24"/>
        </w:rPr>
      </w:pPr>
    </w:p>
    <w:p w:rsidR="00B051F9" w:rsidRPr="00A24B8C" w:rsidRDefault="00B051F9"/>
    <w:sectPr w:rsidR="00B051F9" w:rsidRPr="00A24B8C" w:rsidSect="00E35601">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93868" w:rsidRDefault="00393868" w:rsidP="00DB7650">
      <w:pPr>
        <w:spacing w:after="0" w:line="240" w:lineRule="auto"/>
      </w:pPr>
      <w:r>
        <w:separator/>
      </w:r>
    </w:p>
  </w:endnote>
  <w:endnote w:type="continuationSeparator" w:id="0">
    <w:p w:rsidR="00393868" w:rsidRDefault="00393868" w:rsidP="00DB76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altName w:val="Times New Roman PS"/>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10022FF" w:usb1="C000E47F" w:usb2="00000029" w:usb3="00000000" w:csb0="000001DF" w:csb1="00000000"/>
  </w:font>
  <w:font w:name="Cambria">
    <w:panose1 w:val="02040503050406030204"/>
    <w:charset w:val="00"/>
    <w:family w:val="roman"/>
    <w:pitch w:val="variable"/>
    <w:sig w:usb0="23000287" w:usb1="00000000"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93868" w:rsidRDefault="00393868">
    <w:pPr>
      <w:pStyle w:val="Footer"/>
    </w:pPr>
    <w:r>
      <w:tab/>
    </w:r>
    <w:r>
      <w:rPr>
        <w:lang w:val="en-US"/>
      </w:rPr>
      <w:t xml:space="preserve">Page </w:t>
    </w:r>
    <w:r>
      <w:rPr>
        <w:lang w:val="en-US"/>
      </w:rPr>
      <w:fldChar w:fldCharType="begin"/>
    </w:r>
    <w:r>
      <w:rPr>
        <w:lang w:val="en-US"/>
      </w:rPr>
      <w:instrText xml:space="preserve"> PAGE </w:instrText>
    </w:r>
    <w:r>
      <w:rPr>
        <w:lang w:val="en-US"/>
      </w:rPr>
      <w:fldChar w:fldCharType="separate"/>
    </w:r>
    <w:r>
      <w:rPr>
        <w:noProof/>
        <w:lang w:val="en-US"/>
      </w:rPr>
      <w:t>2</w:t>
    </w:r>
    <w:r>
      <w:rPr>
        <w:lang w:val="en-US"/>
      </w:rPr>
      <w:fldChar w:fldCharType="end"/>
    </w:r>
    <w:r>
      <w:rPr>
        <w:lang w:val="en-US"/>
      </w:rPr>
      <w:t xml:space="preserve"> of </w:t>
    </w:r>
    <w:r>
      <w:rPr>
        <w:lang w:val="en-US"/>
      </w:rPr>
      <w:fldChar w:fldCharType="begin"/>
    </w:r>
    <w:r>
      <w:rPr>
        <w:lang w:val="en-US"/>
      </w:rPr>
      <w:instrText xml:space="preserve"> NUMPAGES </w:instrText>
    </w:r>
    <w:r>
      <w:rPr>
        <w:lang w:val="en-US"/>
      </w:rPr>
      <w:fldChar w:fldCharType="separate"/>
    </w:r>
    <w:r>
      <w:rPr>
        <w:noProof/>
        <w:lang w:val="en-US"/>
      </w:rPr>
      <w:t>9</w:t>
    </w:r>
    <w:r>
      <w:rPr>
        <w:lang w:val="en-US"/>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93868" w:rsidRDefault="00393868" w:rsidP="00DB7650">
      <w:pPr>
        <w:spacing w:after="0" w:line="240" w:lineRule="auto"/>
      </w:pPr>
      <w:r>
        <w:separator/>
      </w:r>
    </w:p>
  </w:footnote>
  <w:footnote w:type="continuationSeparator" w:id="0">
    <w:p w:rsidR="00393868" w:rsidRDefault="00393868" w:rsidP="00DB7650">
      <w:pPr>
        <w:spacing w:after="0" w:line="240" w:lineRule="auto"/>
      </w:pPr>
      <w:r>
        <w:continuationSeparator/>
      </w:r>
    </w:p>
  </w:footnote>
  <w:footnote w:id="1">
    <w:p w:rsidR="00281B2F" w:rsidRDefault="00281B2F">
      <w:pPr>
        <w:pStyle w:val="FootnoteText"/>
      </w:pPr>
      <w:r>
        <w:rPr>
          <w:rStyle w:val="FootnoteReference"/>
        </w:rPr>
        <w:footnoteRef/>
      </w:r>
      <w:r>
        <w:t xml:space="preserve"> </w:t>
      </w:r>
      <w:proofErr w:type="spellStart"/>
      <w:r w:rsidR="007F4FCE">
        <w:t>Trautmann</w:t>
      </w:r>
      <w:proofErr w:type="spellEnd"/>
      <w:r w:rsidR="007F4FCE">
        <w:t>, (2015) p68</w:t>
      </w:r>
    </w:p>
  </w:footnote>
  <w:footnote w:id="2">
    <w:p w:rsidR="00281B2F" w:rsidRDefault="00281B2F">
      <w:pPr>
        <w:pStyle w:val="FootnoteText"/>
      </w:pPr>
      <w:r>
        <w:rPr>
          <w:rStyle w:val="FootnoteReference"/>
        </w:rPr>
        <w:footnoteRef/>
      </w:r>
      <w:r>
        <w:t xml:space="preserve"> </w:t>
      </w:r>
      <w:proofErr w:type="spellStart"/>
      <w:r w:rsidR="007F4FCE">
        <w:t>Trautmann</w:t>
      </w:r>
      <w:proofErr w:type="spellEnd"/>
      <w:r w:rsidR="007F4FCE">
        <w:t>, (2015) p51</w:t>
      </w:r>
    </w:p>
  </w:footnote>
  <w:footnote w:id="3">
    <w:p w:rsidR="00393868" w:rsidRDefault="00393868">
      <w:pPr>
        <w:pStyle w:val="FootnoteText"/>
      </w:pPr>
      <w:r>
        <w:rPr>
          <w:rStyle w:val="FootnoteReference"/>
        </w:rPr>
        <w:footnoteRef/>
      </w:r>
      <w:r>
        <w:t xml:space="preserve"> </w:t>
      </w:r>
      <w:proofErr w:type="spellStart"/>
      <w:r w:rsidR="007F4FCE">
        <w:t>Burnstein</w:t>
      </w:r>
      <w:proofErr w:type="spellEnd"/>
      <w:r w:rsidR="007F4FCE">
        <w:t xml:space="preserve"> (1996)</w:t>
      </w:r>
    </w:p>
  </w:footnote>
  <w:footnote w:id="4">
    <w:p w:rsidR="00393868" w:rsidRDefault="00393868">
      <w:pPr>
        <w:pStyle w:val="FootnoteText"/>
      </w:pPr>
      <w:r>
        <w:rPr>
          <w:rStyle w:val="FootnoteReference"/>
        </w:rPr>
        <w:footnoteRef/>
      </w:r>
      <w:r>
        <w:t xml:space="preserve"> </w:t>
      </w:r>
      <w:r w:rsidR="007F4FCE">
        <w:t>Plut.Dem.29</w:t>
      </w:r>
    </w:p>
  </w:footnote>
  <w:footnote w:id="5">
    <w:p w:rsidR="00393868" w:rsidRDefault="00393868">
      <w:pPr>
        <w:pStyle w:val="FootnoteText"/>
      </w:pPr>
      <w:r>
        <w:rPr>
          <w:rStyle w:val="FootnoteReference"/>
        </w:rPr>
        <w:footnoteRef/>
      </w:r>
      <w:r>
        <w:t xml:space="preserve"> </w:t>
      </w:r>
      <w:proofErr w:type="spellStart"/>
      <w:r w:rsidR="007F4FCE">
        <w:t>Nossov</w:t>
      </w:r>
      <w:proofErr w:type="spellEnd"/>
      <w:r w:rsidR="007F4FCE">
        <w:t xml:space="preserve"> (2008) p20-22</w:t>
      </w:r>
    </w:p>
  </w:footnote>
  <w:footnote w:id="6">
    <w:p w:rsidR="00393868" w:rsidRDefault="00393868">
      <w:pPr>
        <w:pStyle w:val="FootnoteText"/>
      </w:pPr>
      <w:r>
        <w:rPr>
          <w:rStyle w:val="FootnoteReference"/>
        </w:rPr>
        <w:footnoteRef/>
      </w:r>
      <w:r>
        <w:t xml:space="preserve"> </w:t>
      </w:r>
      <w:proofErr w:type="spellStart"/>
      <w:r w:rsidR="00504EE7">
        <w:t>Mitchiner</w:t>
      </w:r>
      <w:proofErr w:type="spellEnd"/>
      <w:r w:rsidR="00504EE7">
        <w:t xml:space="preserve"> (1975) 52</w:t>
      </w:r>
    </w:p>
  </w:footnote>
  <w:footnote w:id="7">
    <w:p w:rsidR="00393868" w:rsidRDefault="00393868">
      <w:pPr>
        <w:pStyle w:val="FootnoteText"/>
      </w:pPr>
      <w:r>
        <w:rPr>
          <w:rStyle w:val="FootnoteReference"/>
        </w:rPr>
        <w:footnoteRef/>
      </w:r>
      <w:r>
        <w:t xml:space="preserve"> </w:t>
      </w:r>
      <w:proofErr w:type="spellStart"/>
      <w:r w:rsidR="00B17C58">
        <w:t>Diod</w:t>
      </w:r>
      <w:proofErr w:type="spellEnd"/>
      <w:r w:rsidR="00B17C58">
        <w:t xml:space="preserve">. Sic.19.82.3-4, 19.84.4.  </w:t>
      </w:r>
    </w:p>
  </w:footnote>
  <w:footnote w:id="8">
    <w:p w:rsidR="00393868" w:rsidRDefault="00393868">
      <w:pPr>
        <w:pStyle w:val="FootnoteText"/>
      </w:pPr>
      <w:r>
        <w:rPr>
          <w:rStyle w:val="FootnoteReference"/>
        </w:rPr>
        <w:footnoteRef/>
      </w:r>
      <w:r>
        <w:t xml:space="preserve"> </w:t>
      </w:r>
      <w:proofErr w:type="spellStart"/>
      <w:r w:rsidR="00B17C58">
        <w:t>Nossov</w:t>
      </w:r>
      <w:proofErr w:type="spellEnd"/>
      <w:r w:rsidR="00B17C58">
        <w:t xml:space="preserve"> (2008) p22, </w:t>
      </w:r>
      <w:r w:rsidR="00B17C58">
        <w:rPr>
          <w:i/>
          <w:iCs/>
        </w:rPr>
        <w:t xml:space="preserve">OGIS </w:t>
      </w:r>
      <w:r w:rsidR="00B17C58">
        <w:t xml:space="preserve">54 lines 1-14  </w:t>
      </w:r>
    </w:p>
  </w:footnote>
  <w:footnote w:id="9">
    <w:p w:rsidR="00393868" w:rsidRDefault="00393868">
      <w:pPr>
        <w:pStyle w:val="FootnoteText"/>
      </w:pPr>
      <w:r>
        <w:rPr>
          <w:rStyle w:val="FootnoteReference"/>
        </w:rPr>
        <w:footnoteRef/>
      </w:r>
      <w:r>
        <w:t xml:space="preserve"> </w:t>
      </w:r>
      <w:proofErr w:type="spellStart"/>
      <w:r w:rsidR="00B17C58">
        <w:t>Mairs</w:t>
      </w:r>
      <w:proofErr w:type="spellEnd"/>
      <w:r w:rsidR="00B17C58">
        <w:t xml:space="preserve">, (2013), p15.  </w:t>
      </w:r>
    </w:p>
  </w:footnote>
  <w:footnote w:id="10">
    <w:p w:rsidR="00B17C58" w:rsidRDefault="00B17C58">
      <w:pPr>
        <w:pStyle w:val="FootnoteText"/>
      </w:pPr>
      <w:r>
        <w:rPr>
          <w:rStyle w:val="FootnoteReference"/>
        </w:rPr>
        <w:footnoteRef/>
      </w:r>
      <w:r>
        <w:t xml:space="preserve"> Strabo 16.4.5</w:t>
      </w:r>
      <w:r w:rsidR="000C57B5">
        <w:t>-7</w:t>
      </w:r>
      <w:r>
        <w:t xml:space="preserve">; </w:t>
      </w:r>
      <w:proofErr w:type="spellStart"/>
      <w:r>
        <w:t>Diod</w:t>
      </w:r>
      <w:proofErr w:type="spellEnd"/>
      <w:r>
        <w:t xml:space="preserve">. Sic. 3.18.4.  </w:t>
      </w:r>
    </w:p>
  </w:footnote>
  <w:footnote w:id="11">
    <w:p w:rsidR="000C57B5" w:rsidRDefault="000C57B5">
      <w:pPr>
        <w:pStyle w:val="FootnoteText"/>
      </w:pPr>
      <w:r>
        <w:rPr>
          <w:rStyle w:val="FootnoteReference"/>
        </w:rPr>
        <w:footnoteRef/>
      </w:r>
      <w:r>
        <w:t xml:space="preserve"> Strabo 16.4.7</w:t>
      </w:r>
    </w:p>
  </w:footnote>
  <w:footnote w:id="12">
    <w:p w:rsidR="00393868" w:rsidRDefault="00393868">
      <w:pPr>
        <w:pStyle w:val="FootnoteText"/>
      </w:pPr>
      <w:r>
        <w:rPr>
          <w:rStyle w:val="FootnoteReference"/>
        </w:rPr>
        <w:footnoteRef/>
      </w:r>
      <w:r w:rsidR="000C57B5" w:rsidRPr="000C57B5">
        <w:t xml:space="preserve"> </w:t>
      </w:r>
      <w:proofErr w:type="spellStart"/>
      <w:r w:rsidR="000C57B5">
        <w:t>Livius</w:t>
      </w:r>
      <w:proofErr w:type="spellEnd"/>
      <w:r w:rsidR="000C57B5">
        <w:t xml:space="preserve"> (2016);Thuc.1.100.3, Thuc.4.105.1</w:t>
      </w:r>
    </w:p>
  </w:footnote>
  <w:footnote w:id="13">
    <w:p w:rsidR="00393868" w:rsidRDefault="00393868">
      <w:pPr>
        <w:pStyle w:val="FootnoteText"/>
      </w:pPr>
      <w:r>
        <w:rPr>
          <w:rStyle w:val="FootnoteReference"/>
        </w:rPr>
        <w:footnoteRef/>
      </w:r>
      <w:r>
        <w:t xml:space="preserve"> </w:t>
      </w:r>
      <w:r w:rsidR="000C57B5">
        <w:t>Cobb (2016)</w:t>
      </w:r>
    </w:p>
  </w:footnote>
  <w:footnote w:id="14">
    <w:p w:rsidR="00393868" w:rsidRDefault="00393868">
      <w:pPr>
        <w:pStyle w:val="FootnoteText"/>
      </w:pPr>
      <w:r>
        <w:rPr>
          <w:rStyle w:val="FootnoteReference"/>
        </w:rPr>
        <w:footnoteRef/>
      </w:r>
      <w:r>
        <w:t xml:space="preserve"> </w:t>
      </w:r>
      <w:r w:rsidR="000C57B5">
        <w:t xml:space="preserve">Arr. </w:t>
      </w:r>
      <w:r w:rsidR="000C57B5">
        <w:rPr>
          <w:i/>
          <w:iCs/>
        </w:rPr>
        <w:t xml:space="preserve">Indica </w:t>
      </w:r>
      <w:r w:rsidR="000C57B5">
        <w:t>13</w:t>
      </w:r>
      <w:r w:rsidR="000C57B5" w:rsidRPr="000C57B5">
        <w:t>-14,</w:t>
      </w:r>
      <w:r w:rsidR="000C57B5">
        <w:t xml:space="preserve">  </w:t>
      </w:r>
    </w:p>
  </w:footnote>
  <w:footnote w:id="15">
    <w:p w:rsidR="000C57B5" w:rsidRDefault="000C57B5">
      <w:pPr>
        <w:pStyle w:val="FootnoteText"/>
      </w:pPr>
      <w:r>
        <w:rPr>
          <w:rStyle w:val="FootnoteReference"/>
        </w:rPr>
        <w:footnoteRef/>
      </w:r>
      <w:r>
        <w:t xml:space="preserve"> Cobb (2016), </w:t>
      </w:r>
      <w:proofErr w:type="spellStart"/>
      <w:r>
        <w:t>Nossov</w:t>
      </w:r>
      <w:proofErr w:type="spellEnd"/>
      <w:r>
        <w:t xml:space="preserve"> (2008) p22</w:t>
      </w:r>
    </w:p>
  </w:footnote>
  <w:footnote w:id="16">
    <w:p w:rsidR="00393868" w:rsidRDefault="00393868">
      <w:pPr>
        <w:pStyle w:val="FootnoteText"/>
      </w:pPr>
      <w:r>
        <w:rPr>
          <w:rStyle w:val="FootnoteReference"/>
        </w:rPr>
        <w:footnoteRef/>
      </w:r>
      <w:r>
        <w:t xml:space="preserve"> </w:t>
      </w:r>
      <w:r w:rsidR="000C57B5">
        <w:t>Polybius 5.84.5-8</w:t>
      </w:r>
    </w:p>
  </w:footnote>
  <w:footnote w:id="17">
    <w:p w:rsidR="00393868" w:rsidRDefault="00393868">
      <w:pPr>
        <w:pStyle w:val="FootnoteText"/>
      </w:pPr>
      <w:r>
        <w:rPr>
          <w:rStyle w:val="FootnoteReference"/>
        </w:rPr>
        <w:footnoteRef/>
      </w:r>
      <w:r>
        <w:t xml:space="preserve"> </w:t>
      </w:r>
      <w:proofErr w:type="spellStart"/>
      <w:r w:rsidR="00E20381">
        <w:t>Nossov</w:t>
      </w:r>
      <w:proofErr w:type="spellEnd"/>
      <w:r w:rsidR="00E20381">
        <w:t xml:space="preserve"> (2008) p6</w:t>
      </w:r>
    </w:p>
  </w:footnote>
  <w:footnote w:id="18">
    <w:p w:rsidR="00393868" w:rsidRDefault="00393868">
      <w:pPr>
        <w:pStyle w:val="FootnoteText"/>
      </w:pPr>
      <w:r>
        <w:rPr>
          <w:rStyle w:val="FootnoteReference"/>
        </w:rPr>
        <w:footnoteRef/>
      </w:r>
      <w:r>
        <w:t xml:space="preserve"> </w:t>
      </w:r>
      <w:r w:rsidR="00E20381">
        <w:t>Polybius 5.84.5</w:t>
      </w:r>
    </w:p>
  </w:footnote>
  <w:footnote w:id="19">
    <w:p w:rsidR="00393868" w:rsidRDefault="00393868">
      <w:pPr>
        <w:pStyle w:val="FootnoteText"/>
      </w:pPr>
      <w:r>
        <w:rPr>
          <w:rStyle w:val="FootnoteReference"/>
        </w:rPr>
        <w:footnoteRef/>
      </w:r>
      <w:r>
        <w:t xml:space="preserve"> </w:t>
      </w:r>
      <w:r w:rsidR="00E20381">
        <w:t>Polybius 5.84.7,</w:t>
      </w:r>
      <w:r w:rsidR="00A130E0" w:rsidRPr="00A130E0">
        <w:t xml:space="preserve"> </w:t>
      </w:r>
      <w:r w:rsidR="00A130E0">
        <w:t>Livy 30.33.18</w:t>
      </w:r>
    </w:p>
  </w:footnote>
  <w:footnote w:id="20">
    <w:p w:rsidR="00393868" w:rsidRDefault="00393868">
      <w:pPr>
        <w:pStyle w:val="FootnoteText"/>
      </w:pPr>
      <w:r>
        <w:rPr>
          <w:rStyle w:val="FootnoteReference"/>
        </w:rPr>
        <w:footnoteRef/>
      </w:r>
      <w:r>
        <w:t xml:space="preserve"> </w:t>
      </w:r>
      <w:proofErr w:type="spellStart"/>
      <w:r w:rsidR="000C2B9E">
        <w:t>Diod.Sic</w:t>
      </w:r>
      <w:proofErr w:type="spellEnd"/>
      <w:r w:rsidR="000C2B9E">
        <w:t xml:space="preserve"> 19.42.7</w:t>
      </w:r>
    </w:p>
  </w:footnote>
  <w:footnote w:id="21">
    <w:p w:rsidR="00393868" w:rsidRDefault="00393868">
      <w:pPr>
        <w:pStyle w:val="FootnoteText"/>
      </w:pPr>
      <w:r>
        <w:rPr>
          <w:rStyle w:val="FootnoteReference"/>
        </w:rPr>
        <w:footnoteRef/>
      </w:r>
      <w:r>
        <w:t xml:space="preserve"> </w:t>
      </w:r>
      <w:proofErr w:type="spellStart"/>
      <w:r w:rsidR="00A130E0">
        <w:t>Nossov</w:t>
      </w:r>
      <w:proofErr w:type="spellEnd"/>
      <w:r w:rsidR="00A130E0">
        <w:t xml:space="preserve"> (2008) p.14</w:t>
      </w:r>
    </w:p>
  </w:footnote>
  <w:footnote w:id="22">
    <w:p w:rsidR="00393868" w:rsidRDefault="00393868">
      <w:pPr>
        <w:pStyle w:val="FootnoteText"/>
      </w:pPr>
      <w:r>
        <w:rPr>
          <w:rStyle w:val="FootnoteReference"/>
        </w:rPr>
        <w:footnoteRef/>
      </w:r>
      <w:r>
        <w:t xml:space="preserve"> </w:t>
      </w:r>
      <w:proofErr w:type="spellStart"/>
      <w:r w:rsidR="00A130E0">
        <w:t>Polyaenus</w:t>
      </w:r>
      <w:proofErr w:type="spellEnd"/>
      <w:r w:rsidR="00A130E0">
        <w:t xml:space="preserve"> 8.23.5</w:t>
      </w:r>
    </w:p>
  </w:footnote>
  <w:footnote w:id="23">
    <w:p w:rsidR="00393868" w:rsidRDefault="00393868">
      <w:pPr>
        <w:pStyle w:val="FootnoteText"/>
      </w:pPr>
      <w:r>
        <w:rPr>
          <w:rStyle w:val="FootnoteReference"/>
        </w:rPr>
        <w:footnoteRef/>
      </w:r>
      <w:r>
        <w:t xml:space="preserve"> </w:t>
      </w:r>
      <w:proofErr w:type="spellStart"/>
      <w:r w:rsidR="00A130E0">
        <w:t>Diod.Sic</w:t>
      </w:r>
      <w:proofErr w:type="spellEnd"/>
      <w:r w:rsidR="00A130E0">
        <w:t xml:space="preserve"> 17.88.1-2</w:t>
      </w:r>
    </w:p>
  </w:footnote>
  <w:footnote w:id="24">
    <w:p w:rsidR="00393868" w:rsidRDefault="00393868">
      <w:pPr>
        <w:pStyle w:val="FootnoteText"/>
      </w:pPr>
      <w:r>
        <w:rPr>
          <w:rStyle w:val="FootnoteReference"/>
        </w:rPr>
        <w:footnoteRef/>
      </w:r>
      <w:r>
        <w:t xml:space="preserve"> </w:t>
      </w:r>
      <w:proofErr w:type="spellStart"/>
      <w:r w:rsidR="00A130E0">
        <w:t>Arr.</w:t>
      </w:r>
      <w:r w:rsidR="00BE43CA">
        <w:t>Anab</w:t>
      </w:r>
      <w:proofErr w:type="spellEnd"/>
      <w:r w:rsidR="00BE43CA">
        <w:t>. 5.17, Livy 8.33.18-34.1</w:t>
      </w:r>
      <w:r w:rsidR="003F0118">
        <w:t xml:space="preserve">, </w:t>
      </w:r>
    </w:p>
  </w:footnote>
  <w:footnote w:id="25">
    <w:p w:rsidR="00393868" w:rsidRDefault="00393868">
      <w:pPr>
        <w:pStyle w:val="FootnoteText"/>
      </w:pPr>
      <w:r>
        <w:rPr>
          <w:rStyle w:val="FootnoteReference"/>
        </w:rPr>
        <w:footnoteRef/>
      </w:r>
      <w:r>
        <w:t xml:space="preserve"> </w:t>
      </w:r>
      <w:proofErr w:type="spellStart"/>
      <w:r w:rsidR="00BE43CA">
        <w:t>Arr.Anab</w:t>
      </w:r>
      <w:proofErr w:type="spellEnd"/>
      <w:r w:rsidR="00BE43CA">
        <w:t>. 5.17</w:t>
      </w:r>
      <w:r w:rsidR="003F0118">
        <w:t>;</w:t>
      </w:r>
      <w:r w:rsidR="00BE43CA">
        <w:t xml:space="preserve"> Livy</w:t>
      </w:r>
      <w:r w:rsidR="003F0118">
        <w:t>.</w:t>
      </w:r>
      <w:r w:rsidR="00BE43CA">
        <w:t xml:space="preserve"> 8.33.18-34.1</w:t>
      </w:r>
      <w:r w:rsidR="003F0118">
        <w:t xml:space="preserve">; Livy. </w:t>
      </w:r>
      <w:r w:rsidR="00B14AB2">
        <w:t>37.41-44</w:t>
      </w:r>
      <w:r w:rsidR="003F0118">
        <w:t xml:space="preserve"> ;</w:t>
      </w:r>
      <w:proofErr w:type="spellStart"/>
      <w:r w:rsidR="003F0118">
        <w:t>Caes</w:t>
      </w:r>
      <w:proofErr w:type="spellEnd"/>
      <w:r w:rsidR="003F0118">
        <w:t xml:space="preserve">. </w:t>
      </w:r>
      <w:r w:rsidR="003F0118" w:rsidRPr="003F0118">
        <w:rPr>
          <w:i/>
        </w:rPr>
        <w:t xml:space="preserve">B. </w:t>
      </w:r>
      <w:proofErr w:type="spellStart"/>
      <w:r w:rsidR="003F0118" w:rsidRPr="003F0118">
        <w:rPr>
          <w:i/>
        </w:rPr>
        <w:t>Afri</w:t>
      </w:r>
      <w:proofErr w:type="spellEnd"/>
      <w:r w:rsidR="003F0118" w:rsidRPr="003F0118">
        <w:rPr>
          <w:i/>
        </w:rPr>
        <w:t xml:space="preserve">. </w:t>
      </w:r>
      <w:r w:rsidR="003F0118">
        <w:t>87</w:t>
      </w:r>
    </w:p>
  </w:footnote>
  <w:footnote w:id="26">
    <w:p w:rsidR="00393868" w:rsidRDefault="00393868">
      <w:pPr>
        <w:pStyle w:val="FootnoteText"/>
      </w:pPr>
      <w:r>
        <w:rPr>
          <w:rStyle w:val="FootnoteReference"/>
        </w:rPr>
        <w:footnoteRef/>
      </w:r>
      <w:r>
        <w:t xml:space="preserve"> </w:t>
      </w:r>
      <w:proofErr w:type="spellStart"/>
      <w:r w:rsidR="00204F67">
        <w:t>Arr.Anab</w:t>
      </w:r>
      <w:proofErr w:type="spellEnd"/>
      <w:r w:rsidR="00204F67">
        <w:t>. 5.17</w:t>
      </w:r>
    </w:p>
  </w:footnote>
  <w:footnote w:id="27">
    <w:p w:rsidR="00393868" w:rsidRDefault="00393868">
      <w:pPr>
        <w:pStyle w:val="FootnoteText"/>
      </w:pPr>
      <w:r>
        <w:rPr>
          <w:rStyle w:val="FootnoteReference"/>
        </w:rPr>
        <w:footnoteRef/>
      </w:r>
      <w:r>
        <w:t xml:space="preserve"> </w:t>
      </w:r>
      <w:proofErr w:type="spellStart"/>
      <w:r w:rsidR="00204F67">
        <w:t>Diod.Sic</w:t>
      </w:r>
      <w:proofErr w:type="spellEnd"/>
      <w:r w:rsidR="00204F67">
        <w:t xml:space="preserve"> 17.93.2, </w:t>
      </w:r>
      <w:proofErr w:type="spellStart"/>
      <w:r w:rsidR="00204F67">
        <w:t>Nossov</w:t>
      </w:r>
      <w:proofErr w:type="spellEnd"/>
      <w:r w:rsidR="00204F67">
        <w:t xml:space="preserve"> (2008) p11</w:t>
      </w:r>
    </w:p>
  </w:footnote>
  <w:footnote w:id="28">
    <w:p w:rsidR="00393868" w:rsidRDefault="00393868">
      <w:pPr>
        <w:pStyle w:val="FootnoteText"/>
      </w:pPr>
      <w:r>
        <w:rPr>
          <w:rStyle w:val="FootnoteReference"/>
        </w:rPr>
        <w:footnoteRef/>
      </w:r>
      <w:r>
        <w:t xml:space="preserve"> </w:t>
      </w:r>
      <w:r w:rsidR="00204F67">
        <w:t>A-Z animals.com (2018</w:t>
      </w:r>
      <w:r w:rsidR="00ED235C">
        <w:t>a&amp;b</w:t>
      </w:r>
      <w:r w:rsidR="00204F67">
        <w:t>)</w:t>
      </w:r>
    </w:p>
  </w:footnote>
  <w:footnote w:id="29">
    <w:p w:rsidR="00393868" w:rsidRDefault="00393868">
      <w:pPr>
        <w:pStyle w:val="FootnoteText"/>
      </w:pPr>
      <w:r>
        <w:rPr>
          <w:rStyle w:val="FootnoteReference"/>
        </w:rPr>
        <w:footnoteRef/>
      </w:r>
      <w:r>
        <w:t xml:space="preserve"> </w:t>
      </w:r>
      <w:r w:rsidR="00204F67">
        <w:t>A-Z animals.com (2018</w:t>
      </w:r>
      <w:r w:rsidR="00ED235C">
        <w:t>a&amp;</w:t>
      </w:r>
      <w:r w:rsidR="00420B5A">
        <w:t>b</w:t>
      </w:r>
      <w:r w:rsidR="00204F67">
        <w:t>)</w:t>
      </w:r>
    </w:p>
  </w:footnote>
  <w:footnote w:id="30">
    <w:p w:rsidR="00393868" w:rsidRDefault="00393868">
      <w:pPr>
        <w:pStyle w:val="FootnoteText"/>
      </w:pPr>
      <w:r>
        <w:rPr>
          <w:rStyle w:val="FootnoteReference"/>
        </w:rPr>
        <w:footnoteRef/>
      </w:r>
      <w:r>
        <w:t xml:space="preserve"> </w:t>
      </w:r>
      <w:r w:rsidR="00ED235C">
        <w:t>A-Z animals.com (2018c)</w:t>
      </w:r>
    </w:p>
  </w:footnote>
  <w:footnote w:id="31">
    <w:p w:rsidR="00ED235C" w:rsidRDefault="00ED235C">
      <w:pPr>
        <w:pStyle w:val="FootnoteText"/>
      </w:pPr>
      <w:r>
        <w:rPr>
          <w:rStyle w:val="FootnoteReference"/>
        </w:rPr>
        <w:footnoteRef/>
      </w:r>
      <w:r>
        <w:t xml:space="preserve"> </w:t>
      </w:r>
      <w:r w:rsidRPr="00ED235C">
        <w:t>wildpro.twycrosszoo.org</w:t>
      </w:r>
    </w:p>
  </w:footnote>
  <w:footnote w:id="32">
    <w:p w:rsidR="00393868" w:rsidRPr="0019259A" w:rsidRDefault="00393868">
      <w:pPr>
        <w:pStyle w:val="FootnoteText"/>
      </w:pPr>
      <w:r w:rsidRPr="0019259A">
        <w:rPr>
          <w:rStyle w:val="FootnoteReference"/>
        </w:rPr>
        <w:footnoteRef/>
      </w:r>
      <w:r w:rsidR="0019259A" w:rsidRPr="0019259A">
        <w:rPr>
          <w:iCs/>
        </w:rPr>
        <w:t>(</w:t>
      </w:r>
      <w:r w:rsidR="0019259A" w:rsidRPr="0019259A">
        <w:rPr>
          <w:i/>
          <w:iCs/>
        </w:rPr>
        <w:t>Birth of the Roman Empire,</w:t>
      </w:r>
      <w:r w:rsidR="0019259A" w:rsidRPr="0019259A">
        <w:rPr>
          <w:iCs/>
        </w:rPr>
        <w:t xml:space="preserve"> 2004)</w:t>
      </w:r>
    </w:p>
  </w:footnote>
  <w:footnote w:id="33">
    <w:p w:rsidR="00393868" w:rsidRDefault="00393868">
      <w:pPr>
        <w:pStyle w:val="FootnoteText"/>
      </w:pPr>
      <w:r>
        <w:rPr>
          <w:rStyle w:val="FootnoteReference"/>
        </w:rPr>
        <w:footnoteRef/>
      </w:r>
      <w:r>
        <w:t xml:space="preserve"> Polybius 5.84</w:t>
      </w:r>
    </w:p>
  </w:footnote>
  <w:footnote w:id="34">
    <w:p w:rsidR="00393868" w:rsidRDefault="00393868">
      <w:pPr>
        <w:pStyle w:val="FootnoteText"/>
      </w:pPr>
      <w:r>
        <w:rPr>
          <w:rStyle w:val="FootnoteReference"/>
        </w:rPr>
        <w:footnoteRef/>
      </w:r>
      <w:r>
        <w:t xml:space="preserve"> </w:t>
      </w:r>
      <w:r w:rsidR="00475E60">
        <w:t>Polybius 5.57, 7.15, 8.17</w:t>
      </w:r>
    </w:p>
  </w:footnote>
  <w:footnote w:id="35">
    <w:p w:rsidR="00393868" w:rsidRDefault="00393868">
      <w:pPr>
        <w:pStyle w:val="FootnoteText"/>
      </w:pPr>
      <w:r>
        <w:rPr>
          <w:rStyle w:val="FootnoteReference"/>
        </w:rPr>
        <w:footnoteRef/>
      </w:r>
      <w:r>
        <w:t xml:space="preserve"> </w:t>
      </w:r>
      <w:r w:rsidR="00475E60">
        <w:t>Cobb (2016)</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93868" w:rsidRDefault="00393868">
    <w:pPr>
      <w:pStyle w:val="Header"/>
    </w:pPr>
    <w:r>
      <w:t>Edward Kimber</w:t>
    </w:r>
    <w:r>
      <w:tab/>
      <w:t>UWTSD MA Essay Submission</w:t>
    </w:r>
    <w:r>
      <w:tab/>
      <w:t>January 2019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oNotTrackMoves/>
  <w:defaultTabStop w:val="720"/>
  <w:doNotHyphenateCaps/>
  <w:characterSpacingControl w:val="doNotCompress"/>
  <w:doNotValidateAgainstSchema/>
  <w:doNotDemarcateInvalidXml/>
  <w:footnotePr>
    <w:footnote w:id="-1"/>
    <w:footnote w:id="0"/>
  </w:footnotePr>
  <w:endnotePr>
    <w:endnote w:id="-1"/>
    <w:endnote w:id="0"/>
  </w:endnotePr>
  <w:compat>
    <w:useNormalStyleForList/>
    <w:doNotUseIndentAsNumberingTabStop/>
    <w:useAltKinsokuLineBreakRules/>
    <w:allowSpaceOfSameStyleInTable/>
    <w:doNotSuppressIndentation/>
    <w:doNotAutofitConstrainedTables/>
    <w:autofitToFirstFixedWidthCell/>
    <w:underlineTabInNumList/>
    <w:displayHangulFixedWidth/>
    <w:splitPgBreakAndParaMark/>
    <w:doNotVertAlignCellWithSp/>
    <w:doNotBreakConstrainedForcedTable/>
    <w:doNotVertAlignInTxbx/>
    <w:useAnsiKerningPairs/>
    <w:cachedColBalance/>
    <w:compatSetting w:name="compatibilityMode" w:uri="http://schemas.microsoft.com/office/word" w:val="11"/>
    <w:compatSetting w:name="useWord2013TrackBottomHyphenation" w:uri="http://schemas.microsoft.com/office/word" w:val="1"/>
  </w:compat>
  <w:rsids>
    <w:rsidRoot w:val="0052180A"/>
    <w:rsid w:val="000040F7"/>
    <w:rsid w:val="00020EB2"/>
    <w:rsid w:val="000236A9"/>
    <w:rsid w:val="0003109D"/>
    <w:rsid w:val="000443B7"/>
    <w:rsid w:val="0004775A"/>
    <w:rsid w:val="0005352F"/>
    <w:rsid w:val="00076D65"/>
    <w:rsid w:val="00091DAB"/>
    <w:rsid w:val="000C27B2"/>
    <w:rsid w:val="000C2B9E"/>
    <w:rsid w:val="000C57B5"/>
    <w:rsid w:val="000E7FB7"/>
    <w:rsid w:val="00131B49"/>
    <w:rsid w:val="0019259A"/>
    <w:rsid w:val="001936E4"/>
    <w:rsid w:val="001A363A"/>
    <w:rsid w:val="001A36AF"/>
    <w:rsid w:val="001A3D0E"/>
    <w:rsid w:val="001D3C55"/>
    <w:rsid w:val="001D51D9"/>
    <w:rsid w:val="001E6815"/>
    <w:rsid w:val="00204812"/>
    <w:rsid w:val="00204F67"/>
    <w:rsid w:val="002310D0"/>
    <w:rsid w:val="00244C11"/>
    <w:rsid w:val="00245D7C"/>
    <w:rsid w:val="0025095C"/>
    <w:rsid w:val="00251318"/>
    <w:rsid w:val="00274C26"/>
    <w:rsid w:val="00281320"/>
    <w:rsid w:val="00281B2F"/>
    <w:rsid w:val="00294CC4"/>
    <w:rsid w:val="002B3B31"/>
    <w:rsid w:val="002B5428"/>
    <w:rsid w:val="002D12C2"/>
    <w:rsid w:val="002E5A98"/>
    <w:rsid w:val="00304F3A"/>
    <w:rsid w:val="00342513"/>
    <w:rsid w:val="00344E45"/>
    <w:rsid w:val="003466A0"/>
    <w:rsid w:val="003521C4"/>
    <w:rsid w:val="00393868"/>
    <w:rsid w:val="003A3BA4"/>
    <w:rsid w:val="003B1908"/>
    <w:rsid w:val="003B24FB"/>
    <w:rsid w:val="003E1E05"/>
    <w:rsid w:val="003F0118"/>
    <w:rsid w:val="003F1D11"/>
    <w:rsid w:val="003F5246"/>
    <w:rsid w:val="00420B5A"/>
    <w:rsid w:val="00432548"/>
    <w:rsid w:val="00475E60"/>
    <w:rsid w:val="004964F3"/>
    <w:rsid w:val="00504EE7"/>
    <w:rsid w:val="0051351F"/>
    <w:rsid w:val="0052180A"/>
    <w:rsid w:val="0053148D"/>
    <w:rsid w:val="00532637"/>
    <w:rsid w:val="00542F48"/>
    <w:rsid w:val="0058125A"/>
    <w:rsid w:val="005E08FB"/>
    <w:rsid w:val="005F19D4"/>
    <w:rsid w:val="00610ADE"/>
    <w:rsid w:val="0063677B"/>
    <w:rsid w:val="00652E47"/>
    <w:rsid w:val="00656BE7"/>
    <w:rsid w:val="00670718"/>
    <w:rsid w:val="006932A3"/>
    <w:rsid w:val="006B0DBF"/>
    <w:rsid w:val="006C42E1"/>
    <w:rsid w:val="006F77AE"/>
    <w:rsid w:val="0071225C"/>
    <w:rsid w:val="007460E1"/>
    <w:rsid w:val="00761817"/>
    <w:rsid w:val="00763FB9"/>
    <w:rsid w:val="0078762C"/>
    <w:rsid w:val="007B6CEA"/>
    <w:rsid w:val="007C0019"/>
    <w:rsid w:val="007D4CE7"/>
    <w:rsid w:val="007F2DE2"/>
    <w:rsid w:val="007F4FCE"/>
    <w:rsid w:val="007F548D"/>
    <w:rsid w:val="00801F60"/>
    <w:rsid w:val="00804FCD"/>
    <w:rsid w:val="008142E4"/>
    <w:rsid w:val="008153A4"/>
    <w:rsid w:val="0083547D"/>
    <w:rsid w:val="0085209F"/>
    <w:rsid w:val="00863386"/>
    <w:rsid w:val="008733B9"/>
    <w:rsid w:val="008A12EB"/>
    <w:rsid w:val="008F44E6"/>
    <w:rsid w:val="00942A2C"/>
    <w:rsid w:val="00943882"/>
    <w:rsid w:val="00951251"/>
    <w:rsid w:val="009635D3"/>
    <w:rsid w:val="009A3232"/>
    <w:rsid w:val="009C3BD0"/>
    <w:rsid w:val="009D26FA"/>
    <w:rsid w:val="009D6334"/>
    <w:rsid w:val="009E08D9"/>
    <w:rsid w:val="009E7810"/>
    <w:rsid w:val="00A130E0"/>
    <w:rsid w:val="00A1555E"/>
    <w:rsid w:val="00A24B8C"/>
    <w:rsid w:val="00A315B8"/>
    <w:rsid w:val="00A373D0"/>
    <w:rsid w:val="00A577D4"/>
    <w:rsid w:val="00A75854"/>
    <w:rsid w:val="00A855A9"/>
    <w:rsid w:val="00AC67DB"/>
    <w:rsid w:val="00B051F9"/>
    <w:rsid w:val="00B132A3"/>
    <w:rsid w:val="00B14AB2"/>
    <w:rsid w:val="00B17C58"/>
    <w:rsid w:val="00B57C61"/>
    <w:rsid w:val="00B65A1A"/>
    <w:rsid w:val="00B673A6"/>
    <w:rsid w:val="00B6751D"/>
    <w:rsid w:val="00B85C1A"/>
    <w:rsid w:val="00B9575F"/>
    <w:rsid w:val="00BE43CA"/>
    <w:rsid w:val="00BE692B"/>
    <w:rsid w:val="00BF1369"/>
    <w:rsid w:val="00C15AFB"/>
    <w:rsid w:val="00C45E4A"/>
    <w:rsid w:val="00C4607E"/>
    <w:rsid w:val="00C47405"/>
    <w:rsid w:val="00C620C6"/>
    <w:rsid w:val="00C63C6C"/>
    <w:rsid w:val="00C73F06"/>
    <w:rsid w:val="00CA1FE2"/>
    <w:rsid w:val="00CA6C9C"/>
    <w:rsid w:val="00CA7382"/>
    <w:rsid w:val="00CA746D"/>
    <w:rsid w:val="00CB1311"/>
    <w:rsid w:val="00CD68F2"/>
    <w:rsid w:val="00D11150"/>
    <w:rsid w:val="00D14E12"/>
    <w:rsid w:val="00D20DD2"/>
    <w:rsid w:val="00D30377"/>
    <w:rsid w:val="00D4522A"/>
    <w:rsid w:val="00D4674D"/>
    <w:rsid w:val="00D5202D"/>
    <w:rsid w:val="00D60DE7"/>
    <w:rsid w:val="00D6437B"/>
    <w:rsid w:val="00DA2313"/>
    <w:rsid w:val="00DB7650"/>
    <w:rsid w:val="00DD503B"/>
    <w:rsid w:val="00DE274C"/>
    <w:rsid w:val="00E0560B"/>
    <w:rsid w:val="00E16F08"/>
    <w:rsid w:val="00E20381"/>
    <w:rsid w:val="00E33880"/>
    <w:rsid w:val="00E35601"/>
    <w:rsid w:val="00E41C5C"/>
    <w:rsid w:val="00E60F92"/>
    <w:rsid w:val="00E75FF1"/>
    <w:rsid w:val="00E94DFC"/>
    <w:rsid w:val="00EB4B73"/>
    <w:rsid w:val="00EC3581"/>
    <w:rsid w:val="00ED235C"/>
    <w:rsid w:val="00EF2415"/>
    <w:rsid w:val="00EF2C79"/>
    <w:rsid w:val="00F305C5"/>
    <w:rsid w:val="00F34DC4"/>
    <w:rsid w:val="00F53F6F"/>
    <w:rsid w:val="00F70A8B"/>
    <w:rsid w:val="00F82EE6"/>
    <w:rsid w:val="00F952E6"/>
    <w:rsid w:val="00FA29B3"/>
    <w:rsid w:val="00FB33E2"/>
    <w:rsid w:val="00FC1AC7"/>
    <w:rsid w:val="00FC34A3"/>
    <w:rsid w:val="00FC388F"/>
    <w:rsid w:val="00FE064F"/>
    <w:rsid w:val="00FE69CE"/>
  </w:rsids>
  <m:mathPr>
    <m:mathFont m:val="Cambria Math"/>
    <m:brkBin m:val="before"/>
    <m:brkBinSub m:val="--"/>
    <m:smallFrac m:val="0"/>
    <m:dispDef m:val="0"/>
    <m:lMargin m:val="0"/>
    <m:rMargin m:val="0"/>
    <m:defJc m:val="centerGroup"/>
    <m:wrapRight/>
    <m:intLim m:val="subSup"/>
    <m:naryLim m:val="subSup"/>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0C74658"/>
  <w15:docId w15:val="{81FEAB47-82F0-4D65-873B-8E36A35C83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35601"/>
    <w:pPr>
      <w:spacing w:after="160" w:line="259" w:lineRule="auto"/>
    </w:pPr>
    <w:rPr>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rsid w:val="00DB765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B7650"/>
    <w:rPr>
      <w:rFonts w:cs="Times New Roman"/>
      <w:sz w:val="20"/>
    </w:rPr>
  </w:style>
  <w:style w:type="character" w:styleId="FootnoteReference">
    <w:name w:val="footnote reference"/>
    <w:basedOn w:val="DefaultParagraphFont"/>
    <w:uiPriority w:val="99"/>
    <w:semiHidden/>
    <w:rsid w:val="00DB7650"/>
    <w:rPr>
      <w:rFonts w:cs="Times New Roman"/>
      <w:vertAlign w:val="superscript"/>
    </w:rPr>
  </w:style>
  <w:style w:type="character" w:styleId="Hyperlink">
    <w:name w:val="Hyperlink"/>
    <w:basedOn w:val="DefaultParagraphFont"/>
    <w:uiPriority w:val="99"/>
    <w:semiHidden/>
    <w:rsid w:val="00C63C6C"/>
    <w:rPr>
      <w:rFonts w:cs="Times New Roman"/>
      <w:color w:val="0000FF"/>
      <w:u w:val="single"/>
    </w:rPr>
  </w:style>
  <w:style w:type="paragraph" w:styleId="BalloonText">
    <w:name w:val="Balloon Text"/>
    <w:basedOn w:val="Normal"/>
    <w:link w:val="BalloonTextChar"/>
    <w:uiPriority w:val="99"/>
    <w:semiHidden/>
    <w:rsid w:val="00B85C1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85C1A"/>
    <w:rPr>
      <w:rFonts w:ascii="Segoe UI" w:hAnsi="Segoe UI" w:cs="Segoe UI"/>
      <w:sz w:val="18"/>
    </w:rPr>
  </w:style>
  <w:style w:type="paragraph" w:styleId="Header">
    <w:name w:val="header"/>
    <w:basedOn w:val="Normal"/>
    <w:link w:val="HeaderChar"/>
    <w:uiPriority w:val="99"/>
    <w:rsid w:val="009D6334"/>
    <w:pPr>
      <w:tabs>
        <w:tab w:val="center" w:pos="4320"/>
        <w:tab w:val="right" w:pos="8640"/>
      </w:tabs>
    </w:pPr>
  </w:style>
  <w:style w:type="character" w:customStyle="1" w:styleId="HeaderChar">
    <w:name w:val="Header Char"/>
    <w:basedOn w:val="DefaultParagraphFont"/>
    <w:link w:val="Header"/>
    <w:uiPriority w:val="99"/>
    <w:semiHidden/>
    <w:rPr>
      <w:rFonts w:cs="Times New Roman"/>
      <w:sz w:val="22"/>
    </w:rPr>
  </w:style>
  <w:style w:type="paragraph" w:styleId="Footer">
    <w:name w:val="footer"/>
    <w:basedOn w:val="Normal"/>
    <w:link w:val="FooterChar"/>
    <w:uiPriority w:val="99"/>
    <w:semiHidden/>
    <w:rsid w:val="009D6334"/>
    <w:pPr>
      <w:tabs>
        <w:tab w:val="center" w:pos="4320"/>
        <w:tab w:val="right" w:pos="8640"/>
      </w:tabs>
    </w:pPr>
  </w:style>
  <w:style w:type="character" w:customStyle="1" w:styleId="FooterChar">
    <w:name w:val="Footer Char"/>
    <w:basedOn w:val="DefaultParagraphFont"/>
    <w:link w:val="Footer"/>
    <w:uiPriority w:val="99"/>
    <w:semiHidden/>
    <w:rPr>
      <w:rFonts w:cs="Times New Roman"/>
      <w:sz w:val="22"/>
    </w:rPr>
  </w:style>
  <w:style w:type="character" w:styleId="Emphasis">
    <w:name w:val="Emphasis"/>
    <w:uiPriority w:val="20"/>
    <w:qFormat/>
    <w:rsid w:val="00B051F9"/>
    <w:rPr>
      <w:i/>
      <w:iCs/>
    </w:rPr>
  </w:style>
  <w:style w:type="character" w:styleId="UnresolvedMention">
    <w:name w:val="Unresolved Mention"/>
    <w:basedOn w:val="DefaultParagraphFont"/>
    <w:uiPriority w:val="99"/>
    <w:semiHidden/>
    <w:unhideWhenUsed/>
    <w:rsid w:val="00863386"/>
    <w:rPr>
      <w:color w:val="605E5C"/>
      <w:shd w:val="clear" w:color="auto" w:fill="E1DFDD"/>
    </w:rPr>
  </w:style>
  <w:style w:type="paragraph" w:styleId="NormalWeb">
    <w:name w:val="Normal (Web)"/>
    <w:basedOn w:val="Normal"/>
    <w:uiPriority w:val="99"/>
    <w:unhideWhenUsed/>
    <w:rsid w:val="00863386"/>
    <w:pPr>
      <w:spacing w:before="100" w:beforeAutospacing="1" w:after="100" w:afterAutospacing="1" w:line="240" w:lineRule="auto"/>
    </w:pPr>
    <w:rPr>
      <w:rFonts w:ascii="Times New Roman" w:eastAsia="Times New Roman" w:hAnsi="Times New Roman"/>
      <w:sz w:val="24"/>
      <w:szCs w:val="24"/>
      <w:lang w:eastAsia="en-GB"/>
    </w:rPr>
  </w:style>
  <w:style w:type="paragraph" w:customStyle="1" w:styleId="doi">
    <w:name w:val="doi"/>
    <w:basedOn w:val="Normal"/>
    <w:rsid w:val="00863386"/>
    <w:pPr>
      <w:spacing w:before="100" w:beforeAutospacing="1" w:after="100" w:afterAutospacing="1" w:line="240" w:lineRule="auto"/>
    </w:pPr>
    <w:rPr>
      <w:rFonts w:ascii="Times New Roman" w:eastAsia="Times New Roman" w:hAnsi="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4285196">
      <w:bodyDiv w:val="1"/>
      <w:marLeft w:val="0"/>
      <w:marRight w:val="0"/>
      <w:marTop w:val="0"/>
      <w:marBottom w:val="0"/>
      <w:divBdr>
        <w:top w:val="none" w:sz="0" w:space="0" w:color="auto"/>
        <w:left w:val="none" w:sz="0" w:space="0" w:color="auto"/>
        <w:bottom w:val="none" w:sz="0" w:space="0" w:color="auto"/>
        <w:right w:val="none" w:sz="0" w:space="0" w:color="auto"/>
      </w:divBdr>
    </w:div>
    <w:div w:id="622686912">
      <w:bodyDiv w:val="1"/>
      <w:marLeft w:val="0"/>
      <w:marRight w:val="0"/>
      <w:marTop w:val="0"/>
      <w:marBottom w:val="0"/>
      <w:divBdr>
        <w:top w:val="none" w:sz="0" w:space="0" w:color="auto"/>
        <w:left w:val="none" w:sz="0" w:space="0" w:color="auto"/>
        <w:bottom w:val="none" w:sz="0" w:space="0" w:color="auto"/>
        <w:right w:val="none" w:sz="0" w:space="0" w:color="auto"/>
      </w:divBdr>
    </w:div>
    <w:div w:id="1198277910">
      <w:bodyDiv w:val="1"/>
      <w:marLeft w:val="0"/>
      <w:marRight w:val="0"/>
      <w:marTop w:val="0"/>
      <w:marBottom w:val="0"/>
      <w:divBdr>
        <w:top w:val="none" w:sz="0" w:space="0" w:color="auto"/>
        <w:left w:val="none" w:sz="0" w:space="0" w:color="auto"/>
        <w:bottom w:val="none" w:sz="0" w:space="0" w:color="auto"/>
        <w:right w:val="none" w:sz="0" w:space="0" w:color="auto"/>
      </w:divBdr>
    </w:div>
    <w:div w:id="1325889598">
      <w:bodyDiv w:val="1"/>
      <w:marLeft w:val="0"/>
      <w:marRight w:val="0"/>
      <w:marTop w:val="0"/>
      <w:marBottom w:val="0"/>
      <w:divBdr>
        <w:top w:val="none" w:sz="0" w:space="0" w:color="auto"/>
        <w:left w:val="none" w:sz="0" w:space="0" w:color="auto"/>
        <w:bottom w:val="none" w:sz="0" w:space="0" w:color="auto"/>
        <w:right w:val="none" w:sz="0" w:space="0" w:color="auto"/>
      </w:divBdr>
      <w:divsChild>
        <w:div w:id="1405450184">
          <w:marLeft w:val="0"/>
          <w:marRight w:val="0"/>
          <w:marTop w:val="0"/>
          <w:marBottom w:val="0"/>
          <w:divBdr>
            <w:top w:val="none" w:sz="0" w:space="0" w:color="auto"/>
            <w:left w:val="none" w:sz="0" w:space="0" w:color="auto"/>
            <w:bottom w:val="none" w:sz="0" w:space="0" w:color="auto"/>
            <w:right w:val="none" w:sz="0" w:space="0" w:color="auto"/>
          </w:divBdr>
        </w:div>
      </w:divsChild>
    </w:div>
    <w:div w:id="1398163247">
      <w:bodyDiv w:val="1"/>
      <w:marLeft w:val="0"/>
      <w:marRight w:val="0"/>
      <w:marTop w:val="0"/>
      <w:marBottom w:val="0"/>
      <w:divBdr>
        <w:top w:val="none" w:sz="0" w:space="0" w:color="auto"/>
        <w:left w:val="none" w:sz="0" w:space="0" w:color="auto"/>
        <w:bottom w:val="none" w:sz="0" w:space="0" w:color="auto"/>
        <w:right w:val="none" w:sz="0" w:space="0" w:color="auto"/>
      </w:divBdr>
      <w:divsChild>
        <w:div w:id="2040737118">
          <w:marLeft w:val="0"/>
          <w:marRight w:val="0"/>
          <w:marTop w:val="0"/>
          <w:marBottom w:val="0"/>
          <w:divBdr>
            <w:top w:val="none" w:sz="0" w:space="0" w:color="auto"/>
            <w:left w:val="none" w:sz="0" w:space="0" w:color="auto"/>
            <w:bottom w:val="none" w:sz="0" w:space="0" w:color="auto"/>
            <w:right w:val="none" w:sz="0" w:space="0" w:color="auto"/>
          </w:divBdr>
        </w:div>
      </w:divsChild>
    </w:div>
    <w:div w:id="1537044969">
      <w:bodyDiv w:val="1"/>
      <w:marLeft w:val="0"/>
      <w:marRight w:val="0"/>
      <w:marTop w:val="0"/>
      <w:marBottom w:val="0"/>
      <w:divBdr>
        <w:top w:val="none" w:sz="0" w:space="0" w:color="auto"/>
        <w:left w:val="none" w:sz="0" w:space="0" w:color="auto"/>
        <w:bottom w:val="none" w:sz="0" w:space="0" w:color="auto"/>
        <w:right w:val="none" w:sz="0" w:space="0" w:color="auto"/>
      </w:divBdr>
    </w:div>
    <w:div w:id="1559708065">
      <w:bodyDiv w:val="1"/>
      <w:marLeft w:val="0"/>
      <w:marRight w:val="0"/>
      <w:marTop w:val="0"/>
      <w:marBottom w:val="0"/>
      <w:divBdr>
        <w:top w:val="none" w:sz="0" w:space="0" w:color="auto"/>
        <w:left w:val="none" w:sz="0" w:space="0" w:color="auto"/>
        <w:bottom w:val="none" w:sz="0" w:space="0" w:color="auto"/>
        <w:right w:val="none" w:sz="0" w:space="0" w:color="auto"/>
      </w:divBdr>
      <w:divsChild>
        <w:div w:id="1171720962">
          <w:marLeft w:val="0"/>
          <w:marRight w:val="0"/>
          <w:marTop w:val="0"/>
          <w:marBottom w:val="0"/>
          <w:divBdr>
            <w:top w:val="none" w:sz="0" w:space="0" w:color="auto"/>
            <w:left w:val="none" w:sz="0" w:space="0" w:color="auto"/>
            <w:bottom w:val="none" w:sz="0" w:space="0" w:color="auto"/>
            <w:right w:val="none" w:sz="0" w:space="0" w:color="auto"/>
          </w:divBdr>
        </w:div>
      </w:divsChild>
    </w:div>
  </w:divs>
  <w:doNotRelyOnCSS/>
  <w:doNotOrganizeInFolder/>
  <w:doNotUseLongFileNames/>
  <w:pixelsPerInch w:val="0"/>
</w:webSettings>
</file>

<file path=word/_rels/document.xml.rels><?xml version="1.0" encoding="UTF-8" standalone="yes"?>
<Relationships xmlns="http://schemas.openxmlformats.org/package/2006/relationships"><Relationship Id="rId8" Type="http://schemas.openxmlformats.org/officeDocument/2006/relationships/hyperlink" Target="http://www.attalus.org/translate/polyaenus8A.html"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sourcebooks.fordham.edu/ancient/arrian-bookVIII-India.asp" TargetMode="External"/><Relationship Id="rId12" Type="http://schemas.openxmlformats.org/officeDocument/2006/relationships/hyperlink" Target="http://coinindia.com/galleries-greek-seleucos1.html"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3406/topoi.1996.1696"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a-z-animals.com/animals/horse/" TargetMode="External"/><Relationship Id="rId4" Type="http://schemas.openxmlformats.org/officeDocument/2006/relationships/webSettings" Target="webSettings.xml"/><Relationship Id="rId9" Type="http://schemas.openxmlformats.org/officeDocument/2006/relationships/hyperlink" Target="https://a-z-animals.com/animals/african-forest-elephant/"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CE6994-5476-445E-A6B6-4884276B46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11</Pages>
  <Words>5322</Words>
  <Characters>27092</Characters>
  <Application>Microsoft Office Word</Application>
  <DocSecurity>0</DocSecurity>
  <Lines>376</Lines>
  <Paragraphs>63</Paragraphs>
  <ScaleCrop>false</ScaleCrop>
  <HeadingPairs>
    <vt:vector size="2" baseType="variant">
      <vt:variant>
        <vt:lpstr>Title</vt:lpstr>
      </vt:variant>
      <vt:variant>
        <vt:i4>1</vt:i4>
      </vt:variant>
    </vt:vector>
  </HeadingPairs>
  <TitlesOfParts>
    <vt:vector size="1" baseType="lpstr">
      <vt:lpstr>The Pressures and Motivations of the Ptolemaic Elephant Hunts</vt:lpstr>
    </vt:vector>
  </TitlesOfParts>
  <Company>SELEX SAS</Company>
  <LinksUpToDate>false</LinksUpToDate>
  <CharactersWithSpaces>32351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Pressures and Motivations of the Ptolemaic Elephant Hunts</dc:title>
  <dc:subject/>
  <dc:creator>Teddy Kimber</dc:creator>
  <cp:keywords/>
  <cp:lastModifiedBy>Teddy Kimber</cp:lastModifiedBy>
  <cp:revision>6</cp:revision>
  <dcterms:created xsi:type="dcterms:W3CDTF">2019-01-24T20:28:00Z</dcterms:created>
  <dcterms:modified xsi:type="dcterms:W3CDTF">2019-01-24T20:45:00Z</dcterms:modified>
</cp:coreProperties>
</file>