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59CEB" w14:textId="77777777" w:rsidR="005944F2" w:rsidRPr="007D751F" w:rsidRDefault="005944F2" w:rsidP="007D751F">
      <w:pPr>
        <w:spacing w:line="360" w:lineRule="auto"/>
        <w:rPr>
          <w:rFonts w:ascii="Arial" w:hAnsi="Arial" w:cs="Arial"/>
        </w:rPr>
      </w:pPr>
    </w:p>
    <w:p w14:paraId="461198F2" w14:textId="77777777" w:rsidR="005944F2" w:rsidRPr="007D751F" w:rsidRDefault="005944F2" w:rsidP="007D751F">
      <w:pPr>
        <w:spacing w:line="360" w:lineRule="auto"/>
        <w:rPr>
          <w:rFonts w:ascii="Arial" w:hAnsi="Arial" w:cs="Arial"/>
        </w:rPr>
      </w:pPr>
    </w:p>
    <w:p w14:paraId="2C2550E2" w14:textId="77777777" w:rsidR="005944F2" w:rsidRPr="007D751F" w:rsidRDefault="005944F2" w:rsidP="007D751F">
      <w:pPr>
        <w:spacing w:line="360" w:lineRule="auto"/>
        <w:rPr>
          <w:rFonts w:ascii="Arial" w:hAnsi="Arial" w:cs="Arial"/>
        </w:rPr>
      </w:pPr>
      <w:r w:rsidRPr="007D751F">
        <w:rPr>
          <w:rFonts w:ascii="Arial" w:hAnsi="Arial" w:cs="Arial"/>
          <w:noProof/>
        </w:rPr>
        <w:drawing>
          <wp:anchor distT="0" distB="0" distL="114300" distR="114300" simplePos="0" relativeHeight="251704320" behindDoc="0" locked="0" layoutInCell="1" allowOverlap="1" wp14:anchorId="2527D72B" wp14:editId="0476633C">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2E9CC731" w14:textId="77777777" w:rsidR="005944F2" w:rsidRPr="007D751F" w:rsidRDefault="005944F2" w:rsidP="007D751F">
      <w:pPr>
        <w:spacing w:line="360" w:lineRule="auto"/>
        <w:rPr>
          <w:rFonts w:ascii="Arial" w:hAnsi="Arial" w:cs="Arial"/>
        </w:rPr>
      </w:pPr>
    </w:p>
    <w:p w14:paraId="4F927B84" w14:textId="77777777" w:rsidR="005944F2" w:rsidRPr="007D751F" w:rsidRDefault="005944F2" w:rsidP="007D751F">
      <w:pPr>
        <w:spacing w:line="360" w:lineRule="auto"/>
        <w:rPr>
          <w:rFonts w:ascii="Arial" w:hAnsi="Arial" w:cs="Arial"/>
        </w:rPr>
      </w:pPr>
    </w:p>
    <w:p w14:paraId="41995331" w14:textId="77777777" w:rsidR="005944F2" w:rsidRPr="007D751F" w:rsidRDefault="005944F2" w:rsidP="007D751F">
      <w:pPr>
        <w:spacing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663360" behindDoc="0" locked="0" layoutInCell="1" allowOverlap="1" wp14:anchorId="4CC99820" wp14:editId="6CDDE2F8">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EB241B8"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62336" behindDoc="0" locked="0" layoutInCell="1" allowOverlap="1" wp14:anchorId="17593670" wp14:editId="548A215B">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BB3FAA8"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65408" behindDoc="0" locked="0" layoutInCell="1" allowOverlap="1" wp14:anchorId="522E8283" wp14:editId="5D51CF5A">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9F2C996"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64384" behindDoc="0" locked="0" layoutInCell="1" allowOverlap="1" wp14:anchorId="268CA1E3" wp14:editId="7C2B5468">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BC1A647"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32194948" w14:textId="77777777" w:rsidR="005944F2" w:rsidRPr="007D751F" w:rsidRDefault="005944F2" w:rsidP="007D751F">
      <w:pPr>
        <w:spacing w:after="77"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667456" behindDoc="0" locked="0" layoutInCell="1" allowOverlap="1" wp14:anchorId="25521CE8" wp14:editId="5A2BC553">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7E7F0A6"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66432" behindDoc="0" locked="0" layoutInCell="1" allowOverlap="1" wp14:anchorId="5C3DE136" wp14:editId="4CF5A936">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9E051B3"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69504" behindDoc="0" locked="0" layoutInCell="1" allowOverlap="1" wp14:anchorId="0769593B" wp14:editId="6F90F363">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E10777D"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68480" behindDoc="0" locked="0" layoutInCell="1" allowOverlap="1" wp14:anchorId="26D61DB2" wp14:editId="7F3DEB89">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4FB4577"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0F1D17C4" w14:textId="77777777" w:rsidR="005944F2" w:rsidRPr="007D751F" w:rsidRDefault="005944F2" w:rsidP="007D751F">
      <w:pPr>
        <w:spacing w:after="91" w:line="360" w:lineRule="auto"/>
        <w:rPr>
          <w:rFonts w:ascii="Arial" w:hAnsi="Arial" w:cs="Arial"/>
        </w:rPr>
      </w:pPr>
    </w:p>
    <w:tbl>
      <w:tblPr>
        <w:tblStyle w:val="TableGrid"/>
        <w:tblpPr w:vertAnchor="text" w:horzAnchor="page" w:tblpX="1111"/>
        <w:tblOverlap w:val="never"/>
        <w:tblW w:w="9634" w:type="dxa"/>
        <w:tblLayout w:type="fixed"/>
        <w:tblLook w:val="04A0" w:firstRow="1" w:lastRow="0" w:firstColumn="1" w:lastColumn="0" w:noHBand="0" w:noVBand="1"/>
      </w:tblPr>
      <w:tblGrid>
        <w:gridCol w:w="2080"/>
        <w:gridCol w:w="3286"/>
        <w:gridCol w:w="112"/>
        <w:gridCol w:w="2049"/>
        <w:gridCol w:w="103"/>
        <w:gridCol w:w="2004"/>
      </w:tblGrid>
      <w:tr w:rsidR="007D751F" w:rsidRPr="007D751F" w14:paraId="48293F4B" w14:textId="77777777" w:rsidTr="0086474C">
        <w:trPr>
          <w:trHeight w:hRule="exact" w:val="474"/>
        </w:trPr>
        <w:tc>
          <w:tcPr>
            <w:tcW w:w="2080" w:type="dxa"/>
          </w:tcPr>
          <w:p w14:paraId="6A256E0D" w14:textId="77777777" w:rsidR="005944F2" w:rsidRPr="007D751F" w:rsidRDefault="005944F2" w:rsidP="007D751F">
            <w:pPr>
              <w:spacing w:before="73" w:line="360" w:lineRule="auto"/>
              <w:ind w:left="84"/>
              <w:rPr>
                <w:rFonts w:ascii="Arial" w:hAnsi="Arial" w:cs="Arial"/>
              </w:rPr>
            </w:pPr>
            <w:r w:rsidRPr="007D751F">
              <w:rPr>
                <w:rFonts w:ascii="Arial" w:hAnsi="Arial" w:cs="Arial"/>
                <w:noProof/>
              </w:rPr>
              <mc:AlternateContent>
                <mc:Choice Requires="wps">
                  <w:drawing>
                    <wp:anchor distT="0" distB="0" distL="114300" distR="114300" simplePos="0" relativeHeight="251671552" behindDoc="0" locked="0" layoutInCell="1" allowOverlap="1" wp14:anchorId="0581D79E" wp14:editId="61396ACA">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5B50056"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7D751F">
              <w:rPr>
                <w:rFonts w:ascii="Arial" w:hAnsi="Arial" w:cs="Arial"/>
                <w:noProof/>
              </w:rPr>
              <mc:AlternateContent>
                <mc:Choice Requires="wps">
                  <w:drawing>
                    <wp:anchor distT="0" distB="0" distL="114300" distR="114300" simplePos="0" relativeHeight="251670528" behindDoc="0" locked="0" layoutInCell="1" allowOverlap="1" wp14:anchorId="72C2AF88" wp14:editId="31D4E0AE">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DD5C35E"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7D751F">
              <w:rPr>
                <w:rFonts w:ascii="Arial" w:hAnsi="Arial" w:cs="Arial"/>
              </w:rPr>
              <w:t xml:space="preserve">Student name:  </w:t>
            </w:r>
          </w:p>
        </w:tc>
        <w:tc>
          <w:tcPr>
            <w:tcW w:w="3286" w:type="dxa"/>
          </w:tcPr>
          <w:p w14:paraId="316331F2" w14:textId="1194B899" w:rsidR="005944F2" w:rsidRPr="007D751F" w:rsidRDefault="005944F2" w:rsidP="007D751F">
            <w:pPr>
              <w:spacing w:before="73" w:line="360" w:lineRule="auto"/>
              <w:rPr>
                <w:rFonts w:ascii="Arial" w:hAnsi="Arial" w:cs="Arial"/>
                <w:lang w:val="en-GB"/>
              </w:rPr>
            </w:pPr>
            <w:r w:rsidRPr="007D751F">
              <w:rPr>
                <w:rFonts w:ascii="Arial" w:hAnsi="Arial" w:cs="Arial"/>
                <w:noProof/>
              </w:rPr>
              <mc:AlternateContent>
                <mc:Choice Requires="wps">
                  <w:drawing>
                    <wp:anchor distT="0" distB="0" distL="114300" distR="114300" simplePos="0" relativeHeight="251672576" behindDoc="0" locked="0" layoutInCell="1" allowOverlap="1" wp14:anchorId="4EBC38D2" wp14:editId="25DCA050">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77A6E59"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73600" behindDoc="0" locked="0" layoutInCell="1" allowOverlap="1" wp14:anchorId="1BFEF69B" wp14:editId="1F474E1C">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2316D3A"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r w:rsidR="00187886" w:rsidRPr="007D751F">
              <w:rPr>
                <w:rFonts w:ascii="Arial" w:hAnsi="Arial" w:cs="Arial"/>
                <w:lang w:val="en-GB"/>
              </w:rPr>
              <w:t>Silvia Alina Dragomir</w:t>
            </w:r>
          </w:p>
        </w:tc>
        <w:tc>
          <w:tcPr>
            <w:tcW w:w="112" w:type="dxa"/>
            <w:tcBorders>
              <w:right w:val="nil"/>
            </w:tcBorders>
            <w:shd w:val="clear" w:color="auto" w:fill="DADADA"/>
          </w:tcPr>
          <w:p w14:paraId="457FE103" w14:textId="77777777" w:rsidR="005944F2" w:rsidRPr="007D751F" w:rsidRDefault="005944F2" w:rsidP="007D751F">
            <w:pPr>
              <w:spacing w:line="360" w:lineRule="auto"/>
              <w:rPr>
                <w:rFonts w:ascii="Arial" w:hAnsi="Arial" w:cs="Arial"/>
              </w:rPr>
            </w:pPr>
          </w:p>
        </w:tc>
        <w:tc>
          <w:tcPr>
            <w:tcW w:w="2049" w:type="dxa"/>
            <w:tcBorders>
              <w:left w:val="nil"/>
              <w:right w:val="nil"/>
            </w:tcBorders>
            <w:shd w:val="clear" w:color="auto" w:fill="DADADA"/>
          </w:tcPr>
          <w:p w14:paraId="55E81099" w14:textId="77777777" w:rsidR="005944F2" w:rsidRPr="007D751F" w:rsidRDefault="005944F2" w:rsidP="007D751F">
            <w:pPr>
              <w:spacing w:before="73" w:line="360" w:lineRule="auto"/>
              <w:ind w:right="-8"/>
              <w:rPr>
                <w:rFonts w:ascii="Arial" w:hAnsi="Arial" w:cs="Arial"/>
              </w:rPr>
            </w:pPr>
            <w:r w:rsidRPr="007D751F">
              <w:rPr>
                <w:rFonts w:ascii="Arial" w:hAnsi="Arial" w:cs="Arial"/>
              </w:rPr>
              <w:t xml:space="preserve">Student ID number: </w:t>
            </w:r>
          </w:p>
        </w:tc>
        <w:tc>
          <w:tcPr>
            <w:tcW w:w="103" w:type="dxa"/>
            <w:tcBorders>
              <w:left w:val="nil"/>
            </w:tcBorders>
            <w:shd w:val="clear" w:color="auto" w:fill="DADADA"/>
          </w:tcPr>
          <w:p w14:paraId="42D1959F" w14:textId="77777777" w:rsidR="005944F2" w:rsidRPr="007D751F" w:rsidRDefault="005944F2" w:rsidP="007D751F">
            <w:pPr>
              <w:spacing w:line="360" w:lineRule="auto"/>
              <w:rPr>
                <w:rFonts w:ascii="Arial" w:hAnsi="Arial" w:cs="Arial"/>
              </w:rPr>
            </w:pPr>
          </w:p>
        </w:tc>
        <w:tc>
          <w:tcPr>
            <w:tcW w:w="2004" w:type="dxa"/>
          </w:tcPr>
          <w:p w14:paraId="449AD966" w14:textId="5AEDEB79" w:rsidR="003A615E" w:rsidRPr="007D751F" w:rsidRDefault="00082396" w:rsidP="007D751F">
            <w:pPr>
              <w:spacing w:line="360" w:lineRule="auto"/>
              <w:rPr>
                <w:rFonts w:ascii="Arial" w:hAnsi="Arial" w:cs="Arial"/>
                <w:lang w:val="en-GB"/>
              </w:rPr>
            </w:pPr>
            <w:r w:rsidRPr="007D751F">
              <w:rPr>
                <w:rFonts w:ascii="Arial" w:hAnsi="Arial" w:cs="Arial"/>
                <w:lang w:val="en-GB"/>
              </w:rPr>
              <w:t>2315544</w:t>
            </w:r>
          </w:p>
          <w:p w14:paraId="7D65DF02" w14:textId="775CF7C9" w:rsidR="005944F2" w:rsidRPr="007D751F" w:rsidRDefault="005944F2" w:rsidP="007D751F">
            <w:pPr>
              <w:spacing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674624" behindDoc="0" locked="0" layoutInCell="1" allowOverlap="1" wp14:anchorId="0D8C4BB0" wp14:editId="5A40454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9937DE1"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76672" behindDoc="0" locked="0" layoutInCell="1" allowOverlap="1" wp14:anchorId="6EAF74CF" wp14:editId="5C21213C">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90D536D"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75648" behindDoc="0" locked="0" layoutInCell="1" allowOverlap="1" wp14:anchorId="7E04D455" wp14:editId="1A52C368">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A782F86"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7D751F" w:rsidRPr="007D751F" w14:paraId="31C8DE4A" w14:textId="77777777" w:rsidTr="0086474C">
        <w:trPr>
          <w:trHeight w:hRule="exact" w:val="481"/>
        </w:trPr>
        <w:tc>
          <w:tcPr>
            <w:tcW w:w="2080" w:type="dxa"/>
          </w:tcPr>
          <w:p w14:paraId="716E0BEA" w14:textId="77777777" w:rsidR="005944F2" w:rsidRPr="007D751F" w:rsidRDefault="005944F2" w:rsidP="007D751F">
            <w:pPr>
              <w:spacing w:before="81" w:line="360" w:lineRule="auto"/>
              <w:ind w:left="84"/>
              <w:rPr>
                <w:rFonts w:ascii="Arial" w:hAnsi="Arial" w:cs="Arial"/>
              </w:rPr>
            </w:pPr>
            <w:r w:rsidRPr="007D751F">
              <w:rPr>
                <w:rFonts w:ascii="Arial" w:hAnsi="Arial" w:cs="Arial"/>
                <w:noProof/>
              </w:rPr>
              <mc:AlternateContent>
                <mc:Choice Requires="wps">
                  <w:drawing>
                    <wp:anchor distT="0" distB="0" distL="114300" distR="114300" simplePos="0" relativeHeight="251677696" behindDoc="0" locked="0" layoutInCell="1" allowOverlap="1" wp14:anchorId="741F3070" wp14:editId="6B9239B6">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0A9F1AE"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7D751F">
              <w:rPr>
                <w:rFonts w:ascii="Arial" w:hAnsi="Arial" w:cs="Arial"/>
              </w:rPr>
              <w:t>Programme</w:t>
            </w:r>
            <w:proofErr w:type="spellEnd"/>
            <w:r w:rsidRPr="007D751F">
              <w:rPr>
                <w:rFonts w:ascii="Arial" w:hAnsi="Arial" w:cs="Arial"/>
              </w:rPr>
              <w:t xml:space="preserve">:  </w:t>
            </w:r>
          </w:p>
        </w:tc>
        <w:tc>
          <w:tcPr>
            <w:tcW w:w="5447" w:type="dxa"/>
            <w:gridSpan w:val="3"/>
            <w:tcBorders>
              <w:right w:val="nil"/>
            </w:tcBorders>
          </w:tcPr>
          <w:p w14:paraId="25CC10E3" w14:textId="2C02065A" w:rsidR="005944F2" w:rsidRPr="007D751F" w:rsidRDefault="005944F2" w:rsidP="007D751F">
            <w:pPr>
              <w:spacing w:before="81" w:line="360" w:lineRule="auto"/>
              <w:ind w:left="110" w:right="-18"/>
              <w:rPr>
                <w:rFonts w:ascii="Arial" w:hAnsi="Arial" w:cs="Arial"/>
              </w:rPr>
            </w:pPr>
            <w:r w:rsidRPr="007D751F">
              <w:rPr>
                <w:rFonts w:ascii="Arial" w:hAnsi="Arial" w:cs="Arial"/>
                <w:noProof/>
              </w:rPr>
              <mc:AlternateContent>
                <mc:Choice Requires="wps">
                  <w:drawing>
                    <wp:anchor distT="0" distB="0" distL="114300" distR="114300" simplePos="0" relativeHeight="251678720" behindDoc="0" locked="0" layoutInCell="1" allowOverlap="1" wp14:anchorId="63BCF33A" wp14:editId="62CBD880">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432DA8A"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7D751F">
              <w:rPr>
                <w:rFonts w:ascii="Arial" w:hAnsi="Arial" w:cs="Arial"/>
                <w:noProof/>
              </w:rPr>
              <mc:AlternateContent>
                <mc:Choice Requires="wps">
                  <w:drawing>
                    <wp:anchor distT="0" distB="0" distL="114300" distR="114300" simplePos="0" relativeHeight="251679744" behindDoc="0" locked="0" layoutInCell="1" allowOverlap="1" wp14:anchorId="413D9DF0" wp14:editId="73E0C831">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F196BD6"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7D751F">
              <w:rPr>
                <w:rFonts w:ascii="Arial" w:hAnsi="Arial" w:cs="Arial"/>
                <w:spacing w:val="-2"/>
              </w:rPr>
              <w:t>CertHE</w:t>
            </w:r>
            <w:proofErr w:type="spellEnd"/>
            <w:r w:rsidRPr="007D751F">
              <w:rPr>
                <w:rFonts w:ascii="Arial" w:hAnsi="Arial" w:cs="Arial"/>
                <w:spacing w:val="-2"/>
              </w:rPr>
              <w:t xml:space="preserve"> Skills for the Workplace Health and Social </w:t>
            </w:r>
            <w:r w:rsidR="00187886" w:rsidRPr="007D751F">
              <w:rPr>
                <w:rFonts w:ascii="Arial" w:hAnsi="Arial" w:cs="Arial"/>
                <w:spacing w:val="-2"/>
              </w:rPr>
              <w:t>Care</w:t>
            </w:r>
          </w:p>
        </w:tc>
        <w:tc>
          <w:tcPr>
            <w:tcW w:w="2107" w:type="dxa"/>
            <w:gridSpan w:val="2"/>
            <w:tcBorders>
              <w:left w:val="nil"/>
            </w:tcBorders>
          </w:tcPr>
          <w:p w14:paraId="20B09821" w14:textId="0ED062A2" w:rsidR="005944F2" w:rsidRPr="007D751F" w:rsidRDefault="005944F2" w:rsidP="007D751F">
            <w:pPr>
              <w:spacing w:before="81" w:line="360" w:lineRule="auto"/>
              <w:ind w:right="-18"/>
              <w:rPr>
                <w:rFonts w:ascii="Arial" w:hAnsi="Arial" w:cs="Arial"/>
              </w:rPr>
            </w:pPr>
            <w:r w:rsidRPr="007D751F">
              <w:rPr>
                <w:rFonts w:ascii="Arial" w:hAnsi="Arial" w:cs="Arial"/>
                <w:noProof/>
              </w:rPr>
              <mc:AlternateContent>
                <mc:Choice Requires="wps">
                  <w:drawing>
                    <wp:anchor distT="0" distB="0" distL="114300" distR="114300" simplePos="0" relativeHeight="251680768" behindDoc="0" locked="0" layoutInCell="1" allowOverlap="1" wp14:anchorId="116CEEFF" wp14:editId="1B197565">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3D2F40F"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7D751F">
              <w:rPr>
                <w:rFonts w:ascii="Arial" w:hAnsi="Arial" w:cs="Arial"/>
                <w:noProof/>
              </w:rPr>
              <mc:AlternateContent>
                <mc:Choice Requires="wps">
                  <w:drawing>
                    <wp:anchor distT="0" distB="0" distL="114300" distR="114300" simplePos="0" relativeHeight="251681792" behindDoc="0" locked="0" layoutInCell="1" allowOverlap="1" wp14:anchorId="3AB9657B" wp14:editId="7576E597">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57759FD"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7D751F" w:rsidRPr="007D751F" w14:paraId="54AD5C81" w14:textId="77777777" w:rsidTr="0086474C">
        <w:trPr>
          <w:trHeight w:hRule="exact" w:val="484"/>
        </w:trPr>
        <w:tc>
          <w:tcPr>
            <w:tcW w:w="2080" w:type="dxa"/>
          </w:tcPr>
          <w:p w14:paraId="02048E7C" w14:textId="77777777" w:rsidR="005944F2" w:rsidRPr="007D751F" w:rsidRDefault="005944F2" w:rsidP="007D751F">
            <w:pPr>
              <w:spacing w:before="83" w:line="360" w:lineRule="auto"/>
              <w:ind w:left="84"/>
              <w:rPr>
                <w:rFonts w:ascii="Arial" w:hAnsi="Arial" w:cs="Arial"/>
              </w:rPr>
            </w:pPr>
            <w:r w:rsidRPr="007D751F">
              <w:rPr>
                <w:rFonts w:ascii="Arial" w:hAnsi="Arial" w:cs="Arial"/>
                <w:noProof/>
              </w:rPr>
              <mc:AlternateContent>
                <mc:Choice Requires="wps">
                  <w:drawing>
                    <wp:anchor distT="0" distB="0" distL="114300" distR="114300" simplePos="0" relativeHeight="251682816" behindDoc="0" locked="0" layoutInCell="1" allowOverlap="1" wp14:anchorId="6D52BDC0" wp14:editId="1A465E2C">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9527464"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7D751F">
              <w:rPr>
                <w:rFonts w:ascii="Arial" w:hAnsi="Arial" w:cs="Arial"/>
              </w:rPr>
              <w:t xml:space="preserve">Module:  </w:t>
            </w:r>
          </w:p>
        </w:tc>
        <w:tc>
          <w:tcPr>
            <w:tcW w:w="5447" w:type="dxa"/>
            <w:gridSpan w:val="3"/>
            <w:tcBorders>
              <w:right w:val="nil"/>
            </w:tcBorders>
          </w:tcPr>
          <w:p w14:paraId="05E713D6" w14:textId="77777777" w:rsidR="00871237" w:rsidRPr="007D751F" w:rsidRDefault="00871237" w:rsidP="007D751F">
            <w:pPr>
              <w:autoSpaceDE w:val="0"/>
              <w:autoSpaceDN w:val="0"/>
              <w:adjustRightInd w:val="0"/>
              <w:spacing w:before="190" w:line="360" w:lineRule="auto"/>
              <w:rPr>
                <w:rFonts w:ascii="Arial" w:hAnsi="Arial" w:cs="Arial"/>
              </w:rPr>
            </w:pPr>
            <w:r w:rsidRPr="007D751F">
              <w:rPr>
                <w:rFonts w:ascii="Arial" w:hAnsi="Arial" w:cs="Arial"/>
              </w:rPr>
              <w:t xml:space="preserve">Changemakers: Creativity and Value Creation </w:t>
            </w:r>
          </w:p>
          <w:p w14:paraId="03DAD71C" w14:textId="5E40B7FD" w:rsidR="005944F2" w:rsidRPr="007D751F" w:rsidRDefault="005944F2" w:rsidP="007D751F">
            <w:pPr>
              <w:spacing w:before="83" w:line="360" w:lineRule="auto"/>
              <w:ind w:left="110"/>
              <w:rPr>
                <w:rFonts w:ascii="Arial" w:hAnsi="Arial" w:cs="Arial"/>
              </w:rPr>
            </w:pPr>
          </w:p>
        </w:tc>
        <w:tc>
          <w:tcPr>
            <w:tcW w:w="103" w:type="dxa"/>
            <w:tcBorders>
              <w:left w:val="nil"/>
              <w:right w:val="nil"/>
            </w:tcBorders>
          </w:tcPr>
          <w:p w14:paraId="7D7AF927" w14:textId="77777777" w:rsidR="005944F2" w:rsidRPr="007D751F" w:rsidRDefault="005944F2" w:rsidP="007D751F">
            <w:pPr>
              <w:spacing w:line="360" w:lineRule="auto"/>
              <w:rPr>
                <w:rFonts w:ascii="Arial" w:hAnsi="Arial" w:cs="Arial"/>
              </w:rPr>
            </w:pPr>
          </w:p>
        </w:tc>
        <w:tc>
          <w:tcPr>
            <w:tcW w:w="2004" w:type="dxa"/>
            <w:tcBorders>
              <w:left w:val="nil"/>
            </w:tcBorders>
          </w:tcPr>
          <w:p w14:paraId="71B555E6" w14:textId="77777777" w:rsidR="005944F2" w:rsidRPr="007D751F" w:rsidRDefault="005944F2" w:rsidP="007D751F">
            <w:pPr>
              <w:spacing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684864" behindDoc="0" locked="0" layoutInCell="1" allowOverlap="1" wp14:anchorId="4ED842D6" wp14:editId="5988ED73">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6C2D0C"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7D751F" w:rsidRPr="007D751F" w14:paraId="61B3B980" w14:textId="77777777" w:rsidTr="0086474C">
        <w:trPr>
          <w:trHeight w:hRule="exact" w:val="254"/>
        </w:trPr>
        <w:tc>
          <w:tcPr>
            <w:tcW w:w="2080" w:type="dxa"/>
            <w:vMerge w:val="restart"/>
            <w:tcBorders>
              <w:bottom w:val="nil"/>
            </w:tcBorders>
          </w:tcPr>
          <w:p w14:paraId="19C295C2" w14:textId="77777777" w:rsidR="005944F2" w:rsidRPr="007D751F" w:rsidRDefault="005944F2" w:rsidP="007D751F">
            <w:pPr>
              <w:spacing w:after="349" w:line="360" w:lineRule="auto"/>
              <w:ind w:left="84"/>
              <w:rPr>
                <w:rFonts w:ascii="Arial" w:hAnsi="Arial" w:cs="Arial"/>
              </w:rPr>
            </w:pPr>
            <w:r w:rsidRPr="007D751F">
              <w:rPr>
                <w:rFonts w:ascii="Arial" w:hAnsi="Arial" w:cs="Arial"/>
                <w:noProof/>
              </w:rPr>
              <mc:AlternateContent>
                <mc:Choice Requires="wps">
                  <w:drawing>
                    <wp:anchor distT="0" distB="0" distL="114300" distR="114300" simplePos="0" relativeHeight="251685888" behindDoc="0" locked="0" layoutInCell="1" allowOverlap="1" wp14:anchorId="750A2938" wp14:editId="21DC3E62">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E06D908"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7D751F">
              <w:rPr>
                <w:rFonts w:ascii="Arial" w:hAnsi="Arial" w:cs="Arial"/>
              </w:rPr>
              <w:t xml:space="preserve">Module code:  </w:t>
            </w:r>
          </w:p>
        </w:tc>
        <w:tc>
          <w:tcPr>
            <w:tcW w:w="3286" w:type="dxa"/>
            <w:vMerge w:val="restart"/>
            <w:tcBorders>
              <w:bottom w:val="nil"/>
            </w:tcBorders>
          </w:tcPr>
          <w:p w14:paraId="168471F2" w14:textId="2A75C1A8" w:rsidR="009A33CA" w:rsidRPr="007D751F" w:rsidRDefault="009A33CA" w:rsidP="007D751F">
            <w:pPr>
              <w:autoSpaceDE w:val="0"/>
              <w:autoSpaceDN w:val="0"/>
              <w:adjustRightInd w:val="0"/>
              <w:spacing w:line="360" w:lineRule="auto"/>
              <w:rPr>
                <w:rFonts w:ascii="Arial" w:hAnsi="Arial" w:cs="Arial"/>
                <w:lang w:val="en-GB"/>
                <w14:ligatures w14:val="standardContextual"/>
              </w:rPr>
            </w:pPr>
            <w:r w:rsidRPr="007D751F">
              <w:rPr>
                <w:rFonts w:ascii="Arial" w:hAnsi="Arial" w:cs="Arial"/>
                <w:lang w:val="en-GB"/>
                <w14:ligatures w14:val="standardContextual"/>
              </w:rPr>
              <w:t>BMHP501</w:t>
            </w:r>
            <w:r w:rsidR="003A1543" w:rsidRPr="007D751F">
              <w:rPr>
                <w:rFonts w:ascii="Arial" w:hAnsi="Arial" w:cs="Arial"/>
                <w:lang w:val="en-GB"/>
                <w14:ligatures w14:val="standardContextual"/>
              </w:rPr>
              <w:t>4</w:t>
            </w:r>
          </w:p>
          <w:p w14:paraId="58F80599" w14:textId="1CFFE437" w:rsidR="005944F2" w:rsidRPr="007D751F" w:rsidRDefault="005944F2" w:rsidP="007D751F">
            <w:pPr>
              <w:spacing w:after="349" w:line="360" w:lineRule="auto"/>
              <w:ind w:left="110"/>
              <w:rPr>
                <w:rFonts w:ascii="Arial" w:hAnsi="Arial" w:cs="Arial"/>
              </w:rPr>
            </w:pPr>
          </w:p>
        </w:tc>
        <w:tc>
          <w:tcPr>
            <w:tcW w:w="112" w:type="dxa"/>
            <w:vMerge w:val="restart"/>
            <w:tcBorders>
              <w:bottom w:val="nil"/>
              <w:right w:val="nil"/>
            </w:tcBorders>
            <w:shd w:val="clear" w:color="auto" w:fill="DADADA"/>
          </w:tcPr>
          <w:p w14:paraId="3DFB9B6B" w14:textId="77777777" w:rsidR="005944F2" w:rsidRPr="007D751F" w:rsidRDefault="005944F2" w:rsidP="007D751F">
            <w:pPr>
              <w:spacing w:line="360" w:lineRule="auto"/>
              <w:rPr>
                <w:rFonts w:ascii="Arial" w:hAnsi="Arial" w:cs="Arial"/>
              </w:rPr>
            </w:pPr>
          </w:p>
        </w:tc>
        <w:tc>
          <w:tcPr>
            <w:tcW w:w="2049" w:type="dxa"/>
            <w:tcBorders>
              <w:left w:val="nil"/>
              <w:bottom w:val="nil"/>
              <w:right w:val="nil"/>
            </w:tcBorders>
            <w:shd w:val="clear" w:color="auto" w:fill="DADADA"/>
          </w:tcPr>
          <w:p w14:paraId="788633BB" w14:textId="77777777" w:rsidR="005944F2" w:rsidRPr="007D751F" w:rsidRDefault="005944F2" w:rsidP="007D751F">
            <w:pPr>
              <w:tabs>
                <w:tab w:val="left" w:pos="1847"/>
              </w:tabs>
              <w:spacing w:line="360" w:lineRule="auto"/>
              <w:ind w:right="-18"/>
              <w:rPr>
                <w:rFonts w:ascii="Arial" w:hAnsi="Arial" w:cs="Arial"/>
              </w:rPr>
            </w:pPr>
            <w:r w:rsidRPr="007D751F">
              <w:rPr>
                <w:rFonts w:ascii="Arial" w:hAnsi="Arial" w:cs="Arial"/>
              </w:rPr>
              <w:t xml:space="preserve">Contribution </w:t>
            </w:r>
            <w:r w:rsidRPr="007D751F">
              <w:rPr>
                <w:rFonts w:ascii="Arial" w:hAnsi="Arial" w:cs="Arial"/>
              </w:rPr>
              <w:tab/>
            </w:r>
            <w:r w:rsidRPr="007D751F">
              <w:rPr>
                <w:rFonts w:ascii="Arial" w:hAnsi="Arial" w:cs="Arial"/>
                <w:spacing w:val="-2"/>
              </w:rPr>
              <w:t>to</w:t>
            </w:r>
            <w:r w:rsidRPr="007D751F">
              <w:rPr>
                <w:rFonts w:ascii="Arial" w:hAnsi="Arial" w:cs="Arial"/>
              </w:rPr>
              <w:t xml:space="preserve"> </w:t>
            </w:r>
          </w:p>
        </w:tc>
        <w:tc>
          <w:tcPr>
            <w:tcW w:w="103" w:type="dxa"/>
            <w:vMerge w:val="restart"/>
            <w:tcBorders>
              <w:left w:val="nil"/>
              <w:bottom w:val="nil"/>
            </w:tcBorders>
            <w:shd w:val="clear" w:color="auto" w:fill="DADADA"/>
          </w:tcPr>
          <w:p w14:paraId="4F7B814C" w14:textId="77777777" w:rsidR="005944F2" w:rsidRPr="007D751F" w:rsidRDefault="005944F2" w:rsidP="007D751F">
            <w:pPr>
              <w:spacing w:line="360" w:lineRule="auto"/>
              <w:rPr>
                <w:rFonts w:ascii="Arial" w:hAnsi="Arial" w:cs="Arial"/>
              </w:rPr>
            </w:pPr>
          </w:p>
        </w:tc>
        <w:tc>
          <w:tcPr>
            <w:tcW w:w="2004" w:type="dxa"/>
            <w:vMerge w:val="restart"/>
            <w:tcBorders>
              <w:bottom w:val="nil"/>
            </w:tcBorders>
          </w:tcPr>
          <w:p w14:paraId="501C1DE5" w14:textId="77777777" w:rsidR="005944F2" w:rsidRPr="007D751F" w:rsidRDefault="005944F2" w:rsidP="007D751F">
            <w:pPr>
              <w:spacing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688960" behindDoc="0" locked="0" layoutInCell="1" allowOverlap="1" wp14:anchorId="6F367929" wp14:editId="17D30F9C">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808B23B"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89984" behindDoc="0" locked="0" layoutInCell="1" allowOverlap="1" wp14:anchorId="170A94F0" wp14:editId="0C0076AF">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49B1A0E"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659264" behindDoc="0" locked="0" layoutInCell="1" allowOverlap="1" wp14:anchorId="08D5D398" wp14:editId="0E2334A8">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E5C0B57" w14:textId="3A0E551C" w:rsidR="005944F2" w:rsidRPr="00082396" w:rsidRDefault="009301E7" w:rsidP="005944F2">
                                  <w:pPr>
                                    <w:spacing w:line="316" w:lineRule="exact"/>
                                    <w:rPr>
                                      <w:rFonts w:ascii="Times New Roman" w:hAnsi="Times New Roman" w:cs="Times New Roman"/>
                                      <w:color w:val="010302"/>
                                    </w:rPr>
                                  </w:pPr>
                                  <w:r>
                                    <w:rPr>
                                      <w:rFonts w:ascii="Arial" w:hAnsi="Arial" w:cs="Arial"/>
                                      <w:color w:val="000000"/>
                                    </w:rPr>
                                    <w:t>5</w:t>
                                  </w:r>
                                  <w:r w:rsidR="005944F2" w:rsidRPr="00082396">
                                    <w:rPr>
                                      <w:rFonts w:ascii="Arial" w:hAnsi="Arial" w:cs="Arial"/>
                                      <w:color w:val="000000"/>
                                    </w:rPr>
                                    <w:t xml:space="preserve">0%  </w:t>
                                  </w:r>
                                </w:p>
                              </w:txbxContent>
                            </wps:txbx>
                            <wps:bodyPr wrap="square" lIns="0" tIns="0" rIns="0" bIns="0"/>
                          </wps:wsp>
                        </a:graphicData>
                      </a:graphic>
                    </wp:anchor>
                  </w:drawing>
                </mc:Choice>
                <mc:Fallback>
                  <w:pict>
                    <v:shape w14:anchorId="08D5D398"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4E5C0B57" w14:textId="3A0E551C" w:rsidR="005944F2" w:rsidRPr="00082396" w:rsidRDefault="009301E7" w:rsidP="005944F2">
                            <w:pPr>
                              <w:spacing w:line="316" w:lineRule="exact"/>
                              <w:rPr>
                                <w:rFonts w:ascii="Times New Roman" w:hAnsi="Times New Roman" w:cs="Times New Roman"/>
                                <w:color w:val="010302"/>
                              </w:rPr>
                            </w:pPr>
                            <w:r>
                              <w:rPr>
                                <w:rFonts w:ascii="Arial" w:hAnsi="Arial" w:cs="Arial"/>
                                <w:color w:val="000000"/>
                              </w:rPr>
                              <w:t>5</w:t>
                            </w:r>
                            <w:r w:rsidR="005944F2" w:rsidRPr="00082396">
                              <w:rPr>
                                <w:rFonts w:ascii="Arial" w:hAnsi="Arial" w:cs="Arial"/>
                                <w:color w:val="000000"/>
                              </w:rPr>
                              <w:t xml:space="preserve">0%  </w:t>
                            </w:r>
                          </w:p>
                        </w:txbxContent>
                      </v:textbox>
                      <w10:wrap anchorx="page"/>
                    </v:shape>
                  </w:pict>
                </mc:Fallback>
              </mc:AlternateContent>
            </w:r>
          </w:p>
        </w:tc>
      </w:tr>
      <w:tr w:rsidR="007D751F" w:rsidRPr="007D751F" w14:paraId="05B4B974" w14:textId="77777777" w:rsidTr="0086474C">
        <w:trPr>
          <w:trHeight w:hRule="exact" w:val="251"/>
        </w:trPr>
        <w:tc>
          <w:tcPr>
            <w:tcW w:w="2080" w:type="dxa"/>
            <w:vMerge/>
            <w:tcBorders>
              <w:top w:val="nil"/>
              <w:bottom w:val="nil"/>
            </w:tcBorders>
          </w:tcPr>
          <w:p w14:paraId="46E03F23" w14:textId="77777777" w:rsidR="005944F2" w:rsidRPr="007D751F" w:rsidRDefault="005944F2" w:rsidP="007D751F">
            <w:pPr>
              <w:spacing w:line="360" w:lineRule="auto"/>
              <w:rPr>
                <w:rFonts w:ascii="Arial" w:hAnsi="Arial" w:cs="Arial"/>
              </w:rPr>
            </w:pPr>
          </w:p>
        </w:tc>
        <w:tc>
          <w:tcPr>
            <w:tcW w:w="3286" w:type="dxa"/>
            <w:vMerge/>
            <w:tcBorders>
              <w:top w:val="nil"/>
              <w:bottom w:val="nil"/>
            </w:tcBorders>
          </w:tcPr>
          <w:p w14:paraId="23E3012D" w14:textId="77777777" w:rsidR="005944F2" w:rsidRPr="007D751F" w:rsidRDefault="005944F2" w:rsidP="007D751F">
            <w:pPr>
              <w:spacing w:line="360" w:lineRule="auto"/>
              <w:rPr>
                <w:rFonts w:ascii="Arial" w:hAnsi="Arial" w:cs="Arial"/>
              </w:rPr>
            </w:pPr>
          </w:p>
        </w:tc>
        <w:tc>
          <w:tcPr>
            <w:tcW w:w="112" w:type="dxa"/>
            <w:vMerge/>
            <w:tcBorders>
              <w:top w:val="nil"/>
              <w:bottom w:val="nil"/>
              <w:right w:val="nil"/>
            </w:tcBorders>
            <w:shd w:val="clear" w:color="auto" w:fill="DADADA"/>
          </w:tcPr>
          <w:p w14:paraId="56B0DE8F" w14:textId="77777777" w:rsidR="005944F2" w:rsidRPr="007D751F" w:rsidRDefault="005944F2" w:rsidP="007D751F">
            <w:pPr>
              <w:spacing w:line="360" w:lineRule="auto"/>
              <w:rPr>
                <w:rFonts w:ascii="Arial" w:hAnsi="Arial" w:cs="Arial"/>
              </w:rPr>
            </w:pPr>
          </w:p>
        </w:tc>
        <w:tc>
          <w:tcPr>
            <w:tcW w:w="2049" w:type="dxa"/>
            <w:tcBorders>
              <w:top w:val="nil"/>
              <w:left w:val="nil"/>
              <w:bottom w:val="nil"/>
              <w:right w:val="nil"/>
            </w:tcBorders>
            <w:shd w:val="clear" w:color="auto" w:fill="DADADA"/>
          </w:tcPr>
          <w:p w14:paraId="5A56EB2A" w14:textId="77777777" w:rsidR="005944F2" w:rsidRPr="007D751F" w:rsidRDefault="005944F2" w:rsidP="007D751F">
            <w:pPr>
              <w:spacing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660288" behindDoc="0" locked="0" layoutInCell="1" allowOverlap="1" wp14:anchorId="77A7BA9D" wp14:editId="78AF11F7">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BE59236" w14:textId="77777777" w:rsidR="005944F2" w:rsidRPr="00082396" w:rsidRDefault="005944F2" w:rsidP="005944F2">
                                  <w:pPr>
                                    <w:tabs>
                                      <w:tab w:val="left" w:pos="1283"/>
                                    </w:tabs>
                                    <w:spacing w:line="316" w:lineRule="exact"/>
                                    <w:rPr>
                                      <w:rFonts w:ascii="Times New Roman" w:hAnsi="Times New Roman" w:cs="Times New Roman"/>
                                      <w:color w:val="010302"/>
                                    </w:rPr>
                                  </w:pPr>
                                  <w:r w:rsidRPr="00082396">
                                    <w:rPr>
                                      <w:rFonts w:ascii="Arial" w:hAnsi="Arial" w:cs="Arial"/>
                                      <w:color w:val="000000"/>
                                    </w:rPr>
                                    <w:t xml:space="preserve">Overall </w:t>
                                  </w:r>
                                  <w:r w:rsidRPr="00082396">
                                    <w:rPr>
                                      <w:rFonts w:ascii="Arial" w:hAnsi="Arial" w:cs="Arial"/>
                                      <w:color w:val="000000"/>
                                    </w:rPr>
                                    <w:tab/>
                                    <w:t xml:space="preserve">Module  </w:t>
                                  </w:r>
                                </w:p>
                                <w:p w14:paraId="312713CF" w14:textId="77777777" w:rsidR="005944F2" w:rsidRPr="00082396" w:rsidRDefault="005944F2" w:rsidP="005944F2">
                                  <w:pPr>
                                    <w:spacing w:line="251" w:lineRule="exact"/>
                                    <w:rPr>
                                      <w:rFonts w:ascii="Times New Roman" w:hAnsi="Times New Roman" w:cs="Times New Roman"/>
                                      <w:color w:val="010302"/>
                                    </w:rPr>
                                  </w:pPr>
                                  <w:r w:rsidRPr="00082396">
                                    <w:rPr>
                                      <w:rFonts w:ascii="Arial" w:hAnsi="Arial" w:cs="Arial"/>
                                      <w:color w:val="000000"/>
                                    </w:rPr>
                                    <w:t xml:space="preserve">Assessment (%):  </w:t>
                                  </w:r>
                                </w:p>
                              </w:txbxContent>
                            </wps:txbx>
                            <wps:bodyPr wrap="square" lIns="0" tIns="0" rIns="0" bIns="0"/>
                          </wps:wsp>
                        </a:graphicData>
                      </a:graphic>
                    </wp:anchor>
                  </w:drawing>
                </mc:Choice>
                <mc:Fallback>
                  <w:pict>
                    <v:shape w14:anchorId="77A7BA9D"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BE59236" w14:textId="77777777" w:rsidR="005944F2" w:rsidRPr="00082396" w:rsidRDefault="005944F2" w:rsidP="005944F2">
                            <w:pPr>
                              <w:tabs>
                                <w:tab w:val="left" w:pos="1283"/>
                              </w:tabs>
                              <w:spacing w:line="316" w:lineRule="exact"/>
                              <w:rPr>
                                <w:rFonts w:ascii="Times New Roman" w:hAnsi="Times New Roman" w:cs="Times New Roman"/>
                                <w:color w:val="010302"/>
                              </w:rPr>
                            </w:pPr>
                            <w:r w:rsidRPr="00082396">
                              <w:rPr>
                                <w:rFonts w:ascii="Arial" w:hAnsi="Arial" w:cs="Arial"/>
                                <w:color w:val="000000"/>
                              </w:rPr>
                              <w:t xml:space="preserve">Overall </w:t>
                            </w:r>
                            <w:r w:rsidRPr="00082396">
                              <w:rPr>
                                <w:rFonts w:ascii="Arial" w:hAnsi="Arial" w:cs="Arial"/>
                                <w:color w:val="000000"/>
                              </w:rPr>
                              <w:tab/>
                              <w:t xml:space="preserve">Module  </w:t>
                            </w:r>
                          </w:p>
                          <w:p w14:paraId="312713CF" w14:textId="77777777" w:rsidR="005944F2" w:rsidRPr="00082396" w:rsidRDefault="005944F2" w:rsidP="005944F2">
                            <w:pPr>
                              <w:spacing w:line="251" w:lineRule="exact"/>
                              <w:rPr>
                                <w:rFonts w:ascii="Times New Roman" w:hAnsi="Times New Roman" w:cs="Times New Roman"/>
                                <w:color w:val="010302"/>
                              </w:rPr>
                            </w:pPr>
                            <w:r w:rsidRPr="00082396">
                              <w:rPr>
                                <w:rFonts w:ascii="Arial" w:hAnsi="Arial" w:cs="Arial"/>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53889495" w14:textId="77777777" w:rsidR="005944F2" w:rsidRPr="007D751F" w:rsidRDefault="005944F2" w:rsidP="007D751F">
            <w:pPr>
              <w:spacing w:line="360" w:lineRule="auto"/>
              <w:rPr>
                <w:rFonts w:ascii="Arial" w:hAnsi="Arial" w:cs="Arial"/>
              </w:rPr>
            </w:pPr>
          </w:p>
        </w:tc>
        <w:tc>
          <w:tcPr>
            <w:tcW w:w="2004" w:type="dxa"/>
            <w:vMerge/>
            <w:tcBorders>
              <w:top w:val="nil"/>
              <w:bottom w:val="nil"/>
            </w:tcBorders>
          </w:tcPr>
          <w:p w14:paraId="39B8E84E" w14:textId="77777777" w:rsidR="005944F2" w:rsidRPr="007D751F" w:rsidRDefault="005944F2" w:rsidP="007D751F">
            <w:pPr>
              <w:spacing w:line="360" w:lineRule="auto"/>
              <w:rPr>
                <w:rFonts w:ascii="Arial" w:hAnsi="Arial" w:cs="Arial"/>
              </w:rPr>
            </w:pPr>
          </w:p>
        </w:tc>
      </w:tr>
      <w:tr w:rsidR="007D751F" w:rsidRPr="007D751F" w14:paraId="20885480" w14:textId="77777777" w:rsidTr="0086474C">
        <w:trPr>
          <w:trHeight w:hRule="exact" w:val="241"/>
        </w:trPr>
        <w:tc>
          <w:tcPr>
            <w:tcW w:w="2080" w:type="dxa"/>
            <w:vMerge/>
            <w:tcBorders>
              <w:top w:val="nil"/>
            </w:tcBorders>
          </w:tcPr>
          <w:p w14:paraId="013B44B4" w14:textId="77777777" w:rsidR="005944F2" w:rsidRPr="007D751F" w:rsidRDefault="005944F2" w:rsidP="007D751F">
            <w:pPr>
              <w:spacing w:line="360" w:lineRule="auto"/>
              <w:rPr>
                <w:rFonts w:ascii="Arial" w:hAnsi="Arial" w:cs="Arial"/>
              </w:rPr>
            </w:pPr>
          </w:p>
        </w:tc>
        <w:tc>
          <w:tcPr>
            <w:tcW w:w="3286" w:type="dxa"/>
            <w:vMerge/>
            <w:tcBorders>
              <w:top w:val="nil"/>
            </w:tcBorders>
          </w:tcPr>
          <w:p w14:paraId="59C74B49" w14:textId="77777777" w:rsidR="005944F2" w:rsidRPr="007D751F" w:rsidRDefault="005944F2" w:rsidP="007D751F">
            <w:pPr>
              <w:spacing w:line="360" w:lineRule="auto"/>
              <w:rPr>
                <w:rFonts w:ascii="Arial" w:hAnsi="Arial" w:cs="Arial"/>
              </w:rPr>
            </w:pPr>
          </w:p>
        </w:tc>
        <w:tc>
          <w:tcPr>
            <w:tcW w:w="112" w:type="dxa"/>
            <w:vMerge/>
            <w:tcBorders>
              <w:top w:val="nil"/>
              <w:right w:val="nil"/>
            </w:tcBorders>
            <w:shd w:val="clear" w:color="auto" w:fill="DADADA"/>
          </w:tcPr>
          <w:p w14:paraId="4DA01B91" w14:textId="77777777" w:rsidR="005944F2" w:rsidRPr="007D751F" w:rsidRDefault="005944F2" w:rsidP="007D751F">
            <w:pPr>
              <w:spacing w:line="360" w:lineRule="auto"/>
              <w:rPr>
                <w:rFonts w:ascii="Arial" w:hAnsi="Arial" w:cs="Arial"/>
              </w:rPr>
            </w:pPr>
          </w:p>
        </w:tc>
        <w:tc>
          <w:tcPr>
            <w:tcW w:w="2049" w:type="dxa"/>
            <w:tcBorders>
              <w:top w:val="nil"/>
              <w:left w:val="nil"/>
              <w:right w:val="nil"/>
            </w:tcBorders>
            <w:shd w:val="clear" w:color="auto" w:fill="DADADA"/>
          </w:tcPr>
          <w:p w14:paraId="124E6C22" w14:textId="77777777" w:rsidR="005944F2" w:rsidRPr="007D751F" w:rsidRDefault="005944F2" w:rsidP="007D751F">
            <w:pPr>
              <w:spacing w:line="360" w:lineRule="auto"/>
              <w:rPr>
                <w:rFonts w:ascii="Arial" w:hAnsi="Arial" w:cs="Arial"/>
              </w:rPr>
            </w:pPr>
          </w:p>
        </w:tc>
        <w:tc>
          <w:tcPr>
            <w:tcW w:w="103" w:type="dxa"/>
            <w:vMerge/>
            <w:tcBorders>
              <w:top w:val="nil"/>
              <w:left w:val="nil"/>
            </w:tcBorders>
            <w:shd w:val="clear" w:color="auto" w:fill="DADADA"/>
          </w:tcPr>
          <w:p w14:paraId="659721C0" w14:textId="77777777" w:rsidR="005944F2" w:rsidRPr="007D751F" w:rsidRDefault="005944F2" w:rsidP="007D751F">
            <w:pPr>
              <w:spacing w:line="360" w:lineRule="auto"/>
              <w:rPr>
                <w:rFonts w:ascii="Arial" w:hAnsi="Arial" w:cs="Arial"/>
              </w:rPr>
            </w:pPr>
          </w:p>
        </w:tc>
        <w:tc>
          <w:tcPr>
            <w:tcW w:w="2004" w:type="dxa"/>
            <w:vMerge/>
            <w:tcBorders>
              <w:top w:val="nil"/>
            </w:tcBorders>
          </w:tcPr>
          <w:p w14:paraId="71F6B4F0" w14:textId="77777777" w:rsidR="005944F2" w:rsidRPr="007D751F" w:rsidRDefault="005944F2" w:rsidP="007D751F">
            <w:pPr>
              <w:spacing w:line="360" w:lineRule="auto"/>
              <w:rPr>
                <w:rFonts w:ascii="Arial" w:hAnsi="Arial" w:cs="Arial"/>
              </w:rPr>
            </w:pPr>
          </w:p>
        </w:tc>
      </w:tr>
      <w:tr w:rsidR="007D751F" w:rsidRPr="007D751F" w14:paraId="3CCCCAA9" w14:textId="77777777" w:rsidTr="009301E7">
        <w:trPr>
          <w:trHeight w:hRule="exact" w:val="1937"/>
        </w:trPr>
        <w:tc>
          <w:tcPr>
            <w:tcW w:w="2080" w:type="dxa"/>
          </w:tcPr>
          <w:p w14:paraId="5C59B5D6" w14:textId="77777777" w:rsidR="0086474C" w:rsidRPr="007D751F" w:rsidRDefault="0086474C" w:rsidP="007D751F">
            <w:pPr>
              <w:spacing w:before="103" w:line="360" w:lineRule="auto"/>
              <w:ind w:left="84"/>
              <w:rPr>
                <w:rFonts w:ascii="Arial" w:hAnsi="Arial" w:cs="Arial"/>
              </w:rPr>
            </w:pPr>
            <w:r w:rsidRPr="007D751F">
              <w:rPr>
                <w:rFonts w:ascii="Arial" w:hAnsi="Arial" w:cs="Arial"/>
                <w:noProof/>
              </w:rPr>
              <mc:AlternateContent>
                <mc:Choice Requires="wps">
                  <w:drawing>
                    <wp:anchor distT="0" distB="0" distL="114300" distR="114300" simplePos="0" relativeHeight="251707392" behindDoc="0" locked="0" layoutInCell="1" allowOverlap="1" wp14:anchorId="34E250E4" wp14:editId="69461590">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7872C9F" id="Freeform 136" o:spid="_x0000_s1026" style="position:absolute;margin-left:-.5pt;margin-top:0;width:.5pt;height:.5pt;z-index:251707392;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7D751F">
              <w:rPr>
                <w:rFonts w:ascii="Arial" w:hAnsi="Arial" w:cs="Arial"/>
              </w:rPr>
              <w:t xml:space="preserve">Assignment Title:  </w:t>
            </w:r>
          </w:p>
        </w:tc>
        <w:tc>
          <w:tcPr>
            <w:tcW w:w="3286" w:type="dxa"/>
          </w:tcPr>
          <w:p w14:paraId="220B734D" w14:textId="77777777" w:rsidR="003A1543" w:rsidRPr="007D751F" w:rsidRDefault="003A1543" w:rsidP="007D751F">
            <w:pPr>
              <w:autoSpaceDE w:val="0"/>
              <w:autoSpaceDN w:val="0"/>
              <w:adjustRightInd w:val="0"/>
              <w:spacing w:line="360" w:lineRule="auto"/>
              <w:rPr>
                <w:rFonts w:ascii="Arial" w:hAnsi="Arial" w:cs="Arial"/>
              </w:rPr>
            </w:pPr>
            <w:r w:rsidRPr="007D751F">
              <w:rPr>
                <w:rFonts w:ascii="Arial" w:hAnsi="Arial" w:cs="Arial"/>
              </w:rPr>
              <w:t>Online portfolio</w:t>
            </w:r>
          </w:p>
          <w:p w14:paraId="2C531B4E" w14:textId="77777777" w:rsidR="003A1543" w:rsidRPr="007D751F" w:rsidRDefault="003A1543" w:rsidP="007D751F">
            <w:pPr>
              <w:autoSpaceDE w:val="0"/>
              <w:autoSpaceDN w:val="0"/>
              <w:adjustRightInd w:val="0"/>
              <w:spacing w:line="360" w:lineRule="auto"/>
              <w:ind w:right="1590"/>
              <w:jc w:val="right"/>
              <w:rPr>
                <w:rFonts w:ascii="Arial" w:hAnsi="Arial" w:cs="Arial"/>
              </w:rPr>
            </w:pPr>
            <w:r w:rsidRPr="007D751F">
              <w:rPr>
                <w:rFonts w:ascii="Arial" w:hAnsi="Arial" w:cs="Arial"/>
              </w:rPr>
              <w:t>of set exercises</w:t>
            </w:r>
          </w:p>
          <w:p w14:paraId="78A1BE90" w14:textId="28CB8073" w:rsidR="0086474C" w:rsidRPr="007D751F" w:rsidRDefault="0086474C" w:rsidP="007D751F">
            <w:pPr>
              <w:spacing w:before="103" w:line="360" w:lineRule="auto"/>
              <w:ind w:left="110"/>
              <w:rPr>
                <w:rFonts w:ascii="Arial" w:hAnsi="Arial" w:cs="Arial"/>
              </w:rPr>
            </w:pPr>
          </w:p>
        </w:tc>
        <w:tc>
          <w:tcPr>
            <w:tcW w:w="2161" w:type="dxa"/>
            <w:gridSpan w:val="2"/>
            <w:tcBorders>
              <w:right w:val="nil"/>
            </w:tcBorders>
          </w:tcPr>
          <w:p w14:paraId="701882C3" w14:textId="77777777" w:rsidR="0086474C" w:rsidRPr="007D751F" w:rsidRDefault="0086474C" w:rsidP="007D751F">
            <w:pPr>
              <w:tabs>
                <w:tab w:val="left" w:pos="977"/>
                <w:tab w:val="left" w:pos="1872"/>
              </w:tabs>
              <w:spacing w:before="103" w:line="360" w:lineRule="auto"/>
              <w:ind w:left="112" w:right="-18"/>
              <w:rPr>
                <w:rFonts w:ascii="Arial" w:hAnsi="Arial" w:cs="Arial"/>
              </w:rPr>
            </w:pPr>
            <w:r w:rsidRPr="007D751F">
              <w:rPr>
                <w:rFonts w:ascii="Arial" w:hAnsi="Arial" w:cs="Arial"/>
              </w:rPr>
              <w:t xml:space="preserve">Word </w:t>
            </w:r>
            <w:r w:rsidRPr="007D751F">
              <w:rPr>
                <w:rFonts w:ascii="Arial" w:hAnsi="Arial" w:cs="Arial"/>
              </w:rPr>
              <w:tab/>
              <w:t xml:space="preserve">count </w:t>
            </w:r>
            <w:r w:rsidRPr="007D751F">
              <w:rPr>
                <w:rFonts w:ascii="Arial" w:hAnsi="Arial" w:cs="Arial"/>
              </w:rPr>
              <w:tab/>
              <w:t xml:space="preserve">(or </w:t>
            </w:r>
          </w:p>
          <w:p w14:paraId="775D54C5" w14:textId="77777777" w:rsidR="0086474C" w:rsidRPr="007D751F" w:rsidRDefault="0086474C" w:rsidP="007D751F">
            <w:pPr>
              <w:spacing w:after="83" w:line="360" w:lineRule="auto"/>
              <w:ind w:left="32" w:right="739"/>
              <w:rPr>
                <w:rFonts w:ascii="Arial" w:hAnsi="Arial" w:cs="Arial"/>
              </w:rPr>
            </w:pPr>
            <w:r w:rsidRPr="007D751F">
              <w:rPr>
                <w:rFonts w:ascii="Arial" w:hAnsi="Arial" w:cs="Arial"/>
              </w:rPr>
              <w:t xml:space="preserve">equivalent):  </w:t>
            </w:r>
          </w:p>
        </w:tc>
        <w:tc>
          <w:tcPr>
            <w:tcW w:w="103" w:type="dxa"/>
            <w:tcBorders>
              <w:left w:val="nil"/>
            </w:tcBorders>
          </w:tcPr>
          <w:p w14:paraId="5289F2FD" w14:textId="77777777" w:rsidR="0086474C" w:rsidRPr="007D751F" w:rsidRDefault="0086474C" w:rsidP="007D751F">
            <w:pPr>
              <w:spacing w:line="360" w:lineRule="auto"/>
              <w:rPr>
                <w:rFonts w:ascii="Arial" w:hAnsi="Arial" w:cs="Arial"/>
              </w:rPr>
            </w:pPr>
          </w:p>
        </w:tc>
        <w:tc>
          <w:tcPr>
            <w:tcW w:w="2004" w:type="dxa"/>
          </w:tcPr>
          <w:p w14:paraId="113BC3A2" w14:textId="77777777" w:rsidR="0086474C" w:rsidRPr="007D751F" w:rsidRDefault="0086474C" w:rsidP="007D751F">
            <w:pPr>
              <w:spacing w:line="360" w:lineRule="auto"/>
              <w:rPr>
                <w:rFonts w:ascii="Arial" w:hAnsi="Arial" w:cs="Arial"/>
              </w:rPr>
            </w:pPr>
            <w:r w:rsidRPr="007D751F">
              <w:rPr>
                <w:rFonts w:ascii="Arial" w:hAnsi="Arial" w:cs="Arial"/>
                <w:noProof/>
              </w:rPr>
              <mc:AlternateContent>
                <mc:Choice Requires="wps">
                  <w:drawing>
                    <wp:anchor distT="0" distB="0" distL="114300" distR="114300" simplePos="0" relativeHeight="251708416" behindDoc="0" locked="0" layoutInCell="1" allowOverlap="1" wp14:anchorId="266FCE31" wp14:editId="2A45FECD">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DC6C8B1" id="Freeform 139" o:spid="_x0000_s1026" style="position:absolute;margin-left:0;margin-top:0;width:.5pt;height:.5pt;z-index:25170841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709440" behindDoc="0" locked="0" layoutInCell="1" allowOverlap="1" wp14:anchorId="5A4CBF82" wp14:editId="4D5BD18A">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79D6566" id="Freeform 140" o:spid="_x0000_s1026" style="position:absolute;margin-left:113.4pt;margin-top:0;width:.5pt;height:.5pt;z-index:25170944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7D751F">
              <w:rPr>
                <w:rFonts w:ascii="Arial" w:hAnsi="Arial" w:cs="Arial"/>
                <w:noProof/>
              </w:rPr>
              <mc:AlternateContent>
                <mc:Choice Requires="wps">
                  <w:drawing>
                    <wp:anchor distT="0" distB="0" distL="114300" distR="114300" simplePos="0" relativeHeight="251706368" behindDoc="0" locked="0" layoutInCell="1" allowOverlap="1" wp14:anchorId="568289E0" wp14:editId="68F0420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DB45EC9" w14:textId="54C43043" w:rsidR="0086474C" w:rsidRDefault="000C6543" w:rsidP="005944F2">
                                  <w:pPr>
                                    <w:spacing w:line="254" w:lineRule="exact"/>
                                    <w:rPr>
                                      <w:rFonts w:ascii="Times New Roman" w:hAnsi="Times New Roman" w:cs="Times New Roman"/>
                                      <w:color w:val="010302"/>
                                    </w:rPr>
                                  </w:pPr>
                                  <w:r>
                                    <w:rPr>
                                      <w:rFonts w:ascii="Arial" w:hAnsi="Arial" w:cs="Arial"/>
                                      <w:b/>
                                      <w:bCs/>
                                      <w:color w:val="000000"/>
                                    </w:rPr>
                                    <w:t>2</w:t>
                                  </w:r>
                                  <w:r w:rsidR="00E00E34">
                                    <w:rPr>
                                      <w:rFonts w:ascii="Arial" w:hAnsi="Arial" w:cs="Arial"/>
                                      <w:b/>
                                      <w:bCs/>
                                      <w:color w:val="000000"/>
                                    </w:rPr>
                                    <w:t>17</w:t>
                                  </w:r>
                                  <w:r>
                                    <w:rPr>
                                      <w:rFonts w:ascii="Arial" w:hAnsi="Arial" w:cs="Arial"/>
                                      <w:b/>
                                      <w:bCs/>
                                      <w:color w:val="000000"/>
                                    </w:rPr>
                                    <w:t>9</w:t>
                                  </w:r>
                                  <w:r w:rsidR="0086474C">
                                    <w:rPr>
                                      <w:rFonts w:ascii="Arial" w:hAnsi="Arial" w:cs="Arial"/>
                                      <w:b/>
                                      <w:bCs/>
                                      <w:color w:val="000000"/>
                                    </w:rPr>
                                    <w:t xml:space="preserve"> words</w:t>
                                  </w:r>
                                </w:p>
                              </w:txbxContent>
                            </wps:txbx>
                            <wps:bodyPr wrap="square" lIns="0" tIns="0" rIns="0" bIns="0"/>
                          </wps:wsp>
                        </a:graphicData>
                      </a:graphic>
                    </wp:anchor>
                  </w:drawing>
                </mc:Choice>
                <mc:Fallback>
                  <w:pict>
                    <v:shape w14:anchorId="568289E0" id="Freeform 141" o:spid="_x0000_s1028" style="position:absolute;margin-left:5.65pt;margin-top:5.15pt;width:114.65pt;height:37.5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2DB45EC9" w14:textId="54C43043" w:rsidR="0086474C" w:rsidRDefault="000C6543" w:rsidP="005944F2">
                            <w:pPr>
                              <w:spacing w:line="254" w:lineRule="exact"/>
                              <w:rPr>
                                <w:rFonts w:ascii="Times New Roman" w:hAnsi="Times New Roman" w:cs="Times New Roman"/>
                                <w:color w:val="010302"/>
                              </w:rPr>
                            </w:pPr>
                            <w:r>
                              <w:rPr>
                                <w:rFonts w:ascii="Arial" w:hAnsi="Arial" w:cs="Arial"/>
                                <w:b/>
                                <w:bCs/>
                                <w:color w:val="000000"/>
                              </w:rPr>
                              <w:t>2</w:t>
                            </w:r>
                            <w:r w:rsidR="00E00E34">
                              <w:rPr>
                                <w:rFonts w:ascii="Arial" w:hAnsi="Arial" w:cs="Arial"/>
                                <w:b/>
                                <w:bCs/>
                                <w:color w:val="000000"/>
                              </w:rPr>
                              <w:t>17</w:t>
                            </w:r>
                            <w:r>
                              <w:rPr>
                                <w:rFonts w:ascii="Arial" w:hAnsi="Arial" w:cs="Arial"/>
                                <w:b/>
                                <w:bCs/>
                                <w:color w:val="000000"/>
                              </w:rPr>
                              <w:t>9</w:t>
                            </w:r>
                            <w:r w:rsidR="0086474C">
                              <w:rPr>
                                <w:rFonts w:ascii="Arial" w:hAnsi="Arial" w:cs="Arial"/>
                                <w:b/>
                                <w:bCs/>
                                <w:color w:val="000000"/>
                              </w:rPr>
                              <w:t xml:space="preserve"> words</w:t>
                            </w:r>
                          </w:p>
                        </w:txbxContent>
                      </v:textbox>
                      <w10:wrap anchorx="page"/>
                    </v:shape>
                  </w:pict>
                </mc:Fallback>
              </mc:AlternateContent>
            </w:r>
          </w:p>
        </w:tc>
      </w:tr>
      <w:tr w:rsidR="007D751F" w:rsidRPr="007D751F" w14:paraId="756174B4" w14:textId="77777777" w:rsidTr="0086474C">
        <w:trPr>
          <w:trHeight w:hRule="exact" w:val="2480"/>
        </w:trPr>
        <w:tc>
          <w:tcPr>
            <w:tcW w:w="2080" w:type="dxa"/>
          </w:tcPr>
          <w:p w14:paraId="178780B3" w14:textId="77777777" w:rsidR="0086474C" w:rsidRPr="007D751F" w:rsidRDefault="0086474C" w:rsidP="007D751F">
            <w:pPr>
              <w:spacing w:before="103" w:after="1828" w:line="360" w:lineRule="auto"/>
              <w:ind w:left="84" w:right="634"/>
              <w:rPr>
                <w:rFonts w:ascii="Arial" w:hAnsi="Arial" w:cs="Arial"/>
              </w:rPr>
            </w:pPr>
            <w:r w:rsidRPr="007D751F">
              <w:rPr>
                <w:rFonts w:ascii="Arial" w:hAnsi="Arial" w:cs="Arial"/>
                <w:noProof/>
              </w:rPr>
              <mc:AlternateContent>
                <mc:Choice Requires="wps">
                  <w:drawing>
                    <wp:anchor distT="0" distB="0" distL="114300" distR="114300" simplePos="0" relativeHeight="251710464" behindDoc="0" locked="0" layoutInCell="1" allowOverlap="1" wp14:anchorId="6422A0DF" wp14:editId="1F82750A">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3AA83DB" id="Freeform 142" o:spid="_x0000_s1026" style="position:absolute;margin-left:-.5pt;margin-top:.45pt;width:.5pt;height:.5pt;z-index:25171046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7D751F">
              <w:rPr>
                <w:rFonts w:ascii="Arial" w:hAnsi="Arial" w:cs="Arial"/>
              </w:rPr>
              <w:t xml:space="preserve">Submission deadline:  </w:t>
            </w:r>
          </w:p>
        </w:tc>
        <w:tc>
          <w:tcPr>
            <w:tcW w:w="3286" w:type="dxa"/>
          </w:tcPr>
          <w:p w14:paraId="2C65CD21" w14:textId="77777777" w:rsidR="003A1543" w:rsidRPr="007D751F" w:rsidRDefault="003A1543" w:rsidP="007D751F">
            <w:pPr>
              <w:autoSpaceDE w:val="0"/>
              <w:autoSpaceDN w:val="0"/>
              <w:adjustRightInd w:val="0"/>
              <w:spacing w:line="360" w:lineRule="auto"/>
              <w:rPr>
                <w:rFonts w:ascii="Arial" w:hAnsi="Arial" w:cs="Arial"/>
              </w:rPr>
            </w:pPr>
            <w:r w:rsidRPr="007D751F">
              <w:rPr>
                <w:rFonts w:ascii="Arial" w:hAnsi="Arial" w:cs="Arial"/>
              </w:rPr>
              <w:t xml:space="preserve">Friday 31st </w:t>
            </w:r>
            <w:proofErr w:type="gramStart"/>
            <w:r w:rsidRPr="007D751F">
              <w:rPr>
                <w:rFonts w:ascii="Arial" w:hAnsi="Arial" w:cs="Arial"/>
              </w:rPr>
              <w:t>July  2026</w:t>
            </w:r>
            <w:proofErr w:type="gramEnd"/>
            <w:r w:rsidRPr="007D751F">
              <w:rPr>
                <w:rFonts w:ascii="Arial" w:hAnsi="Arial" w:cs="Arial"/>
              </w:rPr>
              <w:t xml:space="preserve"> 14:00 (2:00PM)</w:t>
            </w:r>
          </w:p>
          <w:p w14:paraId="5C6B1031" w14:textId="2D61758B" w:rsidR="0086474C" w:rsidRPr="007D751F" w:rsidRDefault="0086474C" w:rsidP="007D751F">
            <w:pPr>
              <w:autoSpaceDE w:val="0"/>
              <w:autoSpaceDN w:val="0"/>
              <w:adjustRightInd w:val="0"/>
              <w:spacing w:line="360" w:lineRule="auto"/>
              <w:rPr>
                <w:rFonts w:ascii="Arial" w:hAnsi="Arial" w:cs="Arial"/>
                <w:lang w:val="en-GB"/>
                <w14:ligatures w14:val="standardContextual"/>
              </w:rPr>
            </w:pPr>
          </w:p>
        </w:tc>
        <w:tc>
          <w:tcPr>
            <w:tcW w:w="112" w:type="dxa"/>
            <w:tcBorders>
              <w:right w:val="nil"/>
            </w:tcBorders>
          </w:tcPr>
          <w:p w14:paraId="12592070" w14:textId="77777777" w:rsidR="0086474C" w:rsidRPr="007D751F" w:rsidRDefault="0086474C" w:rsidP="007D751F">
            <w:pPr>
              <w:spacing w:line="360" w:lineRule="auto"/>
              <w:rPr>
                <w:rFonts w:ascii="Arial" w:hAnsi="Arial" w:cs="Arial"/>
              </w:rPr>
            </w:pPr>
          </w:p>
        </w:tc>
        <w:tc>
          <w:tcPr>
            <w:tcW w:w="2049" w:type="dxa"/>
            <w:tcBorders>
              <w:left w:val="nil"/>
              <w:right w:val="nil"/>
            </w:tcBorders>
          </w:tcPr>
          <w:p w14:paraId="003E2D1A" w14:textId="77777777" w:rsidR="0086474C" w:rsidRPr="007D751F" w:rsidRDefault="0086474C" w:rsidP="007D751F">
            <w:pPr>
              <w:tabs>
                <w:tab w:val="left" w:pos="1053"/>
                <w:tab w:val="left" w:pos="1848"/>
              </w:tabs>
              <w:spacing w:before="103" w:after="1576" w:line="360" w:lineRule="auto"/>
              <w:ind w:right="-98"/>
              <w:rPr>
                <w:rFonts w:ascii="Arial" w:hAnsi="Arial" w:cs="Arial"/>
              </w:rPr>
            </w:pPr>
            <w:r w:rsidRPr="007D751F">
              <w:rPr>
                <w:rFonts w:ascii="Arial" w:hAnsi="Arial" w:cs="Arial"/>
              </w:rPr>
              <w:t xml:space="preserve">Return </w:t>
            </w:r>
            <w:r w:rsidRPr="007D751F">
              <w:rPr>
                <w:rFonts w:ascii="Arial" w:hAnsi="Arial" w:cs="Arial"/>
              </w:rPr>
              <w:tab/>
              <w:t xml:space="preserve">date </w:t>
            </w:r>
            <w:r w:rsidRPr="007D751F">
              <w:rPr>
                <w:rFonts w:ascii="Arial" w:hAnsi="Arial" w:cs="Arial"/>
              </w:rPr>
              <w:tab/>
            </w:r>
            <w:r w:rsidRPr="007D751F">
              <w:rPr>
                <w:rFonts w:ascii="Arial" w:hAnsi="Arial" w:cs="Arial"/>
                <w:spacing w:val="-3"/>
              </w:rPr>
              <w:t>of</w:t>
            </w:r>
            <w:r w:rsidRPr="007D751F">
              <w:rPr>
                <w:rFonts w:ascii="Arial" w:hAnsi="Arial" w:cs="Arial"/>
              </w:rPr>
              <w:t xml:space="preserve"> provisional</w:t>
            </w:r>
            <w:r w:rsidRPr="007D751F">
              <w:rPr>
                <w:rFonts w:ascii="Arial" w:hAnsi="Arial" w:cs="Arial"/>
                <w:spacing w:val="14"/>
              </w:rPr>
              <w:t xml:space="preserve">   </w:t>
            </w:r>
            <w:r w:rsidRPr="007D751F">
              <w:rPr>
                <w:rFonts w:ascii="Arial" w:hAnsi="Arial" w:cs="Arial"/>
                <w:spacing w:val="-1"/>
              </w:rPr>
              <w:t>marks</w:t>
            </w:r>
            <w:r w:rsidRPr="007D751F">
              <w:rPr>
                <w:rFonts w:ascii="Arial" w:hAnsi="Arial" w:cs="Arial"/>
              </w:rPr>
              <w:t xml:space="preserve"> &amp; written feedback: </w:t>
            </w:r>
          </w:p>
        </w:tc>
        <w:tc>
          <w:tcPr>
            <w:tcW w:w="103" w:type="dxa"/>
            <w:tcBorders>
              <w:left w:val="nil"/>
            </w:tcBorders>
          </w:tcPr>
          <w:p w14:paraId="6C54EBB3" w14:textId="77777777" w:rsidR="0086474C" w:rsidRPr="007D751F" w:rsidRDefault="0086474C" w:rsidP="007D751F">
            <w:pPr>
              <w:spacing w:line="360" w:lineRule="auto"/>
              <w:rPr>
                <w:rFonts w:ascii="Arial" w:hAnsi="Arial" w:cs="Arial"/>
              </w:rPr>
            </w:pPr>
          </w:p>
        </w:tc>
        <w:tc>
          <w:tcPr>
            <w:tcW w:w="2004" w:type="dxa"/>
          </w:tcPr>
          <w:p w14:paraId="59AA6116" w14:textId="77777777" w:rsidR="003A1543" w:rsidRPr="007D751F" w:rsidRDefault="003A1543" w:rsidP="007D751F">
            <w:pPr>
              <w:autoSpaceDE w:val="0"/>
              <w:autoSpaceDN w:val="0"/>
              <w:adjustRightInd w:val="0"/>
              <w:spacing w:line="360" w:lineRule="auto"/>
              <w:rPr>
                <w:rFonts w:ascii="Arial" w:hAnsi="Arial" w:cs="Arial"/>
              </w:rPr>
            </w:pPr>
            <w:r w:rsidRPr="007D751F">
              <w:rPr>
                <w:rFonts w:ascii="Arial" w:hAnsi="Arial" w:cs="Arial"/>
              </w:rPr>
              <w:t>28-Aug-26</w:t>
            </w:r>
          </w:p>
          <w:p w14:paraId="10E32725" w14:textId="361F05E9" w:rsidR="0086474C" w:rsidRPr="007D751F" w:rsidRDefault="0086474C" w:rsidP="007D751F">
            <w:pPr>
              <w:spacing w:before="103" w:after="2082" w:line="360" w:lineRule="auto"/>
              <w:ind w:left="93" w:right="-18"/>
              <w:rPr>
                <w:rFonts w:ascii="Arial" w:hAnsi="Arial" w:cs="Arial"/>
              </w:rPr>
            </w:pPr>
          </w:p>
        </w:tc>
      </w:tr>
    </w:tbl>
    <w:p w14:paraId="36C71B6C" w14:textId="77777777" w:rsidR="005944F2" w:rsidRPr="007D751F" w:rsidRDefault="005944F2" w:rsidP="007D751F">
      <w:pPr>
        <w:spacing w:line="360" w:lineRule="auto"/>
        <w:rPr>
          <w:rFonts w:ascii="Arial" w:hAnsi="Arial" w:cs="Arial"/>
        </w:rPr>
      </w:pPr>
    </w:p>
    <w:p w14:paraId="0F73C5CB" w14:textId="77777777" w:rsidR="005944F2" w:rsidRPr="007D751F" w:rsidRDefault="005944F2" w:rsidP="007D751F">
      <w:pPr>
        <w:spacing w:line="360" w:lineRule="auto"/>
        <w:rPr>
          <w:rFonts w:ascii="Arial" w:hAnsi="Arial" w:cs="Arial"/>
        </w:rPr>
      </w:pPr>
    </w:p>
    <w:p w14:paraId="6777C221" w14:textId="77777777" w:rsidR="005944F2" w:rsidRPr="007D751F" w:rsidRDefault="005944F2" w:rsidP="007D751F">
      <w:pPr>
        <w:spacing w:line="360" w:lineRule="auto"/>
        <w:rPr>
          <w:rFonts w:ascii="Arial" w:hAnsi="Arial" w:cs="Arial"/>
        </w:rPr>
      </w:pPr>
    </w:p>
    <w:p w14:paraId="785F4D78" w14:textId="77777777" w:rsidR="005944F2" w:rsidRPr="007D751F" w:rsidRDefault="005944F2" w:rsidP="007D751F">
      <w:pPr>
        <w:spacing w:line="360" w:lineRule="auto"/>
        <w:rPr>
          <w:rFonts w:ascii="Arial" w:hAnsi="Arial" w:cs="Arial"/>
        </w:rPr>
      </w:pPr>
    </w:p>
    <w:p w14:paraId="7B2BDA7E" w14:textId="77777777" w:rsidR="005944F2" w:rsidRPr="007D751F" w:rsidRDefault="005944F2" w:rsidP="007D751F">
      <w:pPr>
        <w:spacing w:line="360" w:lineRule="auto"/>
        <w:rPr>
          <w:rFonts w:ascii="Arial" w:hAnsi="Arial" w:cs="Arial"/>
        </w:rPr>
      </w:pPr>
    </w:p>
    <w:p w14:paraId="5C6A152C" w14:textId="77777777" w:rsidR="005944F2" w:rsidRPr="007D751F" w:rsidRDefault="005944F2" w:rsidP="007D751F">
      <w:pPr>
        <w:spacing w:line="360" w:lineRule="auto"/>
        <w:rPr>
          <w:rFonts w:ascii="Arial" w:hAnsi="Arial" w:cs="Arial"/>
        </w:rPr>
      </w:pPr>
    </w:p>
    <w:p w14:paraId="6CBB2D7F" w14:textId="77E2529D" w:rsidR="005944F2" w:rsidRPr="007D751F" w:rsidRDefault="005944F2" w:rsidP="007D751F">
      <w:pPr>
        <w:spacing w:line="360" w:lineRule="auto"/>
        <w:rPr>
          <w:rFonts w:ascii="Arial" w:hAnsi="Arial" w:cs="Arial"/>
        </w:rPr>
      </w:pPr>
    </w:p>
    <w:p w14:paraId="40883969" w14:textId="450F4C08" w:rsidR="00A064C8" w:rsidRPr="007D751F" w:rsidRDefault="00A064C8" w:rsidP="007D751F">
      <w:pPr>
        <w:spacing w:line="360" w:lineRule="auto"/>
        <w:rPr>
          <w:rFonts w:ascii="Arial" w:hAnsi="Arial" w:cs="Arial"/>
        </w:rPr>
      </w:pPr>
    </w:p>
    <w:p w14:paraId="76E4B568" w14:textId="78915DE9" w:rsidR="00A064C8" w:rsidRPr="007D751F" w:rsidRDefault="00A064C8" w:rsidP="007D751F">
      <w:pPr>
        <w:spacing w:line="360" w:lineRule="auto"/>
        <w:rPr>
          <w:rFonts w:ascii="Arial" w:hAnsi="Arial" w:cs="Arial"/>
        </w:rPr>
      </w:pPr>
    </w:p>
    <w:p w14:paraId="7BCCA469" w14:textId="74CC3838" w:rsidR="00451FE8" w:rsidRPr="007D751F" w:rsidRDefault="00451FE8" w:rsidP="007D751F">
      <w:pPr>
        <w:spacing w:line="360" w:lineRule="auto"/>
        <w:rPr>
          <w:rFonts w:ascii="Arial" w:hAnsi="Arial" w:cs="Arial"/>
        </w:rPr>
      </w:pPr>
    </w:p>
    <w:p w14:paraId="5995A1B8" w14:textId="5C6A06E7" w:rsidR="00451FE8" w:rsidRPr="007D751F" w:rsidRDefault="00451FE8" w:rsidP="007D751F">
      <w:pPr>
        <w:spacing w:line="360" w:lineRule="auto"/>
        <w:rPr>
          <w:rFonts w:ascii="Arial" w:hAnsi="Arial" w:cs="Arial"/>
        </w:rPr>
      </w:pPr>
    </w:p>
    <w:p w14:paraId="6A97BDCF" w14:textId="5A598BA2" w:rsidR="00451FE8" w:rsidRPr="007D751F" w:rsidRDefault="00451FE8" w:rsidP="007D751F">
      <w:pPr>
        <w:spacing w:line="360" w:lineRule="auto"/>
        <w:rPr>
          <w:rFonts w:ascii="Arial" w:hAnsi="Arial" w:cs="Arial"/>
        </w:rPr>
      </w:pPr>
    </w:p>
    <w:p w14:paraId="384EB319" w14:textId="3E39997A" w:rsidR="00451FE8" w:rsidRPr="007D751F" w:rsidRDefault="00451FE8" w:rsidP="007D751F">
      <w:pPr>
        <w:spacing w:line="360" w:lineRule="auto"/>
        <w:rPr>
          <w:rFonts w:ascii="Arial" w:hAnsi="Arial" w:cs="Arial"/>
        </w:rPr>
      </w:pPr>
    </w:p>
    <w:p w14:paraId="42C1BD87" w14:textId="1D90C693" w:rsidR="00451FE8" w:rsidRPr="007D751F" w:rsidRDefault="00451FE8" w:rsidP="007D751F">
      <w:pPr>
        <w:spacing w:line="360" w:lineRule="auto"/>
        <w:rPr>
          <w:rFonts w:ascii="Arial" w:hAnsi="Arial" w:cs="Arial"/>
        </w:rPr>
      </w:pPr>
    </w:p>
    <w:p w14:paraId="561EC9C5" w14:textId="762F78A2" w:rsidR="00451FE8" w:rsidRPr="007D751F" w:rsidRDefault="00451FE8" w:rsidP="007D751F">
      <w:pPr>
        <w:spacing w:line="360" w:lineRule="auto"/>
        <w:rPr>
          <w:rFonts w:ascii="Arial" w:hAnsi="Arial" w:cs="Arial"/>
        </w:rPr>
      </w:pPr>
    </w:p>
    <w:p w14:paraId="1633D88A" w14:textId="5E06D902" w:rsidR="00451FE8" w:rsidRPr="007D751F" w:rsidRDefault="00451FE8" w:rsidP="007D751F">
      <w:pPr>
        <w:spacing w:line="360" w:lineRule="auto"/>
        <w:rPr>
          <w:rFonts w:ascii="Arial" w:hAnsi="Arial" w:cs="Arial"/>
        </w:rPr>
      </w:pPr>
    </w:p>
    <w:p w14:paraId="6DEEF56F" w14:textId="034A9179" w:rsidR="00A064C8" w:rsidRPr="007D751F" w:rsidRDefault="00A064C8" w:rsidP="007D751F">
      <w:pPr>
        <w:spacing w:line="360" w:lineRule="auto"/>
        <w:rPr>
          <w:rFonts w:ascii="Arial" w:hAnsi="Arial" w:cs="Arial"/>
        </w:rPr>
      </w:pPr>
    </w:p>
    <w:p w14:paraId="5EBB8308" w14:textId="77777777" w:rsidR="00A064C8" w:rsidRPr="007D751F" w:rsidRDefault="00A064C8" w:rsidP="007D751F">
      <w:pPr>
        <w:spacing w:line="360" w:lineRule="auto"/>
        <w:rPr>
          <w:rFonts w:ascii="Arial" w:hAnsi="Arial" w:cs="Arial"/>
        </w:rPr>
      </w:pPr>
    </w:p>
    <w:p w14:paraId="63CD4C48" w14:textId="77777777" w:rsidR="005944F2" w:rsidRPr="007D751F" w:rsidRDefault="005944F2" w:rsidP="007D751F">
      <w:pPr>
        <w:spacing w:line="360" w:lineRule="auto"/>
        <w:rPr>
          <w:rFonts w:ascii="Arial" w:hAnsi="Arial" w:cs="Arial"/>
        </w:rPr>
      </w:pPr>
    </w:p>
    <w:p w14:paraId="55F45CC4" w14:textId="77777777" w:rsidR="005944F2" w:rsidRPr="007D751F" w:rsidRDefault="005944F2" w:rsidP="007D751F">
      <w:pPr>
        <w:spacing w:line="360" w:lineRule="auto"/>
        <w:rPr>
          <w:rFonts w:ascii="Arial" w:hAnsi="Arial" w:cs="Arial"/>
        </w:rPr>
      </w:pPr>
    </w:p>
    <w:p w14:paraId="5F83AF27" w14:textId="77777777" w:rsidR="008C6C07" w:rsidRPr="007D751F" w:rsidRDefault="008C6C07" w:rsidP="007D751F">
      <w:pPr>
        <w:spacing w:line="360" w:lineRule="auto"/>
        <w:rPr>
          <w:rFonts w:ascii="Arial" w:hAnsi="Arial" w:cs="Arial"/>
        </w:rPr>
      </w:pPr>
    </w:p>
    <w:p w14:paraId="2305CA8F" w14:textId="77777777" w:rsidR="005944F2" w:rsidRPr="007D751F" w:rsidRDefault="005944F2" w:rsidP="007D751F">
      <w:pPr>
        <w:spacing w:line="360" w:lineRule="auto"/>
        <w:rPr>
          <w:rFonts w:ascii="Arial" w:hAnsi="Arial" w:cs="Arial"/>
        </w:rPr>
      </w:pPr>
    </w:p>
    <w:p w14:paraId="499F04D6" w14:textId="1917ECE7" w:rsidR="00EA434C" w:rsidRPr="007D751F" w:rsidRDefault="00EA434C" w:rsidP="007D751F">
      <w:pPr>
        <w:spacing w:line="360" w:lineRule="auto"/>
        <w:rPr>
          <w:rFonts w:ascii="Arial" w:hAnsi="Arial" w:cs="Arial"/>
        </w:rPr>
      </w:pPr>
    </w:p>
    <w:p w14:paraId="123F78B0" w14:textId="77777777" w:rsidR="009A33CA" w:rsidRPr="007D751F" w:rsidRDefault="009A33CA" w:rsidP="007D751F">
      <w:pPr>
        <w:pStyle w:val="Heading2"/>
        <w:spacing w:line="360" w:lineRule="auto"/>
        <w:rPr>
          <w:rFonts w:ascii="Arial" w:hAnsi="Arial" w:cs="Arial"/>
          <w:b/>
          <w:bCs/>
          <w:color w:val="auto"/>
          <w:sz w:val="22"/>
          <w:szCs w:val="22"/>
          <w:lang w:val="en-GB"/>
        </w:rPr>
      </w:pPr>
      <w:r w:rsidRPr="007D751F">
        <w:rPr>
          <w:rFonts w:ascii="Arial" w:hAnsi="Arial" w:cs="Arial"/>
          <w:b/>
          <w:bCs/>
          <w:color w:val="auto"/>
          <w:sz w:val="22"/>
          <w:szCs w:val="22"/>
        </w:rPr>
        <w:t>Table of Contents</w:t>
      </w:r>
    </w:p>
    <w:p w14:paraId="6655F490" w14:textId="001B5488" w:rsidR="00451FE8" w:rsidRPr="007D751F" w:rsidRDefault="00451FE8" w:rsidP="007D751F">
      <w:pPr>
        <w:widowControl/>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1. </w:t>
      </w:r>
      <w:r w:rsidR="003A2652" w:rsidRPr="007D751F">
        <w:rPr>
          <w:rFonts w:ascii="Arial" w:eastAsia="Times New Roman" w:hAnsi="Arial" w:cs="Arial"/>
          <w:lang w:val="en-GB" w:eastAsia="en-GB"/>
        </w:rPr>
        <w:t xml:space="preserve"> </w:t>
      </w:r>
      <w:r w:rsidRPr="007D751F">
        <w:rPr>
          <w:rFonts w:ascii="Arial" w:eastAsia="Times New Roman" w:hAnsi="Arial" w:cs="Arial"/>
          <w:lang w:val="en-GB" w:eastAsia="en-GB"/>
        </w:rPr>
        <w:t xml:space="preserve">Introduction ................................................................. </w:t>
      </w:r>
      <w:r w:rsidR="000C6543" w:rsidRPr="007D751F">
        <w:rPr>
          <w:rFonts w:ascii="Arial" w:eastAsia="Times New Roman" w:hAnsi="Arial" w:cs="Arial"/>
          <w:lang w:val="en-GB" w:eastAsia="en-GB"/>
        </w:rPr>
        <w:t>3</w:t>
      </w:r>
      <w:r w:rsidRPr="007D751F">
        <w:rPr>
          <w:rFonts w:ascii="Arial" w:eastAsia="Times New Roman" w:hAnsi="Arial" w:cs="Arial"/>
          <w:lang w:val="en-GB" w:eastAsia="en-GB"/>
        </w:rPr>
        <w:t xml:space="preserve"> </w:t>
      </w:r>
    </w:p>
    <w:p w14:paraId="0A9420E1" w14:textId="55E9FD4F" w:rsidR="00451FE8" w:rsidRPr="007D751F" w:rsidRDefault="00451FE8" w:rsidP="007D751F">
      <w:pPr>
        <w:widowControl/>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2. </w:t>
      </w:r>
      <w:r w:rsidR="003A2652" w:rsidRPr="007D751F">
        <w:rPr>
          <w:rFonts w:ascii="Arial" w:eastAsia="Times New Roman" w:hAnsi="Arial" w:cs="Arial"/>
          <w:lang w:val="en-GB" w:eastAsia="en-GB"/>
        </w:rPr>
        <w:t xml:space="preserve"> Task 1</w:t>
      </w:r>
      <w:r w:rsidRPr="007D751F">
        <w:rPr>
          <w:rFonts w:ascii="Arial" w:eastAsia="Times New Roman" w:hAnsi="Arial" w:cs="Arial"/>
          <w:lang w:val="en-GB" w:eastAsia="en-GB"/>
        </w:rPr>
        <w:t xml:space="preserve"> ....................................</w:t>
      </w:r>
      <w:r w:rsidR="00E00E34">
        <w:rPr>
          <w:rFonts w:ascii="Arial" w:eastAsia="Times New Roman" w:hAnsi="Arial" w:cs="Arial"/>
          <w:lang w:val="en-GB" w:eastAsia="en-GB"/>
        </w:rPr>
        <w:t>.................................</w:t>
      </w:r>
      <w:r w:rsidRPr="007D751F">
        <w:rPr>
          <w:rFonts w:ascii="Arial" w:eastAsia="Times New Roman" w:hAnsi="Arial" w:cs="Arial"/>
          <w:lang w:val="en-GB" w:eastAsia="en-GB"/>
        </w:rPr>
        <w:t>.....</w:t>
      </w:r>
      <w:r w:rsidR="000C6543" w:rsidRPr="007D751F">
        <w:rPr>
          <w:rFonts w:ascii="Arial" w:eastAsia="Times New Roman" w:hAnsi="Arial" w:cs="Arial"/>
          <w:lang w:val="en-GB" w:eastAsia="en-GB"/>
        </w:rPr>
        <w:t>3</w:t>
      </w:r>
      <w:r w:rsidRPr="007D751F">
        <w:rPr>
          <w:rFonts w:ascii="Arial" w:eastAsia="Times New Roman" w:hAnsi="Arial" w:cs="Arial"/>
          <w:lang w:val="en-GB" w:eastAsia="en-GB"/>
        </w:rPr>
        <w:t xml:space="preserve"> </w:t>
      </w:r>
    </w:p>
    <w:p w14:paraId="6FBE0A63" w14:textId="17899769" w:rsidR="00451FE8" w:rsidRPr="007D751F" w:rsidRDefault="00451FE8" w:rsidP="007D751F">
      <w:pPr>
        <w:widowControl/>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3. </w:t>
      </w:r>
      <w:r w:rsidR="003A2652" w:rsidRPr="007D751F">
        <w:rPr>
          <w:rFonts w:ascii="Arial" w:eastAsia="Times New Roman" w:hAnsi="Arial" w:cs="Arial"/>
          <w:lang w:val="en-GB" w:eastAsia="en-GB"/>
        </w:rPr>
        <w:t xml:space="preserve"> Task 2</w:t>
      </w:r>
      <w:r w:rsidRPr="007D751F">
        <w:rPr>
          <w:rFonts w:ascii="Arial" w:eastAsia="Times New Roman" w:hAnsi="Arial" w:cs="Arial"/>
          <w:lang w:val="en-GB" w:eastAsia="en-GB"/>
        </w:rPr>
        <w:t xml:space="preserve"> .....</w:t>
      </w:r>
      <w:r w:rsidR="00E00E34">
        <w:rPr>
          <w:rFonts w:ascii="Arial" w:eastAsia="Times New Roman" w:hAnsi="Arial" w:cs="Arial"/>
          <w:lang w:val="en-GB" w:eastAsia="en-GB"/>
        </w:rPr>
        <w:t>....................................................................</w:t>
      </w:r>
      <w:r w:rsidRPr="007D751F">
        <w:rPr>
          <w:rFonts w:ascii="Arial" w:eastAsia="Times New Roman" w:hAnsi="Arial" w:cs="Arial"/>
          <w:lang w:val="en-GB" w:eastAsia="en-GB"/>
        </w:rPr>
        <w:t xml:space="preserve"> 4 </w:t>
      </w:r>
    </w:p>
    <w:p w14:paraId="68A17013" w14:textId="7BC52BE1" w:rsidR="00451FE8" w:rsidRPr="007D751F" w:rsidRDefault="00451FE8" w:rsidP="007D751F">
      <w:pPr>
        <w:widowControl/>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4.  </w:t>
      </w:r>
      <w:r w:rsidR="003A2652" w:rsidRPr="007D751F">
        <w:rPr>
          <w:rFonts w:ascii="Arial" w:eastAsia="Times New Roman" w:hAnsi="Arial" w:cs="Arial"/>
          <w:lang w:val="en-GB" w:eastAsia="en-GB"/>
        </w:rPr>
        <w:t>Task 3</w:t>
      </w:r>
      <w:r w:rsidRPr="007D751F">
        <w:rPr>
          <w:rFonts w:ascii="Arial" w:eastAsia="Times New Roman" w:hAnsi="Arial" w:cs="Arial"/>
          <w:lang w:val="en-GB" w:eastAsia="en-GB"/>
        </w:rPr>
        <w:t xml:space="preserve"> ........................................</w:t>
      </w:r>
      <w:r w:rsidR="00E00E34">
        <w:rPr>
          <w:rFonts w:ascii="Arial" w:eastAsia="Times New Roman" w:hAnsi="Arial" w:cs="Arial"/>
          <w:lang w:val="en-GB" w:eastAsia="en-GB"/>
        </w:rPr>
        <w:t>...................</w:t>
      </w:r>
      <w:r w:rsidRPr="007D751F">
        <w:rPr>
          <w:rFonts w:ascii="Arial" w:eastAsia="Times New Roman" w:hAnsi="Arial" w:cs="Arial"/>
          <w:lang w:val="en-GB" w:eastAsia="en-GB"/>
        </w:rPr>
        <w:t>...............</w:t>
      </w:r>
      <w:r w:rsidR="000C6543" w:rsidRPr="007D751F">
        <w:rPr>
          <w:rFonts w:ascii="Arial" w:eastAsia="Times New Roman" w:hAnsi="Arial" w:cs="Arial"/>
          <w:lang w:val="en-GB" w:eastAsia="en-GB"/>
        </w:rPr>
        <w:t>5</w:t>
      </w:r>
    </w:p>
    <w:p w14:paraId="14556957" w14:textId="072375A2" w:rsidR="00451FE8" w:rsidRPr="007D751F" w:rsidRDefault="00451FE8" w:rsidP="007D751F">
      <w:pPr>
        <w:widowControl/>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5.  </w:t>
      </w:r>
      <w:r w:rsidR="003A2652" w:rsidRPr="007D751F">
        <w:rPr>
          <w:rFonts w:ascii="Arial" w:eastAsia="Times New Roman" w:hAnsi="Arial" w:cs="Arial"/>
          <w:lang w:val="en-GB" w:eastAsia="en-GB"/>
        </w:rPr>
        <w:t>Task 4</w:t>
      </w:r>
      <w:r w:rsidRPr="007D751F">
        <w:rPr>
          <w:rFonts w:ascii="Arial" w:eastAsia="Times New Roman" w:hAnsi="Arial" w:cs="Arial"/>
          <w:lang w:val="en-GB" w:eastAsia="en-GB"/>
        </w:rPr>
        <w:t xml:space="preserve"> ......................................</w:t>
      </w:r>
      <w:r w:rsidR="00E00E34">
        <w:rPr>
          <w:rFonts w:ascii="Arial" w:eastAsia="Times New Roman" w:hAnsi="Arial" w:cs="Arial"/>
          <w:lang w:val="en-GB" w:eastAsia="en-GB"/>
        </w:rPr>
        <w:t>....................</w:t>
      </w:r>
      <w:r w:rsidRPr="007D751F">
        <w:rPr>
          <w:rFonts w:ascii="Arial" w:eastAsia="Times New Roman" w:hAnsi="Arial" w:cs="Arial"/>
          <w:lang w:val="en-GB" w:eastAsia="en-GB"/>
        </w:rPr>
        <w:t>................</w:t>
      </w:r>
      <w:r w:rsidR="00E00E34">
        <w:rPr>
          <w:rFonts w:ascii="Arial" w:eastAsia="Times New Roman" w:hAnsi="Arial" w:cs="Arial"/>
          <w:lang w:val="en-GB" w:eastAsia="en-GB"/>
        </w:rPr>
        <w:t>6</w:t>
      </w:r>
    </w:p>
    <w:p w14:paraId="2BB6D951" w14:textId="35992818" w:rsidR="00451FE8" w:rsidRPr="007D751F" w:rsidRDefault="00451FE8" w:rsidP="007D751F">
      <w:pPr>
        <w:widowControl/>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6.  </w:t>
      </w:r>
      <w:r w:rsidR="003A2652" w:rsidRPr="007D751F">
        <w:rPr>
          <w:rFonts w:ascii="Arial" w:eastAsia="Times New Roman" w:hAnsi="Arial" w:cs="Arial"/>
          <w:lang w:val="en-GB" w:eastAsia="en-GB"/>
        </w:rPr>
        <w:t>Task 5</w:t>
      </w:r>
      <w:r w:rsidRPr="007D751F">
        <w:rPr>
          <w:rFonts w:ascii="Arial" w:eastAsia="Times New Roman" w:hAnsi="Arial" w:cs="Arial"/>
          <w:lang w:val="en-GB" w:eastAsia="en-GB"/>
        </w:rPr>
        <w:t xml:space="preserve"> ............................................................</w:t>
      </w:r>
      <w:r w:rsidR="00E00E34">
        <w:rPr>
          <w:rFonts w:ascii="Arial" w:eastAsia="Times New Roman" w:hAnsi="Arial" w:cs="Arial"/>
          <w:lang w:val="en-GB" w:eastAsia="en-GB"/>
        </w:rPr>
        <w:t>........</w:t>
      </w:r>
      <w:r w:rsidRPr="007D751F">
        <w:rPr>
          <w:rFonts w:ascii="Arial" w:eastAsia="Times New Roman" w:hAnsi="Arial" w:cs="Arial"/>
          <w:lang w:val="en-GB" w:eastAsia="en-GB"/>
        </w:rPr>
        <w:t xml:space="preserve">..... </w:t>
      </w:r>
      <w:r w:rsidR="000C6543" w:rsidRPr="007D751F">
        <w:rPr>
          <w:rFonts w:ascii="Arial" w:eastAsia="Times New Roman" w:hAnsi="Arial" w:cs="Arial"/>
          <w:lang w:val="en-GB" w:eastAsia="en-GB"/>
        </w:rPr>
        <w:t>6</w:t>
      </w:r>
      <w:r w:rsidRPr="007D751F">
        <w:rPr>
          <w:rFonts w:ascii="Arial" w:eastAsia="Times New Roman" w:hAnsi="Arial" w:cs="Arial"/>
          <w:lang w:val="en-GB" w:eastAsia="en-GB"/>
        </w:rPr>
        <w:t xml:space="preserve"> </w:t>
      </w:r>
    </w:p>
    <w:p w14:paraId="45E80F7E" w14:textId="13273EEB" w:rsidR="009A33CA" w:rsidRPr="007D751F" w:rsidRDefault="00451FE8"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7.  </w:t>
      </w:r>
      <w:r w:rsidR="003A2652" w:rsidRPr="007D751F">
        <w:rPr>
          <w:rFonts w:ascii="Arial" w:eastAsia="Times New Roman" w:hAnsi="Arial" w:cs="Arial"/>
          <w:lang w:val="en-GB" w:eastAsia="en-GB"/>
        </w:rPr>
        <w:t>Task 6</w:t>
      </w:r>
      <w:r w:rsidRPr="007D751F">
        <w:rPr>
          <w:rFonts w:ascii="Arial" w:eastAsia="Times New Roman" w:hAnsi="Arial" w:cs="Arial"/>
          <w:lang w:val="en-GB" w:eastAsia="en-GB"/>
        </w:rPr>
        <w:t xml:space="preserve"> ........................................................</w:t>
      </w:r>
      <w:r w:rsidR="00E00E34">
        <w:rPr>
          <w:rFonts w:ascii="Arial" w:eastAsia="Times New Roman" w:hAnsi="Arial" w:cs="Arial"/>
          <w:lang w:val="en-GB" w:eastAsia="en-GB"/>
        </w:rPr>
        <w:t>.............</w:t>
      </w:r>
      <w:r w:rsidRPr="007D751F">
        <w:rPr>
          <w:rFonts w:ascii="Arial" w:eastAsia="Times New Roman" w:hAnsi="Arial" w:cs="Arial"/>
          <w:lang w:val="en-GB" w:eastAsia="en-GB"/>
        </w:rPr>
        <w:t>.....</w:t>
      </w:r>
      <w:r w:rsidR="00E00E34">
        <w:rPr>
          <w:rFonts w:ascii="Arial" w:eastAsia="Times New Roman" w:hAnsi="Arial" w:cs="Arial"/>
          <w:lang w:val="en-GB" w:eastAsia="en-GB"/>
        </w:rPr>
        <w:t>7</w:t>
      </w:r>
    </w:p>
    <w:p w14:paraId="0D8FF98E" w14:textId="18CCB924" w:rsidR="003A2652" w:rsidRPr="007D751F" w:rsidRDefault="003A2652"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8.  Task 7……………………………………</w:t>
      </w:r>
      <w:r w:rsidR="00E00E34">
        <w:rPr>
          <w:rFonts w:ascii="Arial" w:eastAsia="Times New Roman" w:hAnsi="Arial" w:cs="Arial"/>
          <w:lang w:val="en-GB" w:eastAsia="en-GB"/>
        </w:rPr>
        <w:t>…………………8</w:t>
      </w:r>
    </w:p>
    <w:p w14:paraId="0CA7933B" w14:textId="3DDCD304" w:rsidR="003A2652" w:rsidRPr="007D751F" w:rsidRDefault="003A2652"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9.  Task 8………………………………………</w:t>
      </w:r>
      <w:r w:rsidR="00E00E34">
        <w:rPr>
          <w:rFonts w:ascii="Arial" w:eastAsia="Times New Roman" w:hAnsi="Arial" w:cs="Arial"/>
          <w:lang w:val="en-GB" w:eastAsia="en-GB"/>
        </w:rPr>
        <w:t>………………9</w:t>
      </w:r>
    </w:p>
    <w:p w14:paraId="21FAA2C6" w14:textId="4B82FAEC" w:rsidR="003A2652" w:rsidRPr="007D751F" w:rsidRDefault="003A2652"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10. References……………………………</w:t>
      </w:r>
      <w:r w:rsidR="00E00E34">
        <w:rPr>
          <w:rFonts w:ascii="Arial" w:eastAsia="Times New Roman" w:hAnsi="Arial" w:cs="Arial"/>
          <w:lang w:val="en-GB" w:eastAsia="en-GB"/>
        </w:rPr>
        <w:t>………………….10</w:t>
      </w:r>
    </w:p>
    <w:p w14:paraId="4901B4F8" w14:textId="61887A97" w:rsidR="009A33CA" w:rsidRPr="007D751F" w:rsidRDefault="009A33CA" w:rsidP="007D751F">
      <w:pPr>
        <w:spacing w:line="360" w:lineRule="auto"/>
        <w:rPr>
          <w:rFonts w:ascii="Arial" w:hAnsi="Arial" w:cs="Arial"/>
        </w:rPr>
      </w:pPr>
    </w:p>
    <w:p w14:paraId="4BD3CD4B" w14:textId="1777994E" w:rsidR="009A33CA" w:rsidRPr="007D751F" w:rsidRDefault="009A33CA" w:rsidP="007D751F">
      <w:pPr>
        <w:spacing w:line="360" w:lineRule="auto"/>
        <w:rPr>
          <w:rFonts w:ascii="Arial" w:hAnsi="Arial" w:cs="Arial"/>
        </w:rPr>
      </w:pPr>
    </w:p>
    <w:p w14:paraId="6240FDC1" w14:textId="7253CCB2" w:rsidR="009A33CA" w:rsidRPr="007D751F" w:rsidRDefault="009A33CA" w:rsidP="007D751F">
      <w:pPr>
        <w:spacing w:line="360" w:lineRule="auto"/>
        <w:rPr>
          <w:rFonts w:ascii="Arial" w:hAnsi="Arial" w:cs="Arial"/>
        </w:rPr>
      </w:pPr>
    </w:p>
    <w:p w14:paraId="13E0C4F9" w14:textId="30F1451F" w:rsidR="009A33CA" w:rsidRPr="007D751F" w:rsidRDefault="009A33CA" w:rsidP="007D751F">
      <w:pPr>
        <w:spacing w:line="360" w:lineRule="auto"/>
        <w:rPr>
          <w:rFonts w:ascii="Arial" w:hAnsi="Arial" w:cs="Arial"/>
        </w:rPr>
      </w:pPr>
    </w:p>
    <w:p w14:paraId="32F586BC" w14:textId="103EB749" w:rsidR="009A33CA" w:rsidRPr="007D751F" w:rsidRDefault="009A33CA" w:rsidP="007D751F">
      <w:pPr>
        <w:spacing w:line="360" w:lineRule="auto"/>
        <w:rPr>
          <w:rFonts w:ascii="Arial" w:hAnsi="Arial" w:cs="Arial"/>
        </w:rPr>
      </w:pPr>
    </w:p>
    <w:p w14:paraId="510A2EF4" w14:textId="0EB832C4" w:rsidR="009A33CA" w:rsidRPr="007D751F" w:rsidRDefault="009A33CA" w:rsidP="007D751F">
      <w:pPr>
        <w:spacing w:line="360" w:lineRule="auto"/>
        <w:rPr>
          <w:rFonts w:ascii="Arial" w:hAnsi="Arial" w:cs="Arial"/>
        </w:rPr>
      </w:pPr>
    </w:p>
    <w:p w14:paraId="4B8040CD" w14:textId="1242C9C6" w:rsidR="009A33CA" w:rsidRPr="007D751F" w:rsidRDefault="009A33CA" w:rsidP="007D751F">
      <w:pPr>
        <w:spacing w:line="360" w:lineRule="auto"/>
        <w:rPr>
          <w:rFonts w:ascii="Arial" w:hAnsi="Arial" w:cs="Arial"/>
        </w:rPr>
      </w:pPr>
    </w:p>
    <w:p w14:paraId="2743677B" w14:textId="5FE59626" w:rsidR="009A33CA" w:rsidRPr="007D751F" w:rsidRDefault="009A33CA" w:rsidP="007D751F">
      <w:pPr>
        <w:spacing w:line="360" w:lineRule="auto"/>
        <w:rPr>
          <w:rFonts w:ascii="Arial" w:hAnsi="Arial" w:cs="Arial"/>
        </w:rPr>
      </w:pPr>
    </w:p>
    <w:p w14:paraId="05BE200D" w14:textId="69E049F1" w:rsidR="009A33CA" w:rsidRPr="007D751F" w:rsidRDefault="009A33CA" w:rsidP="007D751F">
      <w:pPr>
        <w:spacing w:line="360" w:lineRule="auto"/>
        <w:rPr>
          <w:rFonts w:ascii="Arial" w:hAnsi="Arial" w:cs="Arial"/>
        </w:rPr>
      </w:pPr>
    </w:p>
    <w:p w14:paraId="5C819DBB" w14:textId="738D0072" w:rsidR="009A33CA" w:rsidRPr="007D751F" w:rsidRDefault="009A33CA" w:rsidP="007D751F">
      <w:pPr>
        <w:spacing w:line="360" w:lineRule="auto"/>
        <w:rPr>
          <w:rFonts w:ascii="Arial" w:hAnsi="Arial" w:cs="Arial"/>
        </w:rPr>
      </w:pPr>
    </w:p>
    <w:p w14:paraId="03571CBD" w14:textId="3FF633EF" w:rsidR="009A33CA" w:rsidRPr="007D751F" w:rsidRDefault="009A33CA" w:rsidP="007D751F">
      <w:pPr>
        <w:spacing w:line="360" w:lineRule="auto"/>
        <w:rPr>
          <w:rFonts w:ascii="Arial" w:hAnsi="Arial" w:cs="Arial"/>
        </w:rPr>
      </w:pPr>
    </w:p>
    <w:p w14:paraId="6EFE7C58" w14:textId="33F52CD0" w:rsidR="009A33CA" w:rsidRPr="007D751F" w:rsidRDefault="009A33CA" w:rsidP="007D751F">
      <w:pPr>
        <w:spacing w:line="360" w:lineRule="auto"/>
        <w:rPr>
          <w:rFonts w:ascii="Arial" w:hAnsi="Arial" w:cs="Arial"/>
        </w:rPr>
      </w:pPr>
    </w:p>
    <w:p w14:paraId="5FC4F051" w14:textId="21443B94" w:rsidR="009A33CA" w:rsidRPr="007D751F" w:rsidRDefault="009A33CA" w:rsidP="007D751F">
      <w:pPr>
        <w:spacing w:line="360" w:lineRule="auto"/>
        <w:rPr>
          <w:rFonts w:ascii="Arial" w:hAnsi="Arial" w:cs="Arial"/>
        </w:rPr>
      </w:pPr>
    </w:p>
    <w:p w14:paraId="03AC9A4C" w14:textId="77777777" w:rsidR="00451FE8" w:rsidRPr="007D751F" w:rsidRDefault="00451FE8" w:rsidP="007D751F">
      <w:pPr>
        <w:pStyle w:val="Heading1"/>
        <w:spacing w:line="360" w:lineRule="auto"/>
        <w:rPr>
          <w:rFonts w:ascii="Arial" w:hAnsi="Arial" w:cs="Arial"/>
          <w:color w:val="auto"/>
          <w:sz w:val="22"/>
          <w:szCs w:val="22"/>
          <w:lang w:val="en-GB"/>
        </w:rPr>
      </w:pPr>
      <w:r w:rsidRPr="007D751F">
        <w:rPr>
          <w:rStyle w:val="Strong"/>
          <w:rFonts w:ascii="Arial" w:hAnsi="Arial" w:cs="Arial"/>
          <w:color w:val="auto"/>
          <w:sz w:val="22"/>
          <w:szCs w:val="22"/>
        </w:rPr>
        <w:lastRenderedPageBreak/>
        <w:t>1. Introduction</w:t>
      </w:r>
    </w:p>
    <w:p w14:paraId="24140425" w14:textId="77777777" w:rsidR="007D751F" w:rsidRDefault="003A2652" w:rsidP="007D751F">
      <w:pPr>
        <w:pStyle w:val="NormalWeb"/>
        <w:spacing w:line="360" w:lineRule="auto"/>
        <w:rPr>
          <w:rFonts w:ascii="Arial" w:hAnsi="Arial" w:cs="Arial"/>
          <w:sz w:val="22"/>
          <w:szCs w:val="22"/>
          <w:shd w:val="clear" w:color="auto" w:fill="FFFFFF"/>
        </w:rPr>
      </w:pPr>
      <w:r w:rsidRPr="007D751F">
        <w:rPr>
          <w:rFonts w:ascii="Arial" w:hAnsi="Arial" w:cs="Arial"/>
          <w:sz w:val="22"/>
          <w:szCs w:val="22"/>
          <w:shd w:val="clear" w:color="auto" w:fill="FFFFFF"/>
        </w:rPr>
        <w:t>This portfolio describes how new ideas can be developed, assessed and implemented in health and social care. It views creativity and innovation as pragmatic processes that must respond to service-user requirements, the evidence of the profession and organisational restrictions. The portfolio looks at communication failure, digital advancements, leadership behaviours and service improvement through research, case study and reflection. In particular, we are looking at whether the proposed changes are inclusive, sustainable and likely to deliver measurable benefits for patients, staff and wider care systems.</w:t>
      </w:r>
    </w:p>
    <w:p w14:paraId="3D95A8B3" w14:textId="77777777" w:rsidR="007D751F" w:rsidRDefault="007D751F" w:rsidP="007D751F">
      <w:pPr>
        <w:pStyle w:val="NormalWeb"/>
        <w:spacing w:line="360" w:lineRule="auto"/>
        <w:rPr>
          <w:rFonts w:ascii="Arial" w:hAnsi="Arial" w:cs="Arial"/>
          <w:sz w:val="22"/>
          <w:szCs w:val="22"/>
          <w:shd w:val="clear" w:color="auto" w:fill="FFFFFF"/>
        </w:rPr>
      </w:pPr>
    </w:p>
    <w:p w14:paraId="312D7D8D" w14:textId="77777777" w:rsidR="007D751F" w:rsidRDefault="007D751F" w:rsidP="007D751F">
      <w:pPr>
        <w:pStyle w:val="NormalWeb"/>
        <w:spacing w:line="360" w:lineRule="auto"/>
        <w:rPr>
          <w:rFonts w:ascii="Arial" w:hAnsi="Arial" w:cs="Arial"/>
          <w:b/>
          <w:bCs/>
          <w:sz w:val="22"/>
          <w:szCs w:val="22"/>
        </w:rPr>
      </w:pPr>
      <w:r w:rsidRPr="007D751F">
        <w:rPr>
          <w:rFonts w:ascii="Arial" w:hAnsi="Arial" w:cs="Arial"/>
          <w:b/>
          <w:bCs/>
          <w:sz w:val="22"/>
          <w:szCs w:val="22"/>
          <w:shd w:val="clear" w:color="auto" w:fill="FFFFFF"/>
        </w:rPr>
        <w:t>2.</w:t>
      </w:r>
      <w:r w:rsidR="003A1543" w:rsidRPr="007D751F">
        <w:rPr>
          <w:rFonts w:ascii="Arial" w:hAnsi="Arial" w:cs="Arial"/>
          <w:b/>
          <w:bCs/>
          <w:sz w:val="22"/>
          <w:szCs w:val="22"/>
        </w:rPr>
        <w:t>Task 1 – Defining Key Concepts in Practice</w:t>
      </w:r>
    </w:p>
    <w:p w14:paraId="5AC83FC4" w14:textId="77777777" w:rsidR="007D751F" w:rsidRDefault="003A1543" w:rsidP="007D751F">
      <w:pPr>
        <w:pStyle w:val="NormalWeb"/>
        <w:spacing w:line="360" w:lineRule="auto"/>
        <w:rPr>
          <w:rFonts w:ascii="Arial" w:hAnsi="Arial" w:cs="Arial"/>
          <w:sz w:val="22"/>
          <w:szCs w:val="22"/>
        </w:rPr>
      </w:pPr>
      <w:r w:rsidRPr="007D751F">
        <w:rPr>
          <w:rFonts w:ascii="Arial" w:hAnsi="Arial" w:cs="Arial"/>
          <w:sz w:val="22"/>
          <w:szCs w:val="22"/>
        </w:rPr>
        <w:t>Innovation</w:t>
      </w:r>
    </w:p>
    <w:p w14:paraId="019D7F82" w14:textId="77777777" w:rsidR="007D751F" w:rsidRDefault="003A2652" w:rsidP="007D751F">
      <w:pPr>
        <w:pStyle w:val="NormalWeb"/>
        <w:spacing w:line="360" w:lineRule="auto"/>
        <w:rPr>
          <w:rFonts w:ascii="Arial" w:hAnsi="Arial" w:cs="Arial"/>
          <w:sz w:val="22"/>
          <w:szCs w:val="22"/>
          <w:shd w:val="clear" w:color="auto" w:fill="FFFFFF"/>
        </w:rPr>
      </w:pPr>
      <w:r w:rsidRPr="007D751F">
        <w:rPr>
          <w:rFonts w:ascii="Arial" w:hAnsi="Arial" w:cs="Arial"/>
          <w:sz w:val="22"/>
          <w:szCs w:val="22"/>
          <w:shd w:val="clear" w:color="auto" w:fill="FFFFFF"/>
        </w:rPr>
        <w:t xml:space="preserve">Innovation is a service or process that is new or significantly improved and put into actual use (OECD and Eurostat, 2018). Innovation is a concept that has passed the discussion </w:t>
      </w:r>
      <w:proofErr w:type="gramStart"/>
      <w:r w:rsidRPr="007D751F">
        <w:rPr>
          <w:rFonts w:ascii="Arial" w:hAnsi="Arial" w:cs="Arial"/>
          <w:sz w:val="22"/>
          <w:szCs w:val="22"/>
          <w:shd w:val="clear" w:color="auto" w:fill="FFFFFF"/>
        </w:rPr>
        <w:t>phase .</w:t>
      </w:r>
      <w:proofErr w:type="gramEnd"/>
      <w:r w:rsidRPr="007D751F">
        <w:rPr>
          <w:rFonts w:ascii="Arial" w:hAnsi="Arial" w:cs="Arial"/>
          <w:sz w:val="22"/>
          <w:szCs w:val="22"/>
          <w:shd w:val="clear" w:color="auto" w:fill="FFFFFF"/>
        </w:rPr>
        <w:t xml:space="preserve"> Implementation makes the </w:t>
      </w:r>
      <w:proofErr w:type="gramStart"/>
      <w:r w:rsidRPr="007D751F">
        <w:rPr>
          <w:rFonts w:ascii="Arial" w:hAnsi="Arial" w:cs="Arial"/>
          <w:sz w:val="22"/>
          <w:szCs w:val="22"/>
          <w:shd w:val="clear" w:color="auto" w:fill="FFFFFF"/>
        </w:rPr>
        <w:t>difference .</w:t>
      </w:r>
      <w:proofErr w:type="gramEnd"/>
      <w:r w:rsidRPr="007D751F">
        <w:rPr>
          <w:rFonts w:ascii="Arial" w:hAnsi="Arial" w:cs="Arial"/>
          <w:sz w:val="22"/>
          <w:szCs w:val="22"/>
          <w:shd w:val="clear" w:color="auto" w:fill="FFFFFF"/>
        </w:rPr>
        <w:t xml:space="preserve"> Innovation is vital because services need to adjust to ageing populations, staffing limitations and changing patterns of sickness. For example, a virtual medication-review service for care facilities overseen by pharmacists may spot hazardous combinations of medicines without residents needing to travel. </w:t>
      </w:r>
      <w:proofErr w:type="spellStart"/>
      <w:r w:rsidRPr="007D751F">
        <w:rPr>
          <w:rFonts w:ascii="Arial" w:hAnsi="Arial" w:cs="Arial"/>
          <w:sz w:val="22"/>
          <w:szCs w:val="22"/>
          <w:shd w:val="clear" w:color="auto" w:fill="FFFFFF"/>
        </w:rPr>
        <w:t>Normalisation</w:t>
      </w:r>
      <w:proofErr w:type="spellEnd"/>
      <w:r w:rsidRPr="007D751F">
        <w:rPr>
          <w:rFonts w:ascii="Arial" w:hAnsi="Arial" w:cs="Arial"/>
          <w:sz w:val="22"/>
          <w:szCs w:val="22"/>
          <w:shd w:val="clear" w:color="auto" w:fill="FFFFFF"/>
        </w:rPr>
        <w:t xml:space="preserve"> Process Theory proposes that innovations become sustainable when personnel understand them, are engaged in their introduction, do the work required and evaluate their impacts (May and Finch, 2009). </w:t>
      </w:r>
    </w:p>
    <w:p w14:paraId="38BBBD86" w14:textId="77777777" w:rsidR="007D751F" w:rsidRDefault="003A1543" w:rsidP="007D751F">
      <w:pPr>
        <w:pStyle w:val="NormalWeb"/>
        <w:spacing w:line="360" w:lineRule="auto"/>
        <w:rPr>
          <w:rFonts w:ascii="Arial" w:hAnsi="Arial" w:cs="Arial"/>
          <w:sz w:val="22"/>
          <w:szCs w:val="22"/>
        </w:rPr>
      </w:pPr>
      <w:r w:rsidRPr="007D751F">
        <w:rPr>
          <w:rFonts w:ascii="Arial" w:hAnsi="Arial" w:cs="Arial"/>
          <w:sz w:val="22"/>
          <w:szCs w:val="22"/>
        </w:rPr>
        <w:t>Creativity</w:t>
      </w:r>
    </w:p>
    <w:p w14:paraId="23F25B5B" w14:textId="1F297839" w:rsidR="003A2652" w:rsidRPr="007D751F" w:rsidRDefault="003A2652" w:rsidP="007D751F">
      <w:pPr>
        <w:pStyle w:val="NormalWeb"/>
        <w:spacing w:line="360" w:lineRule="auto"/>
        <w:rPr>
          <w:rFonts w:ascii="Arial" w:hAnsi="Arial" w:cs="Arial"/>
          <w:b/>
          <w:bCs/>
          <w:sz w:val="22"/>
          <w:szCs w:val="22"/>
        </w:rPr>
      </w:pPr>
      <w:r w:rsidRPr="007D751F">
        <w:rPr>
          <w:rFonts w:ascii="Arial" w:hAnsi="Arial" w:cs="Arial"/>
          <w:sz w:val="22"/>
          <w:szCs w:val="22"/>
          <w:shd w:val="clear" w:color="auto" w:fill="FFFFFF"/>
        </w:rPr>
        <w:t xml:space="preserve">Creativity is defined as the ability to generate ideas that are both original and useful (Runco &amp; Jaeger, 2012). In care settings effectiveness is defined as utility, ethical acceptability and responsiveness to service users. For example, staff might engage with autistic persons to establish quieter times for appointments, visual instructions and less stressful waiting rooms. This approach is supported by the Design Council’s Double Diamond through discovering user experiences, defining the problem, generating alternatives and producing a tested solution (Design Council, n.d. Creativity matters because not every human need can be predicted in a standard procedure. </w:t>
      </w:r>
    </w:p>
    <w:p w14:paraId="3F17137C" w14:textId="1E0E4178" w:rsidR="003A1543" w:rsidRPr="007D751F" w:rsidRDefault="003A1543" w:rsidP="007D751F">
      <w:pPr>
        <w:pStyle w:val="Heading3"/>
        <w:spacing w:line="360" w:lineRule="auto"/>
        <w:rPr>
          <w:rFonts w:ascii="Arial" w:hAnsi="Arial" w:cs="Arial"/>
          <w:color w:val="auto"/>
          <w:sz w:val="22"/>
          <w:szCs w:val="22"/>
        </w:rPr>
      </w:pPr>
      <w:r w:rsidRPr="007D751F">
        <w:rPr>
          <w:rFonts w:ascii="Arial" w:hAnsi="Arial" w:cs="Arial"/>
          <w:color w:val="auto"/>
          <w:sz w:val="22"/>
          <w:szCs w:val="22"/>
        </w:rPr>
        <w:lastRenderedPageBreak/>
        <w:t>Value creation</w:t>
      </w:r>
    </w:p>
    <w:p w14:paraId="2D94B4C0" w14:textId="14F5F86E" w:rsidR="003A2652" w:rsidRPr="007D751F" w:rsidRDefault="003A2652" w:rsidP="007D751F">
      <w:pPr>
        <w:pStyle w:val="Heading3"/>
        <w:spacing w:line="360" w:lineRule="auto"/>
        <w:rPr>
          <w:rFonts w:ascii="Arial" w:hAnsi="Arial" w:cs="Arial"/>
          <w:color w:val="auto"/>
          <w:sz w:val="22"/>
          <w:szCs w:val="22"/>
          <w:shd w:val="clear" w:color="auto" w:fill="FFFFFF"/>
        </w:rPr>
      </w:pPr>
      <w:r w:rsidRPr="007D751F">
        <w:rPr>
          <w:rFonts w:ascii="Arial" w:hAnsi="Arial" w:cs="Arial"/>
          <w:color w:val="auto"/>
          <w:sz w:val="22"/>
          <w:szCs w:val="22"/>
          <w:shd w:val="clear" w:color="auto" w:fill="FFFFFF"/>
        </w:rPr>
        <w:t xml:space="preserve">Value creation is about using resources to enhance outcomes and experiences in ways that are good for individuals and good for the population. The Triple Aim links three goals: improved care experience, improved population health and reduced per-capita cost (Berwick, Nolan and Whittington, 2008). For example, pre-emptive home visits for frail older people may support independence while averting avoidable emergency admissions. This produces value for both the service users and the health system. </w:t>
      </w:r>
    </w:p>
    <w:p w14:paraId="5C9A5396" w14:textId="3822E414" w:rsidR="003A1543" w:rsidRPr="007D751F" w:rsidRDefault="003A1543" w:rsidP="007D751F">
      <w:pPr>
        <w:pStyle w:val="Heading3"/>
        <w:spacing w:line="360" w:lineRule="auto"/>
        <w:rPr>
          <w:rFonts w:ascii="Arial" w:hAnsi="Arial" w:cs="Arial"/>
          <w:color w:val="auto"/>
          <w:sz w:val="22"/>
          <w:szCs w:val="22"/>
        </w:rPr>
      </w:pPr>
      <w:r w:rsidRPr="007D751F">
        <w:rPr>
          <w:rFonts w:ascii="Arial" w:hAnsi="Arial" w:cs="Arial"/>
          <w:color w:val="auto"/>
          <w:sz w:val="22"/>
          <w:szCs w:val="22"/>
        </w:rPr>
        <w:t>Change</w:t>
      </w:r>
    </w:p>
    <w:p w14:paraId="01A46F6E" w14:textId="6FF998A6" w:rsidR="003A2652" w:rsidRPr="007D751F" w:rsidRDefault="003A2652" w:rsidP="007D751F">
      <w:pPr>
        <w:pStyle w:val="NormalWeb"/>
        <w:spacing w:line="360" w:lineRule="auto"/>
        <w:rPr>
          <w:rFonts w:ascii="Arial" w:hAnsi="Arial" w:cs="Arial"/>
          <w:sz w:val="22"/>
          <w:szCs w:val="22"/>
          <w:shd w:val="clear" w:color="auto" w:fill="FFFFFF"/>
        </w:rPr>
      </w:pPr>
      <w:r w:rsidRPr="007D751F">
        <w:rPr>
          <w:rFonts w:ascii="Arial" w:hAnsi="Arial" w:cs="Arial"/>
          <w:sz w:val="22"/>
          <w:szCs w:val="22"/>
          <w:shd w:val="clear" w:color="auto" w:fill="FFFFFF"/>
        </w:rPr>
        <w:t>Change is that move from a current practice to a different and desired way of working. For example, implementing structured electronic handovers requires new documentation routines, training and accountability of staff. Kotter’s eight-stage paradigm promotes urgency, a steering coalition, a shared vision, short-term wins and anchoring new approaches (Kotter, 1996). Change is critical. Even good ideas won’t deliver improvement if behaviour and systems remain the same. However, Kotter's sequential approach may be an oversimplification of complex care environments in which implementation often requires feedback, revision and continuing service-user involvement.</w:t>
      </w:r>
    </w:p>
    <w:p w14:paraId="58128EC1" w14:textId="2E19B325" w:rsidR="003A1543" w:rsidRPr="007D751F" w:rsidRDefault="007D751F" w:rsidP="007D751F">
      <w:pPr>
        <w:pStyle w:val="NormalWeb"/>
        <w:spacing w:line="360" w:lineRule="auto"/>
        <w:rPr>
          <w:rFonts w:ascii="Arial" w:hAnsi="Arial" w:cs="Arial"/>
          <w:b/>
          <w:bCs/>
          <w:sz w:val="22"/>
          <w:szCs w:val="22"/>
        </w:rPr>
      </w:pPr>
      <w:r>
        <w:rPr>
          <w:rFonts w:ascii="Arial" w:hAnsi="Arial" w:cs="Arial"/>
          <w:b/>
          <w:bCs/>
          <w:sz w:val="22"/>
          <w:szCs w:val="22"/>
        </w:rPr>
        <w:t>3.</w:t>
      </w:r>
      <w:r w:rsidR="003A1543" w:rsidRPr="007D751F">
        <w:rPr>
          <w:rFonts w:ascii="Arial" w:hAnsi="Arial" w:cs="Arial"/>
          <w:b/>
          <w:bCs/>
          <w:sz w:val="22"/>
          <w:szCs w:val="22"/>
        </w:rPr>
        <w:t>Task 2 – Mind Map: Poor Communication During Transitions of Care</w:t>
      </w:r>
    </w:p>
    <w:p w14:paraId="31325DAF" w14:textId="38CBD47E" w:rsidR="009A33CA" w:rsidRPr="007D751F" w:rsidRDefault="003A1543" w:rsidP="007D751F">
      <w:pPr>
        <w:spacing w:line="360" w:lineRule="auto"/>
        <w:rPr>
          <w:rFonts w:ascii="Arial" w:hAnsi="Arial" w:cs="Arial"/>
        </w:rPr>
      </w:pPr>
      <w:r w:rsidRPr="007D751F">
        <w:rPr>
          <w:rFonts w:ascii="Arial" w:hAnsi="Arial" w:cs="Arial"/>
          <w:noProof/>
        </w:rPr>
        <w:drawing>
          <wp:inline distT="0" distB="0" distL="0" distR="0" wp14:anchorId="7EA3B8B7" wp14:editId="4C1C2D10">
            <wp:extent cx="4889500" cy="2547191"/>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90971" cy="2547957"/>
                    </a:xfrm>
                    <a:prstGeom prst="rect">
                      <a:avLst/>
                    </a:prstGeom>
                  </pic:spPr>
                </pic:pic>
              </a:graphicData>
            </a:graphic>
          </wp:inline>
        </w:drawing>
      </w:r>
    </w:p>
    <w:p w14:paraId="757495C6" w14:textId="14A2CA70" w:rsidR="009A33CA" w:rsidRPr="007D751F" w:rsidRDefault="009A33CA" w:rsidP="007D751F">
      <w:pPr>
        <w:spacing w:line="360" w:lineRule="auto"/>
        <w:rPr>
          <w:rFonts w:ascii="Arial" w:hAnsi="Arial" w:cs="Arial"/>
        </w:rPr>
      </w:pPr>
    </w:p>
    <w:p w14:paraId="443CE7C1" w14:textId="6F93B260" w:rsidR="009A33CA" w:rsidRPr="007D751F" w:rsidRDefault="009A33CA" w:rsidP="007D751F">
      <w:pPr>
        <w:spacing w:line="360" w:lineRule="auto"/>
        <w:rPr>
          <w:rFonts w:ascii="Arial" w:hAnsi="Arial" w:cs="Arial"/>
        </w:rPr>
      </w:pPr>
    </w:p>
    <w:p w14:paraId="490B46E1" w14:textId="77777777" w:rsidR="003A2652" w:rsidRPr="007D751F" w:rsidRDefault="003A2652" w:rsidP="007D751F">
      <w:pPr>
        <w:pStyle w:val="Heading2"/>
        <w:spacing w:line="360" w:lineRule="auto"/>
        <w:rPr>
          <w:rFonts w:ascii="Arial" w:hAnsi="Arial" w:cs="Arial"/>
          <w:color w:val="auto"/>
          <w:sz w:val="22"/>
          <w:szCs w:val="22"/>
          <w:shd w:val="clear" w:color="auto" w:fill="FFFFFF"/>
        </w:rPr>
      </w:pPr>
      <w:r w:rsidRPr="007D751F">
        <w:rPr>
          <w:rFonts w:ascii="Arial" w:hAnsi="Arial" w:cs="Arial"/>
          <w:color w:val="auto"/>
          <w:sz w:val="22"/>
          <w:szCs w:val="22"/>
          <w:shd w:val="clear" w:color="auto" w:fill="FFFFFF"/>
        </w:rPr>
        <w:lastRenderedPageBreak/>
        <w:t>Poor communication while transferring between hospital, primary and social care important since responsibility and information go together. The map shows how time pressure, incompatible records, unclear roles and language barriers can lead to incomplete handovers. Such gaps can result in medication errors, duplicate tests, delayed support and preventable readmission. Thus, effective handover is a requirement for patient safety and not merely a matter of professional courtesy (</w:t>
      </w:r>
      <w:proofErr w:type="spellStart"/>
      <w:r w:rsidRPr="007D751F">
        <w:rPr>
          <w:rFonts w:ascii="Arial" w:hAnsi="Arial" w:cs="Arial"/>
          <w:color w:val="auto"/>
          <w:sz w:val="22"/>
          <w:szCs w:val="22"/>
          <w:shd w:val="clear" w:color="auto" w:fill="FFFFFF"/>
        </w:rPr>
        <w:t>Manser</w:t>
      </w:r>
      <w:proofErr w:type="spellEnd"/>
      <w:r w:rsidRPr="007D751F">
        <w:rPr>
          <w:rFonts w:ascii="Arial" w:hAnsi="Arial" w:cs="Arial"/>
          <w:color w:val="auto"/>
          <w:sz w:val="22"/>
          <w:szCs w:val="22"/>
          <w:shd w:val="clear" w:color="auto" w:fill="FFFFFF"/>
        </w:rPr>
        <w:t xml:space="preserve"> and Foster, 2011). SEIPS 2.0 describes the problem as a result of interactions between people, tasks, technology, </w:t>
      </w:r>
      <w:proofErr w:type="spellStart"/>
      <w:r w:rsidRPr="007D751F">
        <w:rPr>
          <w:rFonts w:ascii="Arial" w:hAnsi="Arial" w:cs="Arial"/>
          <w:color w:val="auto"/>
          <w:sz w:val="22"/>
          <w:szCs w:val="22"/>
          <w:shd w:val="clear" w:color="auto" w:fill="FFFFFF"/>
        </w:rPr>
        <w:t>organisations</w:t>
      </w:r>
      <w:proofErr w:type="spellEnd"/>
      <w:r w:rsidRPr="007D751F">
        <w:rPr>
          <w:rFonts w:ascii="Arial" w:hAnsi="Arial" w:cs="Arial"/>
          <w:color w:val="auto"/>
          <w:sz w:val="22"/>
          <w:szCs w:val="22"/>
          <w:shd w:val="clear" w:color="auto" w:fill="FFFFFF"/>
        </w:rPr>
        <w:t xml:space="preserve"> and care environments (Holden et al., 2013). They include older people with multiple conditions, people with learning disabilities, people with limited English and unpaid </w:t>
      </w:r>
      <w:proofErr w:type="spellStart"/>
      <w:r w:rsidRPr="007D751F">
        <w:rPr>
          <w:rFonts w:ascii="Arial" w:hAnsi="Arial" w:cs="Arial"/>
          <w:color w:val="auto"/>
          <w:sz w:val="22"/>
          <w:szCs w:val="22"/>
          <w:shd w:val="clear" w:color="auto" w:fill="FFFFFF"/>
        </w:rPr>
        <w:t>carers</w:t>
      </w:r>
      <w:proofErr w:type="spellEnd"/>
      <w:r w:rsidRPr="007D751F">
        <w:rPr>
          <w:rFonts w:ascii="Arial" w:hAnsi="Arial" w:cs="Arial"/>
          <w:color w:val="auto"/>
          <w:sz w:val="22"/>
          <w:szCs w:val="22"/>
          <w:shd w:val="clear" w:color="auto" w:fill="FFFFFF"/>
        </w:rPr>
        <w:t xml:space="preserve">, who are disproportionately affected. Poor communication can lead to increased preventable harm and mistrust. Structured handovers, interoperable records, medication reconciliation, teach-back and a named </w:t>
      </w:r>
      <w:proofErr w:type="spellStart"/>
      <w:r w:rsidRPr="007D751F">
        <w:rPr>
          <w:rFonts w:ascii="Arial" w:hAnsi="Arial" w:cs="Arial"/>
          <w:color w:val="auto"/>
          <w:sz w:val="22"/>
          <w:szCs w:val="22"/>
          <w:shd w:val="clear" w:color="auto" w:fill="FFFFFF"/>
        </w:rPr>
        <w:t>co-ordinator</w:t>
      </w:r>
      <w:proofErr w:type="spellEnd"/>
      <w:r w:rsidRPr="007D751F">
        <w:rPr>
          <w:rFonts w:ascii="Arial" w:hAnsi="Arial" w:cs="Arial"/>
          <w:color w:val="auto"/>
          <w:sz w:val="22"/>
          <w:szCs w:val="22"/>
          <w:shd w:val="clear" w:color="auto" w:fill="FFFFFF"/>
        </w:rPr>
        <w:t xml:space="preserve"> supported by auditing rather than relying on staff vigilance alone are needed for sustainable progress.</w:t>
      </w:r>
    </w:p>
    <w:p w14:paraId="0B338C63" w14:textId="6471F3D1" w:rsidR="003A1543" w:rsidRPr="007D751F" w:rsidRDefault="007D751F" w:rsidP="007D751F">
      <w:pPr>
        <w:pStyle w:val="Heading2"/>
        <w:spacing w:line="360" w:lineRule="auto"/>
        <w:rPr>
          <w:rFonts w:ascii="Arial" w:hAnsi="Arial" w:cs="Arial"/>
          <w:b/>
          <w:bCs/>
          <w:color w:val="auto"/>
          <w:sz w:val="22"/>
          <w:szCs w:val="22"/>
          <w:lang w:val="en-GB"/>
        </w:rPr>
      </w:pPr>
      <w:r w:rsidRPr="007D751F">
        <w:rPr>
          <w:rFonts w:ascii="Arial" w:hAnsi="Arial" w:cs="Arial"/>
          <w:b/>
          <w:bCs/>
          <w:color w:val="auto"/>
          <w:sz w:val="22"/>
          <w:szCs w:val="22"/>
        </w:rPr>
        <w:t>4.</w:t>
      </w:r>
      <w:r w:rsidR="003A1543" w:rsidRPr="007D751F">
        <w:rPr>
          <w:rFonts w:ascii="Arial" w:hAnsi="Arial" w:cs="Arial"/>
          <w:b/>
          <w:bCs/>
          <w:color w:val="auto"/>
          <w:sz w:val="22"/>
          <w:szCs w:val="22"/>
        </w:rPr>
        <w:t>Task 3 – Self-Reflection on the Group Activity</w:t>
      </w:r>
    </w:p>
    <w:p w14:paraId="09952C67" w14:textId="77777777" w:rsidR="003A2652" w:rsidRPr="007D751F" w:rsidRDefault="003A2652" w:rsidP="007D751F">
      <w:pPr>
        <w:pStyle w:val="Heading3"/>
        <w:spacing w:line="360" w:lineRule="auto"/>
        <w:rPr>
          <w:rFonts w:ascii="Arial" w:hAnsi="Arial" w:cs="Arial"/>
          <w:color w:val="auto"/>
          <w:sz w:val="22"/>
          <w:szCs w:val="22"/>
          <w:shd w:val="clear" w:color="auto" w:fill="FFFFFF"/>
        </w:rPr>
      </w:pPr>
      <w:r w:rsidRPr="007D751F">
        <w:rPr>
          <w:rFonts w:ascii="Arial" w:hAnsi="Arial" w:cs="Arial"/>
          <w:color w:val="auto"/>
          <w:sz w:val="22"/>
          <w:szCs w:val="22"/>
          <w:shd w:val="clear" w:color="auto" w:fill="FFFFFF"/>
        </w:rPr>
        <w:t xml:space="preserve">I utilized Driscoll's "What? So what? "So </w:t>
      </w:r>
      <w:proofErr w:type="spellStart"/>
      <w:proofErr w:type="gramStart"/>
      <w:r w:rsidRPr="007D751F">
        <w:rPr>
          <w:rFonts w:ascii="Arial" w:hAnsi="Arial" w:cs="Arial"/>
          <w:color w:val="auto"/>
          <w:sz w:val="22"/>
          <w:szCs w:val="22"/>
          <w:shd w:val="clear" w:color="auto" w:fill="FFFFFF"/>
        </w:rPr>
        <w:t>what?To</w:t>
      </w:r>
      <w:proofErr w:type="spellEnd"/>
      <w:proofErr w:type="gramEnd"/>
      <w:r w:rsidRPr="007D751F">
        <w:rPr>
          <w:rFonts w:ascii="Arial" w:hAnsi="Arial" w:cs="Arial"/>
          <w:color w:val="auto"/>
          <w:sz w:val="22"/>
          <w:szCs w:val="22"/>
          <w:shd w:val="clear" w:color="auto" w:fill="FFFFFF"/>
        </w:rPr>
        <w:t xml:space="preserve"> reflect on the 15 minute class debate on innovation improving health and social care (Driscoll, 2007).</w:t>
      </w:r>
    </w:p>
    <w:p w14:paraId="37935763" w14:textId="0EA275FD" w:rsidR="003A1543" w:rsidRPr="007D751F" w:rsidRDefault="003A1543" w:rsidP="007D751F">
      <w:pPr>
        <w:pStyle w:val="Heading3"/>
        <w:spacing w:line="360" w:lineRule="auto"/>
        <w:rPr>
          <w:rFonts w:ascii="Arial" w:hAnsi="Arial" w:cs="Arial"/>
          <w:color w:val="auto"/>
          <w:sz w:val="22"/>
          <w:szCs w:val="22"/>
        </w:rPr>
      </w:pPr>
      <w:r w:rsidRPr="007D751F">
        <w:rPr>
          <w:rFonts w:ascii="Arial" w:hAnsi="Arial" w:cs="Arial"/>
          <w:color w:val="auto"/>
          <w:sz w:val="22"/>
          <w:szCs w:val="22"/>
        </w:rPr>
        <w:t>What?</w:t>
      </w:r>
    </w:p>
    <w:p w14:paraId="0A1286FE" w14:textId="77777777" w:rsidR="003A2652" w:rsidRPr="007D751F" w:rsidRDefault="003A2652" w:rsidP="007D751F">
      <w:pPr>
        <w:pStyle w:val="Heading3"/>
        <w:spacing w:line="360" w:lineRule="auto"/>
        <w:rPr>
          <w:rFonts w:ascii="Arial" w:hAnsi="Arial" w:cs="Arial"/>
          <w:color w:val="auto"/>
          <w:sz w:val="22"/>
          <w:szCs w:val="22"/>
          <w:shd w:val="clear" w:color="auto" w:fill="FFFFFF"/>
        </w:rPr>
      </w:pPr>
      <w:r w:rsidRPr="007D751F">
        <w:rPr>
          <w:rFonts w:ascii="Arial" w:hAnsi="Arial" w:cs="Arial"/>
          <w:color w:val="auto"/>
          <w:sz w:val="22"/>
          <w:szCs w:val="22"/>
          <w:shd w:val="clear" w:color="auto" w:fill="FFFFFF"/>
        </w:rPr>
        <w:t>In the argument I looked at benefits like faster access, more independence and better diagnosis and dangers such as expense, confidentiality, staff resistance and digital exclusion. The group employed divergent thinking to develop these numerous ideas and convergent thinking to analyze them and arrive at a reasonable decision.</w:t>
      </w:r>
    </w:p>
    <w:p w14:paraId="645DA427" w14:textId="48EEBE97" w:rsidR="003A1543" w:rsidRPr="007D751F" w:rsidRDefault="003A1543" w:rsidP="007D751F">
      <w:pPr>
        <w:pStyle w:val="Heading3"/>
        <w:spacing w:line="360" w:lineRule="auto"/>
        <w:rPr>
          <w:rFonts w:ascii="Arial" w:hAnsi="Arial" w:cs="Arial"/>
          <w:color w:val="auto"/>
          <w:sz w:val="22"/>
          <w:szCs w:val="22"/>
        </w:rPr>
      </w:pPr>
      <w:r w:rsidRPr="007D751F">
        <w:rPr>
          <w:rFonts w:ascii="Arial" w:hAnsi="Arial" w:cs="Arial"/>
          <w:color w:val="auto"/>
          <w:sz w:val="22"/>
          <w:szCs w:val="22"/>
        </w:rPr>
        <w:t>So what?</w:t>
      </w:r>
    </w:p>
    <w:p w14:paraId="0735F1E3" w14:textId="5990D394" w:rsidR="003A2652" w:rsidRPr="007D751F" w:rsidRDefault="003A2652" w:rsidP="007D751F">
      <w:pPr>
        <w:pStyle w:val="Heading3"/>
        <w:spacing w:line="360" w:lineRule="auto"/>
        <w:rPr>
          <w:rFonts w:ascii="Arial" w:hAnsi="Arial" w:cs="Arial"/>
          <w:color w:val="auto"/>
          <w:sz w:val="22"/>
          <w:szCs w:val="22"/>
          <w:shd w:val="clear" w:color="auto" w:fill="FFFFFF"/>
        </w:rPr>
      </w:pPr>
      <w:r w:rsidRPr="007D751F">
        <w:rPr>
          <w:rFonts w:ascii="Arial" w:hAnsi="Arial" w:cs="Arial"/>
          <w:color w:val="auto"/>
          <w:sz w:val="22"/>
          <w:szCs w:val="22"/>
          <w:shd w:val="clear" w:color="auto" w:fill="FFFFFF"/>
        </w:rPr>
        <w:t xml:space="preserve">I helped by asking, do we assume automatically that new has to be better? This led the group to separate innovation from improvement and to think about evidence, execution and equity. I discovered that critical thinking is one of my skills. But I also knew that too early criticism can hinder other participants to propose innovative ideas. According to </w:t>
      </w:r>
      <w:proofErr w:type="spellStart"/>
      <w:r w:rsidRPr="007D751F">
        <w:rPr>
          <w:rFonts w:ascii="Arial" w:hAnsi="Arial" w:cs="Arial"/>
          <w:color w:val="auto"/>
          <w:sz w:val="22"/>
          <w:szCs w:val="22"/>
          <w:shd w:val="clear" w:color="auto" w:fill="FFFFFF"/>
        </w:rPr>
        <w:t>Cropley</w:t>
      </w:r>
      <w:proofErr w:type="spellEnd"/>
      <w:r w:rsidRPr="007D751F">
        <w:rPr>
          <w:rFonts w:ascii="Arial" w:hAnsi="Arial" w:cs="Arial"/>
          <w:color w:val="auto"/>
          <w:sz w:val="22"/>
          <w:szCs w:val="22"/>
          <w:shd w:val="clear" w:color="auto" w:fill="FFFFFF"/>
        </w:rPr>
        <w:t xml:space="preserve"> (2006) creativity involves both the divergent invention of ideas and the convergent evaluation of ideas. </w:t>
      </w:r>
    </w:p>
    <w:p w14:paraId="033C6822" w14:textId="5B528144" w:rsidR="003A1543" w:rsidRPr="007D751F" w:rsidRDefault="003A1543" w:rsidP="007D751F">
      <w:pPr>
        <w:pStyle w:val="Heading3"/>
        <w:spacing w:line="360" w:lineRule="auto"/>
        <w:rPr>
          <w:rFonts w:ascii="Arial" w:hAnsi="Arial" w:cs="Arial"/>
          <w:color w:val="auto"/>
          <w:sz w:val="22"/>
          <w:szCs w:val="22"/>
        </w:rPr>
      </w:pPr>
      <w:r w:rsidRPr="007D751F">
        <w:rPr>
          <w:rFonts w:ascii="Arial" w:hAnsi="Arial" w:cs="Arial"/>
          <w:color w:val="auto"/>
          <w:sz w:val="22"/>
          <w:szCs w:val="22"/>
        </w:rPr>
        <w:t>Now what?</w:t>
      </w:r>
    </w:p>
    <w:p w14:paraId="585B1757" w14:textId="75BE2EB1" w:rsidR="003A1543" w:rsidRPr="007D751F" w:rsidRDefault="003A2652" w:rsidP="007D751F">
      <w:pPr>
        <w:spacing w:line="360" w:lineRule="auto"/>
        <w:rPr>
          <w:rFonts w:ascii="Arial" w:hAnsi="Arial" w:cs="Arial"/>
          <w:shd w:val="clear" w:color="auto" w:fill="FFFFFF"/>
        </w:rPr>
      </w:pPr>
      <w:r w:rsidRPr="007D751F">
        <w:rPr>
          <w:rFonts w:ascii="Arial" w:hAnsi="Arial" w:cs="Arial"/>
          <w:shd w:val="clear" w:color="auto" w:fill="FFFFFF"/>
        </w:rPr>
        <w:t xml:space="preserve">In future group exercises, I would separate idea generation from evaluation. I would give a period of time for recommendations to be made </w:t>
      </w:r>
      <w:proofErr w:type="spellStart"/>
      <w:r w:rsidRPr="007D751F">
        <w:rPr>
          <w:rFonts w:ascii="Arial" w:hAnsi="Arial" w:cs="Arial"/>
          <w:shd w:val="clear" w:color="auto" w:fill="FFFFFF"/>
        </w:rPr>
        <w:t>uncriticised</w:t>
      </w:r>
      <w:proofErr w:type="spellEnd"/>
      <w:r w:rsidRPr="007D751F">
        <w:rPr>
          <w:rFonts w:ascii="Arial" w:hAnsi="Arial" w:cs="Arial"/>
          <w:shd w:val="clear" w:color="auto" w:fill="FFFFFF"/>
        </w:rPr>
        <w:t xml:space="preserve"> and then judge them against established criteria such as safety, </w:t>
      </w:r>
      <w:proofErr w:type="spellStart"/>
      <w:r w:rsidRPr="007D751F">
        <w:rPr>
          <w:rFonts w:ascii="Arial" w:hAnsi="Arial" w:cs="Arial"/>
          <w:shd w:val="clear" w:color="auto" w:fill="FFFFFF"/>
        </w:rPr>
        <w:t>accessability</w:t>
      </w:r>
      <w:proofErr w:type="spellEnd"/>
      <w:r w:rsidRPr="007D751F">
        <w:rPr>
          <w:rFonts w:ascii="Arial" w:hAnsi="Arial" w:cs="Arial"/>
          <w:shd w:val="clear" w:color="auto" w:fill="FFFFFF"/>
        </w:rPr>
        <w:t>, evidence and cost. I would also invite the more reserved people to speak up before the group makes its final decision.</w:t>
      </w:r>
    </w:p>
    <w:p w14:paraId="1C12413A" w14:textId="77777777" w:rsidR="003A2652" w:rsidRPr="007D751F" w:rsidRDefault="003A2652" w:rsidP="007D751F">
      <w:pPr>
        <w:spacing w:line="360" w:lineRule="auto"/>
        <w:rPr>
          <w:rFonts w:ascii="Arial" w:hAnsi="Arial" w:cs="Arial"/>
        </w:rPr>
      </w:pPr>
    </w:p>
    <w:p w14:paraId="399B4530" w14:textId="573F4F4B" w:rsidR="003A1543" w:rsidRPr="007D751F" w:rsidRDefault="007D751F" w:rsidP="007D751F">
      <w:pPr>
        <w:pStyle w:val="Heading2"/>
        <w:spacing w:line="360" w:lineRule="auto"/>
        <w:rPr>
          <w:rFonts w:ascii="Arial" w:hAnsi="Arial" w:cs="Arial"/>
          <w:b/>
          <w:bCs/>
          <w:color w:val="auto"/>
          <w:sz w:val="22"/>
          <w:szCs w:val="22"/>
        </w:rPr>
      </w:pPr>
      <w:r w:rsidRPr="007D751F">
        <w:rPr>
          <w:rFonts w:ascii="Arial" w:hAnsi="Arial" w:cs="Arial"/>
          <w:b/>
          <w:bCs/>
          <w:color w:val="auto"/>
          <w:sz w:val="22"/>
          <w:szCs w:val="22"/>
        </w:rPr>
        <w:t>5.</w:t>
      </w:r>
      <w:r w:rsidR="003A1543" w:rsidRPr="007D751F">
        <w:rPr>
          <w:rFonts w:ascii="Arial" w:hAnsi="Arial" w:cs="Arial"/>
          <w:b/>
          <w:bCs/>
          <w:color w:val="auto"/>
          <w:sz w:val="22"/>
          <w:szCs w:val="22"/>
        </w:rPr>
        <w:t>Task 4 – Case Study Analysis of a UK Innovation</w:t>
      </w:r>
    </w:p>
    <w:p w14:paraId="22C62A56" w14:textId="77777777" w:rsidR="003A2652" w:rsidRPr="007D751F" w:rsidRDefault="003A2652" w:rsidP="007D751F">
      <w:pPr>
        <w:pStyle w:val="NormalWeb"/>
        <w:spacing w:line="360" w:lineRule="auto"/>
        <w:rPr>
          <w:rFonts w:ascii="Arial" w:hAnsi="Arial" w:cs="Arial"/>
          <w:sz w:val="22"/>
          <w:szCs w:val="22"/>
        </w:rPr>
      </w:pPr>
      <w:r w:rsidRPr="007D751F">
        <w:rPr>
          <w:rFonts w:ascii="Arial" w:hAnsi="Arial" w:cs="Arial"/>
          <w:sz w:val="22"/>
          <w:szCs w:val="22"/>
        </w:rPr>
        <w:t xml:space="preserve">NHS 111 Online was launched to meet increasing demand on urgent care services and give consumers 24-hour access for non-emergency health problems. People answer questions on a website or smartphone based on their symptoms and are directed to self-care advice or the relevant NHS service. It creatively transforms a telephone triage pathway into an interactive self-service system. It can add value through speedy access, privacy and convenience, particularly for those who do not want to discuss symptoms by telephone. Turner et al. (2021) reported that 35% of online users did not want to use the telephone service, indicating that the digital option satisfied a specific preference. </w:t>
      </w:r>
    </w:p>
    <w:p w14:paraId="399FD1B8" w14:textId="433D53D7" w:rsidR="003A2652" w:rsidRPr="007D751F" w:rsidRDefault="003A2652" w:rsidP="007D751F">
      <w:pPr>
        <w:pStyle w:val="NormalWeb"/>
        <w:spacing w:line="360" w:lineRule="auto"/>
        <w:rPr>
          <w:rFonts w:ascii="Arial" w:hAnsi="Arial" w:cs="Arial"/>
          <w:sz w:val="22"/>
          <w:szCs w:val="22"/>
        </w:rPr>
      </w:pPr>
      <w:r w:rsidRPr="007D751F">
        <w:rPr>
          <w:rFonts w:ascii="Arial" w:hAnsi="Arial" w:cs="Arial"/>
          <w:sz w:val="22"/>
          <w:szCs w:val="22"/>
        </w:rPr>
        <w:t>Yet, observed results challenge the premise that digitalization automatically reduces demand. The evaluation found little reduction in NHS 111 telephone calls but online user satisfaction was lower than telephone user satisfaction: 50% compared with 71% (Turner et al, 2021). Moreover, online users were more likely to have a higher level of digital-health literacy than non-users, which put those with chronic diseases or lower digital abilities at risk of exclusion (Turnbull et al., 2024).</w:t>
      </w:r>
    </w:p>
    <w:p w14:paraId="7D3E4F47" w14:textId="3479A446" w:rsidR="003A1543" w:rsidRPr="007D751F" w:rsidRDefault="003A2652" w:rsidP="007D751F">
      <w:pPr>
        <w:pStyle w:val="NormalWeb"/>
        <w:spacing w:line="360" w:lineRule="auto"/>
        <w:rPr>
          <w:rFonts w:ascii="Arial" w:hAnsi="Arial" w:cs="Arial"/>
          <w:sz w:val="22"/>
          <w:szCs w:val="22"/>
        </w:rPr>
      </w:pPr>
      <w:r w:rsidRPr="007D751F">
        <w:rPr>
          <w:rFonts w:ascii="Arial" w:hAnsi="Arial" w:cs="Arial"/>
          <w:sz w:val="22"/>
          <w:szCs w:val="22"/>
        </w:rPr>
        <w:t xml:space="preserve"> Normalization Process Theory proposes that the effective adoption of services hinges on whether users make sense of, engage with and regularly appraise the service (May and Finch, 2009). NHS 111 Online could be adapted for use elsewhere but it should be an adjunct, not a replacement, to telephone and face-to-face access. Its value is based on usability, public understanding, clinical safety and equitable </w:t>
      </w:r>
      <w:proofErr w:type="gramStart"/>
      <w:r w:rsidRPr="007D751F">
        <w:rPr>
          <w:rFonts w:ascii="Arial" w:hAnsi="Arial" w:cs="Arial"/>
          <w:sz w:val="22"/>
          <w:szCs w:val="22"/>
        </w:rPr>
        <w:t>access.</w:t>
      </w:r>
      <w:r w:rsidR="003A1543" w:rsidRPr="007D751F">
        <w:rPr>
          <w:rFonts w:ascii="Arial" w:hAnsi="Arial" w:cs="Arial"/>
          <w:sz w:val="22"/>
          <w:szCs w:val="22"/>
        </w:rPr>
        <w:t>.</w:t>
      </w:r>
      <w:proofErr w:type="gramEnd"/>
    </w:p>
    <w:p w14:paraId="4C2C9B3F" w14:textId="340944C4" w:rsidR="003A1543" w:rsidRPr="007D751F" w:rsidRDefault="007D751F" w:rsidP="007D751F">
      <w:pPr>
        <w:pStyle w:val="Heading2"/>
        <w:spacing w:line="360" w:lineRule="auto"/>
        <w:rPr>
          <w:rFonts w:ascii="Arial" w:hAnsi="Arial" w:cs="Arial"/>
          <w:b/>
          <w:bCs/>
          <w:color w:val="auto"/>
          <w:sz w:val="22"/>
          <w:szCs w:val="22"/>
          <w:lang w:val="en-GB"/>
        </w:rPr>
      </w:pPr>
      <w:r>
        <w:rPr>
          <w:rFonts w:ascii="Arial" w:hAnsi="Arial" w:cs="Arial"/>
          <w:b/>
          <w:bCs/>
          <w:color w:val="auto"/>
          <w:sz w:val="22"/>
          <w:szCs w:val="22"/>
        </w:rPr>
        <w:t>6.</w:t>
      </w:r>
      <w:r w:rsidR="003A1543" w:rsidRPr="007D751F">
        <w:rPr>
          <w:rFonts w:ascii="Arial" w:hAnsi="Arial" w:cs="Arial"/>
          <w:b/>
          <w:bCs/>
          <w:color w:val="auto"/>
          <w:sz w:val="22"/>
          <w:szCs w:val="22"/>
        </w:rPr>
        <w:t>Task 5: Current Issue – Elective-Care Waiting Times</w:t>
      </w:r>
    </w:p>
    <w:p w14:paraId="5A8D3364" w14:textId="0FE3E5DC" w:rsidR="003A2652" w:rsidRPr="007D751F" w:rsidRDefault="003A2652"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Long waiting periods for elective care continue to be a severe problem as delayed diagnosis or treatment can worsen symptoms, increase anxiety and widen inequities between patients who can and cannot buy private care. The causes are systemic, not any single failure of service. </w:t>
      </w:r>
    </w:p>
    <w:p w14:paraId="34F5D7E7" w14:textId="77777777" w:rsidR="003A2652" w:rsidRPr="007D751F" w:rsidRDefault="003A2652" w:rsidP="007D751F">
      <w:pPr>
        <w:spacing w:line="360" w:lineRule="auto"/>
        <w:rPr>
          <w:rFonts w:ascii="Arial" w:eastAsia="Times New Roman" w:hAnsi="Arial" w:cs="Arial"/>
          <w:lang w:val="en-GB" w:eastAsia="en-GB"/>
        </w:rPr>
      </w:pPr>
    </w:p>
    <w:p w14:paraId="7C079A50" w14:textId="4AB7F183" w:rsidR="003A2652" w:rsidRPr="007D751F" w:rsidRDefault="003A2652" w:rsidP="007D751F">
      <w:pPr>
        <w:spacing w:line="360" w:lineRule="auto"/>
        <w:rPr>
          <w:rFonts w:ascii="Arial" w:eastAsia="Times New Roman" w:hAnsi="Arial" w:cs="Arial"/>
          <w:lang w:val="en-GB" w:eastAsia="en-GB"/>
        </w:rPr>
      </w:pPr>
      <w:proofErr w:type="spellStart"/>
      <w:r w:rsidRPr="007D751F">
        <w:rPr>
          <w:rFonts w:ascii="Arial" w:eastAsia="Times New Roman" w:hAnsi="Arial" w:cs="Arial"/>
          <w:lang w:val="en-GB" w:eastAsia="en-GB"/>
        </w:rPr>
        <w:t>Siciliani</w:t>
      </w:r>
      <w:proofErr w:type="spellEnd"/>
      <w:r w:rsidRPr="007D751F">
        <w:rPr>
          <w:rFonts w:ascii="Arial" w:eastAsia="Times New Roman" w:hAnsi="Arial" w:cs="Arial"/>
          <w:lang w:val="en-GB" w:eastAsia="en-GB"/>
        </w:rPr>
        <w:t xml:space="preserve"> and Hurst (2005) examined the policies on elective surgery in 12 OECD countries. Waiting periods are described as a mismatch between demand and available supply, which is determined by hospital capacity, staff availability, clinical priority and financial incentives. More money alone may not be useful if hospitals are understaffed or lack incentives to enhance production. However, the international comparison is based on older data and mixes healthcare systems of different forms, limiting its direct applicability to the current </w:t>
      </w:r>
      <w:r w:rsidRPr="007D751F">
        <w:rPr>
          <w:rFonts w:ascii="Arial" w:eastAsia="Times New Roman" w:hAnsi="Arial" w:cs="Arial"/>
          <w:lang w:val="en-GB" w:eastAsia="en-GB"/>
        </w:rPr>
        <w:lastRenderedPageBreak/>
        <w:t xml:space="preserve">NHS. </w:t>
      </w:r>
    </w:p>
    <w:p w14:paraId="0DB91193" w14:textId="77777777" w:rsidR="003A2652" w:rsidRPr="007D751F" w:rsidRDefault="003A2652" w:rsidP="007D751F">
      <w:pPr>
        <w:spacing w:line="360" w:lineRule="auto"/>
        <w:rPr>
          <w:rFonts w:ascii="Arial" w:eastAsia="Times New Roman" w:hAnsi="Arial" w:cs="Arial"/>
          <w:lang w:val="en-GB" w:eastAsia="en-GB"/>
        </w:rPr>
      </w:pPr>
    </w:p>
    <w:p w14:paraId="7C84DA2C" w14:textId="56688E7C" w:rsidR="003A2652" w:rsidRPr="007D751F" w:rsidRDefault="003A2652"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Most recently, Shah et al. (2025) </w:t>
      </w:r>
      <w:proofErr w:type="spellStart"/>
      <w:r w:rsidRPr="007D751F">
        <w:rPr>
          <w:rFonts w:ascii="Arial" w:eastAsia="Times New Roman" w:hAnsi="Arial" w:cs="Arial"/>
          <w:lang w:val="en-GB" w:eastAsia="en-GB"/>
        </w:rPr>
        <w:t>analyzed</w:t>
      </w:r>
      <w:proofErr w:type="spellEnd"/>
      <w:r w:rsidRPr="007D751F">
        <w:rPr>
          <w:rFonts w:ascii="Arial" w:eastAsia="Times New Roman" w:hAnsi="Arial" w:cs="Arial"/>
          <w:lang w:val="en-GB" w:eastAsia="en-GB"/>
        </w:rPr>
        <w:t xml:space="preserve"> data from Scotland’s elective-care system from 2013 to 2023. The waiting lists were growing before COVID-19 but the backlog was accelerated by cancellations and limited capacity during the pandemic. </w:t>
      </w:r>
    </w:p>
    <w:p w14:paraId="042F1586" w14:textId="77777777" w:rsidR="003A2652" w:rsidRPr="007D751F" w:rsidRDefault="003A2652" w:rsidP="007D751F">
      <w:pPr>
        <w:spacing w:line="360" w:lineRule="auto"/>
        <w:rPr>
          <w:rFonts w:ascii="Arial" w:eastAsia="Times New Roman" w:hAnsi="Arial" w:cs="Arial"/>
          <w:lang w:val="en-GB" w:eastAsia="en-GB"/>
        </w:rPr>
      </w:pPr>
    </w:p>
    <w:p w14:paraId="05B19FB1" w14:textId="3EE5BB08" w:rsidR="007D751F" w:rsidRDefault="003A2652" w:rsidP="007D751F">
      <w:pPr>
        <w:spacing w:line="360" w:lineRule="auto"/>
        <w:rPr>
          <w:rFonts w:ascii="Arial" w:eastAsia="Times New Roman" w:hAnsi="Arial" w:cs="Arial"/>
          <w:lang w:val="en-GB" w:eastAsia="en-GB"/>
        </w:rPr>
      </w:pPr>
      <w:r w:rsidRPr="007D751F">
        <w:rPr>
          <w:rFonts w:ascii="Arial" w:eastAsia="Times New Roman" w:hAnsi="Arial" w:cs="Arial"/>
          <w:lang w:val="en-GB" w:eastAsia="en-GB"/>
        </w:rPr>
        <w:t xml:space="preserve">Elective capacity had not yet fully recovered by the end of 2023 and the authors anticipated that a further 20% capacity over three years would be needed to work through the pandemic backlog. Both publications show a lack of capacity relative to demand, but Shah et al. (2025) present better recent UK evidence. Capacity augmentation must be combined with demand management, efficient scheduling and clinical prioritization. </w:t>
      </w:r>
    </w:p>
    <w:p w14:paraId="06BC0FD7" w14:textId="77777777" w:rsidR="007D751F" w:rsidRDefault="007D751F" w:rsidP="007D751F">
      <w:pPr>
        <w:spacing w:line="360" w:lineRule="auto"/>
        <w:rPr>
          <w:rFonts w:ascii="Arial" w:eastAsia="Times New Roman" w:hAnsi="Arial" w:cs="Arial"/>
          <w:lang w:val="en-GB" w:eastAsia="en-GB"/>
        </w:rPr>
      </w:pPr>
    </w:p>
    <w:p w14:paraId="7AFD7197" w14:textId="77777777" w:rsidR="007D751F" w:rsidRDefault="007D751F" w:rsidP="007D751F">
      <w:pPr>
        <w:spacing w:line="360" w:lineRule="auto"/>
        <w:rPr>
          <w:rFonts w:ascii="Arial" w:hAnsi="Arial" w:cs="Arial"/>
          <w:b/>
          <w:bCs/>
        </w:rPr>
      </w:pPr>
      <w:r w:rsidRPr="007D751F">
        <w:rPr>
          <w:rFonts w:ascii="Arial" w:eastAsia="Times New Roman" w:hAnsi="Arial" w:cs="Arial"/>
          <w:b/>
          <w:bCs/>
          <w:lang w:val="en-GB" w:eastAsia="en-GB"/>
        </w:rPr>
        <w:t>7.</w:t>
      </w:r>
      <w:r w:rsidR="003A1543" w:rsidRPr="007D751F">
        <w:rPr>
          <w:rFonts w:ascii="Arial" w:hAnsi="Arial" w:cs="Arial"/>
          <w:b/>
          <w:bCs/>
        </w:rPr>
        <w:t>Task 6: Digital Innovation in Health and Social Care</w:t>
      </w:r>
    </w:p>
    <w:p w14:paraId="250DB078" w14:textId="77777777" w:rsidR="007D751F" w:rsidRDefault="003A2652" w:rsidP="007D751F">
      <w:pPr>
        <w:spacing w:line="360" w:lineRule="auto"/>
        <w:rPr>
          <w:rFonts w:ascii="Arial" w:hAnsi="Arial" w:cs="Arial"/>
        </w:rPr>
      </w:pPr>
      <w:r w:rsidRPr="007D751F">
        <w:rPr>
          <w:rFonts w:ascii="Arial" w:hAnsi="Arial" w:cs="Arial"/>
        </w:rPr>
        <w:t xml:space="preserve">6.1 What are the benefits of wearable technology for those with long-term health conditions? </w:t>
      </w:r>
    </w:p>
    <w:p w14:paraId="0684FFB7" w14:textId="77777777" w:rsidR="007D751F" w:rsidRDefault="007D751F" w:rsidP="007D751F">
      <w:pPr>
        <w:spacing w:line="360" w:lineRule="auto"/>
        <w:rPr>
          <w:rFonts w:ascii="Arial" w:hAnsi="Arial" w:cs="Arial"/>
        </w:rPr>
      </w:pPr>
    </w:p>
    <w:p w14:paraId="336E35CC" w14:textId="77777777" w:rsidR="007D751F" w:rsidRDefault="003A2652" w:rsidP="007D751F">
      <w:pPr>
        <w:spacing w:line="360" w:lineRule="auto"/>
        <w:rPr>
          <w:rFonts w:ascii="Arial" w:hAnsi="Arial" w:cs="Arial"/>
        </w:rPr>
      </w:pPr>
      <w:r w:rsidRPr="007D751F">
        <w:rPr>
          <w:rFonts w:ascii="Arial" w:hAnsi="Arial" w:cs="Arial"/>
        </w:rPr>
        <w:t xml:space="preserve">Wearable activity trackers can help people with long-term health conditions track their steps, heart rate, sleep and periods of inactivity. For example, a person with cardiovascular disease could use </w:t>
      </w:r>
      <w:proofErr w:type="spellStart"/>
      <w:r w:rsidRPr="007D751F">
        <w:rPr>
          <w:rFonts w:ascii="Arial" w:hAnsi="Arial" w:cs="Arial"/>
        </w:rPr>
        <w:t>personalised</w:t>
      </w:r>
      <w:proofErr w:type="spellEnd"/>
      <w:r w:rsidRPr="007D751F">
        <w:rPr>
          <w:rFonts w:ascii="Arial" w:hAnsi="Arial" w:cs="Arial"/>
        </w:rPr>
        <w:t xml:space="preserve"> step targets and heart-rate feedback to progressively increase activity, while sharing relevant trends with a clinician. This promotes self-management as progress can be seen between consultations and unexpected patterns may warrant an earlier assessment by a professional. </w:t>
      </w:r>
    </w:p>
    <w:p w14:paraId="706A5F4F" w14:textId="77777777" w:rsidR="007D751F" w:rsidRDefault="003A2652" w:rsidP="007D751F">
      <w:pPr>
        <w:spacing w:line="360" w:lineRule="auto"/>
        <w:rPr>
          <w:rFonts w:ascii="Arial" w:hAnsi="Arial" w:cs="Arial"/>
        </w:rPr>
      </w:pPr>
      <w:r w:rsidRPr="007D751F">
        <w:rPr>
          <w:rFonts w:ascii="Arial" w:hAnsi="Arial" w:cs="Arial"/>
        </w:rPr>
        <w:t xml:space="preserve">According to Ferguson et al. (2022), wearable trackers typically increased physical activity and provided small improvements in various health indices. But information isn't the same as better health. Benefits depend on the accuracy of the gadget, on continued involvement and on the ability of the patient to interpret feedback. Too many warnings can also be anxiety-inducing, and expense, handicap and low digital trust can limit access. </w:t>
      </w:r>
    </w:p>
    <w:p w14:paraId="1D067FFB" w14:textId="329099D5" w:rsidR="003A2652" w:rsidRPr="007D751F" w:rsidRDefault="003A2652" w:rsidP="007D751F">
      <w:pPr>
        <w:spacing w:line="360" w:lineRule="auto"/>
        <w:rPr>
          <w:rFonts w:ascii="Arial" w:eastAsia="Times New Roman" w:hAnsi="Arial" w:cs="Arial"/>
          <w:b/>
          <w:bCs/>
          <w:lang w:val="en-GB" w:eastAsia="en-GB"/>
        </w:rPr>
      </w:pPr>
      <w:r w:rsidRPr="007D751F">
        <w:rPr>
          <w:rFonts w:ascii="Arial" w:hAnsi="Arial" w:cs="Arial"/>
        </w:rPr>
        <w:t xml:space="preserve">The COM-B model suggests that wearables may increase psychological capability through feedback and motivation by setting goals, but patients also need opportunity, such as affordable devices, professional support and accessible design (Michie, van </w:t>
      </w:r>
      <w:proofErr w:type="spellStart"/>
      <w:r w:rsidRPr="007D751F">
        <w:rPr>
          <w:rFonts w:ascii="Arial" w:hAnsi="Arial" w:cs="Arial"/>
        </w:rPr>
        <w:t>Stralen</w:t>
      </w:r>
      <w:proofErr w:type="spellEnd"/>
      <w:r w:rsidRPr="007D751F">
        <w:rPr>
          <w:rFonts w:ascii="Arial" w:hAnsi="Arial" w:cs="Arial"/>
        </w:rPr>
        <w:t xml:space="preserve"> and West, 2011). Wearables should complement clinical care and not replace assessment.</w:t>
      </w:r>
    </w:p>
    <w:p w14:paraId="4C495F22" w14:textId="77777777"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lastRenderedPageBreak/>
        <w:t xml:space="preserve"> 6.2 How do electronic health records facilitate collaboration? </w:t>
      </w:r>
    </w:p>
    <w:p w14:paraId="0DADDA2E" w14:textId="77777777"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 xml:space="preserve">Electronic health records can generate a common, longitudinal record of diagnosis, medications, allergies, test findings and care plans. For example, when an elderly person is moved from hospital to community care, doctors, pharmacists, nurses and social-care professionals are able to get up-to-date information rather than having to rely on separate paper records. This can aid in medication reconciliation, decrease duplicate assessments, and make clear who is responsible for follow-up care. </w:t>
      </w:r>
    </w:p>
    <w:p w14:paraId="19CF471C" w14:textId="6E89FE17"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 xml:space="preserve">Research suggests that interoperable records can improve information availability and some safety and quality outcomes (Li et al., 2022). But collaboration is not something that software alone can create. It may simply be that systems used by different </w:t>
      </w:r>
      <w:proofErr w:type="spellStart"/>
      <w:r w:rsidRPr="007D751F">
        <w:rPr>
          <w:rFonts w:ascii="Arial" w:hAnsi="Arial" w:cs="Arial"/>
          <w:color w:val="auto"/>
          <w:sz w:val="22"/>
          <w:szCs w:val="22"/>
        </w:rPr>
        <w:t>organisations</w:t>
      </w:r>
      <w:proofErr w:type="spellEnd"/>
      <w:r w:rsidRPr="007D751F">
        <w:rPr>
          <w:rFonts w:ascii="Arial" w:hAnsi="Arial" w:cs="Arial"/>
          <w:color w:val="auto"/>
          <w:sz w:val="22"/>
          <w:szCs w:val="22"/>
        </w:rPr>
        <w:t xml:space="preserve"> remain incompatible. </w:t>
      </w:r>
    </w:p>
    <w:p w14:paraId="36D25D95" w14:textId="77777777"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Access must also be on a need-to-know basis, as social-care practitioners do not necessarily need to see the whole clinical record. Effective implementation therefore requires interoperability standards, staff training, clear information-governance arrangements and agreement on who updates each section. The record should facilitate professional discussion and joint decision-making, not replace direct multidisciplinary communication.</w:t>
      </w:r>
    </w:p>
    <w:p w14:paraId="68AA05BC" w14:textId="77777777"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 xml:space="preserve"> 6.3 How can digital technology support preventive care? </w:t>
      </w:r>
    </w:p>
    <w:p w14:paraId="00FD4982" w14:textId="39B17B19"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 xml:space="preserve">Digital technology can assist in prevention by identifying people eligible for prevention and providing timely, personalized prompts. For example, an electronic system may recognize people who have not been vaccinated against the flu and send them an SMS with information on where and when it is available. A </w:t>
      </w:r>
      <w:proofErr w:type="spellStart"/>
      <w:r w:rsidRPr="007D751F">
        <w:rPr>
          <w:rFonts w:ascii="Arial" w:hAnsi="Arial" w:cs="Arial"/>
          <w:color w:val="auto"/>
          <w:sz w:val="22"/>
          <w:szCs w:val="22"/>
        </w:rPr>
        <w:t>randomised</w:t>
      </w:r>
      <w:proofErr w:type="spellEnd"/>
      <w:r w:rsidRPr="007D751F">
        <w:rPr>
          <w:rFonts w:ascii="Arial" w:hAnsi="Arial" w:cs="Arial"/>
          <w:color w:val="auto"/>
          <w:sz w:val="22"/>
          <w:szCs w:val="22"/>
        </w:rPr>
        <w:t xml:space="preserve"> controlled trial by </w:t>
      </w:r>
      <w:proofErr w:type="spellStart"/>
      <w:r w:rsidRPr="007D751F">
        <w:rPr>
          <w:rFonts w:ascii="Arial" w:hAnsi="Arial" w:cs="Arial"/>
          <w:color w:val="auto"/>
          <w:sz w:val="22"/>
          <w:szCs w:val="22"/>
        </w:rPr>
        <w:t>Stockwell</w:t>
      </w:r>
      <w:proofErr w:type="spellEnd"/>
      <w:r w:rsidRPr="007D751F">
        <w:rPr>
          <w:rFonts w:ascii="Arial" w:hAnsi="Arial" w:cs="Arial"/>
          <w:color w:val="auto"/>
          <w:sz w:val="22"/>
          <w:szCs w:val="22"/>
        </w:rPr>
        <w:t xml:space="preserve"> et al. (2012) found that educational text messages increased influenza vaccination in children and adolescents compared with usual care. </w:t>
      </w:r>
    </w:p>
    <w:p w14:paraId="7889DC68" w14:textId="68CC34D0" w:rsidR="003A2652" w:rsidRPr="007D751F"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 xml:space="preserve"> The COM-B model may help to explain the success of reminders: they raise capability through providing information, generate opportunity through offering practical access information and increase motivation by making the health action instantly relevant (Michie, van </w:t>
      </w:r>
      <w:proofErr w:type="spellStart"/>
      <w:r w:rsidRPr="007D751F">
        <w:rPr>
          <w:rFonts w:ascii="Arial" w:hAnsi="Arial" w:cs="Arial"/>
          <w:color w:val="auto"/>
          <w:sz w:val="22"/>
          <w:szCs w:val="22"/>
        </w:rPr>
        <w:t>Stralen</w:t>
      </w:r>
      <w:proofErr w:type="spellEnd"/>
      <w:r w:rsidRPr="007D751F">
        <w:rPr>
          <w:rFonts w:ascii="Arial" w:hAnsi="Arial" w:cs="Arial"/>
          <w:color w:val="auto"/>
          <w:sz w:val="22"/>
          <w:szCs w:val="22"/>
        </w:rPr>
        <w:t xml:space="preserve"> and West, 2011). </w:t>
      </w:r>
    </w:p>
    <w:p w14:paraId="182A17A5" w14:textId="3A18841B" w:rsidR="003A2652" w:rsidRDefault="003A2652" w:rsidP="007D751F">
      <w:pPr>
        <w:pStyle w:val="Heading2"/>
        <w:spacing w:line="360" w:lineRule="auto"/>
        <w:rPr>
          <w:rFonts w:ascii="Arial" w:hAnsi="Arial" w:cs="Arial"/>
          <w:color w:val="auto"/>
          <w:sz w:val="22"/>
          <w:szCs w:val="22"/>
        </w:rPr>
      </w:pPr>
      <w:r w:rsidRPr="007D751F">
        <w:rPr>
          <w:rFonts w:ascii="Arial" w:hAnsi="Arial" w:cs="Arial"/>
          <w:color w:val="auto"/>
          <w:sz w:val="22"/>
          <w:szCs w:val="22"/>
        </w:rPr>
        <w:t xml:space="preserve">Automated communication can add to inequalities where services are only accessible through smartphones or written English. Digital prevention should therefore encompass translated messages, accessible formats, opt-out arrangements and non-digital alternatives. </w:t>
      </w:r>
    </w:p>
    <w:p w14:paraId="5C42C70D" w14:textId="77777777" w:rsidR="007D751F" w:rsidRPr="007D751F" w:rsidRDefault="007D751F" w:rsidP="007D751F"/>
    <w:p w14:paraId="080B7635" w14:textId="7B2FCC38" w:rsidR="00C14186" w:rsidRPr="007D751F" w:rsidRDefault="007D751F" w:rsidP="007D751F">
      <w:pPr>
        <w:pStyle w:val="Heading2"/>
        <w:spacing w:line="360" w:lineRule="auto"/>
        <w:rPr>
          <w:rFonts w:ascii="Arial" w:hAnsi="Arial" w:cs="Arial"/>
          <w:b/>
          <w:bCs/>
          <w:color w:val="auto"/>
          <w:sz w:val="22"/>
          <w:szCs w:val="22"/>
          <w:lang w:val="en-GB"/>
        </w:rPr>
      </w:pPr>
      <w:r>
        <w:rPr>
          <w:rFonts w:ascii="Arial" w:hAnsi="Arial" w:cs="Arial"/>
          <w:b/>
          <w:bCs/>
          <w:color w:val="auto"/>
          <w:sz w:val="22"/>
          <w:szCs w:val="22"/>
        </w:rPr>
        <w:t xml:space="preserve">8. </w:t>
      </w:r>
      <w:r w:rsidR="00C14186" w:rsidRPr="007D751F">
        <w:rPr>
          <w:rFonts w:ascii="Arial" w:hAnsi="Arial" w:cs="Arial"/>
          <w:b/>
          <w:bCs/>
          <w:color w:val="auto"/>
          <w:sz w:val="22"/>
          <w:szCs w:val="22"/>
        </w:rPr>
        <w:t>Task 7: Leadership in Health and Social Care</w:t>
      </w:r>
    </w:p>
    <w:p w14:paraId="4E16BC80" w14:textId="52810137" w:rsidR="00C14186" w:rsidRPr="007D751F" w:rsidRDefault="003A2652" w:rsidP="007D751F">
      <w:pPr>
        <w:spacing w:line="360" w:lineRule="auto"/>
        <w:rPr>
          <w:rFonts w:ascii="Arial" w:hAnsi="Arial" w:cs="Arial"/>
          <w:shd w:val="clear" w:color="auto" w:fill="FFFFFF"/>
        </w:rPr>
      </w:pPr>
      <w:r w:rsidRPr="007D751F">
        <w:rPr>
          <w:rFonts w:ascii="Arial" w:hAnsi="Arial" w:cs="Arial"/>
          <w:shd w:val="clear" w:color="auto" w:fill="FFFFFF"/>
        </w:rPr>
        <w:t xml:space="preserve">The NHS Healthcare Leadership Model is for all clinical and non-clinical staff, because </w:t>
      </w:r>
      <w:r w:rsidRPr="007D751F">
        <w:rPr>
          <w:rFonts w:ascii="Arial" w:hAnsi="Arial" w:cs="Arial"/>
          <w:shd w:val="clear" w:color="auto" w:fill="FFFFFF"/>
        </w:rPr>
        <w:lastRenderedPageBreak/>
        <w:t xml:space="preserve">leadership is demonstrated by everyday </w:t>
      </w:r>
      <w:proofErr w:type="spellStart"/>
      <w:r w:rsidRPr="007D751F">
        <w:rPr>
          <w:rFonts w:ascii="Arial" w:hAnsi="Arial" w:cs="Arial"/>
          <w:shd w:val="clear" w:color="auto" w:fill="FFFFFF"/>
        </w:rPr>
        <w:t>behaviour</w:t>
      </w:r>
      <w:proofErr w:type="spellEnd"/>
      <w:r w:rsidRPr="007D751F">
        <w:rPr>
          <w:rFonts w:ascii="Arial" w:hAnsi="Arial" w:cs="Arial"/>
          <w:shd w:val="clear" w:color="auto" w:fill="FFFFFF"/>
        </w:rPr>
        <w:t xml:space="preserve"> not job title. It has nine dimensions: Inspiring Shared Purpose, Leading with Care, Evaluating Information, Connecting Our Service, Sharing the Vision, Engaging the Team, Holding to Account, Developing Capability and Influencing for Results (NHS Leadership Academy, n.d.). There are behavioral indicators for each category that range from critical to exemplary that practitioners can use to assess their current practice and find areas for improvement.</w:t>
      </w:r>
      <w:r w:rsidRPr="007D751F">
        <w:rPr>
          <w:rFonts w:ascii="Arial" w:hAnsi="Arial" w:cs="Arial"/>
          <w:shd w:val="clear" w:color="auto" w:fill="FFFFFF"/>
        </w:rPr>
        <w:br/>
        <w:t xml:space="preserve">One of the strengths of the approach is the blending of relational </w:t>
      </w:r>
      <w:proofErr w:type="spellStart"/>
      <w:r w:rsidRPr="007D751F">
        <w:rPr>
          <w:rFonts w:ascii="Arial" w:hAnsi="Arial" w:cs="Arial"/>
          <w:shd w:val="clear" w:color="auto" w:fill="FFFFFF"/>
        </w:rPr>
        <w:t>behaviours</w:t>
      </w:r>
      <w:proofErr w:type="spellEnd"/>
      <w:r w:rsidRPr="007D751F">
        <w:rPr>
          <w:rFonts w:ascii="Arial" w:hAnsi="Arial" w:cs="Arial"/>
          <w:shd w:val="clear" w:color="auto" w:fill="FFFFFF"/>
        </w:rPr>
        <w:t xml:space="preserve">, such as compassion and team participation, with analytical and performance driven responsibilities. This is relevant to health and social care as leaders have to balance service-user experience, worker welfare, safety and limited resources. </w:t>
      </w:r>
      <w:proofErr w:type="spellStart"/>
      <w:r w:rsidRPr="007D751F">
        <w:rPr>
          <w:rFonts w:ascii="Arial" w:hAnsi="Arial" w:cs="Arial"/>
          <w:shd w:val="clear" w:color="auto" w:fill="FFFFFF"/>
        </w:rPr>
        <w:t>Organisational</w:t>
      </w:r>
      <w:proofErr w:type="spellEnd"/>
      <w:r w:rsidRPr="007D751F">
        <w:rPr>
          <w:rFonts w:ascii="Arial" w:hAnsi="Arial" w:cs="Arial"/>
          <w:shd w:val="clear" w:color="auto" w:fill="FFFFFF"/>
        </w:rPr>
        <w:t xml:space="preserve"> culture, authority and available resources influence leadership conduct.</w:t>
      </w:r>
      <w:r w:rsidRPr="007D751F">
        <w:rPr>
          <w:rFonts w:ascii="Arial" w:hAnsi="Arial" w:cs="Arial"/>
          <w:shd w:val="clear" w:color="auto" w:fill="FFFFFF"/>
        </w:rPr>
        <w:br/>
      </w:r>
      <w:r w:rsidRPr="007D751F">
        <w:rPr>
          <w:rFonts w:ascii="Arial" w:hAnsi="Arial" w:cs="Arial"/>
          <w:shd w:val="clear" w:color="auto" w:fill="FFFFFF"/>
        </w:rPr>
        <w:br/>
        <w:t xml:space="preserve">In specifically the behavior I focus on is Evaluating Information. It is about actively searching out diverse types of information and applying it to produce evidence-based improvement plans that </w:t>
      </w:r>
      <w:proofErr w:type="spellStart"/>
      <w:r w:rsidRPr="007D751F">
        <w:rPr>
          <w:rFonts w:ascii="Arial" w:hAnsi="Arial" w:cs="Arial"/>
          <w:shd w:val="clear" w:color="auto" w:fill="FFFFFF"/>
        </w:rPr>
        <w:t>recognise</w:t>
      </w:r>
      <w:proofErr w:type="spellEnd"/>
      <w:r w:rsidRPr="007D751F">
        <w:rPr>
          <w:rFonts w:ascii="Arial" w:hAnsi="Arial" w:cs="Arial"/>
          <w:shd w:val="clear" w:color="auto" w:fill="FFFFFF"/>
        </w:rPr>
        <w:t xml:space="preserve"> different perspectives (NHS Leadership Academy, n.d.</w:t>
      </w:r>
      <w:proofErr w:type="gramStart"/>
      <w:r w:rsidRPr="007D751F">
        <w:rPr>
          <w:rFonts w:ascii="Arial" w:hAnsi="Arial" w:cs="Arial"/>
          <w:shd w:val="clear" w:color="auto" w:fill="FFFFFF"/>
        </w:rPr>
        <w:t>) .</w:t>
      </w:r>
      <w:proofErr w:type="gramEnd"/>
      <w:r w:rsidRPr="007D751F">
        <w:rPr>
          <w:rFonts w:ascii="Arial" w:hAnsi="Arial" w:cs="Arial"/>
          <w:shd w:val="clear" w:color="auto" w:fill="FFFFFF"/>
        </w:rPr>
        <w:t xml:space="preserve"> For example, before a change is made to a hospital-discharge procedure, a leader should study readmission data, medication occurrences, staff observations and patient or </w:t>
      </w:r>
      <w:proofErr w:type="spellStart"/>
      <w:r w:rsidRPr="007D751F">
        <w:rPr>
          <w:rFonts w:ascii="Arial" w:hAnsi="Arial" w:cs="Arial"/>
          <w:shd w:val="clear" w:color="auto" w:fill="FFFFFF"/>
        </w:rPr>
        <w:t>carer</w:t>
      </w:r>
      <w:proofErr w:type="spellEnd"/>
      <w:r w:rsidRPr="007D751F">
        <w:rPr>
          <w:rFonts w:ascii="Arial" w:hAnsi="Arial" w:cs="Arial"/>
          <w:shd w:val="clear" w:color="auto" w:fill="FFFFFF"/>
        </w:rPr>
        <w:t xml:space="preserve"> experiences. Smaller or disadvantaged groups may have problems that are obscured by the use of performance statistics alone.</w:t>
      </w:r>
      <w:r w:rsidRPr="007D751F">
        <w:rPr>
          <w:rFonts w:ascii="Arial" w:hAnsi="Arial" w:cs="Arial"/>
          <w:shd w:val="clear" w:color="auto" w:fill="FFFFFF"/>
        </w:rPr>
        <w:br/>
        <w:t xml:space="preserve">This practice is indicative of evidence-based management when decisions are made by a combination of research evidence with </w:t>
      </w:r>
      <w:proofErr w:type="spellStart"/>
      <w:r w:rsidRPr="007D751F">
        <w:rPr>
          <w:rFonts w:ascii="Arial" w:hAnsi="Arial" w:cs="Arial"/>
          <w:shd w:val="clear" w:color="auto" w:fill="FFFFFF"/>
        </w:rPr>
        <w:t>organisational</w:t>
      </w:r>
      <w:proofErr w:type="spellEnd"/>
      <w:r w:rsidRPr="007D751F">
        <w:rPr>
          <w:rFonts w:ascii="Arial" w:hAnsi="Arial" w:cs="Arial"/>
          <w:shd w:val="clear" w:color="auto" w:fill="FFFFFF"/>
        </w:rPr>
        <w:t xml:space="preserve"> knowledge and professional judgement, rather than habit or personal preference (Rousseau, 2006). </w:t>
      </w:r>
      <w:r w:rsidRPr="007D751F">
        <w:rPr>
          <w:rFonts w:ascii="Arial" w:hAnsi="Arial" w:cs="Arial"/>
          <w:shd w:val="clear" w:color="auto" w:fill="FFFFFF"/>
        </w:rPr>
        <w:br/>
        <w:t xml:space="preserve">I know that I occasionally take information from confident speakers without checking the source enough. To build this leadership style I will ask what evidence is there to support a proposal, what perspective is missing, and what are the alternative explanations? In the group work I will be comparing academic research with service-user feedback rather than assuming one form of research is better than the other. </w:t>
      </w:r>
      <w:r w:rsidRPr="007D751F">
        <w:rPr>
          <w:rFonts w:ascii="Arial" w:hAnsi="Arial" w:cs="Arial"/>
          <w:shd w:val="clear" w:color="auto" w:fill="FFFFFF"/>
        </w:rPr>
        <w:br/>
        <w:t>My development may be measured by comments from colleagues and a reflective decision diary that explains the facts I have reviewed and the reasoning for my ultimate judgement</w:t>
      </w:r>
      <w:r w:rsidR="007D751F">
        <w:rPr>
          <w:rFonts w:ascii="Arial" w:hAnsi="Arial" w:cs="Arial"/>
          <w:shd w:val="clear" w:color="auto" w:fill="FFFFFF"/>
        </w:rPr>
        <w:t>.</w:t>
      </w:r>
      <w:r w:rsidRPr="007D751F">
        <w:rPr>
          <w:rFonts w:ascii="Arial" w:hAnsi="Arial" w:cs="Arial"/>
          <w:shd w:val="clear" w:color="auto" w:fill="FFFFFF"/>
        </w:rPr>
        <w:t xml:space="preserve"> </w:t>
      </w:r>
    </w:p>
    <w:p w14:paraId="0302F90B" w14:textId="77777777" w:rsidR="003A2652" w:rsidRPr="007D751F" w:rsidRDefault="003A2652" w:rsidP="007D751F">
      <w:pPr>
        <w:spacing w:line="360" w:lineRule="auto"/>
        <w:rPr>
          <w:rFonts w:ascii="Arial" w:hAnsi="Arial" w:cs="Arial"/>
        </w:rPr>
      </w:pPr>
    </w:p>
    <w:p w14:paraId="594A535D" w14:textId="55E500F7" w:rsidR="00C14186" w:rsidRPr="007D751F" w:rsidRDefault="007D751F" w:rsidP="007D751F">
      <w:pPr>
        <w:pStyle w:val="Heading2"/>
        <w:spacing w:line="360" w:lineRule="auto"/>
        <w:rPr>
          <w:rFonts w:ascii="Arial" w:hAnsi="Arial" w:cs="Arial"/>
          <w:b/>
          <w:bCs/>
          <w:color w:val="auto"/>
          <w:sz w:val="22"/>
          <w:szCs w:val="22"/>
        </w:rPr>
      </w:pPr>
      <w:r w:rsidRPr="007D751F">
        <w:rPr>
          <w:rFonts w:ascii="Arial" w:hAnsi="Arial" w:cs="Arial"/>
          <w:b/>
          <w:bCs/>
          <w:color w:val="auto"/>
          <w:sz w:val="22"/>
          <w:szCs w:val="22"/>
        </w:rPr>
        <w:t>9.</w:t>
      </w:r>
      <w:r w:rsidR="00C14186" w:rsidRPr="007D751F">
        <w:rPr>
          <w:rFonts w:ascii="Arial" w:hAnsi="Arial" w:cs="Arial"/>
          <w:b/>
          <w:bCs/>
          <w:color w:val="auto"/>
          <w:sz w:val="22"/>
          <w:szCs w:val="22"/>
        </w:rPr>
        <w:t>Task 8: Final Reflection</w:t>
      </w:r>
    </w:p>
    <w:p w14:paraId="561E7184" w14:textId="6C3E6465" w:rsidR="009A33CA" w:rsidRPr="007D751F" w:rsidRDefault="003A2652" w:rsidP="007D751F">
      <w:pPr>
        <w:pStyle w:val="NormalWeb"/>
        <w:spacing w:line="360" w:lineRule="auto"/>
        <w:rPr>
          <w:rFonts w:ascii="Arial" w:hAnsi="Arial" w:cs="Arial"/>
          <w:sz w:val="22"/>
          <w:szCs w:val="22"/>
        </w:rPr>
      </w:pPr>
      <w:r w:rsidRPr="007D751F">
        <w:rPr>
          <w:rFonts w:ascii="Arial" w:hAnsi="Arial" w:cs="Arial"/>
          <w:sz w:val="22"/>
          <w:szCs w:val="22"/>
          <w:shd w:val="clear" w:color="auto" w:fill="FFFFFF"/>
        </w:rPr>
        <w:t>Completing this portfolio has changed how I understand innovation. In the beginning I largely equated innovation with new technology. I now realise that this may involve redesigning communication, leadership or care processes and that novelty is of little value unless it delivers safe, inclusive and measurable improvement.</w:t>
      </w:r>
      <w:r w:rsidRPr="007D751F">
        <w:rPr>
          <w:rFonts w:ascii="Arial" w:hAnsi="Arial" w:cs="Arial"/>
          <w:sz w:val="22"/>
          <w:szCs w:val="22"/>
          <w:shd w:val="clear" w:color="auto" w:fill="FFFFFF"/>
        </w:rPr>
        <w:br/>
      </w:r>
      <w:r w:rsidRPr="007D751F">
        <w:rPr>
          <w:rFonts w:ascii="Arial" w:hAnsi="Arial" w:cs="Arial"/>
          <w:sz w:val="22"/>
          <w:szCs w:val="22"/>
          <w:shd w:val="clear" w:color="auto" w:fill="FFFFFF"/>
        </w:rPr>
        <w:lastRenderedPageBreak/>
        <w:t xml:space="preserve">The key lesson was that service users should be involved in the development of solutions, not asked for their views after a decision has been made. Co-design based on experience engages patients and staff as equal participants in identifying crucial experiences and redesigning services together (Bate and Robert, 2006). </w:t>
      </w:r>
      <w:proofErr w:type="gramStart"/>
      <w:r w:rsidRPr="007D751F">
        <w:rPr>
          <w:rFonts w:ascii="Arial" w:hAnsi="Arial" w:cs="Arial"/>
          <w:sz w:val="22"/>
          <w:szCs w:val="22"/>
          <w:shd w:val="clear" w:color="auto" w:fill="FFFFFF"/>
        </w:rPr>
        <w:t>So</w:t>
      </w:r>
      <w:proofErr w:type="gramEnd"/>
      <w:r w:rsidRPr="007D751F">
        <w:rPr>
          <w:rFonts w:ascii="Arial" w:hAnsi="Arial" w:cs="Arial"/>
          <w:sz w:val="22"/>
          <w:szCs w:val="22"/>
          <w:shd w:val="clear" w:color="auto" w:fill="FFFFFF"/>
        </w:rPr>
        <w:t xml:space="preserve"> in future practice I will use study findings, service data and lived experience before advocating change.</w:t>
      </w:r>
      <w:r w:rsidRPr="007D751F">
        <w:rPr>
          <w:rFonts w:ascii="Arial" w:hAnsi="Arial" w:cs="Arial"/>
          <w:sz w:val="22"/>
          <w:szCs w:val="22"/>
          <w:shd w:val="clear" w:color="auto" w:fill="FFFFFF"/>
        </w:rPr>
        <w:br/>
        <w:t xml:space="preserve">I have also become more conscious of the importance of reflecting critically. Schön (1983) makes a distinction between contemplation during professional conduct and reflection after the occurrence. I will employ both approaches, by questioning assumptions during participating in improvement activities and by reviewing outcomes afterwards. </w:t>
      </w:r>
    </w:p>
    <w:p w14:paraId="72A74175" w14:textId="62EE064C" w:rsidR="00C14186" w:rsidRPr="007D751F" w:rsidRDefault="007D751F" w:rsidP="007D751F">
      <w:pPr>
        <w:pStyle w:val="Heading2"/>
        <w:spacing w:line="360" w:lineRule="auto"/>
        <w:rPr>
          <w:rFonts w:ascii="Arial" w:hAnsi="Arial" w:cs="Arial"/>
          <w:b/>
          <w:bCs/>
          <w:color w:val="auto"/>
          <w:sz w:val="22"/>
          <w:szCs w:val="22"/>
          <w:lang w:val="en-GB"/>
        </w:rPr>
      </w:pPr>
      <w:r w:rsidRPr="007D751F">
        <w:rPr>
          <w:rFonts w:ascii="Arial" w:hAnsi="Arial" w:cs="Arial"/>
          <w:b/>
          <w:bCs/>
          <w:color w:val="auto"/>
          <w:sz w:val="22"/>
          <w:szCs w:val="22"/>
        </w:rPr>
        <w:t>10.</w:t>
      </w:r>
      <w:r w:rsidR="00C14186" w:rsidRPr="007D751F">
        <w:rPr>
          <w:rFonts w:ascii="Arial" w:hAnsi="Arial" w:cs="Arial"/>
          <w:b/>
          <w:bCs/>
          <w:color w:val="auto"/>
          <w:sz w:val="22"/>
          <w:szCs w:val="22"/>
        </w:rPr>
        <w:t>Reference List</w:t>
      </w:r>
    </w:p>
    <w:p w14:paraId="15872329"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Bate, P. and Robert, G. (2006) ‘Experience-based design: from redesigning the system around the patient to co-designing services with the patient’, </w:t>
      </w:r>
      <w:r w:rsidRPr="007D751F">
        <w:rPr>
          <w:rStyle w:val="Emphasis"/>
          <w:rFonts w:ascii="Arial" w:eastAsiaTheme="majorEastAsia" w:hAnsi="Arial" w:cs="Arial"/>
          <w:sz w:val="22"/>
          <w:szCs w:val="22"/>
        </w:rPr>
        <w:t>Quality and Safety in Health Care</w:t>
      </w:r>
      <w:r w:rsidRPr="007D751F">
        <w:rPr>
          <w:rFonts w:ascii="Arial" w:hAnsi="Arial" w:cs="Arial"/>
          <w:sz w:val="22"/>
          <w:szCs w:val="22"/>
        </w:rPr>
        <w:t>, 15(5), pp. 307–310. Available at: https://doi.org/10.1136/qshc.2005.016527</w:t>
      </w:r>
    </w:p>
    <w:p w14:paraId="7C5CA6E5"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Berwick, D.M., Nolan, T.W. and Whittington, J. (2008) ‘The Triple Aim: care, health, and cost’, </w:t>
      </w:r>
      <w:r w:rsidRPr="007D751F">
        <w:rPr>
          <w:rStyle w:val="Emphasis"/>
          <w:rFonts w:ascii="Arial" w:eastAsiaTheme="majorEastAsia" w:hAnsi="Arial" w:cs="Arial"/>
          <w:sz w:val="22"/>
          <w:szCs w:val="22"/>
        </w:rPr>
        <w:t>Health Affairs</w:t>
      </w:r>
      <w:r w:rsidRPr="007D751F">
        <w:rPr>
          <w:rFonts w:ascii="Arial" w:hAnsi="Arial" w:cs="Arial"/>
          <w:sz w:val="22"/>
          <w:szCs w:val="22"/>
        </w:rPr>
        <w:t xml:space="preserve">, 27(3), pp. 759–769. Available at: </w:t>
      </w:r>
      <w:hyperlink r:id="rId10" w:tgtFrame="_new" w:history="1">
        <w:r w:rsidRPr="007D751F">
          <w:rPr>
            <w:rStyle w:val="Hyperlink"/>
            <w:rFonts w:ascii="Arial" w:eastAsiaTheme="majorEastAsia" w:hAnsi="Arial" w:cs="Arial"/>
            <w:color w:val="auto"/>
            <w:sz w:val="22"/>
            <w:szCs w:val="22"/>
          </w:rPr>
          <w:t>https://doi.org/10.1377/hlthaff.27.3.759</w:t>
        </w:r>
      </w:hyperlink>
    </w:p>
    <w:p w14:paraId="097B9894" w14:textId="77777777" w:rsidR="00C14186" w:rsidRPr="007D751F" w:rsidRDefault="00C14186" w:rsidP="007D751F">
      <w:pPr>
        <w:pStyle w:val="NormalWeb"/>
        <w:spacing w:line="360" w:lineRule="auto"/>
        <w:rPr>
          <w:rFonts w:ascii="Arial" w:hAnsi="Arial" w:cs="Arial"/>
          <w:sz w:val="22"/>
          <w:szCs w:val="22"/>
        </w:rPr>
      </w:pPr>
      <w:proofErr w:type="spellStart"/>
      <w:r w:rsidRPr="007D751F">
        <w:rPr>
          <w:rFonts w:ascii="Arial" w:hAnsi="Arial" w:cs="Arial"/>
          <w:sz w:val="22"/>
          <w:szCs w:val="22"/>
        </w:rPr>
        <w:t>Cropley</w:t>
      </w:r>
      <w:proofErr w:type="spellEnd"/>
      <w:r w:rsidRPr="007D751F">
        <w:rPr>
          <w:rFonts w:ascii="Arial" w:hAnsi="Arial" w:cs="Arial"/>
          <w:sz w:val="22"/>
          <w:szCs w:val="22"/>
        </w:rPr>
        <w:t xml:space="preserve">, A. (2006) ‘In praise of convergent thinking’, </w:t>
      </w:r>
      <w:r w:rsidRPr="007D751F">
        <w:rPr>
          <w:rStyle w:val="Emphasis"/>
          <w:rFonts w:ascii="Arial" w:eastAsiaTheme="majorEastAsia" w:hAnsi="Arial" w:cs="Arial"/>
          <w:sz w:val="22"/>
          <w:szCs w:val="22"/>
        </w:rPr>
        <w:t>Creativity Research Journal</w:t>
      </w:r>
      <w:r w:rsidRPr="007D751F">
        <w:rPr>
          <w:rFonts w:ascii="Arial" w:hAnsi="Arial" w:cs="Arial"/>
          <w:sz w:val="22"/>
          <w:szCs w:val="22"/>
        </w:rPr>
        <w:t xml:space="preserve">, 18(3), pp. 391–404. Available at: </w:t>
      </w:r>
      <w:hyperlink r:id="rId11" w:tgtFrame="_new" w:history="1">
        <w:r w:rsidRPr="007D751F">
          <w:rPr>
            <w:rStyle w:val="Hyperlink"/>
            <w:rFonts w:ascii="Arial" w:eastAsiaTheme="majorEastAsia" w:hAnsi="Arial" w:cs="Arial"/>
            <w:color w:val="auto"/>
            <w:sz w:val="22"/>
            <w:szCs w:val="22"/>
          </w:rPr>
          <w:t>https://doi.org/10.1207/s15326934crj1803_13</w:t>
        </w:r>
      </w:hyperlink>
    </w:p>
    <w:p w14:paraId="65992321" w14:textId="067DFF14"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Design Council (n.d.) </w:t>
      </w:r>
      <w:r w:rsidRPr="007D751F">
        <w:rPr>
          <w:rStyle w:val="Emphasis"/>
          <w:rFonts w:ascii="Arial" w:eastAsiaTheme="majorEastAsia" w:hAnsi="Arial" w:cs="Arial"/>
          <w:sz w:val="22"/>
          <w:szCs w:val="22"/>
        </w:rPr>
        <w:t>The Double Diamond: A universally accepted depiction of the design process</w:t>
      </w:r>
      <w:r w:rsidRPr="007D751F">
        <w:rPr>
          <w:rFonts w:ascii="Arial" w:hAnsi="Arial" w:cs="Arial"/>
          <w:sz w:val="22"/>
          <w:szCs w:val="22"/>
        </w:rPr>
        <w:t xml:space="preserve">. Available at: </w:t>
      </w:r>
      <w:hyperlink r:id="rId12" w:tgtFrame="_new" w:history="1">
        <w:r w:rsidRPr="007D751F">
          <w:rPr>
            <w:rStyle w:val="Hyperlink"/>
            <w:rFonts w:ascii="Arial" w:eastAsiaTheme="majorEastAsia" w:hAnsi="Arial" w:cs="Arial"/>
            <w:color w:val="auto"/>
            <w:sz w:val="22"/>
            <w:szCs w:val="22"/>
          </w:rPr>
          <w:t>https://www.designcouncil.org.uk/our-resources/the-double-diamond/</w:t>
        </w:r>
      </w:hyperlink>
      <w:r w:rsidRPr="007D751F">
        <w:rPr>
          <w:rFonts w:ascii="Arial" w:hAnsi="Arial" w:cs="Arial"/>
          <w:sz w:val="22"/>
          <w:szCs w:val="22"/>
        </w:rPr>
        <w:t xml:space="preserve"> (Accessed: </w:t>
      </w:r>
      <w:r w:rsidR="005C5196">
        <w:rPr>
          <w:rFonts w:ascii="Arial" w:hAnsi="Arial" w:cs="Arial"/>
          <w:sz w:val="22"/>
          <w:szCs w:val="22"/>
        </w:rPr>
        <w:t>18</w:t>
      </w:r>
      <w:r w:rsidRPr="007D751F">
        <w:rPr>
          <w:rFonts w:ascii="Arial" w:hAnsi="Arial" w:cs="Arial"/>
          <w:sz w:val="22"/>
          <w:szCs w:val="22"/>
        </w:rPr>
        <w:t xml:space="preserve"> July 2026).</w:t>
      </w:r>
    </w:p>
    <w:p w14:paraId="3EE5A020"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Driscoll, J. (2007) </w:t>
      </w:r>
      <w:r w:rsidRPr="007D751F">
        <w:rPr>
          <w:rStyle w:val="Emphasis"/>
          <w:rFonts w:ascii="Arial" w:eastAsiaTheme="majorEastAsia" w:hAnsi="Arial" w:cs="Arial"/>
          <w:sz w:val="22"/>
          <w:szCs w:val="22"/>
        </w:rPr>
        <w:t>Practising Clinical Supervision: A Reflective Approach for Healthcare Professionals</w:t>
      </w:r>
      <w:r w:rsidRPr="007D751F">
        <w:rPr>
          <w:rFonts w:ascii="Arial" w:hAnsi="Arial" w:cs="Arial"/>
          <w:sz w:val="22"/>
          <w:szCs w:val="22"/>
        </w:rPr>
        <w:t xml:space="preserve">. 2nd </w:t>
      </w:r>
      <w:proofErr w:type="spellStart"/>
      <w:r w:rsidRPr="007D751F">
        <w:rPr>
          <w:rFonts w:ascii="Arial" w:hAnsi="Arial" w:cs="Arial"/>
          <w:sz w:val="22"/>
          <w:szCs w:val="22"/>
        </w:rPr>
        <w:t>edn</w:t>
      </w:r>
      <w:proofErr w:type="spellEnd"/>
      <w:r w:rsidRPr="007D751F">
        <w:rPr>
          <w:rFonts w:ascii="Arial" w:hAnsi="Arial" w:cs="Arial"/>
          <w:sz w:val="22"/>
          <w:szCs w:val="22"/>
        </w:rPr>
        <w:t xml:space="preserve">. London: </w:t>
      </w:r>
      <w:proofErr w:type="spellStart"/>
      <w:r w:rsidRPr="007D751F">
        <w:rPr>
          <w:rFonts w:ascii="Arial" w:hAnsi="Arial" w:cs="Arial"/>
          <w:sz w:val="22"/>
          <w:szCs w:val="22"/>
        </w:rPr>
        <w:t>Baillière</w:t>
      </w:r>
      <w:proofErr w:type="spellEnd"/>
      <w:r w:rsidRPr="007D751F">
        <w:rPr>
          <w:rFonts w:ascii="Arial" w:hAnsi="Arial" w:cs="Arial"/>
          <w:sz w:val="22"/>
          <w:szCs w:val="22"/>
        </w:rPr>
        <w:t xml:space="preserve"> Tindall Elsevier. Available at: https://books.google.com/books?id=fUROtAEACAAJ</w:t>
      </w:r>
    </w:p>
    <w:p w14:paraId="0A3CBE20"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Ferguson, T., Olds, T., Curtis, R., Blake, H., Crozier, A.J., </w:t>
      </w:r>
      <w:proofErr w:type="spellStart"/>
      <w:r w:rsidRPr="007D751F">
        <w:rPr>
          <w:rFonts w:ascii="Arial" w:hAnsi="Arial" w:cs="Arial"/>
          <w:sz w:val="22"/>
          <w:szCs w:val="22"/>
        </w:rPr>
        <w:t>Dankiw</w:t>
      </w:r>
      <w:proofErr w:type="spellEnd"/>
      <w:r w:rsidRPr="007D751F">
        <w:rPr>
          <w:rFonts w:ascii="Arial" w:hAnsi="Arial" w:cs="Arial"/>
          <w:sz w:val="22"/>
          <w:szCs w:val="22"/>
        </w:rPr>
        <w:t xml:space="preserve">, K., </w:t>
      </w:r>
      <w:proofErr w:type="spellStart"/>
      <w:r w:rsidRPr="007D751F">
        <w:rPr>
          <w:rFonts w:ascii="Arial" w:hAnsi="Arial" w:cs="Arial"/>
          <w:sz w:val="22"/>
          <w:szCs w:val="22"/>
        </w:rPr>
        <w:t>Dumuid</w:t>
      </w:r>
      <w:proofErr w:type="spellEnd"/>
      <w:r w:rsidRPr="007D751F">
        <w:rPr>
          <w:rFonts w:ascii="Arial" w:hAnsi="Arial" w:cs="Arial"/>
          <w:sz w:val="22"/>
          <w:szCs w:val="22"/>
        </w:rPr>
        <w:t xml:space="preserve">, D., Kasai, D., O’Connor, E., </w:t>
      </w:r>
      <w:proofErr w:type="spellStart"/>
      <w:r w:rsidRPr="007D751F">
        <w:rPr>
          <w:rFonts w:ascii="Arial" w:hAnsi="Arial" w:cs="Arial"/>
          <w:sz w:val="22"/>
          <w:szCs w:val="22"/>
        </w:rPr>
        <w:t>Virgara</w:t>
      </w:r>
      <w:proofErr w:type="spellEnd"/>
      <w:r w:rsidRPr="007D751F">
        <w:rPr>
          <w:rFonts w:ascii="Arial" w:hAnsi="Arial" w:cs="Arial"/>
          <w:sz w:val="22"/>
          <w:szCs w:val="22"/>
        </w:rPr>
        <w:t xml:space="preserve">, R. and Maher, C. (2022) ‘Effectiveness of wearable activity trackers to increase physical activity and improve health: a systematic review of systematic reviews and meta-analyses’, </w:t>
      </w:r>
      <w:r w:rsidRPr="007D751F">
        <w:rPr>
          <w:rStyle w:val="Emphasis"/>
          <w:rFonts w:ascii="Arial" w:eastAsiaTheme="majorEastAsia" w:hAnsi="Arial" w:cs="Arial"/>
          <w:sz w:val="22"/>
          <w:szCs w:val="22"/>
        </w:rPr>
        <w:t>The Lancet Digital Health</w:t>
      </w:r>
      <w:r w:rsidRPr="007D751F">
        <w:rPr>
          <w:rFonts w:ascii="Arial" w:hAnsi="Arial" w:cs="Arial"/>
          <w:sz w:val="22"/>
          <w:szCs w:val="22"/>
        </w:rPr>
        <w:t>, 4(8), pp. e615–e626. Available at: https://doi.org/10.1016/S2589-7500(22)00111-X</w:t>
      </w:r>
    </w:p>
    <w:p w14:paraId="57568493"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Holden, R.J., </w:t>
      </w:r>
      <w:proofErr w:type="spellStart"/>
      <w:r w:rsidRPr="007D751F">
        <w:rPr>
          <w:rFonts w:ascii="Arial" w:hAnsi="Arial" w:cs="Arial"/>
          <w:sz w:val="22"/>
          <w:szCs w:val="22"/>
        </w:rPr>
        <w:t>Carayon</w:t>
      </w:r>
      <w:proofErr w:type="spellEnd"/>
      <w:r w:rsidRPr="007D751F">
        <w:rPr>
          <w:rFonts w:ascii="Arial" w:hAnsi="Arial" w:cs="Arial"/>
          <w:sz w:val="22"/>
          <w:szCs w:val="22"/>
        </w:rPr>
        <w:t xml:space="preserve">, P., </w:t>
      </w:r>
      <w:proofErr w:type="spellStart"/>
      <w:r w:rsidRPr="007D751F">
        <w:rPr>
          <w:rFonts w:ascii="Arial" w:hAnsi="Arial" w:cs="Arial"/>
          <w:sz w:val="22"/>
          <w:szCs w:val="22"/>
        </w:rPr>
        <w:t>Gurses</w:t>
      </w:r>
      <w:proofErr w:type="spellEnd"/>
      <w:r w:rsidRPr="007D751F">
        <w:rPr>
          <w:rFonts w:ascii="Arial" w:hAnsi="Arial" w:cs="Arial"/>
          <w:sz w:val="22"/>
          <w:szCs w:val="22"/>
        </w:rPr>
        <w:t xml:space="preserve">, A.P., </w:t>
      </w:r>
      <w:proofErr w:type="spellStart"/>
      <w:r w:rsidRPr="007D751F">
        <w:rPr>
          <w:rFonts w:ascii="Arial" w:hAnsi="Arial" w:cs="Arial"/>
          <w:sz w:val="22"/>
          <w:szCs w:val="22"/>
        </w:rPr>
        <w:t>Hoonakker</w:t>
      </w:r>
      <w:proofErr w:type="spellEnd"/>
      <w:r w:rsidRPr="007D751F">
        <w:rPr>
          <w:rFonts w:ascii="Arial" w:hAnsi="Arial" w:cs="Arial"/>
          <w:sz w:val="22"/>
          <w:szCs w:val="22"/>
        </w:rPr>
        <w:t xml:space="preserve">, P., </w:t>
      </w:r>
      <w:proofErr w:type="spellStart"/>
      <w:r w:rsidRPr="007D751F">
        <w:rPr>
          <w:rFonts w:ascii="Arial" w:hAnsi="Arial" w:cs="Arial"/>
          <w:sz w:val="22"/>
          <w:szCs w:val="22"/>
        </w:rPr>
        <w:t>Hundt</w:t>
      </w:r>
      <w:proofErr w:type="spellEnd"/>
      <w:r w:rsidRPr="007D751F">
        <w:rPr>
          <w:rFonts w:ascii="Arial" w:hAnsi="Arial" w:cs="Arial"/>
          <w:sz w:val="22"/>
          <w:szCs w:val="22"/>
        </w:rPr>
        <w:t xml:space="preserve">, A.S., </w:t>
      </w:r>
      <w:proofErr w:type="spellStart"/>
      <w:r w:rsidRPr="007D751F">
        <w:rPr>
          <w:rFonts w:ascii="Arial" w:hAnsi="Arial" w:cs="Arial"/>
          <w:sz w:val="22"/>
          <w:szCs w:val="22"/>
        </w:rPr>
        <w:t>Ozok</w:t>
      </w:r>
      <w:proofErr w:type="spellEnd"/>
      <w:r w:rsidRPr="007D751F">
        <w:rPr>
          <w:rFonts w:ascii="Arial" w:hAnsi="Arial" w:cs="Arial"/>
          <w:sz w:val="22"/>
          <w:szCs w:val="22"/>
        </w:rPr>
        <w:t xml:space="preserve">, A.A. and Rivera-Rodriguez, A.J. (2013) ‘SEIPS 2.0: a human factors framework for studying and improving </w:t>
      </w:r>
      <w:r w:rsidRPr="007D751F">
        <w:rPr>
          <w:rFonts w:ascii="Arial" w:hAnsi="Arial" w:cs="Arial"/>
          <w:sz w:val="22"/>
          <w:szCs w:val="22"/>
        </w:rPr>
        <w:lastRenderedPageBreak/>
        <w:t xml:space="preserve">the work of healthcare professionals and patients’, </w:t>
      </w:r>
      <w:r w:rsidRPr="007D751F">
        <w:rPr>
          <w:rStyle w:val="Emphasis"/>
          <w:rFonts w:ascii="Arial" w:eastAsiaTheme="majorEastAsia" w:hAnsi="Arial" w:cs="Arial"/>
          <w:sz w:val="22"/>
          <w:szCs w:val="22"/>
        </w:rPr>
        <w:t>Ergonomics</w:t>
      </w:r>
      <w:r w:rsidRPr="007D751F">
        <w:rPr>
          <w:rFonts w:ascii="Arial" w:hAnsi="Arial" w:cs="Arial"/>
          <w:sz w:val="22"/>
          <w:szCs w:val="22"/>
        </w:rPr>
        <w:t xml:space="preserve">, 56(11), pp. 1669–1686. Available at: </w:t>
      </w:r>
      <w:hyperlink r:id="rId13" w:tgtFrame="_new" w:history="1">
        <w:r w:rsidRPr="007D751F">
          <w:rPr>
            <w:rStyle w:val="Hyperlink"/>
            <w:rFonts w:ascii="Arial" w:eastAsiaTheme="majorEastAsia" w:hAnsi="Arial" w:cs="Arial"/>
            <w:color w:val="auto"/>
            <w:sz w:val="22"/>
            <w:szCs w:val="22"/>
          </w:rPr>
          <w:t>https://doi.org/10.1080/00140139.2013.838643</w:t>
        </w:r>
      </w:hyperlink>
    </w:p>
    <w:p w14:paraId="2D28E906"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Kotter, J.P. (1996) </w:t>
      </w:r>
      <w:r w:rsidRPr="007D751F">
        <w:rPr>
          <w:rStyle w:val="Emphasis"/>
          <w:rFonts w:ascii="Arial" w:eastAsiaTheme="majorEastAsia" w:hAnsi="Arial" w:cs="Arial"/>
          <w:sz w:val="22"/>
          <w:szCs w:val="22"/>
        </w:rPr>
        <w:t>Leading Change</w:t>
      </w:r>
      <w:r w:rsidRPr="007D751F">
        <w:rPr>
          <w:rFonts w:ascii="Arial" w:hAnsi="Arial" w:cs="Arial"/>
          <w:sz w:val="22"/>
          <w:szCs w:val="22"/>
        </w:rPr>
        <w:t>. Boston, MA: Harvard Business School Press. Available at: https://books.google.com/books?id=ib9Xzb5eFGQC</w:t>
      </w:r>
    </w:p>
    <w:p w14:paraId="15805B0E"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Li, E., Clarke, J., </w:t>
      </w:r>
      <w:proofErr w:type="spellStart"/>
      <w:r w:rsidRPr="007D751F">
        <w:rPr>
          <w:rFonts w:ascii="Arial" w:hAnsi="Arial" w:cs="Arial"/>
          <w:sz w:val="22"/>
          <w:szCs w:val="22"/>
        </w:rPr>
        <w:t>Ashrafian</w:t>
      </w:r>
      <w:proofErr w:type="spellEnd"/>
      <w:r w:rsidRPr="007D751F">
        <w:rPr>
          <w:rFonts w:ascii="Arial" w:hAnsi="Arial" w:cs="Arial"/>
          <w:sz w:val="22"/>
          <w:szCs w:val="22"/>
        </w:rPr>
        <w:t xml:space="preserve">, H., Darzi, A. and Neves, A.L. (2022) ‘The impact of electronic health record interoperability on safety and quality of care in high-income countries: systematic review’, </w:t>
      </w:r>
      <w:r w:rsidRPr="007D751F">
        <w:rPr>
          <w:rStyle w:val="Emphasis"/>
          <w:rFonts w:ascii="Arial" w:eastAsiaTheme="majorEastAsia" w:hAnsi="Arial" w:cs="Arial"/>
          <w:sz w:val="22"/>
          <w:szCs w:val="22"/>
        </w:rPr>
        <w:t>Journal of Medical Internet Research</w:t>
      </w:r>
      <w:r w:rsidRPr="007D751F">
        <w:rPr>
          <w:rFonts w:ascii="Arial" w:hAnsi="Arial" w:cs="Arial"/>
          <w:sz w:val="22"/>
          <w:szCs w:val="22"/>
        </w:rPr>
        <w:t xml:space="preserve">, 24(9), e38144. Available at: </w:t>
      </w:r>
      <w:hyperlink r:id="rId14" w:tgtFrame="_new" w:history="1">
        <w:r w:rsidRPr="007D751F">
          <w:rPr>
            <w:rStyle w:val="Hyperlink"/>
            <w:rFonts w:ascii="Arial" w:eastAsiaTheme="majorEastAsia" w:hAnsi="Arial" w:cs="Arial"/>
            <w:color w:val="auto"/>
            <w:sz w:val="22"/>
            <w:szCs w:val="22"/>
          </w:rPr>
          <w:t>https://doi.org/10.2196/38144</w:t>
        </w:r>
      </w:hyperlink>
    </w:p>
    <w:p w14:paraId="7831F3AF" w14:textId="77777777" w:rsidR="00C14186" w:rsidRPr="007D751F" w:rsidRDefault="00C14186" w:rsidP="007D751F">
      <w:pPr>
        <w:pStyle w:val="NormalWeb"/>
        <w:spacing w:line="360" w:lineRule="auto"/>
        <w:rPr>
          <w:rFonts w:ascii="Arial" w:hAnsi="Arial" w:cs="Arial"/>
          <w:sz w:val="22"/>
          <w:szCs w:val="22"/>
        </w:rPr>
      </w:pPr>
      <w:proofErr w:type="spellStart"/>
      <w:r w:rsidRPr="007D751F">
        <w:rPr>
          <w:rFonts w:ascii="Arial" w:hAnsi="Arial" w:cs="Arial"/>
          <w:sz w:val="22"/>
          <w:szCs w:val="22"/>
        </w:rPr>
        <w:t>Manser</w:t>
      </w:r>
      <w:proofErr w:type="spellEnd"/>
      <w:r w:rsidRPr="007D751F">
        <w:rPr>
          <w:rFonts w:ascii="Arial" w:hAnsi="Arial" w:cs="Arial"/>
          <w:sz w:val="22"/>
          <w:szCs w:val="22"/>
        </w:rPr>
        <w:t xml:space="preserve">, T. and Foster, S. (2011) ‘Effective handover communication: an overview of research and improvement efforts’, </w:t>
      </w:r>
      <w:r w:rsidRPr="007D751F">
        <w:rPr>
          <w:rStyle w:val="Emphasis"/>
          <w:rFonts w:ascii="Arial" w:eastAsiaTheme="majorEastAsia" w:hAnsi="Arial" w:cs="Arial"/>
          <w:sz w:val="22"/>
          <w:szCs w:val="22"/>
        </w:rPr>
        <w:t>Best Practice &amp; Research Clinical Anaesthesiology</w:t>
      </w:r>
      <w:r w:rsidRPr="007D751F">
        <w:rPr>
          <w:rFonts w:ascii="Arial" w:hAnsi="Arial" w:cs="Arial"/>
          <w:sz w:val="22"/>
          <w:szCs w:val="22"/>
        </w:rPr>
        <w:t>, 25(2), pp. 181–191. Available at: https://doi.org/10.1016/j.bpa.2011.02.006</w:t>
      </w:r>
    </w:p>
    <w:p w14:paraId="2F5E8B58"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May, C. and Finch, T. (2009) ‘Implementing, embedding, and integrating practices: an outline of Normalization Process Theory’, </w:t>
      </w:r>
      <w:r w:rsidRPr="007D751F">
        <w:rPr>
          <w:rStyle w:val="Emphasis"/>
          <w:rFonts w:ascii="Arial" w:eastAsiaTheme="majorEastAsia" w:hAnsi="Arial" w:cs="Arial"/>
          <w:sz w:val="22"/>
          <w:szCs w:val="22"/>
        </w:rPr>
        <w:t>Sociology</w:t>
      </w:r>
      <w:r w:rsidRPr="007D751F">
        <w:rPr>
          <w:rFonts w:ascii="Arial" w:hAnsi="Arial" w:cs="Arial"/>
          <w:sz w:val="22"/>
          <w:szCs w:val="22"/>
        </w:rPr>
        <w:t xml:space="preserve">, 43(3), pp. 535–554. Available at: </w:t>
      </w:r>
      <w:hyperlink r:id="rId15" w:tgtFrame="_new" w:history="1">
        <w:r w:rsidRPr="007D751F">
          <w:rPr>
            <w:rStyle w:val="Hyperlink"/>
            <w:rFonts w:ascii="Arial" w:eastAsiaTheme="majorEastAsia" w:hAnsi="Arial" w:cs="Arial"/>
            <w:color w:val="auto"/>
            <w:sz w:val="22"/>
            <w:szCs w:val="22"/>
          </w:rPr>
          <w:t>https://doi.org/10.1177/0038038509103208</w:t>
        </w:r>
      </w:hyperlink>
    </w:p>
    <w:p w14:paraId="591471BB"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Michie, S., van </w:t>
      </w:r>
      <w:proofErr w:type="spellStart"/>
      <w:r w:rsidRPr="007D751F">
        <w:rPr>
          <w:rFonts w:ascii="Arial" w:hAnsi="Arial" w:cs="Arial"/>
          <w:sz w:val="22"/>
          <w:szCs w:val="22"/>
        </w:rPr>
        <w:t>Stralen</w:t>
      </w:r>
      <w:proofErr w:type="spellEnd"/>
      <w:r w:rsidRPr="007D751F">
        <w:rPr>
          <w:rFonts w:ascii="Arial" w:hAnsi="Arial" w:cs="Arial"/>
          <w:sz w:val="22"/>
          <w:szCs w:val="22"/>
        </w:rPr>
        <w:t xml:space="preserve">, M.M. and West, R. (2011) ‘The behaviour change wheel: a new method for characterising and designing behaviour change interventions’, </w:t>
      </w:r>
      <w:r w:rsidRPr="007D751F">
        <w:rPr>
          <w:rStyle w:val="Emphasis"/>
          <w:rFonts w:ascii="Arial" w:eastAsiaTheme="majorEastAsia" w:hAnsi="Arial" w:cs="Arial"/>
          <w:sz w:val="22"/>
          <w:szCs w:val="22"/>
        </w:rPr>
        <w:t>Implementation Science</w:t>
      </w:r>
      <w:r w:rsidRPr="007D751F">
        <w:rPr>
          <w:rFonts w:ascii="Arial" w:hAnsi="Arial" w:cs="Arial"/>
          <w:sz w:val="22"/>
          <w:szCs w:val="22"/>
        </w:rPr>
        <w:t xml:space="preserve">, 6, 42. Available at: </w:t>
      </w:r>
      <w:hyperlink r:id="rId16" w:tgtFrame="_new" w:history="1">
        <w:r w:rsidRPr="007D751F">
          <w:rPr>
            <w:rStyle w:val="Hyperlink"/>
            <w:rFonts w:ascii="Arial" w:eastAsiaTheme="majorEastAsia" w:hAnsi="Arial" w:cs="Arial"/>
            <w:color w:val="auto"/>
            <w:sz w:val="22"/>
            <w:szCs w:val="22"/>
          </w:rPr>
          <w:t>https://doi.org/10.1186/1748-5908-6-42</w:t>
        </w:r>
      </w:hyperlink>
    </w:p>
    <w:p w14:paraId="005BE6B5"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NHS Leadership Academy (n.d.) </w:t>
      </w:r>
      <w:r w:rsidRPr="007D751F">
        <w:rPr>
          <w:rStyle w:val="Emphasis"/>
          <w:rFonts w:ascii="Arial" w:eastAsiaTheme="majorEastAsia" w:hAnsi="Arial" w:cs="Arial"/>
          <w:sz w:val="22"/>
          <w:szCs w:val="22"/>
        </w:rPr>
        <w:t>Healthcare Leadership Model</w:t>
      </w:r>
      <w:r w:rsidRPr="007D751F">
        <w:rPr>
          <w:rFonts w:ascii="Arial" w:hAnsi="Arial" w:cs="Arial"/>
          <w:sz w:val="22"/>
          <w:szCs w:val="22"/>
        </w:rPr>
        <w:t xml:space="preserve">. Available at: </w:t>
      </w:r>
      <w:hyperlink r:id="rId17" w:tgtFrame="_new" w:history="1">
        <w:r w:rsidRPr="007D751F">
          <w:rPr>
            <w:rStyle w:val="Hyperlink"/>
            <w:rFonts w:ascii="Arial" w:eastAsiaTheme="majorEastAsia" w:hAnsi="Arial" w:cs="Arial"/>
            <w:color w:val="auto"/>
            <w:sz w:val="22"/>
            <w:szCs w:val="22"/>
          </w:rPr>
          <w:t>https://www.leadershipacademy.nhs.uk/healthcare-leadership-model/</w:t>
        </w:r>
      </w:hyperlink>
      <w:r w:rsidRPr="007D751F">
        <w:rPr>
          <w:rFonts w:ascii="Arial" w:hAnsi="Arial" w:cs="Arial"/>
          <w:sz w:val="22"/>
          <w:szCs w:val="22"/>
        </w:rPr>
        <w:t xml:space="preserve"> (Accessed: 20 July 2026).</w:t>
      </w:r>
    </w:p>
    <w:p w14:paraId="60AE6413"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OECD and Eurostat (2018) </w:t>
      </w:r>
      <w:r w:rsidRPr="007D751F">
        <w:rPr>
          <w:rStyle w:val="Emphasis"/>
          <w:rFonts w:ascii="Arial" w:eastAsiaTheme="majorEastAsia" w:hAnsi="Arial" w:cs="Arial"/>
          <w:sz w:val="22"/>
          <w:szCs w:val="22"/>
        </w:rPr>
        <w:t>Oslo Manual 2018: Guidelines for Collecting, Reporting and Using Data on Innovation</w:t>
      </w:r>
      <w:r w:rsidRPr="007D751F">
        <w:rPr>
          <w:rFonts w:ascii="Arial" w:hAnsi="Arial" w:cs="Arial"/>
          <w:sz w:val="22"/>
          <w:szCs w:val="22"/>
        </w:rPr>
        <w:t xml:space="preserve">. 4th </w:t>
      </w:r>
      <w:proofErr w:type="spellStart"/>
      <w:r w:rsidRPr="007D751F">
        <w:rPr>
          <w:rFonts w:ascii="Arial" w:hAnsi="Arial" w:cs="Arial"/>
          <w:sz w:val="22"/>
          <w:szCs w:val="22"/>
        </w:rPr>
        <w:t>edn</w:t>
      </w:r>
      <w:proofErr w:type="spellEnd"/>
      <w:r w:rsidRPr="007D751F">
        <w:rPr>
          <w:rFonts w:ascii="Arial" w:hAnsi="Arial" w:cs="Arial"/>
          <w:sz w:val="22"/>
          <w:szCs w:val="22"/>
        </w:rPr>
        <w:t xml:space="preserve">. Paris: OECD Publishing. Available at: </w:t>
      </w:r>
      <w:hyperlink r:id="rId18" w:tgtFrame="_new" w:history="1">
        <w:r w:rsidRPr="007D751F">
          <w:rPr>
            <w:rStyle w:val="Hyperlink"/>
            <w:rFonts w:ascii="Arial" w:eastAsiaTheme="majorEastAsia" w:hAnsi="Arial" w:cs="Arial"/>
            <w:color w:val="auto"/>
            <w:sz w:val="22"/>
            <w:szCs w:val="22"/>
          </w:rPr>
          <w:t>https://doi.org/10.1787/9789264304604-en</w:t>
        </w:r>
      </w:hyperlink>
    </w:p>
    <w:p w14:paraId="1D422132"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Rousseau, D.M. (2006) ‘Is there such a thing as “evidence-based management”?’, </w:t>
      </w:r>
      <w:r w:rsidRPr="007D751F">
        <w:rPr>
          <w:rStyle w:val="Emphasis"/>
          <w:rFonts w:ascii="Arial" w:eastAsiaTheme="majorEastAsia" w:hAnsi="Arial" w:cs="Arial"/>
          <w:sz w:val="22"/>
          <w:szCs w:val="22"/>
        </w:rPr>
        <w:t>Academy of Management Review</w:t>
      </w:r>
      <w:r w:rsidRPr="007D751F">
        <w:rPr>
          <w:rFonts w:ascii="Arial" w:hAnsi="Arial" w:cs="Arial"/>
          <w:sz w:val="22"/>
          <w:szCs w:val="22"/>
        </w:rPr>
        <w:t>, 31(2), pp. 256–269. Available at: https://doi.org/10.5465/amr.2006.20208679</w:t>
      </w:r>
    </w:p>
    <w:p w14:paraId="0D00396F"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Runco, M.A. and Jaeger, G.J. (2012) ‘The standard definition of creativity’, </w:t>
      </w:r>
      <w:r w:rsidRPr="007D751F">
        <w:rPr>
          <w:rStyle w:val="Emphasis"/>
          <w:rFonts w:ascii="Arial" w:eastAsiaTheme="majorEastAsia" w:hAnsi="Arial" w:cs="Arial"/>
          <w:sz w:val="22"/>
          <w:szCs w:val="22"/>
        </w:rPr>
        <w:t>Creativity Research Journal</w:t>
      </w:r>
      <w:r w:rsidRPr="007D751F">
        <w:rPr>
          <w:rFonts w:ascii="Arial" w:hAnsi="Arial" w:cs="Arial"/>
          <w:sz w:val="22"/>
          <w:szCs w:val="22"/>
        </w:rPr>
        <w:t xml:space="preserve">, 24(1), pp. 92–96. Available at: </w:t>
      </w:r>
      <w:hyperlink r:id="rId19" w:tgtFrame="_new" w:history="1">
        <w:r w:rsidRPr="007D751F">
          <w:rPr>
            <w:rStyle w:val="Hyperlink"/>
            <w:rFonts w:ascii="Arial" w:eastAsiaTheme="majorEastAsia" w:hAnsi="Arial" w:cs="Arial"/>
            <w:color w:val="auto"/>
            <w:sz w:val="22"/>
            <w:szCs w:val="22"/>
          </w:rPr>
          <w:t>https://doi.org/10.1080/10400419.2012.650092</w:t>
        </w:r>
      </w:hyperlink>
    </w:p>
    <w:p w14:paraId="5CA808A0"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lastRenderedPageBreak/>
        <w:t xml:space="preserve">Schön, D.A. (1983) </w:t>
      </w:r>
      <w:r w:rsidRPr="007D751F">
        <w:rPr>
          <w:rStyle w:val="Emphasis"/>
          <w:rFonts w:ascii="Arial" w:eastAsiaTheme="majorEastAsia" w:hAnsi="Arial" w:cs="Arial"/>
          <w:sz w:val="22"/>
          <w:szCs w:val="22"/>
        </w:rPr>
        <w:t>The Reflective Practitioner: How Professionals Think in Action</w:t>
      </w:r>
      <w:r w:rsidRPr="007D751F">
        <w:rPr>
          <w:rFonts w:ascii="Arial" w:hAnsi="Arial" w:cs="Arial"/>
          <w:sz w:val="22"/>
          <w:szCs w:val="22"/>
        </w:rPr>
        <w:t xml:space="preserve">. New York: Basic Books. Available at: </w:t>
      </w:r>
      <w:hyperlink r:id="rId20" w:tgtFrame="_new" w:history="1">
        <w:r w:rsidRPr="007D751F">
          <w:rPr>
            <w:rStyle w:val="Hyperlink"/>
            <w:rFonts w:ascii="Arial" w:eastAsiaTheme="majorEastAsia" w:hAnsi="Arial" w:cs="Arial"/>
            <w:color w:val="auto"/>
            <w:sz w:val="22"/>
            <w:szCs w:val="22"/>
          </w:rPr>
          <w:t>https://www.basicbooks.com/titles/donald-a-schon/the-reflective-practitioner/9780465068784/</w:t>
        </w:r>
      </w:hyperlink>
    </w:p>
    <w:p w14:paraId="355FCFE5"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Shah, S.A., Jeffrey, K., Robertson, C. and Sheikh, A. (2025) ‘Impact of COVID-19 pandemic on elective care backlog trends, recovery efforts, and capacity needs to address backlogs in Scotland (2013–2023): a descriptive analysis and modelling study’, </w:t>
      </w:r>
      <w:r w:rsidRPr="007D751F">
        <w:rPr>
          <w:rStyle w:val="Emphasis"/>
          <w:rFonts w:ascii="Arial" w:eastAsiaTheme="majorEastAsia" w:hAnsi="Arial" w:cs="Arial"/>
          <w:sz w:val="22"/>
          <w:szCs w:val="22"/>
        </w:rPr>
        <w:t>The Lancet Regional Health – Europe</w:t>
      </w:r>
      <w:r w:rsidRPr="007D751F">
        <w:rPr>
          <w:rFonts w:ascii="Arial" w:hAnsi="Arial" w:cs="Arial"/>
          <w:sz w:val="22"/>
          <w:szCs w:val="22"/>
        </w:rPr>
        <w:t>, 50, 101188. Available at: https://doi.org/10.1016/j.lanepe.2024.101188</w:t>
      </w:r>
    </w:p>
    <w:p w14:paraId="37B76201" w14:textId="77777777" w:rsidR="00C14186" w:rsidRPr="007D751F" w:rsidRDefault="00C14186" w:rsidP="007D751F">
      <w:pPr>
        <w:pStyle w:val="NormalWeb"/>
        <w:spacing w:line="360" w:lineRule="auto"/>
        <w:rPr>
          <w:rFonts w:ascii="Arial" w:hAnsi="Arial" w:cs="Arial"/>
          <w:sz w:val="22"/>
          <w:szCs w:val="22"/>
        </w:rPr>
      </w:pPr>
      <w:proofErr w:type="spellStart"/>
      <w:r w:rsidRPr="007D751F">
        <w:rPr>
          <w:rFonts w:ascii="Arial" w:hAnsi="Arial" w:cs="Arial"/>
          <w:sz w:val="22"/>
          <w:szCs w:val="22"/>
        </w:rPr>
        <w:t>Siciliani</w:t>
      </w:r>
      <w:proofErr w:type="spellEnd"/>
      <w:r w:rsidRPr="007D751F">
        <w:rPr>
          <w:rFonts w:ascii="Arial" w:hAnsi="Arial" w:cs="Arial"/>
          <w:sz w:val="22"/>
          <w:szCs w:val="22"/>
        </w:rPr>
        <w:t xml:space="preserve">, L. and Hurst, J. (2005) ‘Tackling excessive waiting times for elective surgery: a comparative analysis of policies in 12 OECD countries’, </w:t>
      </w:r>
      <w:r w:rsidRPr="007D751F">
        <w:rPr>
          <w:rStyle w:val="Emphasis"/>
          <w:rFonts w:ascii="Arial" w:eastAsiaTheme="majorEastAsia" w:hAnsi="Arial" w:cs="Arial"/>
          <w:sz w:val="22"/>
          <w:szCs w:val="22"/>
        </w:rPr>
        <w:t>Health Policy</w:t>
      </w:r>
      <w:r w:rsidRPr="007D751F">
        <w:rPr>
          <w:rFonts w:ascii="Arial" w:hAnsi="Arial" w:cs="Arial"/>
          <w:sz w:val="22"/>
          <w:szCs w:val="22"/>
        </w:rPr>
        <w:t>, 72(2), pp. 201–215. Available at: https://doi.org/10.1016/j.healthpol.2004.07.003</w:t>
      </w:r>
    </w:p>
    <w:p w14:paraId="113783BA"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Stockwell, M.S., Kharbanda, E.O., Martinez, R.A., Vargas, C.Y., </w:t>
      </w:r>
      <w:proofErr w:type="spellStart"/>
      <w:r w:rsidRPr="007D751F">
        <w:rPr>
          <w:rFonts w:ascii="Arial" w:hAnsi="Arial" w:cs="Arial"/>
          <w:sz w:val="22"/>
          <w:szCs w:val="22"/>
        </w:rPr>
        <w:t>Vawdrey</w:t>
      </w:r>
      <w:proofErr w:type="spellEnd"/>
      <w:r w:rsidRPr="007D751F">
        <w:rPr>
          <w:rFonts w:ascii="Arial" w:hAnsi="Arial" w:cs="Arial"/>
          <w:sz w:val="22"/>
          <w:szCs w:val="22"/>
        </w:rPr>
        <w:t xml:space="preserve">, D.K. and Camargo, S. (2012) ‘Effect of a text messaging intervention on influenza vaccination in an urban, low-income </w:t>
      </w:r>
      <w:proofErr w:type="spellStart"/>
      <w:r w:rsidRPr="007D751F">
        <w:rPr>
          <w:rFonts w:ascii="Arial" w:hAnsi="Arial" w:cs="Arial"/>
          <w:sz w:val="22"/>
          <w:szCs w:val="22"/>
        </w:rPr>
        <w:t>pediatric</w:t>
      </w:r>
      <w:proofErr w:type="spellEnd"/>
      <w:r w:rsidRPr="007D751F">
        <w:rPr>
          <w:rFonts w:ascii="Arial" w:hAnsi="Arial" w:cs="Arial"/>
          <w:sz w:val="22"/>
          <w:szCs w:val="22"/>
        </w:rPr>
        <w:t xml:space="preserve"> and adolescent population: a randomized controlled trial’, </w:t>
      </w:r>
      <w:r w:rsidRPr="007D751F">
        <w:rPr>
          <w:rStyle w:val="Emphasis"/>
          <w:rFonts w:ascii="Arial" w:eastAsiaTheme="majorEastAsia" w:hAnsi="Arial" w:cs="Arial"/>
          <w:sz w:val="22"/>
          <w:szCs w:val="22"/>
        </w:rPr>
        <w:t>JAMA</w:t>
      </w:r>
      <w:r w:rsidRPr="007D751F">
        <w:rPr>
          <w:rFonts w:ascii="Arial" w:hAnsi="Arial" w:cs="Arial"/>
          <w:sz w:val="22"/>
          <w:szCs w:val="22"/>
        </w:rPr>
        <w:t>, 307(16), pp. 1702–1708. Available at: https://doi.org/10.1001/jama.2012.502</w:t>
      </w:r>
    </w:p>
    <w:p w14:paraId="19C5355D"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 xml:space="preserve">Turnbull, J., Prichard, J., MacLellan, J. and Pope, C. (2024) ‘eHealth literacy and the use of NHS 111 Online urgent care service in England: cross-sectional survey’, </w:t>
      </w:r>
      <w:r w:rsidRPr="007D751F">
        <w:rPr>
          <w:rStyle w:val="Emphasis"/>
          <w:rFonts w:ascii="Arial" w:eastAsiaTheme="majorEastAsia" w:hAnsi="Arial" w:cs="Arial"/>
          <w:sz w:val="22"/>
          <w:szCs w:val="22"/>
        </w:rPr>
        <w:t>Journal of Medical Internet Research</w:t>
      </w:r>
      <w:r w:rsidRPr="007D751F">
        <w:rPr>
          <w:rFonts w:ascii="Arial" w:hAnsi="Arial" w:cs="Arial"/>
          <w:sz w:val="22"/>
          <w:szCs w:val="22"/>
        </w:rPr>
        <w:t xml:space="preserve">, 26, e50376. Available at: </w:t>
      </w:r>
      <w:hyperlink r:id="rId21" w:tgtFrame="_new" w:history="1">
        <w:r w:rsidRPr="007D751F">
          <w:rPr>
            <w:rStyle w:val="Hyperlink"/>
            <w:rFonts w:ascii="Arial" w:eastAsiaTheme="majorEastAsia" w:hAnsi="Arial" w:cs="Arial"/>
            <w:color w:val="auto"/>
            <w:sz w:val="22"/>
            <w:szCs w:val="22"/>
          </w:rPr>
          <w:t>https://doi.org/10.2196/50376</w:t>
        </w:r>
      </w:hyperlink>
    </w:p>
    <w:p w14:paraId="3D9CEC81" w14:textId="77777777" w:rsidR="00C14186" w:rsidRPr="007D751F" w:rsidRDefault="00C14186" w:rsidP="007D751F">
      <w:pPr>
        <w:pStyle w:val="NormalWeb"/>
        <w:spacing w:line="360" w:lineRule="auto"/>
        <w:rPr>
          <w:rFonts w:ascii="Arial" w:hAnsi="Arial" w:cs="Arial"/>
          <w:sz w:val="22"/>
          <w:szCs w:val="22"/>
        </w:rPr>
      </w:pPr>
      <w:r w:rsidRPr="007D751F">
        <w:rPr>
          <w:rFonts w:ascii="Arial" w:hAnsi="Arial" w:cs="Arial"/>
          <w:sz w:val="22"/>
          <w:szCs w:val="22"/>
        </w:rPr>
        <w:t>Turner, J., Knowles, E., Simpson, R., Sampson, F., Dixon, S., Long, J., Bell-</w:t>
      </w:r>
      <w:proofErr w:type="spellStart"/>
      <w:r w:rsidRPr="007D751F">
        <w:rPr>
          <w:rFonts w:ascii="Arial" w:hAnsi="Arial" w:cs="Arial"/>
          <w:sz w:val="22"/>
          <w:szCs w:val="22"/>
        </w:rPr>
        <w:t>Gorrod</w:t>
      </w:r>
      <w:proofErr w:type="spellEnd"/>
      <w:r w:rsidRPr="007D751F">
        <w:rPr>
          <w:rFonts w:ascii="Arial" w:hAnsi="Arial" w:cs="Arial"/>
          <w:sz w:val="22"/>
          <w:szCs w:val="22"/>
        </w:rPr>
        <w:t xml:space="preserve">, H., Jacques, R., </w:t>
      </w:r>
      <w:proofErr w:type="spellStart"/>
      <w:r w:rsidRPr="007D751F">
        <w:rPr>
          <w:rFonts w:ascii="Arial" w:hAnsi="Arial" w:cs="Arial"/>
          <w:sz w:val="22"/>
          <w:szCs w:val="22"/>
        </w:rPr>
        <w:t>Coster</w:t>
      </w:r>
      <w:proofErr w:type="spellEnd"/>
      <w:r w:rsidRPr="007D751F">
        <w:rPr>
          <w:rFonts w:ascii="Arial" w:hAnsi="Arial" w:cs="Arial"/>
          <w:sz w:val="22"/>
          <w:szCs w:val="22"/>
        </w:rPr>
        <w:t xml:space="preserve">, J., Yang, H., Nicholl, J., Bath, P. and Fall, D. (2021) ‘Impact of NHS 111 Online on the NHS 111 telephone service and urgent care system: a mixed-methods study’, </w:t>
      </w:r>
      <w:r w:rsidRPr="007D751F">
        <w:rPr>
          <w:rStyle w:val="Emphasis"/>
          <w:rFonts w:ascii="Arial" w:eastAsiaTheme="majorEastAsia" w:hAnsi="Arial" w:cs="Arial"/>
          <w:sz w:val="22"/>
          <w:szCs w:val="22"/>
        </w:rPr>
        <w:t>Health Services and Delivery Research</w:t>
      </w:r>
      <w:r w:rsidRPr="007D751F">
        <w:rPr>
          <w:rFonts w:ascii="Arial" w:hAnsi="Arial" w:cs="Arial"/>
          <w:sz w:val="22"/>
          <w:szCs w:val="22"/>
        </w:rPr>
        <w:t>, 9(21). Available at: https://doi.org/10.3310/hsdr09210</w:t>
      </w:r>
    </w:p>
    <w:p w14:paraId="2206AEF1" w14:textId="77777777" w:rsidR="00C14186" w:rsidRPr="007D751F" w:rsidRDefault="00C14186" w:rsidP="007D751F">
      <w:pPr>
        <w:pStyle w:val="NormalWeb"/>
        <w:spacing w:line="360" w:lineRule="auto"/>
        <w:rPr>
          <w:rFonts w:ascii="Arial" w:hAnsi="Arial" w:cs="Arial"/>
          <w:sz w:val="22"/>
          <w:szCs w:val="22"/>
        </w:rPr>
      </w:pPr>
    </w:p>
    <w:sectPr w:rsidR="00C14186" w:rsidRPr="007D751F">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1CC7A" w14:textId="77777777" w:rsidR="00C745E6" w:rsidRDefault="00C745E6" w:rsidP="00D30E94">
      <w:r>
        <w:separator/>
      </w:r>
    </w:p>
  </w:endnote>
  <w:endnote w:type="continuationSeparator" w:id="0">
    <w:p w14:paraId="51EE3540" w14:textId="77777777" w:rsidR="00C745E6" w:rsidRDefault="00C745E6" w:rsidP="00D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275D" w14:textId="77777777" w:rsidR="00C745E6" w:rsidRDefault="00C745E6" w:rsidP="00D30E94">
      <w:r>
        <w:separator/>
      </w:r>
    </w:p>
  </w:footnote>
  <w:footnote w:type="continuationSeparator" w:id="0">
    <w:p w14:paraId="0B817F60" w14:textId="77777777" w:rsidR="00C745E6" w:rsidRDefault="00C745E6" w:rsidP="00D3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756949"/>
      <w:docPartObj>
        <w:docPartGallery w:val="Page Numbers (Top of Page)"/>
        <w:docPartUnique/>
      </w:docPartObj>
    </w:sdtPr>
    <w:sdtEndPr>
      <w:rPr>
        <w:noProof/>
      </w:rPr>
    </w:sdtEndPr>
    <w:sdtContent>
      <w:p w14:paraId="190E8F0B" w14:textId="2D393361" w:rsidR="00451FE8" w:rsidRDefault="00451FE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E8CD01" w14:textId="7C836D1C" w:rsidR="00D30E94" w:rsidRDefault="00C745E6">
    <w:pPr>
      <w:pStyle w:val="Header"/>
    </w:pPr>
    <w:sdt>
      <w:sdtPr>
        <w:id w:val="-657073857"/>
        <w:docPartObj>
          <w:docPartGallery w:val="Page Numbers (Margins)"/>
          <w:docPartUnique/>
        </w:docPartObj>
      </w:sdtPr>
      <w:sdtEndPr/>
      <w:sdtContent>
        <w:r w:rsidR="00A2685F">
          <w:rPr>
            <w:noProof/>
          </w:rPr>
          <mc:AlternateContent>
            <mc:Choice Requires="wps">
              <w:drawing>
                <wp:anchor distT="0" distB="0" distL="114300" distR="114300" simplePos="0" relativeHeight="251659264" behindDoc="0" locked="0" layoutInCell="0" allowOverlap="1" wp14:anchorId="15D3E3D7" wp14:editId="24420754">
                  <wp:simplePos x="0" y="0"/>
                  <wp:positionH relativeFrom="leftMargin">
                    <wp:align>center</wp:align>
                  </wp:positionH>
                  <wp:positionV relativeFrom="margin">
                    <wp:align>bottom</wp:align>
                  </wp:positionV>
                  <wp:extent cx="510540" cy="2183130"/>
                  <wp:effectExtent l="0" t="0" r="3810" b="0"/>
                  <wp:wrapNone/>
                  <wp:docPr id="26564163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86008" w14:textId="77777777" w:rsidR="00A2685F" w:rsidRDefault="00A2685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5D3E3D7" id="Rectangle 43"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PK9wEAAMsDAAAOAAAAZHJzL2Uyb0RvYy54bWysU9uO0zAQfUfiHyy/0zRp2i5R09VqV0VI&#10;C6xY+ADXcRKLxGPGbpP+PWOnW7rwhnixMhcfn3Nmsrkd+44dFToNpuTpbM6ZMhIqbZqSf/+2e3fD&#10;mfPCVKIDo0p+Uo7fbt++2Qy2UBm00FUKGYEYVwy25K33tkgSJ1vVCzcDqwwVa8BeeAqxSSoUA6H3&#10;XZLN56tkAKwsglTOUfZhKvJtxK9rJf2XunbKs67kxM3HE+O5D2ey3YiiQWFbLc80xD+w6IU29OgF&#10;6kF4wQ6o/4LqtURwUPuZhD6ButZSRQ2kJp3/oea5FVZFLWSOsxeb3P+DlZ+PT8h0VfJstVzl6Wqx&#10;5syInkb1lcwTpukUyxfBp8G6gtqf7RMGpc4+gvzhmIH7ltrUHSIMrRIVsUtDf/LqQggcXWX74RNU&#10;BC8OHqJlY419ACQz2Bgnc7pMRo2eSUou0/kyp/lJKmXpzSJdxNEloni5bdH5Dwp6Fj5KjkQ+oovj&#10;o/OBjSheWsJjBna66+L0O/MqQY0hE9kHwpNwP+7Hswd7qE6kA2FaJlp++ghntiaGA+1Syd3Pg0DF&#10;WffRkB3v0zyQ9zHIl+uMAryu7K8rwsgWaEWlR86m4N5PK3uwqJuWnkujNmfvyMSdjvqCwRO1M3na&#10;mCj7vN1hJa/j2PX7H9z+AgAA//8DAFBLAwQUAAYACAAAACEASofPNtoAAAAEAQAADwAAAGRycy9k&#10;b3ducmV2LnhtbEyPwWrDMBBE74X+g9hCbo2cJgTjWg6l0EsIhCY95LiRtpaptTKWnCh/X7WX9rIw&#10;zDDztt4k14sLjaHzrGAxL0AQa286bhV8HN8eSxAhIhvsPZOCGwXYNPd3NVbGX/mdLofYilzCoUIF&#10;NsahkjJoSw7D3A/E2fv0o8OY5dhKM+I1l7tePhXFWjrsOC9YHOjVkv46TE7BcZ1OOk2nBe102Wqk&#10;vXXbvVKzh/TyDCJSin9h+MHP6NBkprOf2ATRK8iPxN+bvbJYgTgrWK6WJcimlv/hm28AAAD//wMA&#10;UEsBAi0AFAAGAAgAAAAhALaDOJL+AAAA4QEAABMAAAAAAAAAAAAAAAAAAAAAAFtDb250ZW50X1R5&#10;cGVzXS54bWxQSwECLQAUAAYACAAAACEAOP0h/9YAAACUAQAACwAAAAAAAAAAAAAAAAAvAQAAX3Jl&#10;bHMvLnJlbHNQSwECLQAUAAYACAAAACEAI/FjyvcBAADLAwAADgAAAAAAAAAAAAAAAAAuAgAAZHJz&#10;L2Uyb0RvYy54bWxQSwECLQAUAAYACAAAACEASofPNtoAAAAEAQAADwAAAAAAAAAAAAAAAABRBAAA&#10;ZHJzL2Rvd25yZXYueG1sUEsFBgAAAAAEAAQA8wAAAFgFAAAAAA==&#10;" o:allowincell="f" filled="f" stroked="f">
                  <v:textbox style="layout-flow:vertical;mso-layout-flow-alt:bottom-to-top;mso-fit-shape-to-text:t">
                    <w:txbxContent>
                      <w:p w14:paraId="7CD86008" w14:textId="77777777" w:rsidR="00A2685F" w:rsidRDefault="00A2685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37B72"/>
    <w:multiLevelType w:val="multilevel"/>
    <w:tmpl w:val="20D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320E5"/>
    <w:multiLevelType w:val="multilevel"/>
    <w:tmpl w:val="3044E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D331BC"/>
    <w:multiLevelType w:val="multilevel"/>
    <w:tmpl w:val="76E49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B94FF7"/>
    <w:multiLevelType w:val="hybridMultilevel"/>
    <w:tmpl w:val="02246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545BF"/>
    <w:multiLevelType w:val="hybridMultilevel"/>
    <w:tmpl w:val="9BBCF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200D4A"/>
    <w:multiLevelType w:val="hybridMultilevel"/>
    <w:tmpl w:val="AF0A8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0A1EA3"/>
    <w:multiLevelType w:val="hybridMultilevel"/>
    <w:tmpl w:val="90905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B8"/>
    <w:rsid w:val="00082396"/>
    <w:rsid w:val="000C6543"/>
    <w:rsid w:val="00110C31"/>
    <w:rsid w:val="00114F58"/>
    <w:rsid w:val="00187886"/>
    <w:rsid w:val="00191EBA"/>
    <w:rsid w:val="0019689B"/>
    <w:rsid w:val="00231E37"/>
    <w:rsid w:val="002E616F"/>
    <w:rsid w:val="00300F65"/>
    <w:rsid w:val="00314790"/>
    <w:rsid w:val="003907CB"/>
    <w:rsid w:val="003A1543"/>
    <w:rsid w:val="003A2652"/>
    <w:rsid w:val="003A615E"/>
    <w:rsid w:val="004061A2"/>
    <w:rsid w:val="00451FE8"/>
    <w:rsid w:val="005944F2"/>
    <w:rsid w:val="005C5196"/>
    <w:rsid w:val="005C62A1"/>
    <w:rsid w:val="00651A4B"/>
    <w:rsid w:val="00706A83"/>
    <w:rsid w:val="0078631F"/>
    <w:rsid w:val="007D751F"/>
    <w:rsid w:val="0086474C"/>
    <w:rsid w:val="00871237"/>
    <w:rsid w:val="008C6C07"/>
    <w:rsid w:val="008D7C0A"/>
    <w:rsid w:val="008E596C"/>
    <w:rsid w:val="009301E7"/>
    <w:rsid w:val="00982DE7"/>
    <w:rsid w:val="0098662C"/>
    <w:rsid w:val="009957E3"/>
    <w:rsid w:val="009A33CA"/>
    <w:rsid w:val="009C0787"/>
    <w:rsid w:val="009D79A0"/>
    <w:rsid w:val="00A064C8"/>
    <w:rsid w:val="00A2685F"/>
    <w:rsid w:val="00AC15B8"/>
    <w:rsid w:val="00C14186"/>
    <w:rsid w:val="00C172BC"/>
    <w:rsid w:val="00C33037"/>
    <w:rsid w:val="00C745E6"/>
    <w:rsid w:val="00C83AD3"/>
    <w:rsid w:val="00C90147"/>
    <w:rsid w:val="00CE71BD"/>
    <w:rsid w:val="00CF799E"/>
    <w:rsid w:val="00D10454"/>
    <w:rsid w:val="00D30E94"/>
    <w:rsid w:val="00E00E34"/>
    <w:rsid w:val="00E21770"/>
    <w:rsid w:val="00E33EAC"/>
    <w:rsid w:val="00E71F51"/>
    <w:rsid w:val="00EA434C"/>
    <w:rsid w:val="00EB769A"/>
    <w:rsid w:val="00F01353"/>
    <w:rsid w:val="00F049EF"/>
    <w:rsid w:val="00F56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648C4"/>
  <w15:chartTrackingRefBased/>
  <w15:docId w15:val="{1E14A439-DB1A-4C6F-92DD-11F9A0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AC1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1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1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5B8"/>
    <w:rPr>
      <w:rFonts w:eastAsiaTheme="majorEastAsia" w:cstheme="majorBidi"/>
      <w:color w:val="272727" w:themeColor="text1" w:themeTint="D8"/>
    </w:rPr>
  </w:style>
  <w:style w:type="paragraph" w:styleId="Title">
    <w:name w:val="Title"/>
    <w:basedOn w:val="Normal"/>
    <w:next w:val="Normal"/>
    <w:link w:val="TitleChar"/>
    <w:uiPriority w:val="10"/>
    <w:qFormat/>
    <w:rsid w:val="00AC15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5B8"/>
    <w:pPr>
      <w:spacing w:before="160"/>
      <w:jc w:val="center"/>
    </w:pPr>
    <w:rPr>
      <w:i/>
      <w:iCs/>
      <w:color w:val="404040" w:themeColor="text1" w:themeTint="BF"/>
    </w:rPr>
  </w:style>
  <w:style w:type="character" w:customStyle="1" w:styleId="QuoteChar">
    <w:name w:val="Quote Char"/>
    <w:basedOn w:val="DefaultParagraphFont"/>
    <w:link w:val="Quote"/>
    <w:uiPriority w:val="29"/>
    <w:rsid w:val="00AC15B8"/>
    <w:rPr>
      <w:i/>
      <w:iCs/>
      <w:color w:val="404040" w:themeColor="text1" w:themeTint="BF"/>
    </w:rPr>
  </w:style>
  <w:style w:type="paragraph" w:styleId="ListParagraph">
    <w:name w:val="List Paragraph"/>
    <w:basedOn w:val="Normal"/>
    <w:uiPriority w:val="34"/>
    <w:qFormat/>
    <w:rsid w:val="00AC15B8"/>
    <w:pPr>
      <w:ind w:left="720"/>
      <w:contextualSpacing/>
    </w:pPr>
  </w:style>
  <w:style w:type="character" w:styleId="IntenseEmphasis">
    <w:name w:val="Intense Emphasis"/>
    <w:basedOn w:val="DefaultParagraphFont"/>
    <w:uiPriority w:val="21"/>
    <w:qFormat/>
    <w:rsid w:val="00AC15B8"/>
    <w:rPr>
      <w:i/>
      <w:iCs/>
      <w:color w:val="0F4761" w:themeColor="accent1" w:themeShade="BF"/>
    </w:rPr>
  </w:style>
  <w:style w:type="paragraph" w:styleId="IntenseQuote">
    <w:name w:val="Intense Quote"/>
    <w:basedOn w:val="Normal"/>
    <w:next w:val="Normal"/>
    <w:link w:val="IntenseQuoteChar"/>
    <w:uiPriority w:val="30"/>
    <w:qFormat/>
    <w:rsid w:val="00AC1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5B8"/>
    <w:rPr>
      <w:i/>
      <w:iCs/>
      <w:color w:val="0F4761" w:themeColor="accent1" w:themeShade="BF"/>
    </w:rPr>
  </w:style>
  <w:style w:type="character" w:styleId="IntenseReference">
    <w:name w:val="Intense Reference"/>
    <w:basedOn w:val="DefaultParagraphFont"/>
    <w:uiPriority w:val="32"/>
    <w:qFormat/>
    <w:rsid w:val="00AC15B8"/>
    <w:rPr>
      <w:b/>
      <w:bCs/>
      <w:smallCaps/>
      <w:color w:val="0F4761" w:themeColor="accent1" w:themeShade="BF"/>
      <w:spacing w:val="5"/>
    </w:rPr>
  </w:style>
  <w:style w:type="table" w:styleId="TableGrid">
    <w:name w:val="Table Grid"/>
    <w:basedOn w:val="TableNormal"/>
    <w:uiPriority w:val="59"/>
    <w:rsid w:val="005944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D30E94"/>
    <w:pPr>
      <w:tabs>
        <w:tab w:val="center" w:pos="4513"/>
        <w:tab w:val="right" w:pos="9026"/>
      </w:tabs>
    </w:pPr>
  </w:style>
  <w:style w:type="character" w:customStyle="1" w:styleId="HeaderChar">
    <w:name w:val="Header Char"/>
    <w:basedOn w:val="DefaultParagraphFont"/>
    <w:link w:val="Header"/>
    <w:uiPriority w:val="99"/>
    <w:rsid w:val="00D30E94"/>
    <w:rPr>
      <w:kern w:val="0"/>
      <w:lang w:val="en-US"/>
      <w14:ligatures w14:val="none"/>
    </w:rPr>
  </w:style>
  <w:style w:type="paragraph" w:styleId="Footer">
    <w:name w:val="footer"/>
    <w:basedOn w:val="Normal"/>
    <w:link w:val="FooterChar"/>
    <w:uiPriority w:val="99"/>
    <w:unhideWhenUsed/>
    <w:rsid w:val="00D30E94"/>
    <w:pPr>
      <w:tabs>
        <w:tab w:val="center" w:pos="4513"/>
        <w:tab w:val="right" w:pos="9026"/>
      </w:tabs>
    </w:pPr>
  </w:style>
  <w:style w:type="character" w:customStyle="1" w:styleId="FooterChar">
    <w:name w:val="Footer Char"/>
    <w:basedOn w:val="DefaultParagraphFont"/>
    <w:link w:val="Footer"/>
    <w:uiPriority w:val="99"/>
    <w:rsid w:val="00D30E94"/>
    <w:rPr>
      <w:kern w:val="0"/>
      <w:lang w:val="en-US"/>
      <w14:ligatures w14:val="none"/>
    </w:rPr>
  </w:style>
  <w:style w:type="paragraph" w:styleId="NormalWeb">
    <w:name w:val="Normal (Web)"/>
    <w:basedOn w:val="Normal"/>
    <w:uiPriority w:val="99"/>
    <w:unhideWhenUsed/>
    <w:rsid w:val="00082396"/>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C6C07"/>
    <w:rPr>
      <w:color w:val="467886" w:themeColor="hyperlink"/>
      <w:u w:val="single"/>
    </w:rPr>
  </w:style>
  <w:style w:type="character" w:styleId="UnresolvedMention">
    <w:name w:val="Unresolved Mention"/>
    <w:basedOn w:val="DefaultParagraphFont"/>
    <w:uiPriority w:val="99"/>
    <w:semiHidden/>
    <w:unhideWhenUsed/>
    <w:rsid w:val="008C6C07"/>
    <w:rPr>
      <w:color w:val="605E5C"/>
      <w:shd w:val="clear" w:color="auto" w:fill="E1DFDD"/>
    </w:rPr>
  </w:style>
  <w:style w:type="character" w:styleId="Emphasis">
    <w:name w:val="Emphasis"/>
    <w:basedOn w:val="DefaultParagraphFont"/>
    <w:uiPriority w:val="20"/>
    <w:qFormat/>
    <w:rsid w:val="00EA434C"/>
    <w:rPr>
      <w:i/>
      <w:iCs/>
    </w:rPr>
  </w:style>
  <w:style w:type="character" w:styleId="Strong">
    <w:name w:val="Strong"/>
    <w:basedOn w:val="DefaultParagraphFont"/>
    <w:uiPriority w:val="22"/>
    <w:qFormat/>
    <w:rsid w:val="00451FE8"/>
    <w:rPr>
      <w:b/>
      <w:bCs/>
    </w:rPr>
  </w:style>
  <w:style w:type="character" w:customStyle="1" w:styleId="whitespace-normal">
    <w:name w:val="whitespace-normal"/>
    <w:basedOn w:val="DefaultParagraphFont"/>
    <w:rsid w:val="00451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3256">
      <w:bodyDiv w:val="1"/>
      <w:marLeft w:val="0"/>
      <w:marRight w:val="0"/>
      <w:marTop w:val="0"/>
      <w:marBottom w:val="0"/>
      <w:divBdr>
        <w:top w:val="none" w:sz="0" w:space="0" w:color="auto"/>
        <w:left w:val="none" w:sz="0" w:space="0" w:color="auto"/>
        <w:bottom w:val="none" w:sz="0" w:space="0" w:color="auto"/>
        <w:right w:val="none" w:sz="0" w:space="0" w:color="auto"/>
      </w:divBdr>
    </w:div>
    <w:div w:id="357857993">
      <w:bodyDiv w:val="1"/>
      <w:marLeft w:val="0"/>
      <w:marRight w:val="0"/>
      <w:marTop w:val="0"/>
      <w:marBottom w:val="0"/>
      <w:divBdr>
        <w:top w:val="none" w:sz="0" w:space="0" w:color="auto"/>
        <w:left w:val="none" w:sz="0" w:space="0" w:color="auto"/>
        <w:bottom w:val="none" w:sz="0" w:space="0" w:color="auto"/>
        <w:right w:val="none" w:sz="0" w:space="0" w:color="auto"/>
      </w:divBdr>
    </w:div>
    <w:div w:id="387534619">
      <w:bodyDiv w:val="1"/>
      <w:marLeft w:val="0"/>
      <w:marRight w:val="0"/>
      <w:marTop w:val="0"/>
      <w:marBottom w:val="0"/>
      <w:divBdr>
        <w:top w:val="none" w:sz="0" w:space="0" w:color="auto"/>
        <w:left w:val="none" w:sz="0" w:space="0" w:color="auto"/>
        <w:bottom w:val="none" w:sz="0" w:space="0" w:color="auto"/>
        <w:right w:val="none" w:sz="0" w:space="0" w:color="auto"/>
      </w:divBdr>
    </w:div>
    <w:div w:id="443501198">
      <w:bodyDiv w:val="1"/>
      <w:marLeft w:val="0"/>
      <w:marRight w:val="0"/>
      <w:marTop w:val="0"/>
      <w:marBottom w:val="0"/>
      <w:divBdr>
        <w:top w:val="none" w:sz="0" w:space="0" w:color="auto"/>
        <w:left w:val="none" w:sz="0" w:space="0" w:color="auto"/>
        <w:bottom w:val="none" w:sz="0" w:space="0" w:color="auto"/>
        <w:right w:val="none" w:sz="0" w:space="0" w:color="auto"/>
      </w:divBdr>
    </w:div>
    <w:div w:id="545486827">
      <w:bodyDiv w:val="1"/>
      <w:marLeft w:val="0"/>
      <w:marRight w:val="0"/>
      <w:marTop w:val="0"/>
      <w:marBottom w:val="0"/>
      <w:divBdr>
        <w:top w:val="none" w:sz="0" w:space="0" w:color="auto"/>
        <w:left w:val="none" w:sz="0" w:space="0" w:color="auto"/>
        <w:bottom w:val="none" w:sz="0" w:space="0" w:color="auto"/>
        <w:right w:val="none" w:sz="0" w:space="0" w:color="auto"/>
      </w:divBdr>
    </w:div>
    <w:div w:id="574318236">
      <w:bodyDiv w:val="1"/>
      <w:marLeft w:val="0"/>
      <w:marRight w:val="0"/>
      <w:marTop w:val="0"/>
      <w:marBottom w:val="0"/>
      <w:divBdr>
        <w:top w:val="none" w:sz="0" w:space="0" w:color="auto"/>
        <w:left w:val="none" w:sz="0" w:space="0" w:color="auto"/>
        <w:bottom w:val="none" w:sz="0" w:space="0" w:color="auto"/>
        <w:right w:val="none" w:sz="0" w:space="0" w:color="auto"/>
      </w:divBdr>
    </w:div>
    <w:div w:id="595359698">
      <w:bodyDiv w:val="1"/>
      <w:marLeft w:val="0"/>
      <w:marRight w:val="0"/>
      <w:marTop w:val="0"/>
      <w:marBottom w:val="0"/>
      <w:divBdr>
        <w:top w:val="none" w:sz="0" w:space="0" w:color="auto"/>
        <w:left w:val="none" w:sz="0" w:space="0" w:color="auto"/>
        <w:bottom w:val="none" w:sz="0" w:space="0" w:color="auto"/>
        <w:right w:val="none" w:sz="0" w:space="0" w:color="auto"/>
      </w:divBdr>
    </w:div>
    <w:div w:id="606080889">
      <w:bodyDiv w:val="1"/>
      <w:marLeft w:val="0"/>
      <w:marRight w:val="0"/>
      <w:marTop w:val="0"/>
      <w:marBottom w:val="0"/>
      <w:divBdr>
        <w:top w:val="none" w:sz="0" w:space="0" w:color="auto"/>
        <w:left w:val="none" w:sz="0" w:space="0" w:color="auto"/>
        <w:bottom w:val="none" w:sz="0" w:space="0" w:color="auto"/>
        <w:right w:val="none" w:sz="0" w:space="0" w:color="auto"/>
      </w:divBdr>
    </w:div>
    <w:div w:id="627050194">
      <w:bodyDiv w:val="1"/>
      <w:marLeft w:val="0"/>
      <w:marRight w:val="0"/>
      <w:marTop w:val="0"/>
      <w:marBottom w:val="0"/>
      <w:divBdr>
        <w:top w:val="none" w:sz="0" w:space="0" w:color="auto"/>
        <w:left w:val="none" w:sz="0" w:space="0" w:color="auto"/>
        <w:bottom w:val="none" w:sz="0" w:space="0" w:color="auto"/>
        <w:right w:val="none" w:sz="0" w:space="0" w:color="auto"/>
      </w:divBdr>
    </w:div>
    <w:div w:id="699475214">
      <w:bodyDiv w:val="1"/>
      <w:marLeft w:val="0"/>
      <w:marRight w:val="0"/>
      <w:marTop w:val="0"/>
      <w:marBottom w:val="0"/>
      <w:divBdr>
        <w:top w:val="none" w:sz="0" w:space="0" w:color="auto"/>
        <w:left w:val="none" w:sz="0" w:space="0" w:color="auto"/>
        <w:bottom w:val="none" w:sz="0" w:space="0" w:color="auto"/>
        <w:right w:val="none" w:sz="0" w:space="0" w:color="auto"/>
      </w:divBdr>
    </w:div>
    <w:div w:id="810558367">
      <w:bodyDiv w:val="1"/>
      <w:marLeft w:val="0"/>
      <w:marRight w:val="0"/>
      <w:marTop w:val="0"/>
      <w:marBottom w:val="0"/>
      <w:divBdr>
        <w:top w:val="none" w:sz="0" w:space="0" w:color="auto"/>
        <w:left w:val="none" w:sz="0" w:space="0" w:color="auto"/>
        <w:bottom w:val="none" w:sz="0" w:space="0" w:color="auto"/>
        <w:right w:val="none" w:sz="0" w:space="0" w:color="auto"/>
      </w:divBdr>
    </w:div>
    <w:div w:id="989285741">
      <w:bodyDiv w:val="1"/>
      <w:marLeft w:val="0"/>
      <w:marRight w:val="0"/>
      <w:marTop w:val="0"/>
      <w:marBottom w:val="0"/>
      <w:divBdr>
        <w:top w:val="none" w:sz="0" w:space="0" w:color="auto"/>
        <w:left w:val="none" w:sz="0" w:space="0" w:color="auto"/>
        <w:bottom w:val="none" w:sz="0" w:space="0" w:color="auto"/>
        <w:right w:val="none" w:sz="0" w:space="0" w:color="auto"/>
      </w:divBdr>
    </w:div>
    <w:div w:id="994727899">
      <w:bodyDiv w:val="1"/>
      <w:marLeft w:val="0"/>
      <w:marRight w:val="0"/>
      <w:marTop w:val="0"/>
      <w:marBottom w:val="0"/>
      <w:divBdr>
        <w:top w:val="none" w:sz="0" w:space="0" w:color="auto"/>
        <w:left w:val="none" w:sz="0" w:space="0" w:color="auto"/>
        <w:bottom w:val="none" w:sz="0" w:space="0" w:color="auto"/>
        <w:right w:val="none" w:sz="0" w:space="0" w:color="auto"/>
      </w:divBdr>
    </w:div>
    <w:div w:id="1029066917">
      <w:bodyDiv w:val="1"/>
      <w:marLeft w:val="0"/>
      <w:marRight w:val="0"/>
      <w:marTop w:val="0"/>
      <w:marBottom w:val="0"/>
      <w:divBdr>
        <w:top w:val="none" w:sz="0" w:space="0" w:color="auto"/>
        <w:left w:val="none" w:sz="0" w:space="0" w:color="auto"/>
        <w:bottom w:val="none" w:sz="0" w:space="0" w:color="auto"/>
        <w:right w:val="none" w:sz="0" w:space="0" w:color="auto"/>
      </w:divBdr>
    </w:div>
    <w:div w:id="1105609923">
      <w:bodyDiv w:val="1"/>
      <w:marLeft w:val="0"/>
      <w:marRight w:val="0"/>
      <w:marTop w:val="0"/>
      <w:marBottom w:val="0"/>
      <w:divBdr>
        <w:top w:val="none" w:sz="0" w:space="0" w:color="auto"/>
        <w:left w:val="none" w:sz="0" w:space="0" w:color="auto"/>
        <w:bottom w:val="none" w:sz="0" w:space="0" w:color="auto"/>
        <w:right w:val="none" w:sz="0" w:space="0" w:color="auto"/>
      </w:divBdr>
    </w:div>
    <w:div w:id="1116870609">
      <w:bodyDiv w:val="1"/>
      <w:marLeft w:val="0"/>
      <w:marRight w:val="0"/>
      <w:marTop w:val="0"/>
      <w:marBottom w:val="0"/>
      <w:divBdr>
        <w:top w:val="none" w:sz="0" w:space="0" w:color="auto"/>
        <w:left w:val="none" w:sz="0" w:space="0" w:color="auto"/>
        <w:bottom w:val="none" w:sz="0" w:space="0" w:color="auto"/>
        <w:right w:val="none" w:sz="0" w:space="0" w:color="auto"/>
      </w:divBdr>
    </w:div>
    <w:div w:id="1123886931">
      <w:bodyDiv w:val="1"/>
      <w:marLeft w:val="0"/>
      <w:marRight w:val="0"/>
      <w:marTop w:val="0"/>
      <w:marBottom w:val="0"/>
      <w:divBdr>
        <w:top w:val="none" w:sz="0" w:space="0" w:color="auto"/>
        <w:left w:val="none" w:sz="0" w:space="0" w:color="auto"/>
        <w:bottom w:val="none" w:sz="0" w:space="0" w:color="auto"/>
        <w:right w:val="none" w:sz="0" w:space="0" w:color="auto"/>
      </w:divBdr>
    </w:div>
    <w:div w:id="1250000617">
      <w:bodyDiv w:val="1"/>
      <w:marLeft w:val="0"/>
      <w:marRight w:val="0"/>
      <w:marTop w:val="0"/>
      <w:marBottom w:val="0"/>
      <w:divBdr>
        <w:top w:val="none" w:sz="0" w:space="0" w:color="auto"/>
        <w:left w:val="none" w:sz="0" w:space="0" w:color="auto"/>
        <w:bottom w:val="none" w:sz="0" w:space="0" w:color="auto"/>
        <w:right w:val="none" w:sz="0" w:space="0" w:color="auto"/>
      </w:divBdr>
    </w:div>
    <w:div w:id="1270822438">
      <w:bodyDiv w:val="1"/>
      <w:marLeft w:val="0"/>
      <w:marRight w:val="0"/>
      <w:marTop w:val="0"/>
      <w:marBottom w:val="0"/>
      <w:divBdr>
        <w:top w:val="none" w:sz="0" w:space="0" w:color="auto"/>
        <w:left w:val="none" w:sz="0" w:space="0" w:color="auto"/>
        <w:bottom w:val="none" w:sz="0" w:space="0" w:color="auto"/>
        <w:right w:val="none" w:sz="0" w:space="0" w:color="auto"/>
      </w:divBdr>
    </w:div>
    <w:div w:id="1307706869">
      <w:bodyDiv w:val="1"/>
      <w:marLeft w:val="0"/>
      <w:marRight w:val="0"/>
      <w:marTop w:val="0"/>
      <w:marBottom w:val="0"/>
      <w:divBdr>
        <w:top w:val="none" w:sz="0" w:space="0" w:color="auto"/>
        <w:left w:val="none" w:sz="0" w:space="0" w:color="auto"/>
        <w:bottom w:val="none" w:sz="0" w:space="0" w:color="auto"/>
        <w:right w:val="none" w:sz="0" w:space="0" w:color="auto"/>
      </w:divBdr>
    </w:div>
    <w:div w:id="1339963318">
      <w:bodyDiv w:val="1"/>
      <w:marLeft w:val="0"/>
      <w:marRight w:val="0"/>
      <w:marTop w:val="0"/>
      <w:marBottom w:val="0"/>
      <w:divBdr>
        <w:top w:val="none" w:sz="0" w:space="0" w:color="auto"/>
        <w:left w:val="none" w:sz="0" w:space="0" w:color="auto"/>
        <w:bottom w:val="none" w:sz="0" w:space="0" w:color="auto"/>
        <w:right w:val="none" w:sz="0" w:space="0" w:color="auto"/>
      </w:divBdr>
    </w:div>
    <w:div w:id="1373847320">
      <w:bodyDiv w:val="1"/>
      <w:marLeft w:val="0"/>
      <w:marRight w:val="0"/>
      <w:marTop w:val="0"/>
      <w:marBottom w:val="0"/>
      <w:divBdr>
        <w:top w:val="none" w:sz="0" w:space="0" w:color="auto"/>
        <w:left w:val="none" w:sz="0" w:space="0" w:color="auto"/>
        <w:bottom w:val="none" w:sz="0" w:space="0" w:color="auto"/>
        <w:right w:val="none" w:sz="0" w:space="0" w:color="auto"/>
      </w:divBdr>
    </w:div>
    <w:div w:id="1414427769">
      <w:bodyDiv w:val="1"/>
      <w:marLeft w:val="0"/>
      <w:marRight w:val="0"/>
      <w:marTop w:val="0"/>
      <w:marBottom w:val="0"/>
      <w:divBdr>
        <w:top w:val="none" w:sz="0" w:space="0" w:color="auto"/>
        <w:left w:val="none" w:sz="0" w:space="0" w:color="auto"/>
        <w:bottom w:val="none" w:sz="0" w:space="0" w:color="auto"/>
        <w:right w:val="none" w:sz="0" w:space="0" w:color="auto"/>
      </w:divBdr>
    </w:div>
    <w:div w:id="1459882349">
      <w:bodyDiv w:val="1"/>
      <w:marLeft w:val="0"/>
      <w:marRight w:val="0"/>
      <w:marTop w:val="0"/>
      <w:marBottom w:val="0"/>
      <w:divBdr>
        <w:top w:val="none" w:sz="0" w:space="0" w:color="auto"/>
        <w:left w:val="none" w:sz="0" w:space="0" w:color="auto"/>
        <w:bottom w:val="none" w:sz="0" w:space="0" w:color="auto"/>
        <w:right w:val="none" w:sz="0" w:space="0" w:color="auto"/>
      </w:divBdr>
    </w:div>
    <w:div w:id="1516841611">
      <w:bodyDiv w:val="1"/>
      <w:marLeft w:val="0"/>
      <w:marRight w:val="0"/>
      <w:marTop w:val="0"/>
      <w:marBottom w:val="0"/>
      <w:divBdr>
        <w:top w:val="none" w:sz="0" w:space="0" w:color="auto"/>
        <w:left w:val="none" w:sz="0" w:space="0" w:color="auto"/>
        <w:bottom w:val="none" w:sz="0" w:space="0" w:color="auto"/>
        <w:right w:val="none" w:sz="0" w:space="0" w:color="auto"/>
      </w:divBdr>
    </w:div>
    <w:div w:id="1519193775">
      <w:bodyDiv w:val="1"/>
      <w:marLeft w:val="0"/>
      <w:marRight w:val="0"/>
      <w:marTop w:val="0"/>
      <w:marBottom w:val="0"/>
      <w:divBdr>
        <w:top w:val="none" w:sz="0" w:space="0" w:color="auto"/>
        <w:left w:val="none" w:sz="0" w:space="0" w:color="auto"/>
        <w:bottom w:val="none" w:sz="0" w:space="0" w:color="auto"/>
        <w:right w:val="none" w:sz="0" w:space="0" w:color="auto"/>
      </w:divBdr>
    </w:div>
    <w:div w:id="1539583202">
      <w:bodyDiv w:val="1"/>
      <w:marLeft w:val="0"/>
      <w:marRight w:val="0"/>
      <w:marTop w:val="0"/>
      <w:marBottom w:val="0"/>
      <w:divBdr>
        <w:top w:val="none" w:sz="0" w:space="0" w:color="auto"/>
        <w:left w:val="none" w:sz="0" w:space="0" w:color="auto"/>
        <w:bottom w:val="none" w:sz="0" w:space="0" w:color="auto"/>
        <w:right w:val="none" w:sz="0" w:space="0" w:color="auto"/>
      </w:divBdr>
    </w:div>
    <w:div w:id="1612735862">
      <w:bodyDiv w:val="1"/>
      <w:marLeft w:val="0"/>
      <w:marRight w:val="0"/>
      <w:marTop w:val="0"/>
      <w:marBottom w:val="0"/>
      <w:divBdr>
        <w:top w:val="none" w:sz="0" w:space="0" w:color="auto"/>
        <w:left w:val="none" w:sz="0" w:space="0" w:color="auto"/>
        <w:bottom w:val="none" w:sz="0" w:space="0" w:color="auto"/>
        <w:right w:val="none" w:sz="0" w:space="0" w:color="auto"/>
      </w:divBdr>
    </w:div>
    <w:div w:id="1692220913">
      <w:bodyDiv w:val="1"/>
      <w:marLeft w:val="0"/>
      <w:marRight w:val="0"/>
      <w:marTop w:val="0"/>
      <w:marBottom w:val="0"/>
      <w:divBdr>
        <w:top w:val="none" w:sz="0" w:space="0" w:color="auto"/>
        <w:left w:val="none" w:sz="0" w:space="0" w:color="auto"/>
        <w:bottom w:val="none" w:sz="0" w:space="0" w:color="auto"/>
        <w:right w:val="none" w:sz="0" w:space="0" w:color="auto"/>
      </w:divBdr>
    </w:div>
    <w:div w:id="1755129532">
      <w:bodyDiv w:val="1"/>
      <w:marLeft w:val="0"/>
      <w:marRight w:val="0"/>
      <w:marTop w:val="0"/>
      <w:marBottom w:val="0"/>
      <w:divBdr>
        <w:top w:val="none" w:sz="0" w:space="0" w:color="auto"/>
        <w:left w:val="none" w:sz="0" w:space="0" w:color="auto"/>
        <w:bottom w:val="none" w:sz="0" w:space="0" w:color="auto"/>
        <w:right w:val="none" w:sz="0" w:space="0" w:color="auto"/>
      </w:divBdr>
    </w:div>
    <w:div w:id="1760828458">
      <w:bodyDiv w:val="1"/>
      <w:marLeft w:val="0"/>
      <w:marRight w:val="0"/>
      <w:marTop w:val="0"/>
      <w:marBottom w:val="0"/>
      <w:divBdr>
        <w:top w:val="none" w:sz="0" w:space="0" w:color="auto"/>
        <w:left w:val="none" w:sz="0" w:space="0" w:color="auto"/>
        <w:bottom w:val="none" w:sz="0" w:space="0" w:color="auto"/>
        <w:right w:val="none" w:sz="0" w:space="0" w:color="auto"/>
      </w:divBdr>
    </w:div>
    <w:div w:id="1787431407">
      <w:bodyDiv w:val="1"/>
      <w:marLeft w:val="0"/>
      <w:marRight w:val="0"/>
      <w:marTop w:val="0"/>
      <w:marBottom w:val="0"/>
      <w:divBdr>
        <w:top w:val="none" w:sz="0" w:space="0" w:color="auto"/>
        <w:left w:val="none" w:sz="0" w:space="0" w:color="auto"/>
        <w:bottom w:val="none" w:sz="0" w:space="0" w:color="auto"/>
        <w:right w:val="none" w:sz="0" w:space="0" w:color="auto"/>
      </w:divBdr>
    </w:div>
    <w:div w:id="1837766678">
      <w:bodyDiv w:val="1"/>
      <w:marLeft w:val="0"/>
      <w:marRight w:val="0"/>
      <w:marTop w:val="0"/>
      <w:marBottom w:val="0"/>
      <w:divBdr>
        <w:top w:val="none" w:sz="0" w:space="0" w:color="auto"/>
        <w:left w:val="none" w:sz="0" w:space="0" w:color="auto"/>
        <w:bottom w:val="none" w:sz="0" w:space="0" w:color="auto"/>
        <w:right w:val="none" w:sz="0" w:space="0" w:color="auto"/>
      </w:divBdr>
    </w:div>
    <w:div w:id="1900625147">
      <w:bodyDiv w:val="1"/>
      <w:marLeft w:val="0"/>
      <w:marRight w:val="0"/>
      <w:marTop w:val="0"/>
      <w:marBottom w:val="0"/>
      <w:divBdr>
        <w:top w:val="none" w:sz="0" w:space="0" w:color="auto"/>
        <w:left w:val="none" w:sz="0" w:space="0" w:color="auto"/>
        <w:bottom w:val="none" w:sz="0" w:space="0" w:color="auto"/>
        <w:right w:val="none" w:sz="0" w:space="0" w:color="auto"/>
      </w:divBdr>
    </w:div>
    <w:div w:id="1990790661">
      <w:bodyDiv w:val="1"/>
      <w:marLeft w:val="0"/>
      <w:marRight w:val="0"/>
      <w:marTop w:val="0"/>
      <w:marBottom w:val="0"/>
      <w:divBdr>
        <w:top w:val="none" w:sz="0" w:space="0" w:color="auto"/>
        <w:left w:val="none" w:sz="0" w:space="0" w:color="auto"/>
        <w:bottom w:val="none" w:sz="0" w:space="0" w:color="auto"/>
        <w:right w:val="none" w:sz="0" w:space="0" w:color="auto"/>
      </w:divBdr>
    </w:div>
    <w:div w:id="2025283165">
      <w:bodyDiv w:val="1"/>
      <w:marLeft w:val="0"/>
      <w:marRight w:val="0"/>
      <w:marTop w:val="0"/>
      <w:marBottom w:val="0"/>
      <w:divBdr>
        <w:top w:val="none" w:sz="0" w:space="0" w:color="auto"/>
        <w:left w:val="none" w:sz="0" w:space="0" w:color="auto"/>
        <w:bottom w:val="none" w:sz="0" w:space="0" w:color="auto"/>
        <w:right w:val="none" w:sz="0" w:space="0" w:color="auto"/>
      </w:divBdr>
    </w:div>
    <w:div w:id="2038971411">
      <w:bodyDiv w:val="1"/>
      <w:marLeft w:val="0"/>
      <w:marRight w:val="0"/>
      <w:marTop w:val="0"/>
      <w:marBottom w:val="0"/>
      <w:divBdr>
        <w:top w:val="none" w:sz="0" w:space="0" w:color="auto"/>
        <w:left w:val="none" w:sz="0" w:space="0" w:color="auto"/>
        <w:bottom w:val="none" w:sz="0" w:space="0" w:color="auto"/>
        <w:right w:val="none" w:sz="0" w:space="0" w:color="auto"/>
      </w:divBdr>
    </w:div>
    <w:div w:id="210688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0140139.2013.838643" TargetMode="External"/><Relationship Id="rId18" Type="http://schemas.openxmlformats.org/officeDocument/2006/relationships/hyperlink" Target="https://doi.org/10.1787/9789264304604-en" TargetMode="External"/><Relationship Id="rId3" Type="http://schemas.openxmlformats.org/officeDocument/2006/relationships/styles" Target="styles.xml"/><Relationship Id="rId21" Type="http://schemas.openxmlformats.org/officeDocument/2006/relationships/hyperlink" Target="https://doi.org/10.2196/50376" TargetMode="External"/><Relationship Id="rId7" Type="http://schemas.openxmlformats.org/officeDocument/2006/relationships/endnotes" Target="endnotes.xml"/><Relationship Id="rId12" Type="http://schemas.openxmlformats.org/officeDocument/2006/relationships/hyperlink" Target="https://www.designcouncil.org.uk/our-resources/the-double-diamond/" TargetMode="External"/><Relationship Id="rId17" Type="http://schemas.openxmlformats.org/officeDocument/2006/relationships/hyperlink" Target="https://www.leadershipacademy.nhs.uk/healthcare-leadership-model/?utm_source=chatgpt.com" TargetMode="External"/><Relationship Id="rId2" Type="http://schemas.openxmlformats.org/officeDocument/2006/relationships/numbering" Target="numbering.xml"/><Relationship Id="rId16" Type="http://schemas.openxmlformats.org/officeDocument/2006/relationships/hyperlink" Target="https://doi.org/10.1186/1748-5908-6-42" TargetMode="External"/><Relationship Id="rId20" Type="http://schemas.openxmlformats.org/officeDocument/2006/relationships/hyperlink" Target="https://www.basicbooks.com/titles/donald-a-schon/the-reflective-practitioner/978046506878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07/s15326934crj1803_1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0038038509103208" TargetMode="External"/><Relationship Id="rId23" Type="http://schemas.openxmlformats.org/officeDocument/2006/relationships/fontTable" Target="fontTable.xml"/><Relationship Id="rId10" Type="http://schemas.openxmlformats.org/officeDocument/2006/relationships/hyperlink" Target="https://doi.org/10.1377/hlthaff.27.3.759" TargetMode="External"/><Relationship Id="rId19" Type="http://schemas.openxmlformats.org/officeDocument/2006/relationships/hyperlink" Target="https://doi.org/10.1080/10400419.2012.6500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96/38144"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C9174-86AA-4A22-A0AF-C598D0EA8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12</Pages>
  <Words>3598</Words>
  <Characters>20512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24</cp:revision>
  <cp:lastPrinted>2025-04-11T13:17:00Z</cp:lastPrinted>
  <dcterms:created xsi:type="dcterms:W3CDTF">2025-04-11T12:09:00Z</dcterms:created>
  <dcterms:modified xsi:type="dcterms:W3CDTF">2026-07-21T10:09:00Z</dcterms:modified>
</cp:coreProperties>
</file>