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10AE1" w14:textId="556F7E86" w:rsidR="00CF17A6" w:rsidRPr="00CF17A6" w:rsidRDefault="00CF17A6">
      <w:pPr>
        <w:rPr>
          <w:b/>
          <w:bCs/>
          <w:u w:val="single"/>
        </w:rPr>
      </w:pPr>
      <w:r w:rsidRPr="00CF17A6">
        <w:rPr>
          <w:b/>
          <w:bCs/>
          <w:u w:val="single"/>
        </w:rPr>
        <w:t>Introduction</w:t>
      </w:r>
    </w:p>
    <w:p w14:paraId="16163F72" w14:textId="2079B424" w:rsidR="00253964" w:rsidRDefault="00683485">
      <w:r>
        <w:t xml:space="preserve">A </w:t>
      </w:r>
      <w:r w:rsidRPr="00683485">
        <w:t xml:space="preserve">Lateral Ankle Sprain (LAS) </w:t>
      </w:r>
      <w:r>
        <w:t>is</w:t>
      </w:r>
      <w:r w:rsidRPr="00683485">
        <w:t xml:space="preserve"> one of the most frequent peripheral musculoskeletal injuries in sports and exercise, </w:t>
      </w:r>
      <w:r>
        <w:t xml:space="preserve">making up </w:t>
      </w:r>
      <w:r w:rsidRPr="00683485">
        <w:t>20% of all sport</w:t>
      </w:r>
      <w:r>
        <w:t>ing</w:t>
      </w:r>
      <w:r w:rsidRPr="00683485">
        <w:t xml:space="preserve"> injuries (Gribble et al., 2021). Due to excessive inversion and plantarflexion of the joint, LAS injury typically affects the Anterior Talofibular Ligament (ATFL) </w:t>
      </w:r>
      <w:r>
        <w:t>with the potential to also injure</w:t>
      </w:r>
      <w:r w:rsidRPr="00683485">
        <w:t xml:space="preserve"> the calcaneofibular ligament (CFL) (van Dijk et al., 2018). </w:t>
      </w:r>
      <w:r>
        <w:t>Some healthcare professionals and allied healthcare professionals consider an ATFL injury to be</w:t>
      </w:r>
      <w:r w:rsidRPr="00683485">
        <w:t xml:space="preserve"> ‘minor,’ </w:t>
      </w:r>
      <w:r>
        <w:t xml:space="preserve">however, </w:t>
      </w:r>
      <w:r w:rsidRPr="00683485">
        <w:t>current evidence points to LAS injur</w:t>
      </w:r>
      <w:r>
        <w:t>ies</w:t>
      </w:r>
      <w:r w:rsidRPr="00683485">
        <w:t xml:space="preserve"> playing an important contributory role in chronic ankle instability, proprioceptive dysfunction, and </w:t>
      </w:r>
      <w:r w:rsidR="00A4190A" w:rsidRPr="00683485">
        <w:t>persistent</w:t>
      </w:r>
      <w:r w:rsidRPr="00683485">
        <w:t xml:space="preserve"> ankle sprains, along with their consequent influence on physical performance and joint health (Delahunt et al., 2019).</w:t>
      </w:r>
      <w:r>
        <w:t xml:space="preserve"> Past models of the approach to injury treatment</w:t>
      </w:r>
      <w:r w:rsidRPr="00683485">
        <w:t xml:space="preserve"> </w:t>
      </w:r>
      <w:r>
        <w:t xml:space="preserve">include the </w:t>
      </w:r>
      <w:r w:rsidRPr="00683485">
        <w:t>RICE principle,</w:t>
      </w:r>
      <w:r>
        <w:t xml:space="preserve"> however, this has</w:t>
      </w:r>
      <w:r w:rsidRPr="00683485">
        <w:t xml:space="preserve"> been brought progressively into question in preference for progressive loading in line with current perceptions of joint healing and neuromuscular function (Bleakley et al., 2012). This </w:t>
      </w:r>
      <w:r>
        <w:t>assignment</w:t>
      </w:r>
      <w:r w:rsidRPr="00683485">
        <w:t xml:space="preserve"> </w:t>
      </w:r>
      <w:r>
        <w:t>aims</w:t>
      </w:r>
      <w:r w:rsidRPr="00683485">
        <w:t xml:space="preserve"> to critically evaluate the joint subjective and objective clinical presentation of LAS injury, explore differential diagnosis, and critique the logic and process of referrals to image or surgically treat the injury. By correlating evidence-based theory with practice, th</w:t>
      </w:r>
      <w:r>
        <w:t>is</w:t>
      </w:r>
      <w:r w:rsidRPr="00683485">
        <w:t xml:space="preserve"> </w:t>
      </w:r>
      <w:r>
        <w:t>assignment</w:t>
      </w:r>
      <w:r w:rsidRPr="00683485">
        <w:t xml:space="preserve"> offers to promote an in-depth insight </w:t>
      </w:r>
      <w:r>
        <w:t xml:space="preserve">to the </w:t>
      </w:r>
      <w:r w:rsidR="007B11C8">
        <w:t>LAS</w:t>
      </w:r>
      <w:r>
        <w:t xml:space="preserve"> diagnosis and how it can present in a clinical setting. </w:t>
      </w:r>
      <w:r w:rsidR="000F4247">
        <w:t xml:space="preserve">Recent evidence challenges older evidence because it states that ligament damage </w:t>
      </w:r>
      <w:r w:rsidR="00FF40AB">
        <w:t>cannot be the sole reason for reinjury, but that motor control and psy</w:t>
      </w:r>
      <w:r w:rsidR="00E1103C">
        <w:t>chological factors also need to be considered (Delahunt et al., 2019)</w:t>
      </w:r>
    </w:p>
    <w:p w14:paraId="4B01EB01" w14:textId="1686ED5C" w:rsidR="00CF17A6" w:rsidRPr="00CF17A6" w:rsidRDefault="00CF17A6">
      <w:pPr>
        <w:rPr>
          <w:b/>
          <w:bCs/>
          <w:u w:val="single"/>
        </w:rPr>
      </w:pPr>
      <w:r w:rsidRPr="00CF17A6">
        <w:rPr>
          <w:b/>
          <w:bCs/>
          <w:u w:val="single"/>
        </w:rPr>
        <w:t xml:space="preserve">Overview of the injury </w:t>
      </w:r>
    </w:p>
    <w:p w14:paraId="553FC8EF" w14:textId="67B228A0" w:rsidR="00CF17A6" w:rsidRDefault="00CF17A6" w:rsidP="00CF17A6">
      <w:r>
        <w:t xml:space="preserve">A Lateral Ankle Sprain (LAS) is a musculoskeletal injury to the periphery, which affects one or more of the three collateral ligaments on the lateral side of the ankle joint, specifically the Anterior Talofibular Ligament (ATFL), the Calcaneofibular Ligament (CFL) and the Posterior Talofibular Ligament (PTFL) (van Dijk, Leeuw, &amp; Scholten, 2018). Lateral Ankle Sprains typically occur in games involving sprinting, changes of direction and landing from jumps, such as in football, basketball, and Netball (Gribble et al., 2021). From an epidemiological perspective, LAS is one of the most common sports injuries, with the highest rate of relapse estimated at 70% (Herzog et al., 2019). Chronic ankle instability (CAI) typically develops </w:t>
      </w:r>
      <w:proofErr w:type="gramStart"/>
      <w:r>
        <w:t>as a result of</w:t>
      </w:r>
      <w:proofErr w:type="gramEnd"/>
      <w:r>
        <w:t xml:space="preserve"> recurring ankle sprains, which results in mechanical instability and poor neuromuscular recruitment (Hertel, 2002). Ankle instability might contribute towards the athlete's susceptibility to injuries and joint degeneration in their young years (Delahunt et al., 2019). The level of severity is categorised into three grades: Grade I, involving ligament strain with minimal fibre disruption; Grade II, involving a partial tear; and Grade III, involving complete ruptures (Bleakley, Glasgow &amp; </w:t>
      </w:r>
      <w:proofErr w:type="spellStart"/>
      <w:r>
        <w:t>MacAuley</w:t>
      </w:r>
      <w:proofErr w:type="spellEnd"/>
      <w:r>
        <w:t xml:space="preserve">, 2012). These categories provide guidance on treatment. However, current discussions question </w:t>
      </w:r>
      <w:r>
        <w:lastRenderedPageBreak/>
        <w:t>the usefulness of such categories, as they often reduce complex cases involving multiple contributing factors, recommending models involving biomechanics, proprioception, and psychosocial elements (Gribble et al., 2021).</w:t>
      </w:r>
      <w:r w:rsidRPr="00CF17A6">
        <w:t xml:space="preserve"> </w:t>
      </w:r>
      <w:r w:rsidR="00E1103C">
        <w:t>However, research is divided</w:t>
      </w:r>
      <w:r w:rsidR="00DA3D2F">
        <w:t xml:space="preserve"> on whether LAS are due to neuromuscular differences or laxity within the ankle joint</w:t>
      </w:r>
      <w:r w:rsidR="003032D0">
        <w:t>. New research suggests</w:t>
      </w:r>
      <w:r w:rsidR="004C00A1">
        <w:t xml:space="preserve"> LAS injuries occur because of proprioceptive impairments, whilst older research suggests it’s because of ligament instability (Hertel, 2002) (Delahunt et al., 2019).</w:t>
      </w:r>
    </w:p>
    <w:p w14:paraId="26128153" w14:textId="77E8B270" w:rsidR="00CF17A6" w:rsidRPr="00CF17A6" w:rsidRDefault="00CF17A6" w:rsidP="00CF17A6">
      <w:pPr>
        <w:rPr>
          <w:b/>
          <w:bCs/>
          <w:u w:val="single"/>
        </w:rPr>
      </w:pPr>
      <w:r w:rsidRPr="00CF17A6">
        <w:rPr>
          <w:b/>
          <w:bCs/>
          <w:u w:val="single"/>
        </w:rPr>
        <w:t>Clinical Presentations</w:t>
      </w:r>
    </w:p>
    <w:p w14:paraId="1AC80FD3" w14:textId="2A1C093B" w:rsidR="00CF17A6" w:rsidRDefault="00CF17A6" w:rsidP="00CF17A6">
      <w:r>
        <w:t xml:space="preserve">The most common mechanism of injury to these ligaments is excessive inversion and plantarflexion of the foot, often leading to overstretching or tearing of the ligaments (Delahunt, Remus, &amp; Kelly, 2019). It’s common for athletes to describe a ‘rolling’ of the ankle and a popping sensation or sound (Delahunt, Remus and Kelly, 2019). This mechanism places stress on the ATFL as it’s the weakest of the three lateral ligaments (Hertel, 2002). The pain experienced is usually localised to the lateral aspect of the ankle and is a sharp pain which then evolves to a dull ache during the inflammatory phase (Bleakley, Glasgow and </w:t>
      </w:r>
      <w:proofErr w:type="spellStart"/>
      <w:r>
        <w:t>MacAuley</w:t>
      </w:r>
      <w:proofErr w:type="spellEnd"/>
      <w:r>
        <w:t>, 2012). The severity of the pain depends on the degree of the ligament damage, however, high grade tears can occasionally cause less pain due to the neural damage or acute swelling which reduces the sensitivity of the nociceptor (Gribble et al., 2021). The pain will radiate anteriorly and inferiorly starting at the lateral malleolus.</w:t>
      </w:r>
      <w:r w:rsidR="00BD5FF1">
        <w:t xml:space="preserve"> The pain from a lateral ankle sprain is aggravated by inverting or plantarflexing the ankle, weight-bearing, or by walking on uneven surfaces (Delahunt et al., 2019). Easing factors can vary from rest and elevation, cryotherapy, or the POLICE theory which involves protection, optimal loading, ice, compression and elevation (Bleakley, Glasgow and </w:t>
      </w:r>
      <w:proofErr w:type="spellStart"/>
      <w:r w:rsidR="00BD5FF1">
        <w:t>MacAuley</w:t>
      </w:r>
      <w:proofErr w:type="spellEnd"/>
      <w:r w:rsidR="00BD5FF1">
        <w:t xml:space="preserve">, 2012). In acute lateral ankle sprains, the pain is worse immediately after the injury and for the next 48 hours because the inflammatory mediators increase vascular permeability which allows for swelling </w:t>
      </w:r>
      <w:r w:rsidR="006B737A">
        <w:t xml:space="preserve">and increased blood flow to the area </w:t>
      </w:r>
      <w:r w:rsidR="00BD5FF1">
        <w:t>(Hertel, 2002). It is common for the ankle to be stiff in the mornings and to have some pain at night, however, these usually stop with progressive loading and mobility work (van Dijk et al., 2018). Sleep is most disturbed during the acute inflammatory phase because there is usually a throbbing pain and swelling. By using compression and elevating the leg, the night pain can be decreased (Herzog et al., 2019)</w:t>
      </w:r>
      <w:r w:rsidR="005A52F4" w:rsidRPr="005A52F4">
        <w:t xml:space="preserve"> </w:t>
      </w:r>
      <w:r w:rsidR="005A52F4">
        <w:t>(van Rijn et al. 2017)</w:t>
      </w:r>
      <w:r w:rsidR="00BD5FF1">
        <w:t>. Non-steroidal anti-inflammatory drugs</w:t>
      </w:r>
      <w:r w:rsidR="00B51554">
        <w:t xml:space="preserve"> (NSAIDs)</w:t>
      </w:r>
      <w:r w:rsidR="00BD5FF1">
        <w:t xml:space="preserve"> can usually help with partial pain relief within 72 hours, however, taking excessive anti-inflammatories can delay tissue healing by blocking the inflammatory phase (Bleakley et al., 2012)</w:t>
      </w:r>
      <w:r w:rsidR="005421AE">
        <w:t>.</w:t>
      </w:r>
    </w:p>
    <w:p w14:paraId="3BFA05A0" w14:textId="24900DB8" w:rsidR="004C00A1" w:rsidRDefault="00BD5FF1" w:rsidP="00CF17A6">
      <w:r>
        <w:t>Lateral ankle deformity and visible swelling are observational findings that can characterise a LAS (Gribble et al., 2021)</w:t>
      </w:r>
      <w:r w:rsidR="0094634D" w:rsidRPr="0094634D">
        <w:t xml:space="preserve"> </w:t>
      </w:r>
      <w:r w:rsidR="0094634D">
        <w:t>(de Vos et al. 2010)</w:t>
      </w:r>
      <w:r>
        <w:t xml:space="preserve">. Bruising around the ankle and down towards the midfoot can also indicate </w:t>
      </w:r>
      <w:r w:rsidR="0049340F">
        <w:t>ligament damage an</w:t>
      </w:r>
      <w:r w:rsidR="00400215">
        <w:t>d/</w:t>
      </w:r>
      <w:r w:rsidR="0049340F">
        <w:t xml:space="preserve">or peroneal tendon damage. </w:t>
      </w:r>
      <w:r w:rsidR="0049340F">
        <w:lastRenderedPageBreak/>
        <w:t xml:space="preserve">Reduced passive and active range of movement in inversion and plantarflexion is expected because of the swelling and pain. However, research suggests that if ROM is restored early on, it can be a good indication of recovery (Bleakley et al., 2012). The peroneus longus and </w:t>
      </w:r>
      <w:r w:rsidR="001720B2">
        <w:t xml:space="preserve">peroneus </w:t>
      </w:r>
      <w:r w:rsidR="0049340F">
        <w:t>brevis are the muscles that evert the ankl</w:t>
      </w:r>
      <w:r w:rsidR="001720B2">
        <w:t>e and it is common to experience pain in this area as result of direct tendon strain (Delahunt et al., 2019). To test the ATFL integrity, an anterior draw test is performed by having the foot in slight plantarflexion, stabilising the tibia and fibula and by pulling the heel forward. If the talus translation is more than normal</w:t>
      </w:r>
      <w:r w:rsidR="00AF776A">
        <w:t xml:space="preserve"> (3-5mm)</w:t>
      </w:r>
      <w:r w:rsidR="001720B2">
        <w:t xml:space="preserve">, it means there is a potential partial tear or complete tear (van Dijk et al., 2018). A talar tilt test can also be done to evaluate the damage of the CFL. This is similar to the anterior draw test but the heel in turned inwards for inversion. Pain or tenderness when palpating over there </w:t>
      </w:r>
      <w:proofErr w:type="spellStart"/>
      <w:r w:rsidR="001720B2">
        <w:t>CFl</w:t>
      </w:r>
      <w:proofErr w:type="spellEnd"/>
      <w:r w:rsidR="001720B2">
        <w:t xml:space="preserve">, ATFL and lateral malleolus can indicate a sprain (Delahunt et al., 2019). </w:t>
      </w:r>
      <w:r w:rsidR="004F2DEB">
        <w:t>Although the clinical tests are used worldwide, sensitivity can vary in the acute stages due to swelling and pain, so relying on a single test can increase the risk in misdiagnosing (Van Dijk et al., 2018). MRI’s</w:t>
      </w:r>
      <w:r w:rsidR="001720B2">
        <w:t xml:space="preserve"> and ultrasounds can be used to </w:t>
      </w:r>
      <w:r w:rsidR="0055321F">
        <w:t>identify</w:t>
      </w:r>
      <w:r w:rsidR="001720B2">
        <w:t xml:space="preserve"> any ligament disruption or damage, tendon pathology or any lesions (van Dijk et al., 2018). Radiographic imaging such as X-rays can be used but they must follow the Ottawa Ankle rules to exclude fractures, where the pain is over bony landmarks such as the lateral malleolus, base of 5</w:t>
      </w:r>
      <w:r w:rsidR="001720B2" w:rsidRPr="001720B2">
        <w:rPr>
          <w:vertAlign w:val="superscript"/>
        </w:rPr>
        <w:t>th</w:t>
      </w:r>
      <w:r w:rsidR="001720B2">
        <w:t xml:space="preserve"> metatarsal or if they cannot walk or weight bear (</w:t>
      </w:r>
      <w:proofErr w:type="spellStart"/>
      <w:r w:rsidR="001720B2">
        <w:t>Stiell</w:t>
      </w:r>
      <w:proofErr w:type="spellEnd"/>
      <w:r w:rsidR="001720B2">
        <w:t xml:space="preserve"> et al., 1992).</w:t>
      </w:r>
      <w:r w:rsidR="004F2DEB">
        <w:t xml:space="preserve"> </w:t>
      </w:r>
    </w:p>
    <w:p w14:paraId="5E701A46" w14:textId="7C2D39F9" w:rsidR="001720B2" w:rsidRPr="001720B2" w:rsidRDefault="001720B2" w:rsidP="00CF17A6">
      <w:pPr>
        <w:rPr>
          <w:b/>
          <w:bCs/>
          <w:u w:val="single"/>
        </w:rPr>
      </w:pPr>
      <w:r w:rsidRPr="001720B2">
        <w:rPr>
          <w:b/>
          <w:bCs/>
          <w:u w:val="single"/>
        </w:rPr>
        <w:t xml:space="preserve">Differential </w:t>
      </w:r>
      <w:r>
        <w:rPr>
          <w:b/>
          <w:bCs/>
          <w:u w:val="single"/>
        </w:rPr>
        <w:t>D</w:t>
      </w:r>
      <w:r w:rsidRPr="001720B2">
        <w:rPr>
          <w:b/>
          <w:bCs/>
          <w:u w:val="single"/>
        </w:rPr>
        <w:t xml:space="preserve">iagnosis </w:t>
      </w:r>
    </w:p>
    <w:p w14:paraId="0CC2671C" w14:textId="2668BC60" w:rsidR="00CF17A6" w:rsidRDefault="001720B2" w:rsidP="00CF17A6">
      <w:r>
        <w:t>To be able to diagnose a LAS accurately, a systematic approach much be used so that other musculoskeletal (MSK) and non-MSK injuries or conditions can be ruled out even when presenting with similar symptoms. Delahunt, Remus and Kelly (2019) stated that misdiagnosis can lead to delayed recovery</w:t>
      </w:r>
      <w:r w:rsidR="003C5F80">
        <w:t xml:space="preserve"> and delayed return to play</w:t>
      </w:r>
      <w:r>
        <w:t>. Acute pain and swelling of an LAS can also be confused with a fracture of the lateral malleolus, base of 5</w:t>
      </w:r>
      <w:r w:rsidRPr="001720B2">
        <w:rPr>
          <w:vertAlign w:val="superscript"/>
        </w:rPr>
        <w:t>th</w:t>
      </w:r>
      <w:r>
        <w:t xml:space="preserve"> metatarsal or the talar dome (van Dijk, de Leeuw and Scholten, 2018). However, constant pain over these areas </w:t>
      </w:r>
      <w:proofErr w:type="gramStart"/>
      <w:r>
        <w:t>are</w:t>
      </w:r>
      <w:proofErr w:type="gramEnd"/>
      <w:r>
        <w:t xml:space="preserve"> a red flag and the Ottawa Ankle Rules should be followed to rule out any bony damage (Herzog et al., 2019). Another injury that presents similar to an LAS is a syndesmotic injury. This involves disruption of the anterior inferior tibiofibular ligament and interosseous membrane. However, with this injury the pain is higher up on the ankle. To differentiate between this injury and an LAS, the squeeze test can be done, where the tibia and fibular are squeezed together (Williams, Allen and Waddington, 2021).</w:t>
      </w:r>
      <w:r w:rsidR="00A67D58">
        <w:t xml:space="preserve"> These injuries usually occur with external rotation and dorsiflexion because it goes against the typical mechanism of an LAS. </w:t>
      </w:r>
      <w:r w:rsidR="00C54AD5">
        <w:t>Peroneal tendon injuries can sometimes mimic an LAS because there can be presenting posterior lateral ankle pain and what would be described as a snapping or flicking sensation happening behind the lateral malleolus (Delahunt et al., 2019). An MRI or ultrasound is often needed to differentiate between the two. However, when testing, if there is pain o</w:t>
      </w:r>
      <w:r w:rsidR="005D1192">
        <w:t>n</w:t>
      </w:r>
      <w:r w:rsidR="00C54AD5">
        <w:t xml:space="preserve"> resisted eversion and the</w:t>
      </w:r>
      <w:r w:rsidR="005D1192">
        <w:t>re</w:t>
      </w:r>
      <w:r w:rsidR="00C54AD5">
        <w:t xml:space="preserve"> is tenderness or pain posterior </w:t>
      </w:r>
      <w:r w:rsidR="00C54AD5">
        <w:lastRenderedPageBreak/>
        <w:t>to the fibula</w:t>
      </w:r>
      <w:r w:rsidR="005D1192">
        <w:t>,</w:t>
      </w:r>
      <w:r w:rsidR="00C54AD5">
        <w:t xml:space="preserve"> then this can be a good indication (Martin et al., 2021). A subtalar joint sprain can also present in very similar </w:t>
      </w:r>
      <w:proofErr w:type="gramStart"/>
      <w:r w:rsidR="00C54AD5">
        <w:t>ways</w:t>
      </w:r>
      <w:r w:rsidR="00162434">
        <w:t>,</w:t>
      </w:r>
      <w:proofErr w:type="gramEnd"/>
      <w:r w:rsidR="00162434">
        <w:t xml:space="preserve"> h</w:t>
      </w:r>
      <w:r w:rsidR="00C54AD5">
        <w:t>oweve</w:t>
      </w:r>
      <w:r w:rsidR="00162434">
        <w:t>r</w:t>
      </w:r>
      <w:r w:rsidR="00C54AD5">
        <w:t xml:space="preserve"> the pain is often local to the lateral malleolus (Gribble et al., 2021). Peripheral nerve injuries involving the sural nerves or the superficial peroneal nerves can sometimes present with similar pain or discomfort, however, these can cause sensory loss to the dorsal side of the foot</w:t>
      </w:r>
      <w:r w:rsidR="00487DA5">
        <w:t xml:space="preserve"> which you would not get with a LAS</w:t>
      </w:r>
      <w:r w:rsidR="00C54AD5">
        <w:t xml:space="preserve"> (Hertel, 2002). Complex Regional Pain Syndrome (CRPS) can sometimes be disguised through acute sprains, however, temperature differences between both feet, colour changes and hypersensitivity can indicate CRPS, although it is a rare case (Wasner and Baron, 2017).</w:t>
      </w:r>
    </w:p>
    <w:p w14:paraId="36EC3C56" w14:textId="2AC1429A" w:rsidR="00C54AD5" w:rsidRDefault="00C54AD5" w:rsidP="00CF17A6">
      <w:pPr>
        <w:rPr>
          <w:b/>
          <w:bCs/>
          <w:u w:val="single"/>
        </w:rPr>
      </w:pPr>
      <w:r w:rsidRPr="00C54AD5">
        <w:rPr>
          <w:b/>
          <w:bCs/>
          <w:u w:val="single"/>
        </w:rPr>
        <w:t>Importance of Referrals</w:t>
      </w:r>
    </w:p>
    <w:p w14:paraId="3E069BD4" w14:textId="729F8C56" w:rsidR="00C54AD5" w:rsidRDefault="00C54AD5" w:rsidP="00CF17A6">
      <w:r>
        <w:t xml:space="preserve">Effective management of LAS means that therapists understand when treatment alone is not going to be sufficient and a referral for medical imaging is needed. Being quick with a referral not only speeds up getting an accurate diagnosis, but also prevents chronic instability, loss of function and reduces the likelihood of the return to sport being too soon (Gribble et al., 2021). </w:t>
      </w:r>
      <w:r w:rsidR="004815B3">
        <w:t xml:space="preserve">Referrals can </w:t>
      </w:r>
      <w:r w:rsidR="00622D29">
        <w:t xml:space="preserve">also help </w:t>
      </w:r>
      <w:r w:rsidR="000E05D9">
        <w:t xml:space="preserve">confirm the injury and grade it. </w:t>
      </w:r>
      <w:r w:rsidR="00306189">
        <w:t>Herzog</w:t>
      </w:r>
      <w:r w:rsidR="00B936AE">
        <w:t xml:space="preserve"> et al (2019) and Hertel (2002) </w:t>
      </w:r>
      <w:r w:rsidR="002C24ED">
        <w:t xml:space="preserve">both found that 40% of LAS patients </w:t>
      </w:r>
      <w:r w:rsidR="00B9180A">
        <w:t xml:space="preserve">develop </w:t>
      </w:r>
      <w:r w:rsidR="00E036F8">
        <w:t xml:space="preserve">into </w:t>
      </w:r>
      <w:r w:rsidR="00B9180A">
        <w:t xml:space="preserve">chronic instability </w:t>
      </w:r>
      <w:r w:rsidR="00E036F8">
        <w:t xml:space="preserve">of the ankle joint </w:t>
      </w:r>
      <w:proofErr w:type="gramStart"/>
      <w:r w:rsidR="00B9669A">
        <w:t>as a result of</w:t>
      </w:r>
      <w:proofErr w:type="gramEnd"/>
      <w:r w:rsidR="00B9669A">
        <w:t xml:space="preserve"> missed peroneal tears</w:t>
      </w:r>
      <w:r w:rsidR="001853F0">
        <w:t xml:space="preserve"> or undiagnosed ligament tears. Getting the referral in early for an ultrasound or an MRI </w:t>
      </w:r>
      <w:r w:rsidR="008268AB">
        <w:t xml:space="preserve">means therapists can see soft tissue injuries </w:t>
      </w:r>
      <w:r w:rsidR="00074C44">
        <w:t>and subtle fractures which would be missed on a regular X-ray (Martin et al., 2021).</w:t>
      </w:r>
      <w:r w:rsidR="000E05D9">
        <w:t xml:space="preserve"> </w:t>
      </w:r>
    </w:p>
    <w:p w14:paraId="24CE5B9F" w14:textId="77777777" w:rsidR="00F407E1" w:rsidRDefault="00CE5D62" w:rsidP="00CF17A6">
      <w:r>
        <w:t xml:space="preserve">Referrals </w:t>
      </w:r>
      <w:r w:rsidR="0016005E">
        <w:t xml:space="preserve">should be guided by objective and subjective signposts. If a patient presents with bony tenderness </w:t>
      </w:r>
      <w:r w:rsidR="00385C4D">
        <w:t>on the lateral malleolus or the mid foot, is unable to weight-bear, or if there is significant deformity, then the Ottawa Ankle Rules state that the individual needs to be referred immediately</w:t>
      </w:r>
      <w:r w:rsidR="006E2A99">
        <w:t xml:space="preserve"> for imaging</w:t>
      </w:r>
      <w:r w:rsidR="00385C4D">
        <w:t xml:space="preserve">. Early referral should also </w:t>
      </w:r>
      <w:r w:rsidR="00775E44">
        <w:t>be considered if the client still has pain 10 days after the injury and the swelling has not decreased at all</w:t>
      </w:r>
      <w:r w:rsidR="003371C9">
        <w:t xml:space="preserve">, or if there is noticeable instability at the ankle during the anterior drawer test or talar tilt test (Van Dijk et al., 2018). </w:t>
      </w:r>
      <w:r w:rsidR="000F7B81">
        <w:t>If the injury keeps happening</w:t>
      </w:r>
      <w:r w:rsidR="00651856">
        <w:t xml:space="preserve"> or if there is peroneal nerve involvement t</w:t>
      </w:r>
      <w:r w:rsidR="000F7B81">
        <w:t>he</w:t>
      </w:r>
      <w:r w:rsidR="00651856">
        <w:t>n</w:t>
      </w:r>
      <w:r w:rsidR="000F7B81">
        <w:t xml:space="preserve"> specialist referral is needed </w:t>
      </w:r>
      <w:r w:rsidR="00651856">
        <w:t>(Williams, Allen and Waddington, 2021).</w:t>
      </w:r>
    </w:p>
    <w:p w14:paraId="2F6B5695" w14:textId="75640A91" w:rsidR="00427336" w:rsidRPr="00C54AD5" w:rsidRDefault="00427336" w:rsidP="00CF17A6">
      <w:r>
        <w:t xml:space="preserve">When referring, therapists should follow </w:t>
      </w:r>
      <w:r w:rsidR="00954275">
        <w:t xml:space="preserve">an </w:t>
      </w:r>
      <w:r w:rsidR="00A540C7">
        <w:t>evidence-based</w:t>
      </w:r>
      <w:r w:rsidR="00954275">
        <w:t xml:space="preserve"> process. A formal letter must be written detailing the history of the injury, </w:t>
      </w:r>
      <w:r w:rsidR="00A540C7">
        <w:t xml:space="preserve">a description of the pain, mechanism of injury, the clinical findings such as ROM tests and </w:t>
      </w:r>
      <w:r w:rsidR="004E5742">
        <w:t>the ligament and muscles tests, as well as the reaso</w:t>
      </w:r>
      <w:r w:rsidR="00F407E1">
        <w:t>n</w:t>
      </w:r>
      <w:r w:rsidR="004E5742">
        <w:t xml:space="preserve"> for</w:t>
      </w:r>
      <w:r w:rsidR="00F407E1">
        <w:t xml:space="preserve"> wanting</w:t>
      </w:r>
      <w:r w:rsidR="004E5742">
        <w:t xml:space="preserve"> imaging</w:t>
      </w:r>
      <w:r w:rsidR="000D35E6">
        <w:t xml:space="preserve"> (Martin et al., 2021).</w:t>
      </w:r>
      <w:r w:rsidR="004E5742">
        <w:t xml:space="preserve"> </w:t>
      </w:r>
      <w:r w:rsidR="000D35E6">
        <w:t xml:space="preserve">It should also include what the suspected injury is </w:t>
      </w:r>
      <w:r w:rsidR="00727B1F">
        <w:t>and what kind of effect this is having on the athlete and their participation in sport</w:t>
      </w:r>
      <w:r w:rsidR="00BC4084">
        <w:t xml:space="preserve"> and day to day life.</w:t>
      </w:r>
    </w:p>
    <w:p w14:paraId="18D6DEDA" w14:textId="77777777" w:rsidR="00BC4084" w:rsidRDefault="00BC4084" w:rsidP="00CF17A6">
      <w:pPr>
        <w:rPr>
          <w:b/>
          <w:bCs/>
          <w:u w:val="single"/>
        </w:rPr>
      </w:pPr>
    </w:p>
    <w:p w14:paraId="636DDC3E" w14:textId="68DA46B1" w:rsidR="00C54AD5" w:rsidRDefault="005705E6" w:rsidP="00CF17A6">
      <w:pPr>
        <w:rPr>
          <w:b/>
          <w:bCs/>
          <w:u w:val="single"/>
        </w:rPr>
      </w:pPr>
      <w:r w:rsidRPr="005705E6">
        <w:rPr>
          <w:b/>
          <w:bCs/>
          <w:u w:val="single"/>
        </w:rPr>
        <w:lastRenderedPageBreak/>
        <w:t xml:space="preserve">Conclusion </w:t>
      </w:r>
    </w:p>
    <w:p w14:paraId="6DF10FB7" w14:textId="14C14E7F" w:rsidR="005705E6" w:rsidRDefault="005705E6" w:rsidP="00CF17A6">
      <w:r>
        <w:t>LAS remain one of the most common but complex injuries within sport</w:t>
      </w:r>
      <w:r w:rsidR="00F25992">
        <w:t xml:space="preserve">. The </w:t>
      </w:r>
      <w:r w:rsidR="00E36530">
        <w:t>long-term</w:t>
      </w:r>
      <w:r w:rsidR="00F25992">
        <w:t xml:space="preserve"> implications and reinjury risks</w:t>
      </w:r>
      <w:r w:rsidR="00FF0CA9">
        <w:t xml:space="preserve"> highlight how important it is to have </w:t>
      </w:r>
      <w:r w:rsidR="001F1124">
        <w:t xml:space="preserve">an </w:t>
      </w:r>
      <w:r w:rsidR="00FF0CA9">
        <w:t>accurate diagnosis</w:t>
      </w:r>
      <w:r w:rsidR="001B77D3">
        <w:t>. By</w:t>
      </w:r>
      <w:r w:rsidR="00FF0CA9">
        <w:t xml:space="preserve"> using a variety of different signposts </w:t>
      </w:r>
      <w:r w:rsidR="009E60C1">
        <w:t xml:space="preserve">and testing, whilst also considering the biomechanical and neuromuscular </w:t>
      </w:r>
      <w:r w:rsidR="00577AFD">
        <w:t xml:space="preserve">factors which add to the </w:t>
      </w:r>
      <w:r w:rsidR="002E129C">
        <w:t>injury</w:t>
      </w:r>
      <w:r w:rsidR="001B77D3">
        <w:t>, LAS can be identified early on.</w:t>
      </w:r>
      <w:r w:rsidR="002E129C">
        <w:t xml:space="preserve"> The overlap in injuries such as peroneal tendon tears and syndesmosis injuries </w:t>
      </w:r>
      <w:r w:rsidR="001D2F95">
        <w:t xml:space="preserve">further highlight the importance of an accurate diagnosis, and when necessary, referrals and further steps </w:t>
      </w:r>
      <w:r w:rsidR="00C42054">
        <w:t>need to be</w:t>
      </w:r>
      <w:r w:rsidR="001D2F95">
        <w:t xml:space="preserve"> taken</w:t>
      </w:r>
      <w:r w:rsidR="00E36530">
        <w:t xml:space="preserve">. </w:t>
      </w:r>
    </w:p>
    <w:p w14:paraId="798129D4" w14:textId="77777777" w:rsidR="000D5C3C" w:rsidRDefault="000D5C3C" w:rsidP="00CF17A6"/>
    <w:p w14:paraId="7667CD8E" w14:textId="77777777" w:rsidR="000D5C3C" w:rsidRDefault="000D5C3C" w:rsidP="00CF17A6"/>
    <w:p w14:paraId="1A0796E0" w14:textId="77777777" w:rsidR="000D5C3C" w:rsidRDefault="000D5C3C" w:rsidP="00CF17A6"/>
    <w:p w14:paraId="4C84D9D7" w14:textId="77777777" w:rsidR="000D5C3C" w:rsidRDefault="000D5C3C" w:rsidP="00CF17A6"/>
    <w:p w14:paraId="3D3D2532" w14:textId="77777777" w:rsidR="000D5C3C" w:rsidRDefault="000D5C3C" w:rsidP="00CF17A6"/>
    <w:p w14:paraId="495B6DFA" w14:textId="77777777" w:rsidR="000D5C3C" w:rsidRDefault="000D5C3C" w:rsidP="00CF17A6"/>
    <w:p w14:paraId="5FEAC5ED" w14:textId="77777777" w:rsidR="000D5C3C" w:rsidRDefault="000D5C3C" w:rsidP="00CF17A6"/>
    <w:p w14:paraId="4A80DA64" w14:textId="77777777" w:rsidR="000D5C3C" w:rsidRDefault="000D5C3C" w:rsidP="00CF17A6"/>
    <w:p w14:paraId="5A50BF77" w14:textId="77777777" w:rsidR="000D5C3C" w:rsidRDefault="000D5C3C" w:rsidP="00CF17A6"/>
    <w:p w14:paraId="0EE21CD0" w14:textId="77777777" w:rsidR="000D5C3C" w:rsidRDefault="000D5C3C" w:rsidP="00CF17A6"/>
    <w:p w14:paraId="7F075368" w14:textId="77777777" w:rsidR="000D5C3C" w:rsidRDefault="000D5C3C" w:rsidP="00CF17A6"/>
    <w:p w14:paraId="423BBE01" w14:textId="77777777" w:rsidR="000D5C3C" w:rsidRDefault="000D5C3C" w:rsidP="00CF17A6"/>
    <w:p w14:paraId="3B15A966" w14:textId="77777777" w:rsidR="000D5C3C" w:rsidRDefault="000D5C3C" w:rsidP="00CF17A6"/>
    <w:p w14:paraId="1A59CC71" w14:textId="77777777" w:rsidR="000D5C3C" w:rsidRDefault="000D5C3C" w:rsidP="00CF17A6"/>
    <w:p w14:paraId="0FB13D4E" w14:textId="77777777" w:rsidR="000D5C3C" w:rsidRDefault="000D5C3C" w:rsidP="00CF17A6"/>
    <w:p w14:paraId="4480E6FB" w14:textId="77777777" w:rsidR="000D5C3C" w:rsidRDefault="000D5C3C" w:rsidP="00CF17A6"/>
    <w:p w14:paraId="09D868C8" w14:textId="77777777" w:rsidR="000D5C3C" w:rsidRDefault="000D5C3C" w:rsidP="00CF17A6"/>
    <w:p w14:paraId="68CBB700" w14:textId="77777777" w:rsidR="000D5C3C" w:rsidRDefault="000D5C3C" w:rsidP="00CF17A6"/>
    <w:p w14:paraId="1317D45C" w14:textId="77777777" w:rsidR="000D5C3C" w:rsidRDefault="000D5C3C" w:rsidP="00CF17A6"/>
    <w:p w14:paraId="7C6D65E6" w14:textId="77777777" w:rsidR="000D5C3C" w:rsidRDefault="000D5C3C" w:rsidP="00CF17A6"/>
    <w:p w14:paraId="4FD5036C" w14:textId="6FADCCAD" w:rsidR="000D5C3C" w:rsidRDefault="000D5C3C" w:rsidP="00CF17A6">
      <w:pPr>
        <w:rPr>
          <w:b/>
          <w:bCs/>
          <w:u w:val="single"/>
        </w:rPr>
      </w:pPr>
      <w:r w:rsidRPr="000D5C3C">
        <w:rPr>
          <w:b/>
          <w:bCs/>
          <w:u w:val="single"/>
        </w:rPr>
        <w:lastRenderedPageBreak/>
        <w:t>Reference List</w:t>
      </w:r>
    </w:p>
    <w:p w14:paraId="4FC390D3" w14:textId="77777777" w:rsidR="000D5C3C" w:rsidRPr="00102841" w:rsidRDefault="000D5C3C" w:rsidP="000D5C3C">
      <w:pPr>
        <w:pStyle w:val="NormalWeb"/>
        <w:rPr>
          <w:rFonts w:asciiTheme="minorHAnsi" w:hAnsiTheme="minorHAnsi"/>
        </w:rPr>
      </w:pPr>
      <w:r w:rsidRPr="00102841">
        <w:rPr>
          <w:rFonts w:asciiTheme="minorHAnsi" w:hAnsiTheme="minorHAnsi"/>
        </w:rPr>
        <w:t xml:space="preserve">Bleakley, C.M., Glasgow, P. and MacAuley, D.C., 2012. </w:t>
      </w:r>
      <w:r w:rsidRPr="00102841">
        <w:rPr>
          <w:rStyle w:val="Emphasis"/>
          <w:rFonts w:asciiTheme="minorHAnsi" w:eastAsiaTheme="majorEastAsia" w:hAnsiTheme="minorHAnsi"/>
        </w:rPr>
        <w:t xml:space="preserve">PRICE </w:t>
      </w:r>
      <w:r w:rsidRPr="00102841">
        <w:rPr>
          <w:rStyle w:val="Emphasis"/>
          <w:rFonts w:asciiTheme="minorHAnsi" w:eastAsiaTheme="majorEastAsia" w:hAnsiTheme="minorHAnsi"/>
          <w:i w:val="0"/>
          <w:iCs w:val="0"/>
        </w:rPr>
        <w:t>needs updating, should we call the POLICE</w:t>
      </w:r>
      <w:r w:rsidRPr="00102841">
        <w:rPr>
          <w:rStyle w:val="Emphasis"/>
          <w:rFonts w:asciiTheme="minorHAnsi" w:eastAsiaTheme="majorEastAsia" w:hAnsiTheme="minorHAnsi"/>
        </w:rPr>
        <w:t>?</w:t>
      </w:r>
      <w:r w:rsidRPr="00102841">
        <w:rPr>
          <w:rFonts w:asciiTheme="minorHAnsi" w:hAnsiTheme="minorHAnsi"/>
        </w:rPr>
        <w:t xml:space="preserve"> </w:t>
      </w:r>
      <w:r w:rsidRPr="00102841">
        <w:rPr>
          <w:rStyle w:val="Strong"/>
          <w:rFonts w:asciiTheme="minorHAnsi" w:eastAsiaTheme="majorEastAsia" w:hAnsiTheme="minorHAnsi"/>
          <w:b w:val="0"/>
          <w:bCs w:val="0"/>
        </w:rPr>
        <w:t>British Journal of Sports Medicine</w:t>
      </w:r>
      <w:r w:rsidRPr="00102841">
        <w:rPr>
          <w:rFonts w:asciiTheme="minorHAnsi" w:hAnsiTheme="minorHAnsi"/>
        </w:rPr>
        <w:t>, 46(4), pp.220–221. https://doi.org/10.1136/bjsports-2011-090297</w:t>
      </w:r>
    </w:p>
    <w:p w14:paraId="22D6518F" w14:textId="77777777" w:rsidR="000D5C3C" w:rsidRPr="00102841" w:rsidRDefault="000D5C3C" w:rsidP="000D5C3C">
      <w:pPr>
        <w:pStyle w:val="NormalWeb"/>
        <w:rPr>
          <w:rFonts w:asciiTheme="minorHAnsi" w:hAnsiTheme="minorHAnsi"/>
        </w:rPr>
      </w:pPr>
      <w:r w:rsidRPr="00102841">
        <w:rPr>
          <w:rFonts w:asciiTheme="minorHAnsi" w:hAnsiTheme="minorHAnsi"/>
        </w:rPr>
        <w:t xml:space="preserve">Delahunt, E., Remus, A. and Kelly, L., 2019. </w:t>
      </w:r>
      <w:r w:rsidRPr="00102841">
        <w:rPr>
          <w:rStyle w:val="Emphasis"/>
          <w:rFonts w:asciiTheme="minorHAnsi" w:eastAsiaTheme="majorEastAsia" w:hAnsiTheme="minorHAnsi"/>
          <w:i w:val="0"/>
          <w:iCs w:val="0"/>
        </w:rPr>
        <w:t>Clinical assessment of acute lateral ankle sprain injuries: A critical review</w:t>
      </w:r>
      <w:r w:rsidRPr="00102841">
        <w:rPr>
          <w:rStyle w:val="Emphasis"/>
          <w:rFonts w:asciiTheme="minorHAnsi" w:eastAsiaTheme="majorEastAsia" w:hAnsiTheme="minorHAnsi"/>
        </w:rPr>
        <w:t>.</w:t>
      </w:r>
      <w:r w:rsidRPr="00102841">
        <w:rPr>
          <w:rFonts w:asciiTheme="minorHAnsi" w:hAnsiTheme="minorHAnsi"/>
        </w:rPr>
        <w:t xml:space="preserve"> </w:t>
      </w:r>
      <w:r w:rsidRPr="00102841">
        <w:rPr>
          <w:rStyle w:val="Strong"/>
          <w:rFonts w:asciiTheme="minorHAnsi" w:eastAsiaTheme="majorEastAsia" w:hAnsiTheme="minorHAnsi"/>
          <w:b w:val="0"/>
          <w:bCs w:val="0"/>
        </w:rPr>
        <w:t>Sports Medicine</w:t>
      </w:r>
      <w:r w:rsidRPr="00102841">
        <w:rPr>
          <w:rFonts w:asciiTheme="minorHAnsi" w:hAnsiTheme="minorHAnsi"/>
        </w:rPr>
        <w:t>, 49(9), pp.1357–1368. https://doi.org/10.1007/s40279-019-01147-4</w:t>
      </w:r>
    </w:p>
    <w:p w14:paraId="1303ACC6" w14:textId="77777777" w:rsidR="000D5C3C" w:rsidRPr="00102841" w:rsidRDefault="000D5C3C" w:rsidP="000D5C3C">
      <w:pPr>
        <w:pStyle w:val="NormalWeb"/>
        <w:rPr>
          <w:rFonts w:asciiTheme="minorHAnsi" w:hAnsiTheme="minorHAnsi"/>
          <w:i/>
          <w:iCs/>
        </w:rPr>
      </w:pPr>
      <w:r w:rsidRPr="00102841">
        <w:rPr>
          <w:rFonts w:asciiTheme="minorHAnsi" w:hAnsiTheme="minorHAnsi"/>
        </w:rPr>
        <w:t>Gribble, P.A., Bleakley, C.M., Caulfield, B.M., Docherty, C.L., Fourchet, F., Fong, D.T.P., Hertel, J., Hiller, C.E., Kaminski, T.W., McKeon, P.O., Refshauge, K.M., Verhagen, E.A., Vicenzino, B., Wikstrom, E.A. and Delahunt, E., 2021</w:t>
      </w:r>
      <w:r w:rsidRPr="00102841">
        <w:rPr>
          <w:rFonts w:asciiTheme="minorHAnsi" w:hAnsiTheme="minorHAnsi"/>
          <w:i/>
          <w:iCs/>
        </w:rPr>
        <w:t xml:space="preserve">. </w:t>
      </w:r>
      <w:r w:rsidRPr="00102841">
        <w:rPr>
          <w:rStyle w:val="Emphasis"/>
          <w:rFonts w:asciiTheme="minorHAnsi" w:eastAsiaTheme="majorEastAsia" w:hAnsiTheme="minorHAnsi"/>
          <w:i w:val="0"/>
          <w:iCs w:val="0"/>
        </w:rPr>
        <w:t>2021 consensus statement of the International Ankle Consortium: Prevalence, impact and long-term consequences of lateral ankle sprains.</w:t>
      </w:r>
      <w:r w:rsidRPr="00102841">
        <w:rPr>
          <w:rFonts w:asciiTheme="minorHAnsi" w:hAnsiTheme="minorHAnsi"/>
          <w:i/>
          <w:iCs/>
        </w:rPr>
        <w:t xml:space="preserve"> </w:t>
      </w:r>
      <w:r w:rsidRPr="00102841">
        <w:rPr>
          <w:rStyle w:val="Strong"/>
          <w:rFonts w:asciiTheme="minorHAnsi" w:eastAsiaTheme="majorEastAsia" w:hAnsiTheme="minorHAnsi"/>
          <w:b w:val="0"/>
          <w:bCs w:val="0"/>
        </w:rPr>
        <w:t>British Journal of Sports Medicine</w:t>
      </w:r>
      <w:r w:rsidRPr="00102841">
        <w:rPr>
          <w:rFonts w:asciiTheme="minorHAnsi" w:hAnsiTheme="minorHAnsi"/>
          <w:i/>
          <w:iCs/>
        </w:rPr>
        <w:t xml:space="preserve">, 55(1), pp.4–13. </w:t>
      </w:r>
      <w:hyperlink r:id="rId4" w:tgtFrame="_new" w:history="1">
        <w:r w:rsidRPr="00102841">
          <w:rPr>
            <w:rStyle w:val="Hyperlink"/>
            <w:rFonts w:asciiTheme="minorHAnsi" w:eastAsiaTheme="majorEastAsia" w:hAnsiTheme="minorHAnsi"/>
            <w:i/>
            <w:iCs/>
            <w:u w:val="none"/>
          </w:rPr>
          <w:t>https://doi.org/10.1136/bjsports-2020-102518</w:t>
        </w:r>
      </w:hyperlink>
    </w:p>
    <w:p w14:paraId="0F07E8E5" w14:textId="77777777" w:rsidR="000D5C3C" w:rsidRPr="00102841" w:rsidRDefault="000D5C3C" w:rsidP="000D5C3C">
      <w:pPr>
        <w:pStyle w:val="NormalWeb"/>
        <w:rPr>
          <w:rFonts w:asciiTheme="minorHAnsi" w:hAnsiTheme="minorHAnsi"/>
          <w:i/>
          <w:iCs/>
        </w:rPr>
      </w:pPr>
      <w:r w:rsidRPr="00102841">
        <w:rPr>
          <w:rFonts w:asciiTheme="minorHAnsi" w:hAnsiTheme="minorHAnsi"/>
        </w:rPr>
        <w:t>Hertel, J., 2002</w:t>
      </w:r>
      <w:r w:rsidRPr="00102841">
        <w:rPr>
          <w:rFonts w:asciiTheme="minorHAnsi" w:hAnsiTheme="minorHAnsi"/>
          <w:i/>
          <w:iCs/>
        </w:rPr>
        <w:t xml:space="preserve">. </w:t>
      </w:r>
      <w:r w:rsidRPr="00102841">
        <w:rPr>
          <w:rStyle w:val="Emphasis"/>
          <w:rFonts w:asciiTheme="minorHAnsi" w:eastAsiaTheme="majorEastAsia" w:hAnsiTheme="minorHAnsi"/>
          <w:i w:val="0"/>
          <w:iCs w:val="0"/>
        </w:rPr>
        <w:t>Functional instability following lateral ankle sprain.</w:t>
      </w:r>
      <w:r w:rsidRPr="00102841">
        <w:rPr>
          <w:rFonts w:asciiTheme="minorHAnsi" w:hAnsiTheme="minorHAnsi"/>
        </w:rPr>
        <w:t xml:space="preserve"> </w:t>
      </w:r>
      <w:r w:rsidRPr="00102841">
        <w:rPr>
          <w:rStyle w:val="Strong"/>
          <w:rFonts w:asciiTheme="minorHAnsi" w:eastAsiaTheme="majorEastAsia" w:hAnsiTheme="minorHAnsi"/>
          <w:b w:val="0"/>
          <w:bCs w:val="0"/>
        </w:rPr>
        <w:t>Sports Medicine</w:t>
      </w:r>
      <w:r w:rsidRPr="00102841">
        <w:rPr>
          <w:rFonts w:asciiTheme="minorHAnsi" w:hAnsiTheme="minorHAnsi"/>
        </w:rPr>
        <w:t>, 32(10), pp.763–773. https://doi.org/10.2165/00007256-200232100-00005</w:t>
      </w:r>
    </w:p>
    <w:p w14:paraId="3D7E5F2D" w14:textId="77777777" w:rsidR="000D5C3C" w:rsidRPr="00102841" w:rsidRDefault="000D5C3C" w:rsidP="000D5C3C">
      <w:pPr>
        <w:pStyle w:val="NormalWeb"/>
        <w:rPr>
          <w:rFonts w:asciiTheme="minorHAnsi" w:hAnsiTheme="minorHAnsi"/>
        </w:rPr>
      </w:pPr>
      <w:r w:rsidRPr="00102841">
        <w:rPr>
          <w:rFonts w:asciiTheme="minorHAnsi" w:hAnsiTheme="minorHAnsi"/>
        </w:rPr>
        <w:t xml:space="preserve">Herzog, M.M., Kerr, Z.Y., Marshall, S.W. and Wikstrom, E.A., 2019. </w:t>
      </w:r>
      <w:r w:rsidRPr="00102841">
        <w:rPr>
          <w:rStyle w:val="Emphasis"/>
          <w:rFonts w:asciiTheme="minorHAnsi" w:eastAsiaTheme="majorEastAsia" w:hAnsiTheme="minorHAnsi"/>
          <w:i w:val="0"/>
          <w:iCs w:val="0"/>
        </w:rPr>
        <w:t>Epidemiology of ankle sprains and chronic ankle instability</w:t>
      </w:r>
      <w:r w:rsidRPr="00102841">
        <w:rPr>
          <w:rStyle w:val="Emphasis"/>
          <w:rFonts w:asciiTheme="minorHAnsi" w:eastAsiaTheme="majorEastAsia" w:hAnsiTheme="minorHAnsi"/>
        </w:rPr>
        <w:t>.</w:t>
      </w:r>
      <w:r w:rsidRPr="00102841">
        <w:rPr>
          <w:rFonts w:asciiTheme="minorHAnsi" w:hAnsiTheme="minorHAnsi"/>
        </w:rPr>
        <w:t xml:space="preserve"> </w:t>
      </w:r>
      <w:r w:rsidRPr="00102841">
        <w:rPr>
          <w:rStyle w:val="Strong"/>
          <w:rFonts w:asciiTheme="minorHAnsi" w:eastAsiaTheme="majorEastAsia" w:hAnsiTheme="minorHAnsi"/>
          <w:b w:val="0"/>
          <w:bCs w:val="0"/>
        </w:rPr>
        <w:t>Journal of Athletic Training</w:t>
      </w:r>
      <w:r w:rsidRPr="00102841">
        <w:rPr>
          <w:rFonts w:asciiTheme="minorHAnsi" w:hAnsiTheme="minorHAnsi"/>
        </w:rPr>
        <w:t>, 54(6), pp.603–610. https://doi.org/10.4085/1062-6050-447-17</w:t>
      </w:r>
    </w:p>
    <w:p w14:paraId="34160DDA" w14:textId="77777777" w:rsidR="000D5C3C" w:rsidRPr="00102841" w:rsidRDefault="000D5C3C" w:rsidP="000D5C3C">
      <w:pPr>
        <w:pStyle w:val="NormalWeb"/>
        <w:rPr>
          <w:rFonts w:asciiTheme="minorHAnsi" w:hAnsiTheme="minorHAnsi"/>
          <w:i/>
          <w:iCs/>
        </w:rPr>
      </w:pPr>
      <w:r w:rsidRPr="00102841">
        <w:rPr>
          <w:rFonts w:asciiTheme="minorHAnsi" w:hAnsiTheme="minorHAnsi"/>
        </w:rPr>
        <w:t xml:space="preserve">Martin, R.L., McGovern, R.P., Frazer, L.L., Wolf, M., Langer, P.R. and Hertel, J., 2021. </w:t>
      </w:r>
      <w:r w:rsidRPr="00102841">
        <w:rPr>
          <w:rStyle w:val="Emphasis"/>
          <w:rFonts w:asciiTheme="minorHAnsi" w:eastAsiaTheme="majorEastAsia" w:hAnsiTheme="minorHAnsi"/>
          <w:i w:val="0"/>
          <w:iCs w:val="0"/>
        </w:rPr>
        <w:t>Clinical predictors of chronic ankle instability after an acute lateral ankle sprain:</w:t>
      </w:r>
      <w:r w:rsidRPr="00102841">
        <w:rPr>
          <w:rStyle w:val="Emphasis"/>
          <w:rFonts w:asciiTheme="minorHAnsi" w:eastAsiaTheme="majorEastAsia" w:hAnsiTheme="minorHAnsi"/>
        </w:rPr>
        <w:t xml:space="preserve"> A</w:t>
      </w:r>
      <w:r w:rsidRPr="00102841">
        <w:rPr>
          <w:rStyle w:val="Emphasis"/>
          <w:rFonts w:asciiTheme="minorHAnsi" w:eastAsiaTheme="majorEastAsia" w:hAnsiTheme="minorHAnsi"/>
          <w:i w:val="0"/>
          <w:iCs w:val="0"/>
        </w:rPr>
        <w:t xml:space="preserve"> systematic review.</w:t>
      </w:r>
      <w:r w:rsidRPr="00102841">
        <w:rPr>
          <w:rFonts w:asciiTheme="minorHAnsi" w:hAnsiTheme="minorHAnsi"/>
          <w:i/>
          <w:iCs/>
        </w:rPr>
        <w:t xml:space="preserve"> </w:t>
      </w:r>
      <w:r w:rsidRPr="00102841">
        <w:rPr>
          <w:rStyle w:val="Strong"/>
          <w:rFonts w:asciiTheme="minorHAnsi" w:eastAsiaTheme="majorEastAsia" w:hAnsiTheme="minorHAnsi"/>
          <w:b w:val="0"/>
          <w:bCs w:val="0"/>
        </w:rPr>
        <w:t>Journal of Orthopaedic &amp; Sports Physical Therapy</w:t>
      </w:r>
      <w:r w:rsidRPr="00102841">
        <w:rPr>
          <w:rFonts w:asciiTheme="minorHAnsi" w:hAnsiTheme="minorHAnsi"/>
        </w:rPr>
        <w:t>, 51(8), pp.372–380. https://doi.org/10.2519/jospt.2021.9970</w:t>
      </w:r>
    </w:p>
    <w:p w14:paraId="4D1E2921" w14:textId="77777777" w:rsidR="000D5C3C" w:rsidRPr="00102841" w:rsidRDefault="000D5C3C" w:rsidP="000D5C3C">
      <w:pPr>
        <w:pStyle w:val="NormalWeb"/>
        <w:rPr>
          <w:rFonts w:asciiTheme="minorHAnsi" w:hAnsiTheme="minorHAnsi"/>
          <w:i/>
          <w:iCs/>
        </w:rPr>
      </w:pPr>
      <w:r w:rsidRPr="00102841">
        <w:rPr>
          <w:rFonts w:asciiTheme="minorHAnsi" w:hAnsiTheme="minorHAnsi"/>
        </w:rPr>
        <w:t>Stiell, I.G., Greenberg, G.H., McKnight, R.D., Nair, R.C., McDowell, I., Worthington, J.R., MacPhail, I., Dreyer, J., Nair, R., Johns, C. and Reardon, M., 1992.</w:t>
      </w:r>
      <w:r w:rsidRPr="00102841">
        <w:rPr>
          <w:rFonts w:asciiTheme="minorHAnsi" w:hAnsiTheme="minorHAnsi"/>
          <w:i/>
          <w:iCs/>
        </w:rPr>
        <w:t xml:space="preserve"> </w:t>
      </w:r>
      <w:r w:rsidRPr="00102841">
        <w:rPr>
          <w:rStyle w:val="Emphasis"/>
          <w:rFonts w:asciiTheme="minorHAnsi" w:eastAsiaTheme="majorEastAsia" w:hAnsiTheme="minorHAnsi"/>
          <w:i w:val="0"/>
          <w:iCs w:val="0"/>
        </w:rPr>
        <w:t>Decision rules for the use of radiography in acute ankle injuries.</w:t>
      </w:r>
      <w:r w:rsidRPr="00102841">
        <w:rPr>
          <w:rFonts w:asciiTheme="minorHAnsi" w:hAnsiTheme="minorHAnsi"/>
          <w:i/>
          <w:iCs/>
        </w:rPr>
        <w:t xml:space="preserve"> </w:t>
      </w:r>
      <w:r w:rsidRPr="00102841">
        <w:rPr>
          <w:rStyle w:val="Strong"/>
          <w:rFonts w:asciiTheme="minorHAnsi" w:eastAsiaTheme="majorEastAsia" w:hAnsiTheme="minorHAnsi"/>
          <w:b w:val="0"/>
          <w:bCs w:val="0"/>
        </w:rPr>
        <w:t>Annals of Emergency Medicine</w:t>
      </w:r>
      <w:r w:rsidRPr="00102841">
        <w:rPr>
          <w:rFonts w:asciiTheme="minorHAnsi" w:hAnsiTheme="minorHAnsi"/>
        </w:rPr>
        <w:t>, 21(4), pp.384–390. https://doi.org/10.1016/S0196-0644(05)82659-6</w:t>
      </w:r>
    </w:p>
    <w:p w14:paraId="191CB507" w14:textId="77777777" w:rsidR="000D5C3C" w:rsidRPr="00102841" w:rsidRDefault="000D5C3C" w:rsidP="000D5C3C">
      <w:pPr>
        <w:pStyle w:val="NormalWeb"/>
        <w:rPr>
          <w:rFonts w:asciiTheme="minorHAnsi" w:hAnsiTheme="minorHAnsi"/>
          <w:i/>
          <w:iCs/>
        </w:rPr>
      </w:pPr>
      <w:r w:rsidRPr="00102841">
        <w:rPr>
          <w:rFonts w:asciiTheme="minorHAnsi" w:hAnsiTheme="minorHAnsi"/>
        </w:rPr>
        <w:t xml:space="preserve">van Dijk, C.N., de Leeuw, P.A.J. and Scholten, P.E., 2018. </w:t>
      </w:r>
      <w:r w:rsidRPr="00102841">
        <w:rPr>
          <w:rStyle w:val="Emphasis"/>
          <w:rFonts w:asciiTheme="minorHAnsi" w:eastAsiaTheme="majorEastAsia" w:hAnsiTheme="minorHAnsi"/>
          <w:i w:val="0"/>
          <w:iCs w:val="0"/>
        </w:rPr>
        <w:t>A 21st century approach to the diagnosis and treatment of acute ankle sprain</w:t>
      </w:r>
      <w:r w:rsidRPr="00102841">
        <w:rPr>
          <w:rStyle w:val="Emphasis"/>
          <w:rFonts w:asciiTheme="minorHAnsi" w:eastAsiaTheme="majorEastAsia" w:hAnsiTheme="minorHAnsi"/>
        </w:rPr>
        <w:t>:</w:t>
      </w:r>
      <w:r w:rsidRPr="00102841">
        <w:rPr>
          <w:rStyle w:val="Emphasis"/>
          <w:rFonts w:asciiTheme="minorHAnsi" w:eastAsiaTheme="majorEastAsia" w:hAnsiTheme="minorHAnsi"/>
          <w:i w:val="0"/>
          <w:iCs w:val="0"/>
        </w:rPr>
        <w:t xml:space="preserve"> An evidence-based narrative review.</w:t>
      </w:r>
      <w:r w:rsidRPr="00102841">
        <w:rPr>
          <w:rFonts w:asciiTheme="minorHAnsi" w:hAnsiTheme="minorHAnsi"/>
          <w:i/>
          <w:iCs/>
        </w:rPr>
        <w:t xml:space="preserve"> </w:t>
      </w:r>
      <w:r w:rsidRPr="00102841">
        <w:rPr>
          <w:rStyle w:val="Strong"/>
          <w:rFonts w:asciiTheme="minorHAnsi" w:eastAsiaTheme="majorEastAsia" w:hAnsiTheme="minorHAnsi"/>
          <w:b w:val="0"/>
          <w:bCs w:val="0"/>
        </w:rPr>
        <w:t>British Journal of Sports Medicine</w:t>
      </w:r>
      <w:r w:rsidRPr="00102841">
        <w:rPr>
          <w:rFonts w:asciiTheme="minorHAnsi" w:hAnsiTheme="minorHAnsi"/>
        </w:rPr>
        <w:t>, 52(15), pp.956–964. https://doi.org/10.1136/bjsports-2018-099193</w:t>
      </w:r>
    </w:p>
    <w:p w14:paraId="7D597F71" w14:textId="77777777" w:rsidR="000D5C3C" w:rsidRPr="00102841" w:rsidRDefault="000D5C3C" w:rsidP="000D5C3C">
      <w:pPr>
        <w:pStyle w:val="NormalWeb"/>
        <w:rPr>
          <w:rFonts w:asciiTheme="minorHAnsi" w:hAnsiTheme="minorHAnsi"/>
          <w:i/>
          <w:iCs/>
        </w:rPr>
      </w:pPr>
      <w:r w:rsidRPr="00102841">
        <w:rPr>
          <w:rFonts w:asciiTheme="minorHAnsi" w:hAnsiTheme="minorHAnsi"/>
        </w:rPr>
        <w:t>van Rijn, R.M., Willemsen, S.P., Verhagen, E., van der Windt, D.A. &amp; van Middelkoop, M., 2017</w:t>
      </w:r>
      <w:r w:rsidRPr="00102841">
        <w:rPr>
          <w:rFonts w:asciiTheme="minorHAnsi" w:hAnsiTheme="minorHAnsi"/>
          <w:i/>
          <w:iCs/>
        </w:rPr>
        <w:t xml:space="preserve">. </w:t>
      </w:r>
      <w:r w:rsidRPr="00102841">
        <w:rPr>
          <w:rStyle w:val="Emphasis"/>
          <w:rFonts w:asciiTheme="minorHAnsi" w:eastAsiaTheme="majorEastAsia" w:hAnsiTheme="minorHAnsi"/>
          <w:i w:val="0"/>
          <w:iCs w:val="0"/>
        </w:rPr>
        <w:t>What is the prognosis of ankle sprains in adults? A systematic review of prognostic factors</w:t>
      </w:r>
      <w:r w:rsidRPr="00102841">
        <w:rPr>
          <w:rStyle w:val="Emphasis"/>
          <w:rFonts w:asciiTheme="minorHAnsi" w:eastAsiaTheme="majorEastAsia" w:hAnsiTheme="minorHAnsi"/>
        </w:rPr>
        <w:t>.</w:t>
      </w:r>
      <w:r w:rsidRPr="00102841">
        <w:rPr>
          <w:rFonts w:asciiTheme="minorHAnsi" w:hAnsiTheme="minorHAnsi"/>
        </w:rPr>
        <w:t xml:space="preserve"> British Journal of Sports Medicine, 51(12), pp.960–968.</w:t>
      </w:r>
    </w:p>
    <w:p w14:paraId="254FDB2C" w14:textId="77777777" w:rsidR="000D5C3C" w:rsidRPr="00102841" w:rsidRDefault="000D5C3C" w:rsidP="000D5C3C">
      <w:pPr>
        <w:pStyle w:val="NormalWeb"/>
        <w:rPr>
          <w:rFonts w:asciiTheme="minorHAnsi" w:hAnsiTheme="minorHAnsi"/>
          <w:i/>
          <w:iCs/>
        </w:rPr>
      </w:pPr>
      <w:r w:rsidRPr="00102841">
        <w:rPr>
          <w:rFonts w:asciiTheme="minorHAnsi" w:hAnsiTheme="minorHAnsi"/>
        </w:rPr>
        <w:lastRenderedPageBreak/>
        <w:t>Williams, S., Allen, N. and Waddington, G., 2021</w:t>
      </w:r>
      <w:r w:rsidRPr="00102841">
        <w:rPr>
          <w:rFonts w:asciiTheme="minorHAnsi" w:hAnsiTheme="minorHAnsi"/>
          <w:i/>
          <w:iCs/>
        </w:rPr>
        <w:t xml:space="preserve">. </w:t>
      </w:r>
      <w:r w:rsidRPr="00102841">
        <w:rPr>
          <w:rStyle w:val="Emphasis"/>
          <w:rFonts w:asciiTheme="minorHAnsi" w:eastAsiaTheme="majorEastAsia" w:hAnsiTheme="minorHAnsi"/>
          <w:i w:val="0"/>
          <w:iCs w:val="0"/>
        </w:rPr>
        <w:t>Syndesmotic ankle injuries: Clinical features, assessment, and management strategies.</w:t>
      </w:r>
      <w:r w:rsidRPr="00102841">
        <w:rPr>
          <w:rFonts w:asciiTheme="minorHAnsi" w:hAnsiTheme="minorHAnsi"/>
          <w:i/>
          <w:iCs/>
        </w:rPr>
        <w:t xml:space="preserve"> </w:t>
      </w:r>
      <w:r w:rsidRPr="00102841">
        <w:rPr>
          <w:rStyle w:val="Strong"/>
          <w:rFonts w:asciiTheme="minorHAnsi" w:eastAsiaTheme="majorEastAsia" w:hAnsiTheme="minorHAnsi"/>
          <w:b w:val="0"/>
          <w:bCs w:val="0"/>
        </w:rPr>
        <w:t>Physical Therapy in Sport</w:t>
      </w:r>
      <w:r w:rsidRPr="00102841">
        <w:rPr>
          <w:rFonts w:asciiTheme="minorHAnsi" w:hAnsiTheme="minorHAnsi"/>
        </w:rPr>
        <w:t xml:space="preserve">, 49, pp.179–188. </w:t>
      </w:r>
      <w:hyperlink r:id="rId5" w:history="1">
        <w:r w:rsidRPr="00102841">
          <w:rPr>
            <w:rStyle w:val="Hyperlink"/>
            <w:rFonts w:asciiTheme="minorHAnsi" w:hAnsiTheme="minorHAnsi"/>
            <w:u w:val="none"/>
          </w:rPr>
          <w:t>https://doi.org/10.1016/j.ptsp.2021.02.002</w:t>
        </w:r>
      </w:hyperlink>
    </w:p>
    <w:p w14:paraId="6E5BB88B" w14:textId="77777777" w:rsidR="000D5C3C" w:rsidRPr="000D5C3C" w:rsidRDefault="000D5C3C" w:rsidP="00CF17A6">
      <w:pPr>
        <w:rPr>
          <w:b/>
          <w:bCs/>
          <w:u w:val="single"/>
        </w:rPr>
      </w:pPr>
    </w:p>
    <w:sectPr w:rsidR="000D5C3C" w:rsidRPr="000D5C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485"/>
    <w:rsid w:val="000322B0"/>
    <w:rsid w:val="00043310"/>
    <w:rsid w:val="00074C44"/>
    <w:rsid w:val="000C35A4"/>
    <w:rsid w:val="000D35E6"/>
    <w:rsid w:val="000D5C3C"/>
    <w:rsid w:val="000E05D9"/>
    <w:rsid w:val="000F4247"/>
    <w:rsid w:val="000F7B81"/>
    <w:rsid w:val="0016005E"/>
    <w:rsid w:val="00162434"/>
    <w:rsid w:val="001720B2"/>
    <w:rsid w:val="001853F0"/>
    <w:rsid w:val="001B77D3"/>
    <w:rsid w:val="001D2F95"/>
    <w:rsid w:val="001F1124"/>
    <w:rsid w:val="00253964"/>
    <w:rsid w:val="00284595"/>
    <w:rsid w:val="00284A60"/>
    <w:rsid w:val="002C24ED"/>
    <w:rsid w:val="002E129C"/>
    <w:rsid w:val="003032D0"/>
    <w:rsid w:val="00306189"/>
    <w:rsid w:val="003371C9"/>
    <w:rsid w:val="00385C4D"/>
    <w:rsid w:val="003A6C9F"/>
    <w:rsid w:val="003C5F80"/>
    <w:rsid w:val="00400215"/>
    <w:rsid w:val="00423358"/>
    <w:rsid w:val="00427336"/>
    <w:rsid w:val="004815B3"/>
    <w:rsid w:val="00487DA5"/>
    <w:rsid w:val="0049340F"/>
    <w:rsid w:val="004C00A1"/>
    <w:rsid w:val="004E5742"/>
    <w:rsid w:val="004F2DEB"/>
    <w:rsid w:val="005421AE"/>
    <w:rsid w:val="0055321F"/>
    <w:rsid w:val="005705E6"/>
    <w:rsid w:val="00577AFD"/>
    <w:rsid w:val="00595811"/>
    <w:rsid w:val="005A52F4"/>
    <w:rsid w:val="005D1192"/>
    <w:rsid w:val="00622D29"/>
    <w:rsid w:val="00651856"/>
    <w:rsid w:val="00683485"/>
    <w:rsid w:val="006B737A"/>
    <w:rsid w:val="006E2A99"/>
    <w:rsid w:val="00727B1F"/>
    <w:rsid w:val="007434A4"/>
    <w:rsid w:val="00775E44"/>
    <w:rsid w:val="007B11C8"/>
    <w:rsid w:val="008268AB"/>
    <w:rsid w:val="0094634D"/>
    <w:rsid w:val="00954275"/>
    <w:rsid w:val="009B454C"/>
    <w:rsid w:val="009E60C1"/>
    <w:rsid w:val="00A3533D"/>
    <w:rsid w:val="00A4190A"/>
    <w:rsid w:val="00A540C7"/>
    <w:rsid w:val="00A67D58"/>
    <w:rsid w:val="00AF776A"/>
    <w:rsid w:val="00B34CF1"/>
    <w:rsid w:val="00B51554"/>
    <w:rsid w:val="00B9180A"/>
    <w:rsid w:val="00B936AE"/>
    <w:rsid w:val="00B9669A"/>
    <w:rsid w:val="00BC2322"/>
    <w:rsid w:val="00BC4084"/>
    <w:rsid w:val="00BD38A7"/>
    <w:rsid w:val="00BD48B8"/>
    <w:rsid w:val="00BD5FF1"/>
    <w:rsid w:val="00C42054"/>
    <w:rsid w:val="00C54AD5"/>
    <w:rsid w:val="00C81C4D"/>
    <w:rsid w:val="00CA7723"/>
    <w:rsid w:val="00CE5D62"/>
    <w:rsid w:val="00CF17A6"/>
    <w:rsid w:val="00DA3D2F"/>
    <w:rsid w:val="00E036F8"/>
    <w:rsid w:val="00E1103C"/>
    <w:rsid w:val="00E36530"/>
    <w:rsid w:val="00F25992"/>
    <w:rsid w:val="00F407E1"/>
    <w:rsid w:val="00FF0CA9"/>
    <w:rsid w:val="00FF40AB"/>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decimalSymbol w:val="."/>
  <w:listSeparator w:val=","/>
  <w14:docId w14:val="1081AB39"/>
  <w15:chartTrackingRefBased/>
  <w15:docId w15:val="{34DEA079-AD8F-9645-ABE5-6BD567203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834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34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4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4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4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4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4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4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4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485"/>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683485"/>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683485"/>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68348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68348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68348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8348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8348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8348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834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48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834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48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83485"/>
    <w:pPr>
      <w:spacing w:before="160"/>
      <w:jc w:val="center"/>
    </w:pPr>
    <w:rPr>
      <w:i/>
      <w:iCs/>
      <w:color w:val="404040" w:themeColor="text1" w:themeTint="BF"/>
    </w:rPr>
  </w:style>
  <w:style w:type="character" w:customStyle="1" w:styleId="QuoteChar">
    <w:name w:val="Quote Char"/>
    <w:basedOn w:val="DefaultParagraphFont"/>
    <w:link w:val="Quote"/>
    <w:uiPriority w:val="29"/>
    <w:rsid w:val="00683485"/>
    <w:rPr>
      <w:i/>
      <w:iCs/>
      <w:color w:val="404040" w:themeColor="text1" w:themeTint="BF"/>
      <w:lang w:val="en-GB"/>
    </w:rPr>
  </w:style>
  <w:style w:type="paragraph" w:styleId="ListParagraph">
    <w:name w:val="List Paragraph"/>
    <w:basedOn w:val="Normal"/>
    <w:uiPriority w:val="34"/>
    <w:qFormat/>
    <w:rsid w:val="00683485"/>
    <w:pPr>
      <w:ind w:left="720"/>
      <w:contextualSpacing/>
    </w:pPr>
  </w:style>
  <w:style w:type="character" w:styleId="IntenseEmphasis">
    <w:name w:val="Intense Emphasis"/>
    <w:basedOn w:val="DefaultParagraphFont"/>
    <w:uiPriority w:val="21"/>
    <w:qFormat/>
    <w:rsid w:val="00683485"/>
    <w:rPr>
      <w:i/>
      <w:iCs/>
      <w:color w:val="0F4761" w:themeColor="accent1" w:themeShade="BF"/>
    </w:rPr>
  </w:style>
  <w:style w:type="paragraph" w:styleId="IntenseQuote">
    <w:name w:val="Intense Quote"/>
    <w:basedOn w:val="Normal"/>
    <w:next w:val="Normal"/>
    <w:link w:val="IntenseQuoteChar"/>
    <w:uiPriority w:val="30"/>
    <w:qFormat/>
    <w:rsid w:val="006834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485"/>
    <w:rPr>
      <w:i/>
      <w:iCs/>
      <w:color w:val="0F4761" w:themeColor="accent1" w:themeShade="BF"/>
      <w:lang w:val="en-GB"/>
    </w:rPr>
  </w:style>
  <w:style w:type="character" w:styleId="IntenseReference">
    <w:name w:val="Intense Reference"/>
    <w:basedOn w:val="DefaultParagraphFont"/>
    <w:uiPriority w:val="32"/>
    <w:qFormat/>
    <w:rsid w:val="00683485"/>
    <w:rPr>
      <w:b/>
      <w:bCs/>
      <w:smallCaps/>
      <w:color w:val="0F4761" w:themeColor="accent1" w:themeShade="BF"/>
      <w:spacing w:val="5"/>
    </w:rPr>
  </w:style>
  <w:style w:type="paragraph" w:styleId="NormalWeb">
    <w:name w:val="Normal (Web)"/>
    <w:basedOn w:val="Normal"/>
    <w:uiPriority w:val="99"/>
    <w:semiHidden/>
    <w:unhideWhenUsed/>
    <w:rsid w:val="000D5C3C"/>
    <w:pPr>
      <w:spacing w:before="100" w:beforeAutospacing="1" w:after="100" w:afterAutospacing="1" w:line="240" w:lineRule="auto"/>
    </w:pPr>
    <w:rPr>
      <w:rFonts w:ascii="Times New Roman" w:eastAsia="Times New Roman" w:hAnsi="Times New Roman" w:cs="Times New Roman"/>
      <w:kern w:val="0"/>
      <w:lang w:val="en-AE"/>
      <w14:ligatures w14:val="none"/>
    </w:rPr>
  </w:style>
  <w:style w:type="character" w:styleId="Emphasis">
    <w:name w:val="Emphasis"/>
    <w:basedOn w:val="DefaultParagraphFont"/>
    <w:uiPriority w:val="20"/>
    <w:qFormat/>
    <w:rsid w:val="000D5C3C"/>
    <w:rPr>
      <w:i/>
      <w:iCs/>
    </w:rPr>
  </w:style>
  <w:style w:type="character" w:styleId="Strong">
    <w:name w:val="Strong"/>
    <w:basedOn w:val="DefaultParagraphFont"/>
    <w:uiPriority w:val="22"/>
    <w:qFormat/>
    <w:rsid w:val="000D5C3C"/>
    <w:rPr>
      <w:b/>
      <w:bCs/>
    </w:rPr>
  </w:style>
  <w:style w:type="character" w:styleId="Hyperlink">
    <w:name w:val="Hyperlink"/>
    <w:basedOn w:val="DefaultParagraphFont"/>
    <w:uiPriority w:val="99"/>
    <w:unhideWhenUsed/>
    <w:rsid w:val="000D5C3C"/>
    <w:rPr>
      <w:color w:val="0000FF"/>
      <w:u w:val="single"/>
    </w:rPr>
  </w:style>
  <w:style w:type="character" w:styleId="FollowedHyperlink">
    <w:name w:val="FollowedHyperlink"/>
    <w:basedOn w:val="DefaultParagraphFont"/>
    <w:uiPriority w:val="99"/>
    <w:semiHidden/>
    <w:unhideWhenUsed/>
    <w:rsid w:val="000322B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016/j.ptsp.2021.02.002" TargetMode="External"/><Relationship Id="rId4" Type="http://schemas.openxmlformats.org/officeDocument/2006/relationships/hyperlink" Target="https://doi.org/10.1136/bjsports-2020-1025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89</TotalTime>
  <Pages>7</Pages>
  <Words>2320</Words>
  <Characters>13224</Characters>
  <Application>Microsoft Office Word</Application>
  <DocSecurity>0</DocSecurity>
  <Lines>110</Lines>
  <Paragraphs>31</Paragraphs>
  <ScaleCrop>false</ScaleCrop>
  <Company/>
  <LinksUpToDate>false</LinksUpToDate>
  <CharactersWithSpaces>15513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Evans</dc:creator>
  <cp:keywords/>
  <dc:description/>
  <cp:lastModifiedBy>Lauren Evans</cp:lastModifiedBy>
  <cp:revision>76</cp:revision>
  <dcterms:created xsi:type="dcterms:W3CDTF">2025-11-18T17:11:00Z</dcterms:created>
  <dcterms:modified xsi:type="dcterms:W3CDTF">2025-11-24T10:10:00Z</dcterms:modified>
</cp:coreProperties>
</file>