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2045C" w14:textId="5AAA7879" w:rsidR="009E1F1D" w:rsidRDefault="007B550C">
      <w:r w:rsidRPr="00967BEB">
        <w:rPr>
          <w:noProof/>
        </w:rPr>
        <w:drawing>
          <wp:inline distT="0" distB="0" distL="0" distR="0" wp14:anchorId="58DCAF25" wp14:editId="25381295">
            <wp:extent cx="3689231" cy="1648797"/>
            <wp:effectExtent l="0" t="0" r="0" b="2540"/>
            <wp:docPr id="1401017164" name="Picture 14010171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04792" cy="1700444"/>
                    </a:xfrm>
                    <a:prstGeom prst="rect">
                      <a:avLst/>
                    </a:prstGeom>
                    <a:noFill/>
                    <a:ln>
                      <a:noFill/>
                    </a:ln>
                  </pic:spPr>
                </pic:pic>
              </a:graphicData>
            </a:graphic>
          </wp:inline>
        </w:drawing>
      </w:r>
    </w:p>
    <w:p w14:paraId="075DC231" w14:textId="65FD2012" w:rsidR="00CF37AE" w:rsidRDefault="00CF37AE"/>
    <w:p w14:paraId="2BD2AFB4" w14:textId="77777777" w:rsidR="00CF37AE" w:rsidRDefault="00CF37AE"/>
    <w:p w14:paraId="66F671AC" w14:textId="77777777" w:rsidR="00CF37AE" w:rsidRDefault="00CF37AE"/>
    <w:p w14:paraId="4E8A7B45" w14:textId="77777777" w:rsidR="00CF37AE" w:rsidRDefault="00CF37AE"/>
    <w:p w14:paraId="02FD4778" w14:textId="77777777" w:rsidR="00CF37AE" w:rsidRPr="008E0EF7" w:rsidRDefault="00CF37AE" w:rsidP="00CF37AE">
      <w:pPr>
        <w:rPr>
          <w:rFonts w:ascii="-webkit-standard" w:hAnsi="-webkit-standard"/>
          <w:b/>
          <w:bCs/>
          <w:color w:val="000000"/>
          <w:sz w:val="36"/>
          <w:szCs w:val="36"/>
        </w:rPr>
      </w:pPr>
      <w:r w:rsidRPr="008E0EF7">
        <w:rPr>
          <w:rFonts w:ascii="-webkit-standard" w:hAnsi="-webkit-standard"/>
          <w:b/>
          <w:bCs/>
          <w:color w:val="000000"/>
          <w:sz w:val="36"/>
          <w:szCs w:val="36"/>
        </w:rPr>
        <w:t>Performance-Based Pay or Fixed Salary Systems: Which Is More Effective on Employee Motivation? A Narrative Literature Review</w:t>
      </w:r>
    </w:p>
    <w:p w14:paraId="49AB7C2B" w14:textId="77777777" w:rsidR="00CF37AE" w:rsidRDefault="00CF37AE" w:rsidP="00CF37AE">
      <w:pPr>
        <w:rPr>
          <w:rFonts w:ascii="-webkit-standard" w:hAnsi="-webkit-standard"/>
          <w:color w:val="000000"/>
          <w:sz w:val="32"/>
          <w:szCs w:val="32"/>
        </w:rPr>
      </w:pPr>
    </w:p>
    <w:p w14:paraId="0EFDE7B3" w14:textId="77777777" w:rsidR="00CF37AE" w:rsidRDefault="00CF37AE"/>
    <w:p w14:paraId="699E2404" w14:textId="77777777" w:rsidR="00CF37AE" w:rsidRDefault="00CF37AE"/>
    <w:p w14:paraId="785AD373" w14:textId="77777777" w:rsidR="00CF37AE" w:rsidRDefault="00CF37AE"/>
    <w:p w14:paraId="76C443E4" w14:textId="77777777" w:rsidR="00543305" w:rsidRDefault="00543305"/>
    <w:p w14:paraId="1AA16701" w14:textId="77777777" w:rsidR="00543305" w:rsidRDefault="00543305"/>
    <w:p w14:paraId="0449636D" w14:textId="77777777" w:rsidR="0029165F" w:rsidRPr="0086538C" w:rsidRDefault="0029165F" w:rsidP="0029165F">
      <w:pPr>
        <w:rPr>
          <w:rFonts w:ascii="-webkit-standard" w:hAnsi="-webkit-standard"/>
          <w:color w:val="000000"/>
          <w:sz w:val="32"/>
          <w:szCs w:val="32"/>
        </w:rPr>
      </w:pPr>
      <w:r w:rsidRPr="0086538C">
        <w:rPr>
          <w:rFonts w:ascii="-webkit-standard" w:hAnsi="-webkit-standard"/>
          <w:color w:val="000000"/>
          <w:sz w:val="32"/>
          <w:szCs w:val="32"/>
        </w:rPr>
        <w:t>Student Name: Sadia Islam</w:t>
      </w:r>
    </w:p>
    <w:p w14:paraId="0E77ECD2" w14:textId="77777777" w:rsidR="0029165F" w:rsidRPr="0086538C" w:rsidRDefault="0029165F" w:rsidP="0029165F">
      <w:pPr>
        <w:rPr>
          <w:rFonts w:ascii="-webkit-standard" w:hAnsi="-webkit-standard"/>
          <w:color w:val="000000"/>
          <w:sz w:val="32"/>
          <w:szCs w:val="32"/>
        </w:rPr>
      </w:pPr>
      <w:r w:rsidRPr="0086538C">
        <w:rPr>
          <w:rFonts w:ascii="-webkit-standard" w:hAnsi="-webkit-standard"/>
          <w:color w:val="000000"/>
          <w:sz w:val="32"/>
          <w:szCs w:val="32"/>
        </w:rPr>
        <w:t>Student ID: 2511736</w:t>
      </w:r>
    </w:p>
    <w:p w14:paraId="29C4EBD0" w14:textId="77777777" w:rsidR="0029165F" w:rsidRPr="0086538C" w:rsidRDefault="0029165F" w:rsidP="0029165F">
      <w:pPr>
        <w:rPr>
          <w:rFonts w:ascii="-webkit-standard" w:hAnsi="-webkit-standard"/>
          <w:color w:val="000000"/>
          <w:sz w:val="32"/>
          <w:szCs w:val="32"/>
        </w:rPr>
      </w:pPr>
      <w:r w:rsidRPr="0086538C">
        <w:rPr>
          <w:rFonts w:ascii="-webkit-standard" w:hAnsi="-webkit-standard"/>
          <w:color w:val="000000"/>
          <w:sz w:val="32"/>
          <w:szCs w:val="32"/>
        </w:rPr>
        <w:t>Module: Critical Literature Review for Doctoral Research</w:t>
      </w:r>
    </w:p>
    <w:p w14:paraId="029754E5" w14:textId="77777777" w:rsidR="0029165F" w:rsidRPr="0086538C" w:rsidRDefault="0029165F" w:rsidP="0029165F">
      <w:pPr>
        <w:rPr>
          <w:rFonts w:ascii="-webkit-standard" w:hAnsi="-webkit-standard"/>
          <w:color w:val="FFC000"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86538C">
        <w:rPr>
          <w:rFonts w:ascii="-webkit-standard" w:hAnsi="-webkit-standard"/>
          <w:color w:val="000000"/>
          <w:sz w:val="32"/>
          <w:szCs w:val="32"/>
        </w:rPr>
        <w:t>Module Lead: Dr. Helen Lee</w:t>
      </w:r>
    </w:p>
    <w:p w14:paraId="02A08FDD" w14:textId="77777777" w:rsidR="0029165F" w:rsidRPr="00C418DB" w:rsidRDefault="0029165F" w:rsidP="0029165F">
      <w:pPr>
        <w:rPr>
          <w:rFonts w:ascii="-webkit-standard" w:hAnsi="-webkit-standard"/>
          <w:b/>
          <w:bCs/>
          <w:color w:val="FFC000"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p>
    <w:p w14:paraId="64BBCD61"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13C2E6A4"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3716DCB3"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031D7E92"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1D8D5BB7"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16208247" w14:textId="77777777" w:rsidR="005F58F2" w:rsidRPr="005F58F2" w:rsidRDefault="005F58F2" w:rsidP="005F58F2">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B16FD1">
        <w:rPr>
          <w:b/>
          <w:bCs/>
          <w:color w:val="000000"/>
          <w:sz w:val="36"/>
          <w:szCs w:val="36"/>
        </w:rPr>
        <w:t>Executive Summary</w:t>
      </w:r>
    </w:p>
    <w:p w14:paraId="78329563" w14:textId="77777777" w:rsidR="005F58F2" w:rsidRPr="00B06BCB" w:rsidRDefault="005F58F2" w:rsidP="005F58F2">
      <w:pPr>
        <w:spacing w:before="100" w:beforeAutospacing="1" w:after="100" w:afterAutospacing="1"/>
        <w:rPr>
          <w:color w:val="000000"/>
          <w:sz w:val="36"/>
          <w:szCs w:val="36"/>
        </w:rPr>
      </w:pPr>
      <w:r w:rsidRPr="00B06BCB">
        <w:rPr>
          <w:color w:val="000000"/>
          <w:sz w:val="36"/>
          <w:szCs w:val="36"/>
        </w:rPr>
        <w:t>This narrative literature review examines how performance-based pay and fixed salary systems influence employee motivation, with particular attention to their advantages, disadvantages and relevance to retail organi</w:t>
      </w:r>
      <w:r>
        <w:rPr>
          <w:color w:val="000000"/>
          <w:sz w:val="36"/>
          <w:szCs w:val="36"/>
        </w:rPr>
        <w:t>z</w:t>
      </w:r>
      <w:r w:rsidRPr="00B06BCB">
        <w:rPr>
          <w:color w:val="000000"/>
          <w:sz w:val="36"/>
          <w:szCs w:val="36"/>
        </w:rPr>
        <w:t>ations. The review draws on 100 selected academic studies identified primarily through Google Scholar and analy</w:t>
      </w:r>
      <w:r>
        <w:rPr>
          <w:color w:val="000000"/>
          <w:sz w:val="36"/>
          <w:szCs w:val="36"/>
        </w:rPr>
        <w:t>z</w:t>
      </w:r>
      <w:r w:rsidRPr="00B06BCB">
        <w:rPr>
          <w:color w:val="000000"/>
          <w:sz w:val="36"/>
          <w:szCs w:val="36"/>
        </w:rPr>
        <w:t>ed thematically according to the research objectives.</w:t>
      </w:r>
      <w:r>
        <w:rPr>
          <w:color w:val="000000"/>
          <w:sz w:val="36"/>
          <w:szCs w:val="36"/>
        </w:rPr>
        <w:t xml:space="preserve"> </w:t>
      </w:r>
      <w:r w:rsidRPr="00B06BCB">
        <w:rPr>
          <w:color w:val="000000"/>
          <w:sz w:val="36"/>
          <w:szCs w:val="36"/>
        </w:rPr>
        <w:t>The findings show that both pay systems can influence employee motivation, but their effects depend on how they are designed and implemented. Performance-based pay can encourage greater effort, target achievement and extrinsic motivation when employees clearly understand performance expectations and consider rewards fair, achievable and valuable. However, it can also create pressure, competition, gaming behavior and an excessive focus on measurable or short-term outcomes.</w:t>
      </w:r>
      <w:r>
        <w:rPr>
          <w:color w:val="000000"/>
          <w:sz w:val="36"/>
          <w:szCs w:val="36"/>
        </w:rPr>
        <w:t xml:space="preserve"> </w:t>
      </w:r>
      <w:r w:rsidRPr="00B06BCB">
        <w:rPr>
          <w:color w:val="000000"/>
          <w:sz w:val="36"/>
          <w:szCs w:val="36"/>
        </w:rPr>
        <w:t>Fixed salary provides greater income stability and predictability and may support cooperation and financial security. However, it offers fewer direct financial incentives for employees to exceed expected performance levels. The review also highlights the importance of fairness, reward transparency, job design, management practices, organi</w:t>
      </w:r>
      <w:r>
        <w:rPr>
          <w:color w:val="000000"/>
          <w:sz w:val="36"/>
          <w:szCs w:val="36"/>
        </w:rPr>
        <w:t>z</w:t>
      </w:r>
      <w:r w:rsidRPr="00B06BCB">
        <w:rPr>
          <w:color w:val="000000"/>
          <w:sz w:val="36"/>
          <w:szCs w:val="36"/>
        </w:rPr>
        <w:t>ational culture, recognition and autonomy.</w:t>
      </w:r>
      <w:r>
        <w:rPr>
          <w:color w:val="000000"/>
          <w:sz w:val="36"/>
          <w:szCs w:val="36"/>
        </w:rPr>
        <w:t xml:space="preserve"> </w:t>
      </w:r>
      <w:r w:rsidRPr="00B06BCB">
        <w:rPr>
          <w:color w:val="000000"/>
          <w:sz w:val="36"/>
          <w:szCs w:val="36"/>
        </w:rPr>
        <w:t>Overall, the findings suggest that employee motivation cannot be explained by the pay system alone. In retail organi</w:t>
      </w:r>
      <w:r>
        <w:rPr>
          <w:color w:val="000000"/>
          <w:sz w:val="36"/>
          <w:szCs w:val="36"/>
        </w:rPr>
        <w:t>z</w:t>
      </w:r>
      <w:r w:rsidRPr="00B06BCB">
        <w:rPr>
          <w:color w:val="000000"/>
          <w:sz w:val="36"/>
          <w:szCs w:val="36"/>
        </w:rPr>
        <w:t>ations, where sales performance must be balanced with customer service and teamwork, the suitability of a pay system depends on the work context and employees' perceptions. Hybrid approaches may therefore provide an area for further research.</w:t>
      </w:r>
    </w:p>
    <w:p w14:paraId="4799EEA0" w14:textId="77777777" w:rsidR="005F58F2" w:rsidRPr="00B06BCB" w:rsidRDefault="005F58F2" w:rsidP="005F58F2"/>
    <w:p w14:paraId="77644D1C" w14:textId="77777777" w:rsidR="005F58F2" w:rsidRPr="007C5F85" w:rsidRDefault="005F58F2" w:rsidP="005F58F2">
      <w:pPr>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EF14F8" w14:textId="77777777" w:rsidR="005F58F2" w:rsidRDefault="005F58F2" w:rsidP="005F58F2">
      <w:pPr>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04498F" w14:textId="77777777" w:rsidR="0029165F" w:rsidRPr="0016171C" w:rsidRDefault="0029165F" w:rsidP="0029165F">
      <w:pPr>
        <w:rPr>
          <w:rFonts w:ascii="-webkit-standard" w:hAnsi="-webkit-standard"/>
          <w:bCs/>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6686C7C4"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5BAA9BB8"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195AA311" w14:textId="77777777" w:rsidR="005F58F2" w:rsidRPr="005F58F2" w:rsidRDefault="0029165F" w:rsidP="005F58F2">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 xml:space="preserve">  </w:t>
      </w:r>
      <w:bookmarkStart w:id="0" w:name="_Toc241526665"/>
    </w:p>
    <w:sdt>
      <w:sdtPr>
        <w:id w:val="196051325"/>
        <w:docPartObj>
          <w:docPartGallery w:val="Table of Contents"/>
          <w:docPartUnique/>
        </w:docPartObj>
      </w:sdtPr>
      <w:sdtEndPr>
        <w:rPr>
          <w:rFonts w:ascii="Times New Roman" w:eastAsia="Times New Roman" w:hAnsi="Times New Roman" w:cs="Times New Roman"/>
          <w:noProof/>
          <w:color w:val="auto"/>
          <w:sz w:val="24"/>
          <w:szCs w:val="24"/>
          <w:lang w:bidi="bn-IN"/>
        </w:rPr>
      </w:sdtEndPr>
      <w:sdtContent>
        <w:p w14:paraId="452E7CCC" w14:textId="2B69686C" w:rsidR="005F58F2" w:rsidRPr="005F58F2" w:rsidRDefault="005F58F2">
          <w:pPr>
            <w:pStyle w:val="TOCHeading"/>
            <w:rPr>
              <w:b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58F2">
            <w:rPr>
              <w:b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30430AA" w14:textId="3B6C5669"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r>
            <w:rPr>
              <w:b w:val="0"/>
              <w:bCs w:val="0"/>
            </w:rPr>
            <w:fldChar w:fldCharType="begin"/>
          </w:r>
          <w:r>
            <w:instrText xml:space="preserve"> TOC \o "1-3" \h \z \u </w:instrText>
          </w:r>
          <w:r>
            <w:rPr>
              <w:b w:val="0"/>
              <w:bCs w:val="0"/>
            </w:rPr>
            <w:fldChar w:fldCharType="separate"/>
          </w:r>
          <w:hyperlink w:anchor="_Toc241527075" w:history="1">
            <w:r w:rsidRPr="00D325FB">
              <w:rPr>
                <w:rStyle w:val="Hyperlink"/>
                <w:noProof/>
              </w:rPr>
              <w:t>1.1 Introduction of a Literature Review</w:t>
            </w:r>
            <w:r>
              <w:rPr>
                <w:noProof/>
                <w:webHidden/>
              </w:rPr>
              <w:tab/>
            </w:r>
            <w:r>
              <w:rPr>
                <w:noProof/>
                <w:webHidden/>
              </w:rPr>
              <w:fldChar w:fldCharType="begin"/>
            </w:r>
            <w:r>
              <w:rPr>
                <w:noProof/>
                <w:webHidden/>
              </w:rPr>
              <w:instrText xml:space="preserve"> PAGEREF _Toc241527075 \h </w:instrText>
            </w:r>
            <w:r>
              <w:rPr>
                <w:noProof/>
                <w:webHidden/>
              </w:rPr>
            </w:r>
            <w:r>
              <w:rPr>
                <w:noProof/>
                <w:webHidden/>
              </w:rPr>
              <w:fldChar w:fldCharType="separate"/>
            </w:r>
            <w:r>
              <w:rPr>
                <w:noProof/>
                <w:webHidden/>
              </w:rPr>
              <w:t>4</w:t>
            </w:r>
            <w:r>
              <w:rPr>
                <w:noProof/>
                <w:webHidden/>
              </w:rPr>
              <w:fldChar w:fldCharType="end"/>
            </w:r>
          </w:hyperlink>
        </w:p>
        <w:p w14:paraId="12CBB0A5" w14:textId="7DCD9869"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076" w:history="1">
            <w:r w:rsidRPr="00D325FB">
              <w:rPr>
                <w:rStyle w:val="Hyperlink"/>
                <w:noProof/>
              </w:rPr>
              <w:t>1.2 Purpose of a Literature Review</w:t>
            </w:r>
            <w:r>
              <w:rPr>
                <w:noProof/>
                <w:webHidden/>
              </w:rPr>
              <w:tab/>
            </w:r>
            <w:r>
              <w:rPr>
                <w:noProof/>
                <w:webHidden/>
              </w:rPr>
              <w:fldChar w:fldCharType="begin"/>
            </w:r>
            <w:r>
              <w:rPr>
                <w:noProof/>
                <w:webHidden/>
              </w:rPr>
              <w:instrText xml:space="preserve"> PAGEREF _Toc241527076 \h </w:instrText>
            </w:r>
            <w:r>
              <w:rPr>
                <w:noProof/>
                <w:webHidden/>
              </w:rPr>
            </w:r>
            <w:r>
              <w:rPr>
                <w:noProof/>
                <w:webHidden/>
              </w:rPr>
              <w:fldChar w:fldCharType="separate"/>
            </w:r>
            <w:r>
              <w:rPr>
                <w:noProof/>
                <w:webHidden/>
              </w:rPr>
              <w:t>5</w:t>
            </w:r>
            <w:r>
              <w:rPr>
                <w:noProof/>
                <w:webHidden/>
              </w:rPr>
              <w:fldChar w:fldCharType="end"/>
            </w:r>
          </w:hyperlink>
        </w:p>
        <w:p w14:paraId="2B4456FA" w14:textId="2CACF365"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077" w:history="1">
            <w:r w:rsidRPr="00D325FB">
              <w:rPr>
                <w:rStyle w:val="Hyperlink"/>
                <w:noProof/>
              </w:rPr>
              <w:t>1.3 Theoretical Discussion</w:t>
            </w:r>
            <w:r>
              <w:rPr>
                <w:noProof/>
                <w:webHidden/>
              </w:rPr>
              <w:tab/>
            </w:r>
            <w:r>
              <w:rPr>
                <w:noProof/>
                <w:webHidden/>
              </w:rPr>
              <w:fldChar w:fldCharType="begin"/>
            </w:r>
            <w:r>
              <w:rPr>
                <w:noProof/>
                <w:webHidden/>
              </w:rPr>
              <w:instrText xml:space="preserve"> PAGEREF _Toc241527077 \h </w:instrText>
            </w:r>
            <w:r>
              <w:rPr>
                <w:noProof/>
                <w:webHidden/>
              </w:rPr>
            </w:r>
            <w:r>
              <w:rPr>
                <w:noProof/>
                <w:webHidden/>
              </w:rPr>
              <w:fldChar w:fldCharType="separate"/>
            </w:r>
            <w:r>
              <w:rPr>
                <w:noProof/>
                <w:webHidden/>
              </w:rPr>
              <w:t>6</w:t>
            </w:r>
            <w:r>
              <w:rPr>
                <w:noProof/>
                <w:webHidden/>
              </w:rPr>
              <w:fldChar w:fldCharType="end"/>
            </w:r>
          </w:hyperlink>
        </w:p>
        <w:p w14:paraId="77C96EA9" w14:textId="2AE5B597"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78" w:history="1">
            <w:r w:rsidRPr="00D325FB">
              <w:rPr>
                <w:rStyle w:val="Hyperlink"/>
                <w:b/>
                <w:bCs/>
                <w:noProof/>
              </w:rPr>
              <w:t>1.4 Research Aim</w:t>
            </w:r>
            <w:r>
              <w:rPr>
                <w:noProof/>
                <w:webHidden/>
              </w:rPr>
              <w:tab/>
            </w:r>
            <w:r>
              <w:rPr>
                <w:noProof/>
                <w:webHidden/>
              </w:rPr>
              <w:fldChar w:fldCharType="begin"/>
            </w:r>
            <w:r>
              <w:rPr>
                <w:noProof/>
                <w:webHidden/>
              </w:rPr>
              <w:instrText xml:space="preserve"> PAGEREF _Toc241527078 \h </w:instrText>
            </w:r>
            <w:r>
              <w:rPr>
                <w:noProof/>
                <w:webHidden/>
              </w:rPr>
            </w:r>
            <w:r>
              <w:rPr>
                <w:noProof/>
                <w:webHidden/>
              </w:rPr>
              <w:fldChar w:fldCharType="separate"/>
            </w:r>
            <w:r>
              <w:rPr>
                <w:noProof/>
                <w:webHidden/>
              </w:rPr>
              <w:t>7</w:t>
            </w:r>
            <w:r>
              <w:rPr>
                <w:noProof/>
                <w:webHidden/>
              </w:rPr>
              <w:fldChar w:fldCharType="end"/>
            </w:r>
          </w:hyperlink>
        </w:p>
        <w:p w14:paraId="05A7524B" w14:textId="088B0238"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79" w:history="1">
            <w:r w:rsidRPr="00D325FB">
              <w:rPr>
                <w:rStyle w:val="Hyperlink"/>
                <w:b/>
                <w:bCs/>
                <w:noProof/>
              </w:rPr>
              <w:t>1.6 Research Questions</w:t>
            </w:r>
            <w:r>
              <w:rPr>
                <w:noProof/>
                <w:webHidden/>
              </w:rPr>
              <w:tab/>
            </w:r>
            <w:r>
              <w:rPr>
                <w:noProof/>
                <w:webHidden/>
              </w:rPr>
              <w:fldChar w:fldCharType="begin"/>
            </w:r>
            <w:r>
              <w:rPr>
                <w:noProof/>
                <w:webHidden/>
              </w:rPr>
              <w:instrText xml:space="preserve"> PAGEREF _Toc241527079 \h </w:instrText>
            </w:r>
            <w:r>
              <w:rPr>
                <w:noProof/>
                <w:webHidden/>
              </w:rPr>
            </w:r>
            <w:r>
              <w:rPr>
                <w:noProof/>
                <w:webHidden/>
              </w:rPr>
              <w:fldChar w:fldCharType="separate"/>
            </w:r>
            <w:r>
              <w:rPr>
                <w:noProof/>
                <w:webHidden/>
              </w:rPr>
              <w:t>8</w:t>
            </w:r>
            <w:r>
              <w:rPr>
                <w:noProof/>
                <w:webHidden/>
              </w:rPr>
              <w:fldChar w:fldCharType="end"/>
            </w:r>
          </w:hyperlink>
        </w:p>
        <w:p w14:paraId="7F0CB553" w14:textId="646013AB"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080" w:history="1">
            <w:r w:rsidRPr="00D325FB">
              <w:rPr>
                <w:rStyle w:val="Hyperlink"/>
                <w:noProof/>
              </w:rPr>
              <w:t>3.How do performance based pay and fixed salary systems influence employee motivation.</w:t>
            </w:r>
            <w:r>
              <w:rPr>
                <w:noProof/>
                <w:webHidden/>
              </w:rPr>
              <w:tab/>
            </w:r>
            <w:r>
              <w:rPr>
                <w:noProof/>
                <w:webHidden/>
              </w:rPr>
              <w:fldChar w:fldCharType="begin"/>
            </w:r>
            <w:r>
              <w:rPr>
                <w:noProof/>
                <w:webHidden/>
              </w:rPr>
              <w:instrText xml:space="preserve"> PAGEREF _Toc241527080 \h </w:instrText>
            </w:r>
            <w:r>
              <w:rPr>
                <w:noProof/>
                <w:webHidden/>
              </w:rPr>
            </w:r>
            <w:r>
              <w:rPr>
                <w:noProof/>
                <w:webHidden/>
              </w:rPr>
              <w:fldChar w:fldCharType="separate"/>
            </w:r>
            <w:r>
              <w:rPr>
                <w:noProof/>
                <w:webHidden/>
              </w:rPr>
              <w:t>8</w:t>
            </w:r>
            <w:r>
              <w:rPr>
                <w:noProof/>
                <w:webHidden/>
              </w:rPr>
              <w:fldChar w:fldCharType="end"/>
            </w:r>
          </w:hyperlink>
        </w:p>
        <w:p w14:paraId="25952631" w14:textId="1D65D7B1"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081" w:history="1">
            <w:r w:rsidRPr="00D325FB">
              <w:rPr>
                <w:rStyle w:val="Hyperlink"/>
                <w:noProof/>
              </w:rPr>
              <w:t>1.7 Types of Literature Reviews:</w:t>
            </w:r>
            <w:r>
              <w:rPr>
                <w:noProof/>
                <w:webHidden/>
              </w:rPr>
              <w:tab/>
            </w:r>
            <w:r>
              <w:rPr>
                <w:noProof/>
                <w:webHidden/>
              </w:rPr>
              <w:fldChar w:fldCharType="begin"/>
            </w:r>
            <w:r>
              <w:rPr>
                <w:noProof/>
                <w:webHidden/>
              </w:rPr>
              <w:instrText xml:space="preserve"> PAGEREF _Toc241527081 \h </w:instrText>
            </w:r>
            <w:r>
              <w:rPr>
                <w:noProof/>
                <w:webHidden/>
              </w:rPr>
            </w:r>
            <w:r>
              <w:rPr>
                <w:noProof/>
                <w:webHidden/>
              </w:rPr>
              <w:fldChar w:fldCharType="separate"/>
            </w:r>
            <w:r>
              <w:rPr>
                <w:noProof/>
                <w:webHidden/>
              </w:rPr>
              <w:t>8</w:t>
            </w:r>
            <w:r>
              <w:rPr>
                <w:noProof/>
                <w:webHidden/>
              </w:rPr>
              <w:fldChar w:fldCharType="end"/>
            </w:r>
          </w:hyperlink>
        </w:p>
        <w:p w14:paraId="65E6F526" w14:textId="78A26730"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082" w:history="1">
            <w:r w:rsidRPr="00D325FB">
              <w:rPr>
                <w:rStyle w:val="Hyperlink"/>
                <w:noProof/>
              </w:rPr>
              <w:t>1.9 Selection of Narrative Literature Review</w:t>
            </w:r>
            <w:r>
              <w:rPr>
                <w:noProof/>
                <w:webHidden/>
              </w:rPr>
              <w:tab/>
            </w:r>
            <w:r>
              <w:rPr>
                <w:noProof/>
                <w:webHidden/>
              </w:rPr>
              <w:fldChar w:fldCharType="begin"/>
            </w:r>
            <w:r>
              <w:rPr>
                <w:noProof/>
                <w:webHidden/>
              </w:rPr>
              <w:instrText xml:space="preserve"> PAGEREF _Toc241527082 \h </w:instrText>
            </w:r>
            <w:r>
              <w:rPr>
                <w:noProof/>
                <w:webHidden/>
              </w:rPr>
            </w:r>
            <w:r>
              <w:rPr>
                <w:noProof/>
                <w:webHidden/>
              </w:rPr>
              <w:fldChar w:fldCharType="separate"/>
            </w:r>
            <w:r>
              <w:rPr>
                <w:noProof/>
                <w:webHidden/>
              </w:rPr>
              <w:t>10</w:t>
            </w:r>
            <w:r>
              <w:rPr>
                <w:noProof/>
                <w:webHidden/>
              </w:rPr>
              <w:fldChar w:fldCharType="end"/>
            </w:r>
          </w:hyperlink>
        </w:p>
        <w:p w14:paraId="68579A5A" w14:textId="63893CC7"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83" w:history="1">
            <w:r w:rsidRPr="00D325FB">
              <w:rPr>
                <w:rStyle w:val="Hyperlink"/>
                <w:b/>
                <w:bCs/>
                <w:noProof/>
              </w:rPr>
              <w:t>3.1. Introduction</w:t>
            </w:r>
            <w:r>
              <w:rPr>
                <w:noProof/>
                <w:webHidden/>
              </w:rPr>
              <w:tab/>
            </w:r>
            <w:r>
              <w:rPr>
                <w:noProof/>
                <w:webHidden/>
              </w:rPr>
              <w:fldChar w:fldCharType="begin"/>
            </w:r>
            <w:r>
              <w:rPr>
                <w:noProof/>
                <w:webHidden/>
              </w:rPr>
              <w:instrText xml:space="preserve"> PAGEREF _Toc241527083 \h </w:instrText>
            </w:r>
            <w:r>
              <w:rPr>
                <w:noProof/>
                <w:webHidden/>
              </w:rPr>
            </w:r>
            <w:r>
              <w:rPr>
                <w:noProof/>
                <w:webHidden/>
              </w:rPr>
              <w:fldChar w:fldCharType="separate"/>
            </w:r>
            <w:r>
              <w:rPr>
                <w:noProof/>
                <w:webHidden/>
              </w:rPr>
              <w:t>41</w:t>
            </w:r>
            <w:r>
              <w:rPr>
                <w:noProof/>
                <w:webHidden/>
              </w:rPr>
              <w:fldChar w:fldCharType="end"/>
            </w:r>
          </w:hyperlink>
        </w:p>
        <w:p w14:paraId="03C96FF3" w14:textId="0CAA9091"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084" w:history="1">
            <w:r w:rsidRPr="00D325FB">
              <w:rPr>
                <w:rStyle w:val="Hyperlink"/>
                <w:noProof/>
              </w:rPr>
              <w:t>3.2. Methodology</w:t>
            </w:r>
            <w:r>
              <w:rPr>
                <w:noProof/>
                <w:webHidden/>
              </w:rPr>
              <w:tab/>
            </w:r>
            <w:r>
              <w:rPr>
                <w:noProof/>
                <w:webHidden/>
              </w:rPr>
              <w:fldChar w:fldCharType="begin"/>
            </w:r>
            <w:r>
              <w:rPr>
                <w:noProof/>
                <w:webHidden/>
              </w:rPr>
              <w:instrText xml:space="preserve"> PAGEREF _Toc241527084 \h </w:instrText>
            </w:r>
            <w:r>
              <w:rPr>
                <w:noProof/>
                <w:webHidden/>
              </w:rPr>
            </w:r>
            <w:r>
              <w:rPr>
                <w:noProof/>
                <w:webHidden/>
              </w:rPr>
              <w:fldChar w:fldCharType="separate"/>
            </w:r>
            <w:r>
              <w:rPr>
                <w:noProof/>
                <w:webHidden/>
              </w:rPr>
              <w:t>42</w:t>
            </w:r>
            <w:r>
              <w:rPr>
                <w:noProof/>
                <w:webHidden/>
              </w:rPr>
              <w:fldChar w:fldCharType="end"/>
            </w:r>
          </w:hyperlink>
        </w:p>
        <w:p w14:paraId="61D87D6A" w14:textId="63EF6FA3"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85" w:history="1">
            <w:r w:rsidRPr="00D325FB">
              <w:rPr>
                <w:rStyle w:val="Hyperlink"/>
                <w:b/>
                <w:bCs/>
                <w:noProof/>
              </w:rPr>
              <w:t>3.2.1. Research approach</w:t>
            </w:r>
            <w:r>
              <w:rPr>
                <w:noProof/>
                <w:webHidden/>
              </w:rPr>
              <w:tab/>
            </w:r>
            <w:r>
              <w:rPr>
                <w:noProof/>
                <w:webHidden/>
              </w:rPr>
              <w:fldChar w:fldCharType="begin"/>
            </w:r>
            <w:r>
              <w:rPr>
                <w:noProof/>
                <w:webHidden/>
              </w:rPr>
              <w:instrText xml:space="preserve"> PAGEREF _Toc241527085 \h </w:instrText>
            </w:r>
            <w:r>
              <w:rPr>
                <w:noProof/>
                <w:webHidden/>
              </w:rPr>
            </w:r>
            <w:r>
              <w:rPr>
                <w:noProof/>
                <w:webHidden/>
              </w:rPr>
              <w:fldChar w:fldCharType="separate"/>
            </w:r>
            <w:r>
              <w:rPr>
                <w:noProof/>
                <w:webHidden/>
              </w:rPr>
              <w:t>42</w:t>
            </w:r>
            <w:r>
              <w:rPr>
                <w:noProof/>
                <w:webHidden/>
              </w:rPr>
              <w:fldChar w:fldCharType="end"/>
            </w:r>
          </w:hyperlink>
        </w:p>
        <w:p w14:paraId="495037EE" w14:textId="0E766CDB"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86" w:history="1">
            <w:r w:rsidRPr="00D325FB">
              <w:rPr>
                <w:rStyle w:val="Hyperlink"/>
                <w:b/>
                <w:bCs/>
                <w:noProof/>
              </w:rPr>
              <w:t>3.2.2. Identification of the 100 studies</w:t>
            </w:r>
            <w:r>
              <w:rPr>
                <w:noProof/>
                <w:webHidden/>
              </w:rPr>
              <w:tab/>
            </w:r>
            <w:r>
              <w:rPr>
                <w:noProof/>
                <w:webHidden/>
              </w:rPr>
              <w:fldChar w:fldCharType="begin"/>
            </w:r>
            <w:r>
              <w:rPr>
                <w:noProof/>
                <w:webHidden/>
              </w:rPr>
              <w:instrText xml:space="preserve"> PAGEREF _Toc241527086 \h </w:instrText>
            </w:r>
            <w:r>
              <w:rPr>
                <w:noProof/>
                <w:webHidden/>
              </w:rPr>
            </w:r>
            <w:r>
              <w:rPr>
                <w:noProof/>
                <w:webHidden/>
              </w:rPr>
              <w:fldChar w:fldCharType="separate"/>
            </w:r>
            <w:r>
              <w:rPr>
                <w:noProof/>
                <w:webHidden/>
              </w:rPr>
              <w:t>42</w:t>
            </w:r>
            <w:r>
              <w:rPr>
                <w:noProof/>
                <w:webHidden/>
              </w:rPr>
              <w:fldChar w:fldCharType="end"/>
            </w:r>
          </w:hyperlink>
        </w:p>
        <w:p w14:paraId="257E78EF" w14:textId="17C496B0"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87" w:history="1">
            <w:r w:rsidRPr="00D325FB">
              <w:rPr>
                <w:rStyle w:val="Hyperlink"/>
                <w:b/>
                <w:bCs/>
                <w:noProof/>
              </w:rPr>
              <w:t>3.2.3. Publication-year criteria</w:t>
            </w:r>
            <w:r>
              <w:rPr>
                <w:noProof/>
                <w:webHidden/>
              </w:rPr>
              <w:tab/>
            </w:r>
            <w:r>
              <w:rPr>
                <w:noProof/>
                <w:webHidden/>
              </w:rPr>
              <w:fldChar w:fldCharType="begin"/>
            </w:r>
            <w:r>
              <w:rPr>
                <w:noProof/>
                <w:webHidden/>
              </w:rPr>
              <w:instrText xml:space="preserve"> PAGEREF _Toc241527087 \h </w:instrText>
            </w:r>
            <w:r>
              <w:rPr>
                <w:noProof/>
                <w:webHidden/>
              </w:rPr>
            </w:r>
            <w:r>
              <w:rPr>
                <w:noProof/>
                <w:webHidden/>
              </w:rPr>
              <w:fldChar w:fldCharType="separate"/>
            </w:r>
            <w:r>
              <w:rPr>
                <w:noProof/>
                <w:webHidden/>
              </w:rPr>
              <w:t>43</w:t>
            </w:r>
            <w:r>
              <w:rPr>
                <w:noProof/>
                <w:webHidden/>
              </w:rPr>
              <w:fldChar w:fldCharType="end"/>
            </w:r>
          </w:hyperlink>
        </w:p>
        <w:p w14:paraId="7FF229A2" w14:textId="7C9151A8"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88" w:history="1">
            <w:r w:rsidRPr="00D325FB">
              <w:rPr>
                <w:rStyle w:val="Hyperlink"/>
                <w:b/>
                <w:bCs/>
                <w:noProof/>
              </w:rPr>
              <w:t>3.2.4. Findings and analysis</w:t>
            </w:r>
            <w:r>
              <w:rPr>
                <w:noProof/>
                <w:webHidden/>
              </w:rPr>
              <w:tab/>
            </w:r>
            <w:r>
              <w:rPr>
                <w:noProof/>
                <w:webHidden/>
              </w:rPr>
              <w:fldChar w:fldCharType="begin"/>
            </w:r>
            <w:r>
              <w:rPr>
                <w:noProof/>
                <w:webHidden/>
              </w:rPr>
              <w:instrText xml:space="preserve"> PAGEREF _Toc241527088 \h </w:instrText>
            </w:r>
            <w:r>
              <w:rPr>
                <w:noProof/>
                <w:webHidden/>
              </w:rPr>
            </w:r>
            <w:r>
              <w:rPr>
                <w:noProof/>
                <w:webHidden/>
              </w:rPr>
              <w:fldChar w:fldCharType="separate"/>
            </w:r>
            <w:r>
              <w:rPr>
                <w:noProof/>
                <w:webHidden/>
              </w:rPr>
              <w:t>43</w:t>
            </w:r>
            <w:r>
              <w:rPr>
                <w:noProof/>
                <w:webHidden/>
              </w:rPr>
              <w:fldChar w:fldCharType="end"/>
            </w:r>
          </w:hyperlink>
        </w:p>
        <w:p w14:paraId="083430A1" w14:textId="291D3AD2"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89" w:history="1">
            <w:r w:rsidRPr="00D325FB">
              <w:rPr>
                <w:rStyle w:val="Hyperlink"/>
                <w:b/>
                <w:bCs/>
                <w:noProof/>
              </w:rPr>
              <w:t>3.3. Definition of Key Terms</w:t>
            </w:r>
            <w:r>
              <w:rPr>
                <w:noProof/>
                <w:webHidden/>
              </w:rPr>
              <w:tab/>
            </w:r>
            <w:r>
              <w:rPr>
                <w:noProof/>
                <w:webHidden/>
              </w:rPr>
              <w:fldChar w:fldCharType="begin"/>
            </w:r>
            <w:r>
              <w:rPr>
                <w:noProof/>
                <w:webHidden/>
              </w:rPr>
              <w:instrText xml:space="preserve"> PAGEREF _Toc241527089 \h </w:instrText>
            </w:r>
            <w:r>
              <w:rPr>
                <w:noProof/>
                <w:webHidden/>
              </w:rPr>
            </w:r>
            <w:r>
              <w:rPr>
                <w:noProof/>
                <w:webHidden/>
              </w:rPr>
              <w:fldChar w:fldCharType="separate"/>
            </w:r>
            <w:r>
              <w:rPr>
                <w:noProof/>
                <w:webHidden/>
              </w:rPr>
              <w:t>44</w:t>
            </w:r>
            <w:r>
              <w:rPr>
                <w:noProof/>
                <w:webHidden/>
              </w:rPr>
              <w:fldChar w:fldCharType="end"/>
            </w:r>
          </w:hyperlink>
        </w:p>
        <w:p w14:paraId="368AB533" w14:textId="13678D43"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1" w:history="1">
            <w:r w:rsidRPr="00D325FB">
              <w:rPr>
                <w:rStyle w:val="Hyperlink"/>
                <w:b/>
                <w:bCs/>
                <w:noProof/>
              </w:rPr>
              <w:t>3.4. Thematic Discussion</w:t>
            </w:r>
            <w:r>
              <w:rPr>
                <w:noProof/>
                <w:webHidden/>
              </w:rPr>
              <w:tab/>
            </w:r>
            <w:r>
              <w:rPr>
                <w:noProof/>
                <w:webHidden/>
              </w:rPr>
              <w:fldChar w:fldCharType="begin"/>
            </w:r>
            <w:r>
              <w:rPr>
                <w:noProof/>
                <w:webHidden/>
              </w:rPr>
              <w:instrText xml:space="preserve"> PAGEREF _Toc241527091 \h </w:instrText>
            </w:r>
            <w:r>
              <w:rPr>
                <w:noProof/>
                <w:webHidden/>
              </w:rPr>
            </w:r>
            <w:r>
              <w:rPr>
                <w:noProof/>
                <w:webHidden/>
              </w:rPr>
              <w:fldChar w:fldCharType="separate"/>
            </w:r>
            <w:r>
              <w:rPr>
                <w:noProof/>
                <w:webHidden/>
              </w:rPr>
              <w:t>46</w:t>
            </w:r>
            <w:r>
              <w:rPr>
                <w:noProof/>
                <w:webHidden/>
              </w:rPr>
              <w:fldChar w:fldCharType="end"/>
            </w:r>
          </w:hyperlink>
        </w:p>
        <w:p w14:paraId="0256243F" w14:textId="356D7B64"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2" w:history="1">
            <w:r w:rsidRPr="00D325FB">
              <w:rPr>
                <w:rStyle w:val="Hyperlink"/>
                <w:b/>
                <w:bCs/>
                <w:noProof/>
              </w:rPr>
              <w:t>Theme 1: Motivational benefits of performance-based pay</w:t>
            </w:r>
            <w:r>
              <w:rPr>
                <w:noProof/>
                <w:webHidden/>
              </w:rPr>
              <w:tab/>
            </w:r>
            <w:r>
              <w:rPr>
                <w:noProof/>
                <w:webHidden/>
              </w:rPr>
              <w:fldChar w:fldCharType="begin"/>
            </w:r>
            <w:r>
              <w:rPr>
                <w:noProof/>
                <w:webHidden/>
              </w:rPr>
              <w:instrText xml:space="preserve"> PAGEREF _Toc241527092 \h </w:instrText>
            </w:r>
            <w:r>
              <w:rPr>
                <w:noProof/>
                <w:webHidden/>
              </w:rPr>
            </w:r>
            <w:r>
              <w:rPr>
                <w:noProof/>
                <w:webHidden/>
              </w:rPr>
              <w:fldChar w:fldCharType="separate"/>
            </w:r>
            <w:r>
              <w:rPr>
                <w:noProof/>
                <w:webHidden/>
              </w:rPr>
              <w:t>46</w:t>
            </w:r>
            <w:r>
              <w:rPr>
                <w:noProof/>
                <w:webHidden/>
              </w:rPr>
              <w:fldChar w:fldCharType="end"/>
            </w:r>
          </w:hyperlink>
        </w:p>
        <w:p w14:paraId="3DB939A3" w14:textId="20C15F6B"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3" w:history="1">
            <w:r w:rsidRPr="00D325FB">
              <w:rPr>
                <w:rStyle w:val="Hyperlink"/>
                <w:b/>
                <w:bCs/>
                <w:noProof/>
              </w:rPr>
              <w:t>Theme 2: Disadvantages and risks of performance-based pay</w:t>
            </w:r>
            <w:r>
              <w:rPr>
                <w:noProof/>
                <w:webHidden/>
              </w:rPr>
              <w:tab/>
            </w:r>
            <w:r>
              <w:rPr>
                <w:noProof/>
                <w:webHidden/>
              </w:rPr>
              <w:fldChar w:fldCharType="begin"/>
            </w:r>
            <w:r>
              <w:rPr>
                <w:noProof/>
                <w:webHidden/>
              </w:rPr>
              <w:instrText xml:space="preserve"> PAGEREF _Toc241527093 \h </w:instrText>
            </w:r>
            <w:r>
              <w:rPr>
                <w:noProof/>
                <w:webHidden/>
              </w:rPr>
            </w:r>
            <w:r>
              <w:rPr>
                <w:noProof/>
                <w:webHidden/>
              </w:rPr>
              <w:fldChar w:fldCharType="separate"/>
            </w:r>
            <w:r>
              <w:rPr>
                <w:noProof/>
                <w:webHidden/>
              </w:rPr>
              <w:t>46</w:t>
            </w:r>
            <w:r>
              <w:rPr>
                <w:noProof/>
                <w:webHidden/>
              </w:rPr>
              <w:fldChar w:fldCharType="end"/>
            </w:r>
          </w:hyperlink>
        </w:p>
        <w:p w14:paraId="05E4F744" w14:textId="15B67C01"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4" w:history="1">
            <w:r w:rsidRPr="00D325FB">
              <w:rPr>
                <w:rStyle w:val="Hyperlink"/>
                <w:b/>
                <w:bCs/>
                <w:noProof/>
              </w:rPr>
              <w:t>Theme 4: Fairness and employee perceptions</w:t>
            </w:r>
            <w:r>
              <w:rPr>
                <w:noProof/>
                <w:webHidden/>
              </w:rPr>
              <w:tab/>
            </w:r>
            <w:r>
              <w:rPr>
                <w:noProof/>
                <w:webHidden/>
              </w:rPr>
              <w:fldChar w:fldCharType="begin"/>
            </w:r>
            <w:r>
              <w:rPr>
                <w:noProof/>
                <w:webHidden/>
              </w:rPr>
              <w:instrText xml:space="preserve"> PAGEREF _Toc241527094 \h </w:instrText>
            </w:r>
            <w:r>
              <w:rPr>
                <w:noProof/>
                <w:webHidden/>
              </w:rPr>
            </w:r>
            <w:r>
              <w:rPr>
                <w:noProof/>
                <w:webHidden/>
              </w:rPr>
              <w:fldChar w:fldCharType="separate"/>
            </w:r>
            <w:r>
              <w:rPr>
                <w:noProof/>
                <w:webHidden/>
              </w:rPr>
              <w:t>47</w:t>
            </w:r>
            <w:r>
              <w:rPr>
                <w:noProof/>
                <w:webHidden/>
              </w:rPr>
              <w:fldChar w:fldCharType="end"/>
            </w:r>
          </w:hyperlink>
        </w:p>
        <w:p w14:paraId="3BEE960A" w14:textId="23E957DD"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5" w:history="1">
            <w:r w:rsidRPr="00D325FB">
              <w:rPr>
                <w:rStyle w:val="Hyperlink"/>
                <w:b/>
                <w:bCs/>
                <w:noProof/>
              </w:rPr>
              <w:t>Theme 5: Intrinsic and extrinsic motivation</w:t>
            </w:r>
            <w:r>
              <w:rPr>
                <w:noProof/>
                <w:webHidden/>
              </w:rPr>
              <w:tab/>
            </w:r>
            <w:r>
              <w:rPr>
                <w:noProof/>
                <w:webHidden/>
              </w:rPr>
              <w:fldChar w:fldCharType="begin"/>
            </w:r>
            <w:r>
              <w:rPr>
                <w:noProof/>
                <w:webHidden/>
              </w:rPr>
              <w:instrText xml:space="preserve"> PAGEREF _Toc241527095 \h </w:instrText>
            </w:r>
            <w:r>
              <w:rPr>
                <w:noProof/>
                <w:webHidden/>
              </w:rPr>
            </w:r>
            <w:r>
              <w:rPr>
                <w:noProof/>
                <w:webHidden/>
              </w:rPr>
              <w:fldChar w:fldCharType="separate"/>
            </w:r>
            <w:r>
              <w:rPr>
                <w:noProof/>
                <w:webHidden/>
              </w:rPr>
              <w:t>48</w:t>
            </w:r>
            <w:r>
              <w:rPr>
                <w:noProof/>
                <w:webHidden/>
              </w:rPr>
              <w:fldChar w:fldCharType="end"/>
            </w:r>
          </w:hyperlink>
        </w:p>
        <w:p w14:paraId="4AFEC929" w14:textId="282E478C"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6" w:history="1">
            <w:r w:rsidRPr="00D325FB">
              <w:rPr>
                <w:rStyle w:val="Hyperlink"/>
                <w:b/>
                <w:bCs/>
                <w:noProof/>
              </w:rPr>
              <w:t>Theme 6: Individual versus collective incentives</w:t>
            </w:r>
            <w:r>
              <w:rPr>
                <w:noProof/>
                <w:webHidden/>
              </w:rPr>
              <w:tab/>
            </w:r>
            <w:r>
              <w:rPr>
                <w:noProof/>
                <w:webHidden/>
              </w:rPr>
              <w:fldChar w:fldCharType="begin"/>
            </w:r>
            <w:r>
              <w:rPr>
                <w:noProof/>
                <w:webHidden/>
              </w:rPr>
              <w:instrText xml:space="preserve"> PAGEREF _Toc241527096 \h </w:instrText>
            </w:r>
            <w:r>
              <w:rPr>
                <w:noProof/>
                <w:webHidden/>
              </w:rPr>
            </w:r>
            <w:r>
              <w:rPr>
                <w:noProof/>
                <w:webHidden/>
              </w:rPr>
              <w:fldChar w:fldCharType="separate"/>
            </w:r>
            <w:r>
              <w:rPr>
                <w:noProof/>
                <w:webHidden/>
              </w:rPr>
              <w:t>49</w:t>
            </w:r>
            <w:r>
              <w:rPr>
                <w:noProof/>
                <w:webHidden/>
              </w:rPr>
              <w:fldChar w:fldCharType="end"/>
            </w:r>
          </w:hyperlink>
        </w:p>
        <w:p w14:paraId="2B780755" w14:textId="2ACA31CA"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7" w:history="1">
            <w:r w:rsidRPr="00D325FB">
              <w:rPr>
                <w:rStyle w:val="Hyperlink"/>
                <w:b/>
                <w:bCs/>
                <w:noProof/>
              </w:rPr>
              <w:t>Theme 7: Organizational and job-related factors</w:t>
            </w:r>
            <w:r>
              <w:rPr>
                <w:noProof/>
                <w:webHidden/>
              </w:rPr>
              <w:tab/>
            </w:r>
            <w:r>
              <w:rPr>
                <w:noProof/>
                <w:webHidden/>
              </w:rPr>
              <w:fldChar w:fldCharType="begin"/>
            </w:r>
            <w:r>
              <w:rPr>
                <w:noProof/>
                <w:webHidden/>
              </w:rPr>
              <w:instrText xml:space="preserve"> PAGEREF _Toc241527097 \h </w:instrText>
            </w:r>
            <w:r>
              <w:rPr>
                <w:noProof/>
                <w:webHidden/>
              </w:rPr>
            </w:r>
            <w:r>
              <w:rPr>
                <w:noProof/>
                <w:webHidden/>
              </w:rPr>
              <w:fldChar w:fldCharType="separate"/>
            </w:r>
            <w:r>
              <w:rPr>
                <w:noProof/>
                <w:webHidden/>
              </w:rPr>
              <w:t>49</w:t>
            </w:r>
            <w:r>
              <w:rPr>
                <w:noProof/>
                <w:webHidden/>
              </w:rPr>
              <w:fldChar w:fldCharType="end"/>
            </w:r>
          </w:hyperlink>
        </w:p>
        <w:p w14:paraId="36BE0EC3" w14:textId="4AA3C248"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8" w:history="1">
            <w:r w:rsidRPr="00D325FB">
              <w:rPr>
                <w:rStyle w:val="Hyperlink"/>
                <w:b/>
                <w:bCs/>
                <w:noProof/>
              </w:rPr>
              <w:t>3.5. Critical Comparison of Studies</w:t>
            </w:r>
            <w:r>
              <w:rPr>
                <w:noProof/>
                <w:webHidden/>
              </w:rPr>
              <w:tab/>
            </w:r>
            <w:r>
              <w:rPr>
                <w:noProof/>
                <w:webHidden/>
              </w:rPr>
              <w:fldChar w:fldCharType="begin"/>
            </w:r>
            <w:r>
              <w:rPr>
                <w:noProof/>
                <w:webHidden/>
              </w:rPr>
              <w:instrText xml:space="preserve"> PAGEREF _Toc241527098 \h </w:instrText>
            </w:r>
            <w:r>
              <w:rPr>
                <w:noProof/>
                <w:webHidden/>
              </w:rPr>
            </w:r>
            <w:r>
              <w:rPr>
                <w:noProof/>
                <w:webHidden/>
              </w:rPr>
              <w:fldChar w:fldCharType="separate"/>
            </w:r>
            <w:r>
              <w:rPr>
                <w:noProof/>
                <w:webHidden/>
              </w:rPr>
              <w:t>49</w:t>
            </w:r>
            <w:r>
              <w:rPr>
                <w:noProof/>
                <w:webHidden/>
              </w:rPr>
              <w:fldChar w:fldCharType="end"/>
            </w:r>
          </w:hyperlink>
        </w:p>
        <w:p w14:paraId="3449223C" w14:textId="3297DF05" w:rsidR="005F58F2" w:rsidRDefault="005F58F2">
          <w:pPr>
            <w:pStyle w:val="TOC3"/>
            <w:tabs>
              <w:tab w:val="right" w:leader="dot" w:pos="12950"/>
            </w:tabs>
            <w:rPr>
              <w:rFonts w:eastAsiaTheme="minorEastAsia"/>
              <w:smallCaps w:val="0"/>
              <w:noProof/>
              <w:kern w:val="2"/>
              <w:sz w:val="24"/>
              <w:szCs w:val="30"/>
              <w14:ligatures w14:val="standardContextual"/>
            </w:rPr>
          </w:pPr>
          <w:hyperlink w:anchor="_Toc241527099" w:history="1">
            <w:r w:rsidRPr="00D325FB">
              <w:rPr>
                <w:rStyle w:val="Hyperlink"/>
                <w:b/>
                <w:bCs/>
                <w:noProof/>
              </w:rPr>
              <w:t>3.6. Discussion</w:t>
            </w:r>
            <w:r>
              <w:rPr>
                <w:noProof/>
                <w:webHidden/>
              </w:rPr>
              <w:tab/>
            </w:r>
            <w:r>
              <w:rPr>
                <w:noProof/>
                <w:webHidden/>
              </w:rPr>
              <w:fldChar w:fldCharType="begin"/>
            </w:r>
            <w:r>
              <w:rPr>
                <w:noProof/>
                <w:webHidden/>
              </w:rPr>
              <w:instrText xml:space="preserve"> PAGEREF _Toc241527099 \h </w:instrText>
            </w:r>
            <w:r>
              <w:rPr>
                <w:noProof/>
                <w:webHidden/>
              </w:rPr>
            </w:r>
            <w:r>
              <w:rPr>
                <w:noProof/>
                <w:webHidden/>
              </w:rPr>
              <w:fldChar w:fldCharType="separate"/>
            </w:r>
            <w:r>
              <w:rPr>
                <w:noProof/>
                <w:webHidden/>
              </w:rPr>
              <w:t>51</w:t>
            </w:r>
            <w:r>
              <w:rPr>
                <w:noProof/>
                <w:webHidden/>
              </w:rPr>
              <w:fldChar w:fldCharType="end"/>
            </w:r>
          </w:hyperlink>
        </w:p>
        <w:p w14:paraId="42270CE4" w14:textId="298BB7CC"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103" w:history="1">
            <w:r w:rsidRPr="00D325FB">
              <w:rPr>
                <w:rStyle w:val="Hyperlink"/>
                <w:noProof/>
              </w:rPr>
              <w:t>3.7. Research Gaps</w:t>
            </w:r>
            <w:r>
              <w:rPr>
                <w:noProof/>
                <w:webHidden/>
              </w:rPr>
              <w:tab/>
            </w:r>
            <w:r>
              <w:rPr>
                <w:noProof/>
                <w:webHidden/>
              </w:rPr>
              <w:fldChar w:fldCharType="begin"/>
            </w:r>
            <w:r>
              <w:rPr>
                <w:noProof/>
                <w:webHidden/>
              </w:rPr>
              <w:instrText xml:space="preserve"> PAGEREF _Toc241527103 \h </w:instrText>
            </w:r>
            <w:r>
              <w:rPr>
                <w:noProof/>
                <w:webHidden/>
              </w:rPr>
            </w:r>
            <w:r>
              <w:rPr>
                <w:noProof/>
                <w:webHidden/>
              </w:rPr>
              <w:fldChar w:fldCharType="separate"/>
            </w:r>
            <w:r>
              <w:rPr>
                <w:noProof/>
                <w:webHidden/>
              </w:rPr>
              <w:t>52</w:t>
            </w:r>
            <w:r>
              <w:rPr>
                <w:noProof/>
                <w:webHidden/>
              </w:rPr>
              <w:fldChar w:fldCharType="end"/>
            </w:r>
          </w:hyperlink>
        </w:p>
        <w:p w14:paraId="6F265606" w14:textId="356DFA94"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104" w:history="1">
            <w:r w:rsidRPr="00D325FB">
              <w:rPr>
                <w:rStyle w:val="Hyperlink"/>
                <w:noProof/>
              </w:rPr>
              <w:t>3.8. Future Research Directions</w:t>
            </w:r>
            <w:r>
              <w:rPr>
                <w:noProof/>
                <w:webHidden/>
              </w:rPr>
              <w:tab/>
            </w:r>
            <w:r>
              <w:rPr>
                <w:noProof/>
                <w:webHidden/>
              </w:rPr>
              <w:fldChar w:fldCharType="begin"/>
            </w:r>
            <w:r>
              <w:rPr>
                <w:noProof/>
                <w:webHidden/>
              </w:rPr>
              <w:instrText xml:space="preserve"> PAGEREF _Toc241527104 \h </w:instrText>
            </w:r>
            <w:r>
              <w:rPr>
                <w:noProof/>
                <w:webHidden/>
              </w:rPr>
            </w:r>
            <w:r>
              <w:rPr>
                <w:noProof/>
                <w:webHidden/>
              </w:rPr>
              <w:fldChar w:fldCharType="separate"/>
            </w:r>
            <w:r>
              <w:rPr>
                <w:noProof/>
                <w:webHidden/>
              </w:rPr>
              <w:t>52</w:t>
            </w:r>
            <w:r>
              <w:rPr>
                <w:noProof/>
                <w:webHidden/>
              </w:rPr>
              <w:fldChar w:fldCharType="end"/>
            </w:r>
          </w:hyperlink>
        </w:p>
        <w:p w14:paraId="2CBF2429" w14:textId="514689D9"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105" w:history="1">
            <w:r w:rsidRPr="00D325FB">
              <w:rPr>
                <w:rStyle w:val="Hyperlink"/>
                <w:noProof/>
              </w:rPr>
              <w:t>3.9. Conclusion</w:t>
            </w:r>
            <w:r>
              <w:rPr>
                <w:noProof/>
                <w:webHidden/>
              </w:rPr>
              <w:tab/>
            </w:r>
            <w:r>
              <w:rPr>
                <w:noProof/>
                <w:webHidden/>
              </w:rPr>
              <w:fldChar w:fldCharType="begin"/>
            </w:r>
            <w:r>
              <w:rPr>
                <w:noProof/>
                <w:webHidden/>
              </w:rPr>
              <w:instrText xml:space="preserve"> PAGEREF _Toc241527105 \h </w:instrText>
            </w:r>
            <w:r>
              <w:rPr>
                <w:noProof/>
                <w:webHidden/>
              </w:rPr>
            </w:r>
            <w:r>
              <w:rPr>
                <w:noProof/>
                <w:webHidden/>
              </w:rPr>
              <w:fldChar w:fldCharType="separate"/>
            </w:r>
            <w:r>
              <w:rPr>
                <w:noProof/>
                <w:webHidden/>
              </w:rPr>
              <w:t>53</w:t>
            </w:r>
            <w:r>
              <w:rPr>
                <w:noProof/>
                <w:webHidden/>
              </w:rPr>
              <w:fldChar w:fldCharType="end"/>
            </w:r>
          </w:hyperlink>
        </w:p>
        <w:p w14:paraId="3BDAF5A9" w14:textId="50BA938D"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106" w:history="1">
            <w:r w:rsidRPr="00D325FB">
              <w:rPr>
                <w:rStyle w:val="Hyperlink"/>
                <w:noProof/>
              </w:rPr>
              <w:t>Word: 2953</w:t>
            </w:r>
            <w:r>
              <w:rPr>
                <w:noProof/>
                <w:webHidden/>
              </w:rPr>
              <w:tab/>
            </w:r>
            <w:r>
              <w:rPr>
                <w:noProof/>
                <w:webHidden/>
              </w:rPr>
              <w:fldChar w:fldCharType="begin"/>
            </w:r>
            <w:r>
              <w:rPr>
                <w:noProof/>
                <w:webHidden/>
              </w:rPr>
              <w:instrText xml:space="preserve"> PAGEREF _Toc241527106 \h </w:instrText>
            </w:r>
            <w:r>
              <w:rPr>
                <w:noProof/>
                <w:webHidden/>
              </w:rPr>
            </w:r>
            <w:r>
              <w:rPr>
                <w:noProof/>
                <w:webHidden/>
              </w:rPr>
              <w:fldChar w:fldCharType="separate"/>
            </w:r>
            <w:r>
              <w:rPr>
                <w:noProof/>
                <w:webHidden/>
              </w:rPr>
              <w:t>54</w:t>
            </w:r>
            <w:r>
              <w:rPr>
                <w:noProof/>
                <w:webHidden/>
              </w:rPr>
              <w:fldChar w:fldCharType="end"/>
            </w:r>
          </w:hyperlink>
        </w:p>
        <w:p w14:paraId="5A0F3A25" w14:textId="535CA711" w:rsidR="005F58F2" w:rsidRDefault="005F58F2">
          <w:pPr>
            <w:pStyle w:val="TOC2"/>
            <w:tabs>
              <w:tab w:val="right" w:leader="dot" w:pos="12950"/>
            </w:tabs>
            <w:rPr>
              <w:rFonts w:eastAsiaTheme="minorEastAsia"/>
              <w:b w:val="0"/>
              <w:bCs w:val="0"/>
              <w:smallCaps w:val="0"/>
              <w:noProof/>
              <w:kern w:val="2"/>
              <w:sz w:val="24"/>
              <w:szCs w:val="30"/>
              <w14:ligatures w14:val="standardContextual"/>
            </w:rPr>
          </w:pPr>
          <w:hyperlink w:anchor="_Toc241527107" w:history="1">
            <w:r w:rsidRPr="00D325FB">
              <w:rPr>
                <w:rStyle w:val="Hyperlink"/>
                <w:noProof/>
              </w:rPr>
              <w:t>References</w:t>
            </w:r>
            <w:r>
              <w:rPr>
                <w:noProof/>
                <w:webHidden/>
              </w:rPr>
              <w:tab/>
            </w:r>
            <w:r>
              <w:rPr>
                <w:noProof/>
                <w:webHidden/>
              </w:rPr>
              <w:fldChar w:fldCharType="begin"/>
            </w:r>
            <w:r>
              <w:rPr>
                <w:noProof/>
                <w:webHidden/>
              </w:rPr>
              <w:instrText xml:space="preserve"> PAGEREF _Toc241527107 \h </w:instrText>
            </w:r>
            <w:r>
              <w:rPr>
                <w:noProof/>
                <w:webHidden/>
              </w:rPr>
            </w:r>
            <w:r>
              <w:rPr>
                <w:noProof/>
                <w:webHidden/>
              </w:rPr>
              <w:fldChar w:fldCharType="separate"/>
            </w:r>
            <w:r>
              <w:rPr>
                <w:noProof/>
                <w:webHidden/>
              </w:rPr>
              <w:t>54</w:t>
            </w:r>
            <w:r>
              <w:rPr>
                <w:noProof/>
                <w:webHidden/>
              </w:rPr>
              <w:fldChar w:fldCharType="end"/>
            </w:r>
          </w:hyperlink>
        </w:p>
        <w:p w14:paraId="23766BBD" w14:textId="24820793" w:rsidR="005F58F2" w:rsidRDefault="005F58F2">
          <w:r>
            <w:rPr>
              <w:b/>
              <w:bCs/>
              <w:noProof/>
            </w:rPr>
            <w:fldChar w:fldCharType="end"/>
          </w:r>
        </w:p>
      </w:sdtContent>
    </w:sdt>
    <w:bookmarkEnd w:id="0"/>
    <w:p w14:paraId="432FBF75" w14:textId="77777777" w:rsidR="0029165F" w:rsidRDefault="0029165F" w:rsidP="0029165F">
      <w:pP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D0BC5B" w14:textId="77777777" w:rsidR="0029165F" w:rsidRDefault="0029165F" w:rsidP="0029165F">
      <w:pP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226942" w14:textId="77777777" w:rsidR="00B06BCB" w:rsidRDefault="0029165F" w:rsidP="0029165F">
      <w:pP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263332" w14:textId="77777777" w:rsidR="00B06BCB" w:rsidRDefault="00B06BCB" w:rsidP="0029165F">
      <w:pP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BE7FB0" w14:textId="77777777" w:rsidR="00B06BCB" w:rsidRDefault="00B06BCB" w:rsidP="0029165F">
      <w:pP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201751" w14:textId="77777777" w:rsidR="00B06BCB" w:rsidRPr="00B06BCB" w:rsidRDefault="00B06BCB" w:rsidP="0029165F">
      <w:pPr>
        <w:rPr>
          <w:rFonts w:ascii="-webkit-standard" w:hAnsi="-webkit-standar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D6A228" w14:textId="22B4C9E6" w:rsidR="0029165F" w:rsidRPr="00B06BCB" w:rsidRDefault="0029165F" w:rsidP="0029165F">
      <w:pPr>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6BCB">
        <w:rPr>
          <w:rFonts w:ascii="-webkit-standard" w:hAnsi="-webkit-standar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06BCB" w:rsidRPr="00B06BCB">
        <w:rPr>
          <w:rFonts w:ascii="-webkit-standard" w:hAnsi="-webkit-standar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06BCB">
        <w:rPr>
          <w:rFonts w:ascii="-webkit-standard" w:hAnsi="-webkit-standar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06BCB">
        <w:rPr>
          <w:rFonts w:ascii="-webkit-standard" w:hAnsi="-webkit-standar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w:t>
      </w:r>
    </w:p>
    <w:p w14:paraId="0FF3928C" w14:textId="77777777" w:rsidR="00B06BCB" w:rsidRDefault="0029165F" w:rsidP="0029165F">
      <w:pPr>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5F85">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06BCB">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017D418" w14:textId="41C20BC2" w:rsidR="0029165F" w:rsidRDefault="00B06BCB" w:rsidP="0029165F">
      <w:pPr>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165F" w:rsidRPr="007C5F85">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Understanding the Literature Review</w:t>
      </w:r>
    </w:p>
    <w:p w14:paraId="2D303E10" w14:textId="77777777" w:rsidR="0029165F" w:rsidRDefault="0029165F" w:rsidP="0029165F">
      <w:pPr>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C9BF23" w14:textId="77777777" w:rsidR="0029165F" w:rsidRDefault="0029165F" w:rsidP="0029165F">
      <w:pPr>
        <w:spacing w:before="100" w:beforeAutospacing="1" w:after="100" w:afterAutospacing="1"/>
        <w:outlineLvl w:val="1"/>
        <w:rPr>
          <w:b/>
          <w:bCs/>
          <w:color w:val="000000"/>
          <w:sz w:val="36"/>
          <w:szCs w:val="36"/>
        </w:rPr>
      </w:pPr>
    </w:p>
    <w:p w14:paraId="0CB6623B" w14:textId="77777777" w:rsidR="0029165F" w:rsidRDefault="0029165F" w:rsidP="0029165F">
      <w:pPr>
        <w:spacing w:before="100" w:beforeAutospacing="1" w:after="100" w:afterAutospacing="1"/>
        <w:outlineLvl w:val="1"/>
        <w:rPr>
          <w:b/>
          <w:bCs/>
          <w:color w:val="000000"/>
          <w:sz w:val="36"/>
          <w:szCs w:val="36"/>
        </w:rPr>
      </w:pPr>
    </w:p>
    <w:p w14:paraId="4BE333F8" w14:textId="77777777" w:rsidR="0029165F" w:rsidRDefault="0029165F" w:rsidP="0029165F">
      <w:pPr>
        <w:spacing w:before="100" w:beforeAutospacing="1" w:after="100" w:afterAutospacing="1"/>
        <w:outlineLvl w:val="1"/>
        <w:rPr>
          <w:b/>
          <w:bCs/>
          <w:color w:val="000000"/>
          <w:sz w:val="36"/>
          <w:szCs w:val="36"/>
        </w:rPr>
      </w:pPr>
    </w:p>
    <w:p w14:paraId="664D9652" w14:textId="77777777" w:rsidR="0029165F" w:rsidRDefault="0029165F" w:rsidP="0029165F">
      <w:pPr>
        <w:spacing w:before="100" w:beforeAutospacing="1" w:after="100" w:afterAutospacing="1"/>
        <w:outlineLvl w:val="1"/>
        <w:rPr>
          <w:b/>
          <w:bCs/>
          <w:color w:val="000000"/>
          <w:sz w:val="36"/>
          <w:szCs w:val="36"/>
        </w:rPr>
      </w:pPr>
    </w:p>
    <w:p w14:paraId="498CB0D7" w14:textId="77777777" w:rsidR="0029165F" w:rsidRDefault="0029165F" w:rsidP="0029165F">
      <w:pPr>
        <w:spacing w:before="100" w:beforeAutospacing="1" w:after="100" w:afterAutospacing="1"/>
        <w:outlineLvl w:val="1"/>
        <w:rPr>
          <w:b/>
          <w:bCs/>
          <w:color w:val="000000"/>
          <w:sz w:val="36"/>
          <w:szCs w:val="36"/>
        </w:rPr>
      </w:pPr>
    </w:p>
    <w:p w14:paraId="3568F4E8" w14:textId="77777777" w:rsidR="0029165F" w:rsidRDefault="0029165F" w:rsidP="0029165F">
      <w:pPr>
        <w:spacing w:before="100" w:beforeAutospacing="1" w:after="100" w:afterAutospacing="1"/>
        <w:outlineLvl w:val="1"/>
        <w:rPr>
          <w:b/>
          <w:bCs/>
          <w:color w:val="000000"/>
          <w:sz w:val="36"/>
          <w:szCs w:val="36"/>
        </w:rPr>
      </w:pPr>
    </w:p>
    <w:p w14:paraId="16884917" w14:textId="77777777" w:rsidR="0029165F" w:rsidRDefault="0029165F" w:rsidP="0029165F">
      <w:pPr>
        <w:spacing w:before="100" w:beforeAutospacing="1" w:after="100" w:afterAutospacing="1"/>
        <w:outlineLvl w:val="1"/>
        <w:rPr>
          <w:b/>
          <w:bCs/>
          <w:color w:val="000000"/>
          <w:sz w:val="36"/>
          <w:szCs w:val="36"/>
        </w:rPr>
      </w:pPr>
    </w:p>
    <w:p w14:paraId="0568C4E9" w14:textId="77777777" w:rsidR="0029165F" w:rsidRDefault="0029165F" w:rsidP="0029165F">
      <w:pPr>
        <w:spacing w:before="100" w:beforeAutospacing="1" w:after="100" w:afterAutospacing="1"/>
        <w:outlineLvl w:val="1"/>
        <w:rPr>
          <w:b/>
          <w:bCs/>
          <w:color w:val="000000"/>
          <w:sz w:val="36"/>
          <w:szCs w:val="36"/>
        </w:rPr>
      </w:pPr>
    </w:p>
    <w:p w14:paraId="35049E1D" w14:textId="77777777" w:rsidR="001335D5" w:rsidRDefault="001335D5" w:rsidP="0029165F">
      <w:pPr>
        <w:spacing w:before="100" w:beforeAutospacing="1" w:after="100" w:afterAutospacing="1"/>
        <w:outlineLvl w:val="1"/>
        <w:rPr>
          <w:b/>
          <w:bCs/>
          <w:color w:val="000000"/>
          <w:sz w:val="32"/>
          <w:szCs w:val="32"/>
        </w:rPr>
      </w:pPr>
    </w:p>
    <w:p w14:paraId="1F56D20C" w14:textId="031418B6" w:rsidR="0029165F" w:rsidRPr="00F36009" w:rsidRDefault="0029165F" w:rsidP="0029165F">
      <w:pPr>
        <w:spacing w:before="100" w:beforeAutospacing="1" w:after="100" w:afterAutospacing="1"/>
        <w:outlineLvl w:val="1"/>
        <w:rPr>
          <w:b/>
          <w:bCs/>
          <w:color w:val="000000"/>
          <w:sz w:val="32"/>
          <w:szCs w:val="32"/>
        </w:rPr>
      </w:pPr>
      <w:bookmarkStart w:id="1" w:name="_Toc241526666"/>
      <w:bookmarkStart w:id="2" w:name="_Toc241527075"/>
      <w:r w:rsidRPr="00F36009">
        <w:rPr>
          <w:b/>
          <w:bCs/>
          <w:color w:val="000000"/>
          <w:sz w:val="32"/>
          <w:szCs w:val="32"/>
        </w:rPr>
        <w:t>1.1 Introduction of a Literature Review</w:t>
      </w:r>
      <w:bookmarkEnd w:id="1"/>
      <w:bookmarkEnd w:id="2"/>
    </w:p>
    <w:p w14:paraId="2A58239C" w14:textId="77777777" w:rsidR="00F418D8" w:rsidRPr="00C07343" w:rsidRDefault="00F418D8" w:rsidP="00F418D8">
      <w:pPr>
        <w:pStyle w:val="NormalWeb"/>
        <w:rPr>
          <w:color w:val="000000"/>
          <w:sz w:val="32"/>
          <w:szCs w:val="32"/>
        </w:rPr>
      </w:pPr>
      <w:r w:rsidRPr="00C07343">
        <w:rPr>
          <w:color w:val="000000"/>
          <w:sz w:val="32"/>
          <w:szCs w:val="32"/>
        </w:rPr>
        <w:t>A literature review is a process of looking at previous research and studies related to a particular topic, understanding what other researchers have found, and critically considering their ideas and findings. It helps to show what is already known, where researchers agree or disagree, and what areas still need further investigation.</w:t>
      </w:r>
    </w:p>
    <w:p w14:paraId="60C4E110" w14:textId="6E22C24A" w:rsidR="0029165F" w:rsidRPr="00F36009" w:rsidRDefault="00C07343" w:rsidP="0029165F">
      <w:pPr>
        <w:pStyle w:val="NormalWeb"/>
        <w:rPr>
          <w:color w:val="000000"/>
          <w:sz w:val="32"/>
          <w:szCs w:val="32"/>
        </w:rPr>
      </w:pPr>
      <w:r>
        <w:rPr>
          <w:color w:val="000000"/>
          <w:sz w:val="32"/>
          <w:szCs w:val="32"/>
        </w:rPr>
        <w:t xml:space="preserve">It </w:t>
      </w:r>
      <w:r w:rsidR="0029165F" w:rsidRPr="00F36009">
        <w:rPr>
          <w:color w:val="000000"/>
          <w:sz w:val="32"/>
          <w:szCs w:val="32"/>
        </w:rPr>
        <w:t xml:space="preserve">helps researchers understand what is already known about a topic by reviewing and comparing previous studies. It should not simply describe what other researchers have found, but should also </w:t>
      </w:r>
      <w:r w:rsidR="0029165F" w:rsidRPr="00F36009">
        <w:rPr>
          <w:color w:val="000000"/>
          <w:sz w:val="32"/>
          <w:szCs w:val="32"/>
        </w:rPr>
        <w:lastRenderedPageBreak/>
        <w:t xml:space="preserve">identify similarities, differences and gaps in the existing research (Snyder, 2019). </w:t>
      </w:r>
      <w:r w:rsidR="0029165F" w:rsidRPr="00F36009">
        <w:rPr>
          <w:rStyle w:val="Strong"/>
          <w:rFonts w:eastAsiaTheme="majorEastAsia"/>
          <w:b w:val="0"/>
          <w:bCs w:val="0"/>
          <w:color w:val="000000"/>
          <w:sz w:val="32"/>
          <w:szCs w:val="32"/>
        </w:rPr>
        <w:t>Performance-based pay</w:t>
      </w:r>
      <w:r w:rsidR="0029165F" w:rsidRPr="00F36009">
        <w:rPr>
          <w:rStyle w:val="apple-converted-space"/>
          <w:rFonts w:eastAsiaTheme="majorEastAsia"/>
          <w:color w:val="000000"/>
          <w:sz w:val="32"/>
          <w:szCs w:val="32"/>
        </w:rPr>
        <w:t> </w:t>
      </w:r>
      <w:r w:rsidR="0029165F" w:rsidRPr="00F36009">
        <w:rPr>
          <w:color w:val="000000"/>
          <w:sz w:val="32"/>
          <w:szCs w:val="32"/>
        </w:rPr>
        <w:t>links employees’ earnings to their individual, team or organizational performance, while a</w:t>
      </w:r>
      <w:r w:rsidR="0029165F" w:rsidRPr="00F36009">
        <w:rPr>
          <w:rStyle w:val="apple-converted-space"/>
          <w:rFonts w:eastAsiaTheme="majorEastAsia"/>
          <w:color w:val="000000"/>
          <w:sz w:val="32"/>
          <w:szCs w:val="32"/>
        </w:rPr>
        <w:t> </w:t>
      </w:r>
      <w:r w:rsidR="0029165F" w:rsidRPr="00F36009">
        <w:rPr>
          <w:rStyle w:val="Strong"/>
          <w:rFonts w:eastAsiaTheme="majorEastAsia"/>
          <w:b w:val="0"/>
          <w:bCs w:val="0"/>
          <w:color w:val="000000"/>
          <w:sz w:val="32"/>
          <w:szCs w:val="32"/>
        </w:rPr>
        <w:t>fixed salary</w:t>
      </w:r>
      <w:r w:rsidR="0029165F" w:rsidRPr="00F36009">
        <w:rPr>
          <w:rStyle w:val="apple-converted-space"/>
          <w:rFonts w:eastAsiaTheme="majorEastAsia"/>
          <w:color w:val="000000"/>
          <w:sz w:val="32"/>
          <w:szCs w:val="32"/>
        </w:rPr>
        <w:t> </w:t>
      </w:r>
      <w:r w:rsidR="0029165F" w:rsidRPr="00F36009">
        <w:rPr>
          <w:color w:val="000000"/>
          <w:sz w:val="32"/>
          <w:szCs w:val="32"/>
        </w:rPr>
        <w:t>provides a more stable and predictable income. Research suggests that financial rewards can improve performance and motivation, but their effectiveness may depend on factors such as fairness, job type and employees’ own motivation (Lazear, 2000; Cerasoli, Nicklin and Ford, 2014). Therefore, comparing performance-based pay with fixed salary can help to understand which system is more effective in supporting employee motivation.</w:t>
      </w:r>
    </w:p>
    <w:p w14:paraId="7BFB0052" w14:textId="77777777" w:rsidR="0029165F" w:rsidRPr="00F36009" w:rsidRDefault="0029165F" w:rsidP="0029165F">
      <w:pPr>
        <w:pStyle w:val="NormalWeb"/>
        <w:rPr>
          <w:color w:val="000000"/>
          <w:sz w:val="32"/>
          <w:szCs w:val="32"/>
        </w:rPr>
      </w:pPr>
    </w:p>
    <w:p w14:paraId="67483E00" w14:textId="77777777" w:rsidR="0029165F" w:rsidRPr="00F36009" w:rsidRDefault="0029165F" w:rsidP="0029165F">
      <w:pPr>
        <w:spacing w:before="100" w:beforeAutospacing="1" w:after="100" w:afterAutospacing="1"/>
        <w:rPr>
          <w:color w:val="000000"/>
          <w:sz w:val="32"/>
          <w:szCs w:val="32"/>
        </w:rPr>
      </w:pPr>
    </w:p>
    <w:p w14:paraId="597F7BB6" w14:textId="77777777" w:rsidR="0029165F" w:rsidRDefault="0029165F" w:rsidP="0029165F">
      <w:pPr>
        <w:spacing w:before="100" w:beforeAutospacing="1" w:after="100" w:afterAutospacing="1"/>
        <w:outlineLvl w:val="1"/>
        <w:rPr>
          <w:b/>
          <w:bCs/>
          <w:color w:val="000000"/>
          <w:sz w:val="32"/>
          <w:szCs w:val="32"/>
        </w:rPr>
      </w:pPr>
      <w:bookmarkStart w:id="3" w:name="_Toc241526667"/>
      <w:bookmarkStart w:id="4" w:name="_Toc241527076"/>
      <w:r w:rsidRPr="00F36009">
        <w:rPr>
          <w:b/>
          <w:bCs/>
          <w:color w:val="000000"/>
          <w:sz w:val="32"/>
          <w:szCs w:val="32"/>
        </w:rPr>
        <w:t>1.2 Purpose of a Literature Review</w:t>
      </w:r>
      <w:bookmarkEnd w:id="3"/>
      <w:bookmarkEnd w:id="4"/>
    </w:p>
    <w:p w14:paraId="0AB9DCAC" w14:textId="01CAACB3" w:rsidR="0029165F" w:rsidRPr="00F36009" w:rsidRDefault="009F36B9" w:rsidP="0029165F">
      <w:pPr>
        <w:pStyle w:val="NormalWeb"/>
        <w:rPr>
          <w:color w:val="000000"/>
          <w:sz w:val="32"/>
          <w:szCs w:val="32"/>
        </w:rPr>
      </w:pPr>
      <w:r w:rsidRPr="008C72BC">
        <w:rPr>
          <w:color w:val="000000"/>
          <w:sz w:val="32"/>
          <w:szCs w:val="32"/>
        </w:rPr>
        <w:t xml:space="preserve">The main purpose of this literature review is to examine previous research on performance-based pay, fixed salary and employee motivation. It helps build a clear understanding of the topic and provides a basis for addressing the research question. Previous research suggests that financial rewards can influence employee motivation and performance, although their effects can vary depending on how the reward system is designed and implemented (Gerhart, 2017; Gerhart and Fang, 2014). The review therefore considers whether performance-based pay can improve employee motivation and performance, while also examining the importance of financial stability and security associated with fixed salary systems. Research on performance-related pay shows that it can create positive incentives, but its effectiveness may depend on factors such as performance measurement, fairness, employee perceptions and the nature of the work (Gerhart and Fang, 2014). This is important because the relationship between pay and motivation is not always straightforward, and performance-based rewards can have both positive and unintended effects on employee motivation </w:t>
      </w:r>
      <w:r w:rsidRPr="008C72BC">
        <w:rPr>
          <w:color w:val="000000"/>
          <w:sz w:val="32"/>
          <w:szCs w:val="32"/>
        </w:rPr>
        <w:lastRenderedPageBreak/>
        <w:t xml:space="preserve">and </w:t>
      </w:r>
      <w:proofErr w:type="spellStart"/>
      <w:r w:rsidRPr="008C72BC">
        <w:rPr>
          <w:color w:val="000000"/>
          <w:sz w:val="32"/>
          <w:szCs w:val="32"/>
        </w:rPr>
        <w:t>behaviour</w:t>
      </w:r>
      <w:proofErr w:type="spellEnd"/>
      <w:r w:rsidRPr="008C72BC">
        <w:rPr>
          <w:color w:val="000000"/>
          <w:sz w:val="32"/>
          <w:szCs w:val="32"/>
        </w:rPr>
        <w:t xml:space="preserve"> (Gerhart and Fang, 2014; Cerasoli, Nicklin and Ford, 2014</w:t>
      </w:r>
      <w:proofErr w:type="gramStart"/>
      <w:r w:rsidRPr="008C72BC">
        <w:rPr>
          <w:color w:val="000000"/>
          <w:sz w:val="32"/>
          <w:szCs w:val="32"/>
        </w:rPr>
        <w:t>).</w:t>
      </w:r>
      <w:r w:rsidR="0029165F" w:rsidRPr="00F36009">
        <w:rPr>
          <w:color w:val="000000"/>
          <w:sz w:val="32"/>
          <w:szCs w:val="32"/>
        </w:rPr>
        <w:t>Chen</w:t>
      </w:r>
      <w:proofErr w:type="gramEnd"/>
      <w:r w:rsidR="0029165F" w:rsidRPr="00F36009">
        <w:rPr>
          <w:color w:val="000000"/>
          <w:sz w:val="32"/>
          <w:szCs w:val="32"/>
        </w:rPr>
        <w:t xml:space="preserve"> et al. (2023) found that performance-based pay can improve job performance but may also increase pressure on employees.</w:t>
      </w:r>
    </w:p>
    <w:p w14:paraId="17536703" w14:textId="77777777" w:rsidR="0029165F" w:rsidRPr="00F36009" w:rsidRDefault="0029165F" w:rsidP="0029165F">
      <w:pPr>
        <w:spacing w:before="100" w:beforeAutospacing="1" w:after="100" w:afterAutospacing="1"/>
        <w:rPr>
          <w:color w:val="000000"/>
          <w:sz w:val="32"/>
          <w:szCs w:val="32"/>
        </w:rPr>
      </w:pPr>
    </w:p>
    <w:p w14:paraId="75A39E3A" w14:textId="3E132B96" w:rsidR="0029165F" w:rsidRPr="00F36009" w:rsidRDefault="0029165F" w:rsidP="0029165F">
      <w:pPr>
        <w:spacing w:before="100" w:beforeAutospacing="1" w:after="100" w:afterAutospacing="1"/>
        <w:outlineLvl w:val="1"/>
        <w:rPr>
          <w:b/>
          <w:bCs/>
          <w:color w:val="000000"/>
          <w:sz w:val="32"/>
          <w:szCs w:val="32"/>
        </w:rPr>
      </w:pPr>
      <w:bookmarkStart w:id="5" w:name="_Toc241526668"/>
      <w:bookmarkStart w:id="6" w:name="_Toc241527077"/>
      <w:r w:rsidRPr="00F36009">
        <w:rPr>
          <w:b/>
          <w:bCs/>
          <w:color w:val="000000"/>
          <w:sz w:val="32"/>
          <w:szCs w:val="32"/>
        </w:rPr>
        <w:t xml:space="preserve">1.3 </w:t>
      </w:r>
      <w:r w:rsidR="00BC160E">
        <w:rPr>
          <w:b/>
          <w:bCs/>
          <w:color w:val="000000"/>
          <w:sz w:val="32"/>
          <w:szCs w:val="32"/>
        </w:rPr>
        <w:t>Theor</w:t>
      </w:r>
      <w:r w:rsidR="00023023">
        <w:rPr>
          <w:b/>
          <w:bCs/>
          <w:color w:val="000000"/>
          <w:sz w:val="32"/>
          <w:szCs w:val="32"/>
        </w:rPr>
        <w:t>e</w:t>
      </w:r>
      <w:r w:rsidR="00D81C2B">
        <w:rPr>
          <w:b/>
          <w:bCs/>
          <w:color w:val="000000"/>
          <w:sz w:val="32"/>
          <w:szCs w:val="32"/>
        </w:rPr>
        <w:t>ti</w:t>
      </w:r>
      <w:r w:rsidR="00BC160E">
        <w:rPr>
          <w:b/>
          <w:bCs/>
          <w:color w:val="000000"/>
          <w:sz w:val="32"/>
          <w:szCs w:val="32"/>
        </w:rPr>
        <w:t>cal Discussion</w:t>
      </w:r>
      <w:bookmarkEnd w:id="5"/>
      <w:bookmarkEnd w:id="6"/>
    </w:p>
    <w:p w14:paraId="20FA037E" w14:textId="329EC430" w:rsidR="0029165F" w:rsidRDefault="0029165F" w:rsidP="0029165F">
      <w:pPr>
        <w:pStyle w:val="NormalWeb"/>
        <w:rPr>
          <w:rFonts w:ascii="-webkit-standard" w:hAnsi="-webkit-standard"/>
          <w:color w:val="000000"/>
          <w:sz w:val="32"/>
          <w:szCs w:val="32"/>
        </w:rPr>
      </w:pPr>
      <w:r w:rsidRPr="00F36009">
        <w:rPr>
          <w:rFonts w:ascii="-webkit-standard" w:hAnsi="-webkit-standard"/>
          <w:color w:val="000000"/>
          <w:sz w:val="32"/>
          <w:szCs w:val="32"/>
        </w:rPr>
        <w:t>Previous research provides several important theories that can help explain the relationship between pay and employee motivation. One of the most relevant theories is Expectancy Theory, developed by Vroom (1964). This theory provides a strong explanation for performance-based pay. Another theory is Equity Theory (Adams, 1965). This theory suggests that employees compare their inputs, such as effort and skills, with the rewards they receive and may also compare these with the rewards received by other employees. Self-Determination Theory provides another perspective. </w:t>
      </w:r>
      <w:proofErr w:type="spellStart"/>
      <w:r w:rsidRPr="00F36009">
        <w:rPr>
          <w:rFonts w:ascii="-webkit-standard" w:hAnsi="-webkit-standard"/>
          <w:color w:val="000000"/>
          <w:sz w:val="32"/>
          <w:szCs w:val="32"/>
        </w:rPr>
        <w:t>Kuvaas</w:t>
      </w:r>
      <w:proofErr w:type="spellEnd"/>
      <w:r w:rsidRPr="00F36009">
        <w:rPr>
          <w:rFonts w:ascii="-webkit-standard" w:hAnsi="-webkit-standard"/>
          <w:color w:val="000000"/>
          <w:sz w:val="32"/>
          <w:szCs w:val="32"/>
        </w:rPr>
        <w:t xml:space="preserve"> et al. (2017) provide evidence that the effects of financial incentives are not straightforward. Their findings suggest that incentive systems can interact with employees’ intrinsic motivation, meaning that organizations need to consider employees’ internal reasons for working rather than relying entirely on financial rewards.</w:t>
      </w:r>
      <w:r w:rsidR="00BF7611" w:rsidRPr="00BF7611">
        <w:rPr>
          <w:sz w:val="32"/>
          <w:szCs w:val="32"/>
        </w:rPr>
        <w:t xml:space="preserve"> </w:t>
      </w:r>
      <w:r w:rsidRPr="00F36009">
        <w:rPr>
          <w:rFonts w:ascii="-webkit-standard" w:hAnsi="-webkit-standard"/>
          <w:color w:val="000000"/>
          <w:sz w:val="32"/>
          <w:szCs w:val="32"/>
        </w:rPr>
        <w:t>Deci, Koestner and Ryan (1999) argued that external rewards can sometimes reduce intrinsic motivation, particularly when employees feel controlled by the reward system. </w:t>
      </w:r>
      <w:proofErr w:type="spellStart"/>
      <w:r w:rsidRPr="00F36009">
        <w:rPr>
          <w:rFonts w:ascii="-webkit-standard" w:hAnsi="-webkit-standard"/>
          <w:color w:val="000000"/>
          <w:sz w:val="32"/>
          <w:szCs w:val="32"/>
        </w:rPr>
        <w:t>Promberger</w:t>
      </w:r>
      <w:proofErr w:type="spellEnd"/>
      <w:r w:rsidRPr="00F36009">
        <w:rPr>
          <w:rFonts w:ascii="-webkit-standard" w:hAnsi="-webkit-standard"/>
          <w:color w:val="000000"/>
          <w:sz w:val="32"/>
          <w:szCs w:val="32"/>
        </w:rPr>
        <w:t xml:space="preserve"> and Marteau (2013) further suggest that financial incentives can reduce intrinsic motivation in some circumstances, particularly when individuals are already highly motivated. Gerhart and Fang (2015) argue that the evidence from workplaces is more complicated and does not support the simple assumption that financial rewards automatically reduce intrinsic motivation. </w:t>
      </w:r>
    </w:p>
    <w:p w14:paraId="6F050770" w14:textId="1662F895" w:rsidR="0043205D" w:rsidRPr="00023023" w:rsidRDefault="00904998" w:rsidP="0043205D">
      <w:pPr>
        <w:pStyle w:val="NormalWeb"/>
        <w:rPr>
          <w:color w:val="000000"/>
          <w:sz w:val="32"/>
          <w:szCs w:val="32"/>
        </w:rPr>
      </w:pPr>
      <w:r>
        <w:rPr>
          <w:color w:val="000000"/>
          <w:sz w:val="32"/>
          <w:szCs w:val="32"/>
        </w:rPr>
        <w:lastRenderedPageBreak/>
        <w:t>Based on my observation,</w:t>
      </w:r>
      <w:r w:rsidR="007E0E0F">
        <w:rPr>
          <w:color w:val="000000"/>
          <w:sz w:val="32"/>
          <w:szCs w:val="32"/>
        </w:rPr>
        <w:t xml:space="preserve"> </w:t>
      </w:r>
      <w:r>
        <w:rPr>
          <w:color w:val="000000"/>
          <w:sz w:val="32"/>
          <w:szCs w:val="32"/>
        </w:rPr>
        <w:t>p</w:t>
      </w:r>
      <w:r w:rsidR="0043205D" w:rsidRPr="00023023">
        <w:rPr>
          <w:color w:val="000000"/>
          <w:sz w:val="32"/>
          <w:szCs w:val="32"/>
        </w:rPr>
        <w:t>ay does not affect every employee in the same way. Performance-based pay can motivate employees when they feel that the rewards are fair and clearly connected to their performance. On the other hand, a fixed salary can provide employees with a sense of financial stability and security. This suggests that neither system will work equally well in every situation, as its effect on motivation can depend on the employee, the type of job and the organi</w:t>
      </w:r>
      <w:r>
        <w:rPr>
          <w:color w:val="000000"/>
          <w:sz w:val="32"/>
          <w:szCs w:val="32"/>
        </w:rPr>
        <w:t>z</w:t>
      </w:r>
      <w:r w:rsidR="0043205D" w:rsidRPr="00023023">
        <w:rPr>
          <w:color w:val="000000"/>
          <w:sz w:val="32"/>
          <w:szCs w:val="32"/>
        </w:rPr>
        <w:t>ational environment.</w:t>
      </w:r>
    </w:p>
    <w:p w14:paraId="29E62A5A" w14:textId="2EDCE55E" w:rsidR="00995CBE" w:rsidRPr="00F36009" w:rsidRDefault="0029165F" w:rsidP="00995CBE">
      <w:pPr>
        <w:spacing w:before="100" w:beforeAutospacing="1" w:after="100" w:afterAutospacing="1"/>
        <w:outlineLvl w:val="2"/>
        <w:rPr>
          <w:b/>
          <w:bCs/>
          <w:color w:val="000000"/>
          <w:sz w:val="32"/>
          <w:szCs w:val="32"/>
        </w:rPr>
      </w:pPr>
      <w:bookmarkStart w:id="7" w:name="_Toc241526669"/>
      <w:bookmarkStart w:id="8" w:name="_Toc241527078"/>
      <w:r w:rsidRPr="00F36009">
        <w:rPr>
          <w:b/>
          <w:bCs/>
          <w:color w:val="000000"/>
          <w:sz w:val="32"/>
          <w:szCs w:val="32"/>
        </w:rPr>
        <w:t>1.</w:t>
      </w:r>
      <w:r w:rsidR="00257AF8">
        <w:rPr>
          <w:b/>
          <w:bCs/>
          <w:color w:val="000000"/>
          <w:sz w:val="32"/>
          <w:szCs w:val="32"/>
        </w:rPr>
        <w:t>4</w:t>
      </w:r>
      <w:r w:rsidRPr="00F36009">
        <w:rPr>
          <w:b/>
          <w:bCs/>
          <w:color w:val="000000"/>
          <w:sz w:val="32"/>
          <w:szCs w:val="32"/>
        </w:rPr>
        <w:t xml:space="preserve"> </w:t>
      </w:r>
      <w:r w:rsidR="00995CBE" w:rsidRPr="00F36009">
        <w:rPr>
          <w:b/>
          <w:bCs/>
          <w:color w:val="000000"/>
          <w:sz w:val="32"/>
          <w:szCs w:val="32"/>
        </w:rPr>
        <w:t>Research Aim</w:t>
      </w:r>
      <w:bookmarkEnd w:id="7"/>
      <w:bookmarkEnd w:id="8"/>
    </w:p>
    <w:p w14:paraId="7DF39323" w14:textId="32E03F5D" w:rsidR="00995CBE" w:rsidRPr="00F36009" w:rsidRDefault="00995CBE" w:rsidP="00995CBE">
      <w:pPr>
        <w:spacing w:before="100" w:beforeAutospacing="1" w:after="100" w:afterAutospacing="1"/>
        <w:rPr>
          <w:color w:val="000000"/>
          <w:sz w:val="32"/>
          <w:szCs w:val="32"/>
        </w:rPr>
      </w:pPr>
      <w:r w:rsidRPr="00F36009">
        <w:rPr>
          <w:color w:val="000000"/>
          <w:sz w:val="32"/>
          <w:szCs w:val="32"/>
        </w:rPr>
        <w:t>The aim of this narrative literature review is</w:t>
      </w:r>
      <w:r w:rsidR="00E743F0">
        <w:rPr>
          <w:color w:val="000000"/>
          <w:sz w:val="32"/>
          <w:szCs w:val="32"/>
        </w:rPr>
        <w:t xml:space="preserve"> given below:</w:t>
      </w:r>
    </w:p>
    <w:p w14:paraId="04609AC2" w14:textId="5AE4FACC" w:rsidR="00995CBE" w:rsidRDefault="00995CBE" w:rsidP="00995CBE">
      <w:pPr>
        <w:spacing w:before="100" w:beforeAutospacing="1" w:after="100" w:afterAutospacing="1"/>
        <w:rPr>
          <w:color w:val="000000"/>
          <w:sz w:val="32"/>
          <w:szCs w:val="32"/>
        </w:rPr>
      </w:pPr>
      <w:r w:rsidRPr="00F36009">
        <w:rPr>
          <w:color w:val="000000"/>
          <w:sz w:val="32"/>
          <w:szCs w:val="32"/>
        </w:rPr>
        <w:t>To explore how performance-based pay and fixed salary systems influence employee motivation with particular consideration of their advantages, disadvantages and relevance to retail organizations.</w:t>
      </w:r>
    </w:p>
    <w:p w14:paraId="3F855D5A" w14:textId="04D5AEB5" w:rsidR="00BA29A4" w:rsidRPr="00F36009" w:rsidRDefault="00BA29A4" w:rsidP="00BA29A4">
      <w:pPr>
        <w:pStyle w:val="NormalWeb"/>
        <w:rPr>
          <w:b/>
          <w:bCs/>
          <w:color w:val="000000"/>
          <w:sz w:val="32"/>
          <w:szCs w:val="32"/>
        </w:rPr>
      </w:pPr>
      <w:r w:rsidRPr="00F36009">
        <w:rPr>
          <w:b/>
          <w:bCs/>
          <w:color w:val="000000"/>
          <w:sz w:val="32"/>
          <w:szCs w:val="32"/>
        </w:rPr>
        <w:t>1.</w:t>
      </w:r>
      <w:r w:rsidR="00257AF8">
        <w:rPr>
          <w:b/>
          <w:bCs/>
          <w:color w:val="000000"/>
          <w:sz w:val="32"/>
          <w:szCs w:val="32"/>
        </w:rPr>
        <w:t xml:space="preserve">5 </w:t>
      </w:r>
      <w:r w:rsidRPr="00F36009">
        <w:rPr>
          <w:b/>
          <w:bCs/>
          <w:color w:val="000000"/>
          <w:sz w:val="32"/>
          <w:szCs w:val="32"/>
        </w:rPr>
        <w:t>Research Objectives</w:t>
      </w:r>
    </w:p>
    <w:p w14:paraId="7A5B1078" w14:textId="77777777" w:rsidR="00BA29A4" w:rsidRPr="00F36009" w:rsidRDefault="00BA29A4" w:rsidP="00BA29A4">
      <w:pPr>
        <w:pStyle w:val="NormalWeb"/>
        <w:rPr>
          <w:color w:val="000000"/>
          <w:sz w:val="32"/>
          <w:szCs w:val="32"/>
        </w:rPr>
      </w:pPr>
      <w:r w:rsidRPr="00F36009">
        <w:rPr>
          <w:color w:val="000000"/>
          <w:sz w:val="32"/>
          <w:szCs w:val="32"/>
        </w:rPr>
        <w:t>The Research objectives are given below:</w:t>
      </w:r>
    </w:p>
    <w:p w14:paraId="1293D670" w14:textId="77777777" w:rsidR="00BA29A4" w:rsidRPr="00F36009" w:rsidRDefault="00BA29A4" w:rsidP="00BA29A4">
      <w:pPr>
        <w:rPr>
          <w:rStyle w:val="Strong"/>
          <w:b w:val="0"/>
          <w:bCs w:val="0"/>
          <w:color w:val="000000"/>
          <w:sz w:val="32"/>
          <w:szCs w:val="32"/>
        </w:rPr>
      </w:pPr>
      <w:r w:rsidRPr="00F36009">
        <w:rPr>
          <w:rStyle w:val="Strong"/>
          <w:b w:val="0"/>
          <w:bCs w:val="0"/>
          <w:color w:val="000000"/>
          <w:sz w:val="32"/>
          <w:szCs w:val="32"/>
        </w:rPr>
        <w:t xml:space="preserve">1.Identify factors for two systems like </w:t>
      </w:r>
      <w:proofErr w:type="gramStart"/>
      <w:r w:rsidRPr="00F36009">
        <w:rPr>
          <w:rStyle w:val="Strong"/>
          <w:b w:val="0"/>
          <w:bCs w:val="0"/>
          <w:color w:val="000000"/>
          <w:sz w:val="32"/>
          <w:szCs w:val="32"/>
        </w:rPr>
        <w:t>performance based</w:t>
      </w:r>
      <w:proofErr w:type="gramEnd"/>
      <w:r w:rsidRPr="00F36009">
        <w:rPr>
          <w:rStyle w:val="Strong"/>
          <w:b w:val="0"/>
          <w:bCs w:val="0"/>
          <w:color w:val="000000"/>
          <w:sz w:val="32"/>
          <w:szCs w:val="32"/>
        </w:rPr>
        <w:t xml:space="preserve"> pay and fixed salary.</w:t>
      </w:r>
    </w:p>
    <w:p w14:paraId="4C96507E" w14:textId="2AA2FE22" w:rsidR="00BA29A4" w:rsidRPr="00F36009" w:rsidRDefault="00BA29A4" w:rsidP="00BA29A4">
      <w:pPr>
        <w:rPr>
          <w:rFonts w:ascii="-webkit-standard" w:hAnsi="-webkit-standard"/>
          <w:color w:val="000000"/>
          <w:sz w:val="32"/>
          <w:szCs w:val="32"/>
        </w:rPr>
      </w:pPr>
      <w:r w:rsidRPr="00F36009">
        <w:rPr>
          <w:rStyle w:val="Strong"/>
          <w:b w:val="0"/>
          <w:bCs w:val="0"/>
          <w:color w:val="000000"/>
          <w:sz w:val="32"/>
          <w:szCs w:val="32"/>
        </w:rPr>
        <w:t>2.To compare</w:t>
      </w:r>
      <w:r w:rsidRPr="00F36009">
        <w:rPr>
          <w:rStyle w:val="apple-converted-space"/>
          <w:rFonts w:ascii="-webkit-standard" w:hAnsi="-webkit-standard"/>
          <w:color w:val="000000"/>
          <w:sz w:val="32"/>
          <w:szCs w:val="32"/>
        </w:rPr>
        <w:t> </w:t>
      </w:r>
      <w:r w:rsidRPr="00F36009">
        <w:rPr>
          <w:rFonts w:ascii="-webkit-standard" w:hAnsi="-webkit-standard"/>
          <w:color w:val="000000"/>
          <w:sz w:val="32"/>
          <w:szCs w:val="32"/>
        </w:rPr>
        <w:t xml:space="preserve">the advantages </w:t>
      </w:r>
      <w:r w:rsidR="00854F31">
        <w:rPr>
          <w:rFonts w:ascii="-webkit-standard" w:hAnsi="-webkit-standard"/>
          <w:color w:val="000000"/>
          <w:sz w:val="32"/>
          <w:szCs w:val="32"/>
        </w:rPr>
        <w:t xml:space="preserve">and disadvantages </w:t>
      </w:r>
      <w:r w:rsidRPr="00F36009">
        <w:rPr>
          <w:rFonts w:ascii="-webkit-standard" w:hAnsi="-webkit-standard"/>
          <w:color w:val="000000"/>
          <w:sz w:val="32"/>
          <w:szCs w:val="32"/>
        </w:rPr>
        <w:t xml:space="preserve">of performance-based pay and fixed salary systems </w:t>
      </w:r>
      <w:r w:rsidR="00BC1533">
        <w:rPr>
          <w:rFonts w:ascii="-webkit-standard" w:hAnsi="-webkit-standard"/>
          <w:color w:val="000000"/>
          <w:sz w:val="32"/>
          <w:szCs w:val="32"/>
        </w:rPr>
        <w:t>in organization.</w:t>
      </w:r>
    </w:p>
    <w:p w14:paraId="3D9AC864" w14:textId="3891F2CB" w:rsidR="00BA29A4" w:rsidRPr="00F36009" w:rsidRDefault="00BA29A4" w:rsidP="00BA29A4">
      <w:pPr>
        <w:rPr>
          <w:rFonts w:ascii="-webkit-standard" w:hAnsi="-webkit-standard"/>
          <w:color w:val="000000"/>
          <w:sz w:val="32"/>
          <w:szCs w:val="32"/>
        </w:rPr>
      </w:pPr>
      <w:r w:rsidRPr="00F36009">
        <w:rPr>
          <w:rStyle w:val="Strong"/>
          <w:b w:val="0"/>
          <w:bCs w:val="0"/>
          <w:color w:val="000000"/>
          <w:sz w:val="32"/>
          <w:szCs w:val="32"/>
        </w:rPr>
        <w:t>3.To evaluate</w:t>
      </w:r>
      <w:r w:rsidRPr="00F36009">
        <w:rPr>
          <w:rStyle w:val="apple-converted-space"/>
          <w:rFonts w:ascii="-webkit-standard" w:hAnsi="-webkit-standard"/>
          <w:color w:val="000000"/>
          <w:sz w:val="32"/>
          <w:szCs w:val="32"/>
        </w:rPr>
        <w:t> </w:t>
      </w:r>
      <w:r w:rsidRPr="00F36009">
        <w:rPr>
          <w:rFonts w:ascii="-webkit-standard" w:hAnsi="-webkit-standard"/>
          <w:color w:val="000000"/>
          <w:sz w:val="32"/>
          <w:szCs w:val="32"/>
        </w:rPr>
        <w:t xml:space="preserve">the </w:t>
      </w:r>
      <w:r w:rsidR="001456D5">
        <w:rPr>
          <w:rFonts w:ascii="-webkit-standard" w:hAnsi="-webkit-standard"/>
          <w:color w:val="000000"/>
          <w:sz w:val="32"/>
          <w:szCs w:val="32"/>
        </w:rPr>
        <w:t>impact</w:t>
      </w:r>
      <w:r w:rsidRPr="00F36009">
        <w:rPr>
          <w:rFonts w:ascii="-webkit-standard" w:hAnsi="-webkit-standard"/>
          <w:color w:val="000000"/>
          <w:sz w:val="32"/>
          <w:szCs w:val="32"/>
        </w:rPr>
        <w:t xml:space="preserve"> of performance-based pay and fixed salary systems on employee motivation</w:t>
      </w:r>
      <w:r w:rsidR="00BC1533">
        <w:rPr>
          <w:rFonts w:ascii="-webkit-standard" w:hAnsi="-webkit-standard"/>
          <w:color w:val="000000"/>
          <w:sz w:val="32"/>
          <w:szCs w:val="32"/>
        </w:rPr>
        <w:t>.</w:t>
      </w:r>
    </w:p>
    <w:p w14:paraId="091DAD77" w14:textId="74AE9555" w:rsidR="00995CBE" w:rsidRPr="00F36009" w:rsidRDefault="00775110" w:rsidP="00995CBE">
      <w:pPr>
        <w:spacing w:before="100" w:beforeAutospacing="1" w:after="100" w:afterAutospacing="1"/>
        <w:outlineLvl w:val="2"/>
        <w:rPr>
          <w:b/>
          <w:bCs/>
          <w:color w:val="000000"/>
          <w:sz w:val="32"/>
          <w:szCs w:val="32"/>
        </w:rPr>
      </w:pPr>
      <w:bookmarkStart w:id="9" w:name="_Toc241526670"/>
      <w:bookmarkStart w:id="10" w:name="_Toc241527079"/>
      <w:r w:rsidRPr="00F36009">
        <w:rPr>
          <w:b/>
          <w:bCs/>
          <w:color w:val="000000"/>
          <w:sz w:val="32"/>
          <w:szCs w:val="32"/>
        </w:rPr>
        <w:t>1.</w:t>
      </w:r>
      <w:r w:rsidR="00221881">
        <w:rPr>
          <w:b/>
          <w:bCs/>
          <w:color w:val="000000"/>
          <w:sz w:val="32"/>
          <w:szCs w:val="32"/>
        </w:rPr>
        <w:t>6</w:t>
      </w:r>
      <w:r w:rsidR="00995CBE" w:rsidRPr="00F36009">
        <w:rPr>
          <w:b/>
          <w:bCs/>
          <w:color w:val="000000"/>
          <w:sz w:val="32"/>
          <w:szCs w:val="32"/>
        </w:rPr>
        <w:t xml:space="preserve"> Research Questions</w:t>
      </w:r>
      <w:bookmarkEnd w:id="9"/>
      <w:bookmarkEnd w:id="10"/>
    </w:p>
    <w:p w14:paraId="52946F6B" w14:textId="29B37C0B" w:rsidR="00995CBE" w:rsidRPr="00F36009" w:rsidRDefault="00995CBE" w:rsidP="00995CBE">
      <w:pPr>
        <w:spacing w:before="100" w:beforeAutospacing="1" w:after="100" w:afterAutospacing="1"/>
        <w:rPr>
          <w:color w:val="000000"/>
          <w:sz w:val="32"/>
          <w:szCs w:val="32"/>
        </w:rPr>
      </w:pPr>
      <w:r w:rsidRPr="00F36009">
        <w:rPr>
          <w:color w:val="000000"/>
          <w:sz w:val="32"/>
          <w:szCs w:val="32"/>
        </w:rPr>
        <w:t>three research questions</w:t>
      </w:r>
      <w:r w:rsidR="009B26C9">
        <w:rPr>
          <w:color w:val="000000"/>
          <w:sz w:val="32"/>
          <w:szCs w:val="32"/>
        </w:rPr>
        <w:t xml:space="preserve"> are given below</w:t>
      </w:r>
      <w:r w:rsidR="004707F3">
        <w:rPr>
          <w:color w:val="000000"/>
          <w:sz w:val="32"/>
          <w:szCs w:val="32"/>
        </w:rPr>
        <w:t>:</w:t>
      </w:r>
    </w:p>
    <w:p w14:paraId="238336C3" w14:textId="77777777" w:rsidR="00995CBE" w:rsidRPr="00F36009" w:rsidRDefault="00995CBE" w:rsidP="00995CBE">
      <w:pPr>
        <w:numPr>
          <w:ilvl w:val="0"/>
          <w:numId w:val="3"/>
        </w:numPr>
        <w:spacing w:before="100" w:beforeAutospacing="1" w:after="100" w:afterAutospacing="1"/>
        <w:rPr>
          <w:color w:val="000000"/>
          <w:sz w:val="32"/>
          <w:szCs w:val="32"/>
        </w:rPr>
      </w:pPr>
      <w:r w:rsidRPr="00F36009">
        <w:rPr>
          <w:color w:val="000000"/>
          <w:sz w:val="32"/>
          <w:szCs w:val="32"/>
        </w:rPr>
        <w:lastRenderedPageBreak/>
        <w:t>What factors influence the effectiveness of performance-based pay and fixed salary systems?</w:t>
      </w:r>
    </w:p>
    <w:p w14:paraId="7BD896FA" w14:textId="5BADE0B2" w:rsidR="00995CBE" w:rsidRPr="00F36009" w:rsidRDefault="00995CBE" w:rsidP="00995CBE">
      <w:pPr>
        <w:numPr>
          <w:ilvl w:val="0"/>
          <w:numId w:val="3"/>
        </w:numPr>
        <w:spacing w:before="100" w:beforeAutospacing="1" w:after="100" w:afterAutospacing="1"/>
        <w:rPr>
          <w:color w:val="000000"/>
          <w:sz w:val="32"/>
          <w:szCs w:val="32"/>
        </w:rPr>
      </w:pPr>
      <w:r w:rsidRPr="00F36009">
        <w:rPr>
          <w:color w:val="000000"/>
          <w:sz w:val="32"/>
          <w:szCs w:val="32"/>
        </w:rPr>
        <w:t>What are the main advantages and disadvantages of performance-based pay and fixed salary systems in organization?</w:t>
      </w:r>
    </w:p>
    <w:p w14:paraId="740E5B4A" w14:textId="7F14B662" w:rsidR="00975696" w:rsidRPr="00665C13" w:rsidRDefault="009B26C9" w:rsidP="009B26C9">
      <w:pPr>
        <w:spacing w:before="100" w:beforeAutospacing="1" w:after="100" w:afterAutospacing="1"/>
        <w:ind w:left="360"/>
        <w:outlineLvl w:val="1"/>
        <w:rPr>
          <w:b/>
          <w:bCs/>
          <w:color w:val="000000"/>
          <w:sz w:val="32"/>
          <w:szCs w:val="32"/>
        </w:rPr>
      </w:pPr>
      <w:bookmarkStart w:id="11" w:name="_Toc241526671"/>
      <w:bookmarkStart w:id="12" w:name="_Toc241527080"/>
      <w:r>
        <w:rPr>
          <w:color w:val="000000"/>
          <w:sz w:val="32"/>
          <w:szCs w:val="32"/>
        </w:rPr>
        <w:t>3.</w:t>
      </w:r>
      <w:r w:rsidR="00995CBE" w:rsidRPr="00665C13">
        <w:rPr>
          <w:color w:val="000000"/>
          <w:sz w:val="32"/>
          <w:szCs w:val="32"/>
        </w:rPr>
        <w:t xml:space="preserve">How do </w:t>
      </w:r>
      <w:proofErr w:type="gramStart"/>
      <w:r w:rsidR="00995CBE" w:rsidRPr="00665C13">
        <w:rPr>
          <w:color w:val="000000"/>
          <w:sz w:val="32"/>
          <w:szCs w:val="32"/>
        </w:rPr>
        <w:t>performance based</w:t>
      </w:r>
      <w:proofErr w:type="gramEnd"/>
      <w:r w:rsidR="00995CBE" w:rsidRPr="00665C13">
        <w:rPr>
          <w:color w:val="000000"/>
          <w:sz w:val="32"/>
          <w:szCs w:val="32"/>
        </w:rPr>
        <w:t xml:space="preserve"> pay and fixed salary systems influence employee motivation</w:t>
      </w:r>
      <w:r w:rsidR="00665C13">
        <w:rPr>
          <w:color w:val="000000"/>
          <w:sz w:val="32"/>
          <w:szCs w:val="32"/>
        </w:rPr>
        <w:t>.</w:t>
      </w:r>
      <w:bookmarkEnd w:id="11"/>
      <w:bookmarkEnd w:id="12"/>
    </w:p>
    <w:p w14:paraId="088C92E7" w14:textId="77777777" w:rsidR="00E432E4" w:rsidRDefault="00E432E4" w:rsidP="0029165F">
      <w:pPr>
        <w:spacing w:before="100" w:beforeAutospacing="1" w:after="100" w:afterAutospacing="1"/>
        <w:outlineLvl w:val="1"/>
        <w:rPr>
          <w:b/>
          <w:bCs/>
          <w:color w:val="000000"/>
          <w:sz w:val="32"/>
          <w:szCs w:val="32"/>
        </w:rPr>
      </w:pPr>
    </w:p>
    <w:p w14:paraId="6431F105" w14:textId="1822C281" w:rsidR="0029165F" w:rsidRPr="00F36009" w:rsidRDefault="0029165F" w:rsidP="0029165F">
      <w:pPr>
        <w:spacing w:before="100" w:beforeAutospacing="1" w:after="100" w:afterAutospacing="1"/>
        <w:outlineLvl w:val="1"/>
        <w:rPr>
          <w:b/>
          <w:bCs/>
          <w:color w:val="000000"/>
          <w:sz w:val="32"/>
          <w:szCs w:val="32"/>
        </w:rPr>
      </w:pPr>
      <w:bookmarkStart w:id="13" w:name="_Toc241526672"/>
      <w:bookmarkStart w:id="14" w:name="_Toc241527081"/>
      <w:r w:rsidRPr="00F36009">
        <w:rPr>
          <w:b/>
          <w:bCs/>
          <w:color w:val="000000"/>
          <w:sz w:val="32"/>
          <w:szCs w:val="32"/>
        </w:rPr>
        <w:t>1.</w:t>
      </w:r>
      <w:r w:rsidR="00221881">
        <w:rPr>
          <w:b/>
          <w:bCs/>
          <w:color w:val="000000"/>
          <w:sz w:val="32"/>
          <w:szCs w:val="32"/>
        </w:rPr>
        <w:t>7</w:t>
      </w:r>
      <w:r w:rsidRPr="00F36009">
        <w:rPr>
          <w:b/>
          <w:bCs/>
          <w:color w:val="000000"/>
          <w:sz w:val="32"/>
          <w:szCs w:val="32"/>
        </w:rPr>
        <w:t xml:space="preserve"> Types of Literature Reviews:</w:t>
      </w:r>
      <w:bookmarkEnd w:id="13"/>
      <w:bookmarkEnd w:id="14"/>
      <w:r w:rsidRPr="00F36009">
        <w:rPr>
          <w:b/>
          <w:bCs/>
          <w:color w:val="000000"/>
          <w:sz w:val="32"/>
          <w:szCs w:val="32"/>
        </w:rPr>
        <w:t xml:space="preserve"> </w:t>
      </w:r>
    </w:p>
    <w:p w14:paraId="2A1B53F0" w14:textId="31C9E347" w:rsidR="004677DE" w:rsidRPr="00023023" w:rsidRDefault="0029165F" w:rsidP="00B81E44">
      <w:pPr>
        <w:pStyle w:val="isselectedend"/>
        <w:rPr>
          <w:color w:val="000000"/>
          <w:sz w:val="32"/>
          <w:szCs w:val="32"/>
        </w:rPr>
      </w:pPr>
      <w:r w:rsidRPr="00023023">
        <w:rPr>
          <w:color w:val="000000"/>
          <w:sz w:val="32"/>
          <w:szCs w:val="32"/>
        </w:rPr>
        <w:t>There are several ways of carrying out a literature review, depending on the purpose of the research and the type of question being asked. Three common approaches are</w:t>
      </w:r>
      <w:r w:rsidRPr="00023023">
        <w:rPr>
          <w:rStyle w:val="apple-converted-space"/>
          <w:rFonts w:eastAsiaTheme="majorEastAsia"/>
          <w:color w:val="000000"/>
          <w:sz w:val="32"/>
          <w:szCs w:val="32"/>
        </w:rPr>
        <w:t> </w:t>
      </w:r>
      <w:r w:rsidRPr="00023023">
        <w:rPr>
          <w:rStyle w:val="Strong"/>
          <w:rFonts w:eastAsiaTheme="majorEastAsia"/>
          <w:b w:val="0"/>
          <w:bCs w:val="0"/>
          <w:color w:val="000000"/>
          <w:sz w:val="32"/>
          <w:szCs w:val="32"/>
        </w:rPr>
        <w:t>systematic, narrative and scoping literature reviews</w:t>
      </w:r>
      <w:r w:rsidRPr="00023023">
        <w:rPr>
          <w:b/>
          <w:bCs/>
          <w:color w:val="000000"/>
          <w:sz w:val="32"/>
          <w:szCs w:val="32"/>
        </w:rPr>
        <w:t xml:space="preserve">. </w:t>
      </w:r>
      <w:r w:rsidR="0074695C" w:rsidRPr="00023023">
        <w:rPr>
          <w:color w:val="000000"/>
          <w:sz w:val="32"/>
          <w:szCs w:val="32"/>
        </w:rPr>
        <w:t>A</w:t>
      </w:r>
      <w:r w:rsidR="0074695C" w:rsidRPr="00023023">
        <w:rPr>
          <w:rStyle w:val="apple-converted-space"/>
          <w:rFonts w:eastAsiaTheme="majorEastAsia"/>
          <w:color w:val="000000"/>
          <w:sz w:val="32"/>
          <w:szCs w:val="32"/>
        </w:rPr>
        <w:t> </w:t>
      </w:r>
      <w:r w:rsidR="0074695C" w:rsidRPr="00AD3486">
        <w:rPr>
          <w:rStyle w:val="Strong"/>
          <w:rFonts w:eastAsiaTheme="majorEastAsia"/>
          <w:b w:val="0"/>
          <w:bCs w:val="0"/>
          <w:color w:val="000000"/>
          <w:sz w:val="32"/>
          <w:szCs w:val="32"/>
        </w:rPr>
        <w:t>systematic literature</w:t>
      </w:r>
      <w:r w:rsidR="0074695C" w:rsidRPr="00023023">
        <w:rPr>
          <w:rStyle w:val="Strong"/>
          <w:rFonts w:eastAsiaTheme="majorEastAsia"/>
          <w:color w:val="000000"/>
          <w:sz w:val="32"/>
          <w:szCs w:val="32"/>
        </w:rPr>
        <w:t xml:space="preserve"> </w:t>
      </w:r>
      <w:r w:rsidR="0074695C" w:rsidRPr="00AD3486">
        <w:rPr>
          <w:rStyle w:val="Strong"/>
          <w:rFonts w:eastAsiaTheme="majorEastAsia"/>
          <w:b w:val="0"/>
          <w:bCs w:val="0"/>
          <w:color w:val="000000"/>
          <w:sz w:val="32"/>
          <w:szCs w:val="32"/>
        </w:rPr>
        <w:t>review</w:t>
      </w:r>
      <w:r w:rsidR="0074695C" w:rsidRPr="00023023">
        <w:rPr>
          <w:rStyle w:val="apple-converted-space"/>
          <w:rFonts w:eastAsiaTheme="majorEastAsia"/>
          <w:color w:val="000000"/>
          <w:sz w:val="32"/>
          <w:szCs w:val="32"/>
        </w:rPr>
        <w:t> </w:t>
      </w:r>
      <w:r w:rsidR="0074695C" w:rsidRPr="00023023">
        <w:rPr>
          <w:color w:val="000000"/>
          <w:sz w:val="32"/>
          <w:szCs w:val="32"/>
        </w:rPr>
        <w:t>is a careful and organi</w:t>
      </w:r>
      <w:r w:rsidR="00AD3486">
        <w:rPr>
          <w:color w:val="000000"/>
          <w:sz w:val="32"/>
          <w:szCs w:val="32"/>
        </w:rPr>
        <w:t>z</w:t>
      </w:r>
      <w:r w:rsidR="0074695C" w:rsidRPr="00023023">
        <w:rPr>
          <w:color w:val="000000"/>
          <w:sz w:val="32"/>
          <w:szCs w:val="32"/>
        </w:rPr>
        <w:t>ed way of looking at existing research on a particular topic. The researcher follows a clear process to find relevant studies, decide which ones to includ</w:t>
      </w:r>
      <w:r w:rsidR="00AD3486">
        <w:rPr>
          <w:color w:val="000000"/>
          <w:sz w:val="32"/>
          <w:szCs w:val="32"/>
        </w:rPr>
        <w:t>e</w:t>
      </w:r>
      <w:r w:rsidR="0074695C" w:rsidRPr="00023023">
        <w:rPr>
          <w:color w:val="000000"/>
          <w:sz w:val="32"/>
          <w:szCs w:val="32"/>
        </w:rPr>
        <w:t xml:space="preserve"> and compare their findings</w:t>
      </w:r>
      <w:r w:rsidR="00AD3486">
        <w:rPr>
          <w:color w:val="000000"/>
          <w:sz w:val="32"/>
          <w:szCs w:val="32"/>
        </w:rPr>
        <w:t xml:space="preserve">. </w:t>
      </w:r>
      <w:r w:rsidR="0074695C" w:rsidRPr="00023023">
        <w:rPr>
          <w:color w:val="000000"/>
          <w:sz w:val="32"/>
          <w:szCs w:val="32"/>
        </w:rPr>
        <w:t>It</w:t>
      </w:r>
      <w:r w:rsidRPr="00023023">
        <w:rPr>
          <w:rStyle w:val="apple-converted-space"/>
          <w:rFonts w:eastAsiaTheme="majorEastAsia"/>
          <w:color w:val="000000"/>
          <w:sz w:val="32"/>
          <w:szCs w:val="32"/>
        </w:rPr>
        <w:t> </w:t>
      </w:r>
      <w:r w:rsidRPr="00023023">
        <w:rPr>
          <w:color w:val="000000"/>
          <w:sz w:val="32"/>
          <w:szCs w:val="32"/>
        </w:rPr>
        <w:t xml:space="preserve">follows a clear and structured process. The researcher normally starts with a specific research question and sets criteria for which studies should be included or excluded. Relevant studies are then searched for and assessed before the findings are brought together. This approach can provide a detailed and reliable overview of existing evidence because the process is planned and transparent (Tranfield, Denyer and Smart, 2003). </w:t>
      </w:r>
      <w:r w:rsidR="005712E7" w:rsidRPr="00023023">
        <w:rPr>
          <w:color w:val="000000"/>
          <w:sz w:val="32"/>
          <w:szCs w:val="32"/>
        </w:rPr>
        <w:t>A</w:t>
      </w:r>
      <w:r w:rsidR="005712E7" w:rsidRPr="00023023">
        <w:rPr>
          <w:rStyle w:val="apple-converted-space"/>
          <w:rFonts w:eastAsiaTheme="majorEastAsia"/>
          <w:color w:val="000000"/>
          <w:sz w:val="32"/>
          <w:szCs w:val="32"/>
        </w:rPr>
        <w:t> </w:t>
      </w:r>
      <w:r w:rsidR="005712E7" w:rsidRPr="006546D7">
        <w:rPr>
          <w:rStyle w:val="Strong"/>
          <w:rFonts w:eastAsiaTheme="majorEastAsia"/>
          <w:b w:val="0"/>
          <w:bCs w:val="0"/>
          <w:color w:val="000000"/>
          <w:sz w:val="32"/>
          <w:szCs w:val="32"/>
        </w:rPr>
        <w:t>narrative literature review</w:t>
      </w:r>
      <w:r w:rsidR="005712E7" w:rsidRPr="00023023">
        <w:rPr>
          <w:rStyle w:val="apple-converted-space"/>
          <w:rFonts w:eastAsiaTheme="majorEastAsia"/>
          <w:color w:val="000000"/>
          <w:sz w:val="32"/>
          <w:szCs w:val="32"/>
        </w:rPr>
        <w:t> </w:t>
      </w:r>
      <w:r w:rsidR="005712E7" w:rsidRPr="00023023">
        <w:rPr>
          <w:color w:val="000000"/>
          <w:sz w:val="32"/>
          <w:szCs w:val="32"/>
        </w:rPr>
        <w:t xml:space="preserve">is a way of bringing together and discussing previous research on a particular topic. It allows the researcher to look at different ideas, findings and viewpoints and explain how they relate to each </w:t>
      </w:r>
      <w:proofErr w:type="spellStart"/>
      <w:proofErr w:type="gramStart"/>
      <w:r w:rsidR="005712E7" w:rsidRPr="00023023">
        <w:rPr>
          <w:color w:val="000000"/>
          <w:sz w:val="32"/>
          <w:szCs w:val="32"/>
        </w:rPr>
        <w:t>other.</w:t>
      </w:r>
      <w:r w:rsidR="00B81E44">
        <w:rPr>
          <w:color w:val="000000"/>
          <w:sz w:val="32"/>
          <w:szCs w:val="32"/>
        </w:rPr>
        <w:t>It</w:t>
      </w:r>
      <w:proofErr w:type="spellEnd"/>
      <w:proofErr w:type="gramEnd"/>
      <w:r w:rsidR="00B81E44">
        <w:rPr>
          <w:color w:val="000000"/>
          <w:sz w:val="32"/>
          <w:szCs w:val="32"/>
        </w:rPr>
        <w:t xml:space="preserve"> is</w:t>
      </w:r>
      <w:r w:rsidR="00B81E44">
        <w:rPr>
          <w:rStyle w:val="apple-converted-space"/>
          <w:rFonts w:eastAsiaTheme="majorEastAsia"/>
          <w:color w:val="000000"/>
          <w:sz w:val="32"/>
          <w:szCs w:val="32"/>
        </w:rPr>
        <w:t xml:space="preserve"> </w:t>
      </w:r>
      <w:r w:rsidRPr="00023023">
        <w:rPr>
          <w:color w:val="000000"/>
          <w:sz w:val="32"/>
          <w:szCs w:val="32"/>
        </w:rPr>
        <w:t xml:space="preserve">more flexible. Instead of following a very strict process, it allows the researcher to bring together relevant studies and discuss the main ideas, findings and debates around a topic. The literature can be organized into themes, making it easier to compare different views and identify areas where researchers agree or disagree. Green, Johnson and Adams (2006) explain that narrative reviews are useful for bringing together research and providing an </w:t>
      </w:r>
      <w:r w:rsidRPr="00023023">
        <w:rPr>
          <w:color w:val="000000"/>
          <w:sz w:val="32"/>
          <w:szCs w:val="32"/>
        </w:rPr>
        <w:lastRenderedPageBreak/>
        <w:t>overall understanding of a topic. This approach is particularly useful when the existing research contains different or sometimes conflicting findings.</w:t>
      </w:r>
      <w:r w:rsidR="00D21315">
        <w:rPr>
          <w:color w:val="000000"/>
          <w:sz w:val="32"/>
          <w:szCs w:val="32"/>
        </w:rPr>
        <w:t xml:space="preserve"> </w:t>
      </w:r>
      <w:r w:rsidR="00C303F7" w:rsidRPr="00023023">
        <w:rPr>
          <w:color w:val="000000"/>
          <w:sz w:val="32"/>
          <w:szCs w:val="32"/>
        </w:rPr>
        <w:t>A</w:t>
      </w:r>
      <w:r w:rsidR="00C303F7" w:rsidRPr="00023023">
        <w:rPr>
          <w:rStyle w:val="apple-converted-space"/>
          <w:rFonts w:eastAsiaTheme="majorEastAsia"/>
          <w:color w:val="000000"/>
          <w:sz w:val="32"/>
          <w:szCs w:val="32"/>
        </w:rPr>
        <w:t> </w:t>
      </w:r>
      <w:r w:rsidR="00C303F7" w:rsidRPr="007C64F5">
        <w:rPr>
          <w:rStyle w:val="Strong"/>
          <w:rFonts w:eastAsiaTheme="majorEastAsia"/>
          <w:b w:val="0"/>
          <w:bCs w:val="0"/>
          <w:color w:val="000000"/>
          <w:sz w:val="32"/>
          <w:szCs w:val="32"/>
        </w:rPr>
        <w:t>scoping literature review</w:t>
      </w:r>
      <w:r w:rsidR="00C303F7" w:rsidRPr="00023023">
        <w:rPr>
          <w:rStyle w:val="apple-converted-space"/>
          <w:rFonts w:eastAsiaTheme="majorEastAsia"/>
          <w:color w:val="000000"/>
          <w:sz w:val="32"/>
          <w:szCs w:val="32"/>
        </w:rPr>
        <w:t> </w:t>
      </w:r>
      <w:r w:rsidR="00C303F7" w:rsidRPr="00023023">
        <w:rPr>
          <w:color w:val="000000"/>
          <w:sz w:val="32"/>
          <w:szCs w:val="32"/>
        </w:rPr>
        <w:t>is a way of exploring a topic by looking at a wide range of existing research. It helps the researcher understand what has already been studied, identify the main themes and ideas, and find areas where there is still limited research</w:t>
      </w:r>
      <w:r w:rsidR="00D21315">
        <w:rPr>
          <w:color w:val="000000"/>
          <w:sz w:val="32"/>
          <w:szCs w:val="32"/>
        </w:rPr>
        <w:t xml:space="preserve">. It </w:t>
      </w:r>
      <w:r w:rsidRPr="00023023">
        <w:rPr>
          <w:color w:val="000000"/>
          <w:sz w:val="32"/>
          <w:szCs w:val="32"/>
        </w:rPr>
        <w:t>has a wider focus</w:t>
      </w:r>
      <w:r w:rsidR="00D21315">
        <w:rPr>
          <w:color w:val="000000"/>
          <w:sz w:val="32"/>
          <w:szCs w:val="32"/>
        </w:rPr>
        <w:t xml:space="preserve"> and</w:t>
      </w:r>
      <w:r w:rsidR="00E743F0" w:rsidRPr="00023023">
        <w:rPr>
          <w:color w:val="000000"/>
          <w:sz w:val="32"/>
          <w:szCs w:val="32"/>
        </w:rPr>
        <w:t xml:space="preserve"> </w:t>
      </w:r>
      <w:r w:rsidR="003729F9" w:rsidRPr="00023023">
        <w:rPr>
          <w:color w:val="000000"/>
          <w:sz w:val="32"/>
          <w:szCs w:val="32"/>
        </w:rPr>
        <w:t>a wide range of usage.</w:t>
      </w:r>
      <w:r w:rsidR="004D4918" w:rsidRPr="00023023">
        <w:rPr>
          <w:color w:val="000000"/>
          <w:sz w:val="32"/>
          <w:szCs w:val="32"/>
        </w:rPr>
        <w:t xml:space="preserve"> </w:t>
      </w:r>
      <w:r w:rsidRPr="00023023">
        <w:rPr>
          <w:color w:val="000000"/>
          <w:sz w:val="32"/>
          <w:szCs w:val="32"/>
        </w:rPr>
        <w:t xml:space="preserve">Its main purpose is to explore what research has already been carried out in a particular area and </w:t>
      </w:r>
      <w:r w:rsidR="004D4918" w:rsidRPr="00023023">
        <w:rPr>
          <w:color w:val="000000"/>
          <w:sz w:val="32"/>
          <w:szCs w:val="32"/>
        </w:rPr>
        <w:t xml:space="preserve">also </w:t>
      </w:r>
      <w:r w:rsidRPr="00023023">
        <w:rPr>
          <w:color w:val="000000"/>
          <w:sz w:val="32"/>
          <w:szCs w:val="32"/>
        </w:rPr>
        <w:t xml:space="preserve">to identify the main concepts, evidence and research gaps. Arksey and O'Malley (2005) describe scoping reviews as a useful way of examining the range and nature of research available on a particular topic. Levac, Colquhoun and O'Brien (2010) later developed this approach further and highlighted the importance of having a clear and structured process when carrying out a scoping review. </w:t>
      </w:r>
      <w:r w:rsidR="004677DE" w:rsidRPr="00023023">
        <w:rPr>
          <w:color w:val="000000"/>
          <w:sz w:val="32"/>
          <w:szCs w:val="32"/>
        </w:rPr>
        <w:t>A</w:t>
      </w:r>
      <w:r w:rsidR="004677DE" w:rsidRPr="00023023">
        <w:rPr>
          <w:rStyle w:val="apple-converted-space"/>
          <w:rFonts w:eastAsiaTheme="majorEastAsia"/>
          <w:color w:val="000000"/>
          <w:sz w:val="32"/>
          <w:szCs w:val="32"/>
        </w:rPr>
        <w:t> </w:t>
      </w:r>
      <w:r w:rsidR="004677DE" w:rsidRPr="007C64F5">
        <w:rPr>
          <w:rStyle w:val="Strong"/>
          <w:rFonts w:eastAsiaTheme="majorEastAsia"/>
          <w:b w:val="0"/>
          <w:bCs w:val="0"/>
          <w:color w:val="000000"/>
          <w:sz w:val="32"/>
          <w:szCs w:val="32"/>
        </w:rPr>
        <w:t>systematic review</w:t>
      </w:r>
      <w:r w:rsidR="004677DE" w:rsidRPr="00023023">
        <w:rPr>
          <w:rStyle w:val="apple-converted-space"/>
          <w:rFonts w:eastAsiaTheme="majorEastAsia"/>
          <w:color w:val="000000"/>
          <w:sz w:val="32"/>
          <w:szCs w:val="32"/>
        </w:rPr>
        <w:t> </w:t>
      </w:r>
      <w:r w:rsidR="004677DE" w:rsidRPr="00023023">
        <w:rPr>
          <w:color w:val="000000"/>
          <w:sz w:val="32"/>
          <w:szCs w:val="32"/>
        </w:rPr>
        <w:t>usually focuses on a specific research question and follows a clear and structured process to find, select and assess relevant studies (Page et al., 2021). A</w:t>
      </w:r>
      <w:r w:rsidR="004677DE" w:rsidRPr="00023023">
        <w:rPr>
          <w:rStyle w:val="apple-converted-space"/>
          <w:rFonts w:eastAsiaTheme="majorEastAsia"/>
          <w:color w:val="000000"/>
          <w:sz w:val="32"/>
          <w:szCs w:val="32"/>
        </w:rPr>
        <w:t> </w:t>
      </w:r>
      <w:r w:rsidR="004677DE" w:rsidRPr="007C64F5">
        <w:rPr>
          <w:rStyle w:val="Strong"/>
          <w:rFonts w:eastAsiaTheme="majorEastAsia"/>
          <w:b w:val="0"/>
          <w:bCs w:val="0"/>
          <w:color w:val="000000"/>
          <w:sz w:val="32"/>
          <w:szCs w:val="32"/>
        </w:rPr>
        <w:t>scoping review</w:t>
      </w:r>
      <w:r w:rsidR="004677DE" w:rsidRPr="007C64F5">
        <w:rPr>
          <w:rStyle w:val="apple-converted-space"/>
          <w:rFonts w:eastAsiaTheme="majorEastAsia"/>
          <w:b/>
          <w:bCs/>
          <w:color w:val="000000"/>
          <w:sz w:val="32"/>
          <w:szCs w:val="32"/>
        </w:rPr>
        <w:t> </w:t>
      </w:r>
      <w:r w:rsidR="004677DE" w:rsidRPr="00023023">
        <w:rPr>
          <w:color w:val="000000"/>
          <w:sz w:val="32"/>
          <w:szCs w:val="32"/>
        </w:rPr>
        <w:t>takes a broader approach by looking at the available research to understand the main ideas, evidence and gaps within a topic (Grant and Booth, 2009). In comparison, a</w:t>
      </w:r>
      <w:r w:rsidR="004677DE" w:rsidRPr="00023023">
        <w:rPr>
          <w:rStyle w:val="apple-converted-space"/>
          <w:rFonts w:eastAsiaTheme="majorEastAsia"/>
          <w:color w:val="000000"/>
          <w:sz w:val="32"/>
          <w:szCs w:val="32"/>
        </w:rPr>
        <w:t> </w:t>
      </w:r>
      <w:r w:rsidR="004677DE" w:rsidRPr="007C64F5">
        <w:rPr>
          <w:rStyle w:val="Strong"/>
          <w:rFonts w:eastAsiaTheme="majorEastAsia"/>
          <w:b w:val="0"/>
          <w:bCs w:val="0"/>
          <w:color w:val="000000"/>
          <w:sz w:val="32"/>
          <w:szCs w:val="32"/>
        </w:rPr>
        <w:t>narrative review</w:t>
      </w:r>
      <w:r w:rsidR="004677DE" w:rsidRPr="00023023">
        <w:rPr>
          <w:rStyle w:val="apple-converted-space"/>
          <w:rFonts w:eastAsiaTheme="majorEastAsia"/>
          <w:color w:val="000000"/>
          <w:sz w:val="32"/>
          <w:szCs w:val="32"/>
        </w:rPr>
        <w:t> </w:t>
      </w:r>
      <w:r w:rsidR="004677DE" w:rsidRPr="00023023">
        <w:rPr>
          <w:color w:val="000000"/>
          <w:sz w:val="32"/>
          <w:szCs w:val="32"/>
        </w:rPr>
        <w:t xml:space="preserve">gives the researcher more flexibility to bring together different findings, ideas and theories and explain how they relate to each other (Grant and Booth, 2009). </w:t>
      </w:r>
    </w:p>
    <w:p w14:paraId="46CB8EB2" w14:textId="77777777" w:rsidR="00B4439A" w:rsidRPr="00023023" w:rsidRDefault="00B4439A" w:rsidP="0029165F">
      <w:pPr>
        <w:spacing w:before="100" w:beforeAutospacing="1" w:after="100" w:afterAutospacing="1"/>
        <w:outlineLvl w:val="1"/>
        <w:rPr>
          <w:b/>
          <w:bCs/>
          <w:color w:val="000000"/>
          <w:sz w:val="32"/>
          <w:szCs w:val="32"/>
        </w:rPr>
      </w:pPr>
    </w:p>
    <w:p w14:paraId="0A7AFCDE" w14:textId="55D77C62" w:rsidR="0029165F" w:rsidRDefault="0029165F" w:rsidP="0029165F">
      <w:pPr>
        <w:spacing w:before="100" w:beforeAutospacing="1" w:after="100" w:afterAutospacing="1"/>
        <w:outlineLvl w:val="1"/>
        <w:rPr>
          <w:b/>
          <w:bCs/>
          <w:color w:val="000000"/>
          <w:sz w:val="32"/>
          <w:szCs w:val="32"/>
        </w:rPr>
      </w:pPr>
      <w:bookmarkStart w:id="15" w:name="_Toc241526673"/>
      <w:bookmarkStart w:id="16" w:name="_Toc241527082"/>
      <w:r w:rsidRPr="00F36009">
        <w:rPr>
          <w:b/>
          <w:bCs/>
          <w:color w:val="000000"/>
          <w:sz w:val="32"/>
          <w:szCs w:val="32"/>
        </w:rPr>
        <w:t>1.</w:t>
      </w:r>
      <w:r w:rsidR="00370AF3" w:rsidRPr="00F36009">
        <w:rPr>
          <w:b/>
          <w:bCs/>
          <w:color w:val="000000"/>
          <w:sz w:val="32"/>
          <w:szCs w:val="32"/>
        </w:rPr>
        <w:t>9</w:t>
      </w:r>
      <w:r w:rsidRPr="00F36009">
        <w:rPr>
          <w:b/>
          <w:bCs/>
          <w:color w:val="000000"/>
          <w:sz w:val="32"/>
          <w:szCs w:val="32"/>
        </w:rPr>
        <w:t xml:space="preserve"> Selection of Narrative Literature Review</w:t>
      </w:r>
      <w:bookmarkEnd w:id="15"/>
      <w:bookmarkEnd w:id="16"/>
    </w:p>
    <w:p w14:paraId="50AB48BE" w14:textId="77777777" w:rsidR="006C0076" w:rsidRPr="00FB1DB3" w:rsidRDefault="006C0076" w:rsidP="006C0076">
      <w:pPr>
        <w:pStyle w:val="NormalWeb"/>
        <w:rPr>
          <w:color w:val="000000"/>
          <w:sz w:val="32"/>
          <w:szCs w:val="32"/>
        </w:rPr>
      </w:pPr>
      <w:r w:rsidRPr="00FB1DB3">
        <w:rPr>
          <w:color w:val="000000"/>
          <w:sz w:val="32"/>
          <w:szCs w:val="32"/>
        </w:rPr>
        <w:t>For this study, a</w:t>
      </w:r>
      <w:r w:rsidRPr="00FB1DB3">
        <w:rPr>
          <w:rStyle w:val="apple-converted-space"/>
          <w:rFonts w:eastAsiaTheme="majorEastAsia"/>
          <w:color w:val="000000"/>
          <w:sz w:val="32"/>
          <w:szCs w:val="32"/>
        </w:rPr>
        <w:t> </w:t>
      </w:r>
      <w:r w:rsidRPr="00FB1DB3">
        <w:rPr>
          <w:rStyle w:val="Strong"/>
          <w:rFonts w:eastAsiaTheme="majorEastAsia"/>
          <w:b w:val="0"/>
          <w:bCs w:val="0"/>
          <w:color w:val="000000"/>
          <w:sz w:val="32"/>
          <w:szCs w:val="32"/>
        </w:rPr>
        <w:t>narrative literature review</w:t>
      </w:r>
      <w:r w:rsidRPr="00FB1DB3">
        <w:rPr>
          <w:rStyle w:val="apple-converted-space"/>
          <w:rFonts w:eastAsiaTheme="majorEastAsia"/>
          <w:color w:val="000000"/>
          <w:sz w:val="32"/>
          <w:szCs w:val="32"/>
        </w:rPr>
        <w:t> </w:t>
      </w:r>
      <w:r w:rsidRPr="00FB1DB3">
        <w:rPr>
          <w:color w:val="000000"/>
          <w:sz w:val="32"/>
          <w:szCs w:val="32"/>
        </w:rPr>
        <w:t xml:space="preserve">is considered suitable because it allows previous research on performance-based pay, fixed salary and employee motivation to be explored and compared. Previous studies do not always reach the same conclusions about how financial rewards affect motivation. Some research suggests that performance-based pay can encourage employees to put more effort into their work when rewards are clearly linked to performance. However, other studies </w:t>
      </w:r>
      <w:r w:rsidRPr="00FB1DB3">
        <w:rPr>
          <w:color w:val="000000"/>
          <w:sz w:val="32"/>
          <w:szCs w:val="32"/>
        </w:rPr>
        <w:lastRenderedPageBreak/>
        <w:t>identify possible disadvantages, such as increased pressure, competition, concerns about fairness and reduced intrinsic motivation (Green, Johnson and Adams, 2006).</w:t>
      </w:r>
    </w:p>
    <w:p w14:paraId="56128F77" w14:textId="3FFCFCBE" w:rsidR="006C0076" w:rsidRPr="00FB1DB3" w:rsidRDefault="006C0076" w:rsidP="006C0076">
      <w:pPr>
        <w:pStyle w:val="NormalWeb"/>
        <w:rPr>
          <w:color w:val="000000"/>
          <w:sz w:val="32"/>
          <w:szCs w:val="32"/>
        </w:rPr>
      </w:pPr>
      <w:r w:rsidRPr="00FB1DB3">
        <w:rPr>
          <w:color w:val="000000"/>
          <w:sz w:val="32"/>
          <w:szCs w:val="32"/>
        </w:rPr>
        <w:t>A narrative review is useful because it allows the literature to be organi</w:t>
      </w:r>
      <w:r w:rsidR="003D5601">
        <w:rPr>
          <w:color w:val="000000"/>
          <w:sz w:val="32"/>
          <w:szCs w:val="32"/>
        </w:rPr>
        <w:t>z</w:t>
      </w:r>
      <w:r w:rsidRPr="00FB1DB3">
        <w:rPr>
          <w:color w:val="000000"/>
          <w:sz w:val="32"/>
          <w:szCs w:val="32"/>
        </w:rPr>
        <w:t>ed around important themes rather than discussing studies separately. For this research, key themes include</w:t>
      </w:r>
      <w:r w:rsidRPr="00FB1DB3">
        <w:rPr>
          <w:rStyle w:val="apple-converted-space"/>
          <w:rFonts w:eastAsiaTheme="majorEastAsia"/>
          <w:color w:val="000000"/>
          <w:sz w:val="32"/>
          <w:szCs w:val="32"/>
        </w:rPr>
        <w:t> </w:t>
      </w:r>
      <w:r w:rsidRPr="00FB1DB3">
        <w:rPr>
          <w:rStyle w:val="Strong"/>
          <w:rFonts w:eastAsiaTheme="majorEastAsia"/>
          <w:b w:val="0"/>
          <w:bCs w:val="0"/>
          <w:color w:val="000000"/>
          <w:sz w:val="32"/>
          <w:szCs w:val="32"/>
        </w:rPr>
        <w:t>financial incentives, employee motivation, fairness, job satisfaction, intrinsic and extrinsic motivation, and employee performance</w:t>
      </w:r>
      <w:r w:rsidRPr="00FB1DB3">
        <w:rPr>
          <w:b/>
          <w:bCs/>
          <w:color w:val="000000"/>
          <w:sz w:val="32"/>
          <w:szCs w:val="32"/>
        </w:rPr>
        <w:t xml:space="preserve">. </w:t>
      </w:r>
      <w:r w:rsidRPr="00FB1DB3">
        <w:rPr>
          <w:color w:val="000000"/>
          <w:sz w:val="32"/>
          <w:szCs w:val="32"/>
        </w:rPr>
        <w:t>This approach can help identify similarities and differences between performance-based pay and fixed salary systems and explain why a pay system may work differently in different situations.</w:t>
      </w:r>
    </w:p>
    <w:p w14:paraId="763E7B94" w14:textId="512F66C3" w:rsidR="00EB41E8" w:rsidRDefault="006C0076" w:rsidP="00EB41E8">
      <w:pPr>
        <w:pStyle w:val="NormalWeb"/>
        <w:rPr>
          <w:color w:val="000000"/>
          <w:sz w:val="32"/>
          <w:szCs w:val="32"/>
        </w:rPr>
      </w:pPr>
      <w:r w:rsidRPr="00FB1DB3">
        <w:rPr>
          <w:color w:val="000000"/>
          <w:sz w:val="32"/>
          <w:szCs w:val="32"/>
        </w:rPr>
        <w:t xml:space="preserve">Unlike a systematic review, a narrative review provides greater flexibility when bringing together different theories, methods and findings (Tranfield, Denyer and Smart, 2003). </w:t>
      </w:r>
    </w:p>
    <w:p w14:paraId="461DCBAB" w14:textId="2332FDC7" w:rsidR="0029165F" w:rsidRPr="00EB41E8" w:rsidRDefault="00370AF3" w:rsidP="00EB41E8">
      <w:pPr>
        <w:pStyle w:val="NormalWeb"/>
        <w:rPr>
          <w:color w:val="000000"/>
          <w:sz w:val="32"/>
          <w:szCs w:val="32"/>
        </w:rPr>
      </w:pPr>
      <w:r w:rsidRPr="00F36009">
        <w:rPr>
          <w:b/>
          <w:bCs/>
          <w:color w:val="000000"/>
          <w:sz w:val="32"/>
          <w:szCs w:val="32"/>
        </w:rPr>
        <w:t>2.0</w:t>
      </w:r>
      <w:r w:rsidR="0029165F" w:rsidRPr="00F36009">
        <w:rPr>
          <w:b/>
          <w:bCs/>
          <w:color w:val="000000"/>
          <w:sz w:val="32"/>
          <w:szCs w:val="32"/>
        </w:rPr>
        <w:t xml:space="preserve"> Summary</w:t>
      </w:r>
    </w:p>
    <w:p w14:paraId="23CFA52C" w14:textId="48BAEC9E" w:rsidR="004537BD" w:rsidRDefault="0029165F" w:rsidP="004E3DEB">
      <w:pPr>
        <w:spacing w:before="100" w:beforeAutospacing="1" w:after="100" w:afterAutospacing="1"/>
        <w:rPr>
          <w:rFonts w:ascii="-webkit-standard" w:hAnsi="-webkit-standard"/>
          <w:color w:val="000000"/>
          <w:sz w:val="32"/>
          <w:szCs w:val="32"/>
        </w:rPr>
      </w:pPr>
      <w:r w:rsidRPr="00F36009">
        <w:rPr>
          <w:rFonts w:ascii="-webkit-standard" w:hAnsi="-webkit-standard"/>
          <w:color w:val="000000"/>
          <w:sz w:val="32"/>
          <w:szCs w:val="32"/>
        </w:rPr>
        <w:t>Overall, the literature suggests that neither performance-based pay nor fixed salary is always better for employee motivation. Performance-based pay can encourage employees to improve their performance by linking rewards to results (Lazear, 2000; Chen et al., 2023). However, fixed salary provides greater financial security and stability, which may be more important</w:t>
      </w:r>
      <w:r w:rsidR="004D47C3" w:rsidRPr="00F36009">
        <w:rPr>
          <w:rFonts w:ascii="-webkit-standard" w:hAnsi="-webkit-standard"/>
          <w:color w:val="000000"/>
          <w:sz w:val="32"/>
          <w:szCs w:val="32"/>
        </w:rPr>
        <w:t xml:space="preserve"> a</w:t>
      </w:r>
      <w:r w:rsidR="009A0ED5">
        <w:rPr>
          <w:rFonts w:ascii="-webkit-standard" w:hAnsi="-webkit-standard"/>
          <w:color w:val="000000"/>
          <w:sz w:val="32"/>
          <w:szCs w:val="32"/>
        </w:rPr>
        <w:t>n</w:t>
      </w:r>
      <w:r w:rsidR="004D47C3" w:rsidRPr="00F36009">
        <w:rPr>
          <w:rFonts w:ascii="-webkit-standard" w:hAnsi="-webkit-standard"/>
          <w:color w:val="000000"/>
          <w:sz w:val="32"/>
          <w:szCs w:val="32"/>
        </w:rPr>
        <w:t xml:space="preserve">d play </w:t>
      </w:r>
      <w:proofErr w:type="gramStart"/>
      <w:r w:rsidR="004D47C3" w:rsidRPr="00F36009">
        <w:rPr>
          <w:rFonts w:ascii="-webkit-standard" w:hAnsi="-webkit-standard"/>
          <w:color w:val="000000"/>
          <w:sz w:val="32"/>
          <w:szCs w:val="32"/>
        </w:rPr>
        <w:t>a</w:t>
      </w:r>
      <w:r w:rsidR="0009243D" w:rsidRPr="00F36009">
        <w:rPr>
          <w:rFonts w:ascii="-webkit-standard" w:hAnsi="-webkit-standard"/>
          <w:color w:val="000000"/>
          <w:sz w:val="32"/>
          <w:szCs w:val="32"/>
        </w:rPr>
        <w:t>n</w:t>
      </w:r>
      <w:proofErr w:type="gramEnd"/>
      <w:r w:rsidR="0009243D" w:rsidRPr="00F36009">
        <w:rPr>
          <w:rFonts w:ascii="-webkit-standard" w:hAnsi="-webkit-standard"/>
          <w:color w:val="000000"/>
          <w:sz w:val="32"/>
          <w:szCs w:val="32"/>
        </w:rPr>
        <w:t xml:space="preserve"> vital role</w:t>
      </w:r>
      <w:r w:rsidRPr="00F36009">
        <w:rPr>
          <w:rFonts w:ascii="-webkit-standard" w:hAnsi="-webkit-standard"/>
          <w:color w:val="000000"/>
          <w:sz w:val="32"/>
          <w:szCs w:val="32"/>
        </w:rPr>
        <w:t xml:space="preserve"> for some employees. Therefore, the most effective pay system depends on the nature of the job, how fairly performance is measured, and </w:t>
      </w:r>
      <w:r w:rsidR="00A06D32">
        <w:rPr>
          <w:rFonts w:ascii="-webkit-standard" w:hAnsi="-webkit-standard"/>
          <w:color w:val="000000"/>
          <w:sz w:val="32"/>
          <w:szCs w:val="32"/>
        </w:rPr>
        <w:t>als</w:t>
      </w:r>
      <w:r w:rsidR="009A104D">
        <w:rPr>
          <w:rFonts w:ascii="-webkit-standard" w:hAnsi="-webkit-standard"/>
          <w:color w:val="000000"/>
          <w:sz w:val="32"/>
          <w:szCs w:val="32"/>
        </w:rPr>
        <w:t xml:space="preserve">o </w:t>
      </w:r>
      <w:r w:rsidRPr="00F36009">
        <w:rPr>
          <w:rFonts w:ascii="-webkit-standard" w:hAnsi="-webkit-standard"/>
          <w:color w:val="000000"/>
          <w:sz w:val="32"/>
          <w:szCs w:val="32"/>
        </w:rPr>
        <w:t xml:space="preserve">what employees value. </w:t>
      </w:r>
    </w:p>
    <w:p w14:paraId="6B4301A5" w14:textId="77777777" w:rsidR="006473CC" w:rsidRDefault="006473CC" w:rsidP="004E3DEB">
      <w:pPr>
        <w:spacing w:before="100" w:beforeAutospacing="1" w:after="100" w:afterAutospacing="1"/>
        <w:rPr>
          <w:rFonts w:ascii="-webkit-standard" w:hAnsi="-webkit-standard"/>
          <w:color w:val="000000"/>
          <w:sz w:val="32"/>
          <w:szCs w:val="32"/>
        </w:rPr>
      </w:pPr>
    </w:p>
    <w:p w14:paraId="5419280D" w14:textId="74F50CD6" w:rsidR="006473CC" w:rsidRPr="00F66A86" w:rsidRDefault="006473CC" w:rsidP="004E3DEB">
      <w:pPr>
        <w:spacing w:before="100" w:beforeAutospacing="1" w:after="100" w:afterAutospacing="1"/>
        <w:rPr>
          <w:color w:val="000000"/>
          <w:sz w:val="40"/>
          <w:szCs w:val="40"/>
        </w:rPr>
      </w:pPr>
      <w:r w:rsidRPr="00F66A86">
        <w:rPr>
          <w:rFonts w:ascii="-webkit-standard" w:hAnsi="-webkit-standard"/>
          <w:color w:val="000000"/>
          <w:sz w:val="40"/>
          <w:szCs w:val="40"/>
        </w:rPr>
        <w:t>Words</w:t>
      </w:r>
      <w:r w:rsidR="00116720" w:rsidRPr="00F66A86">
        <w:rPr>
          <w:rFonts w:ascii="-webkit-standard" w:hAnsi="-webkit-standard"/>
          <w:color w:val="000000"/>
          <w:sz w:val="40"/>
          <w:szCs w:val="40"/>
        </w:rPr>
        <w:t>:</w:t>
      </w:r>
      <w:r w:rsidR="001D02FC" w:rsidRPr="00F66A86">
        <w:rPr>
          <w:rFonts w:ascii="-webkit-standard" w:hAnsi="-webkit-standard"/>
          <w:color w:val="000000"/>
          <w:sz w:val="40"/>
          <w:szCs w:val="40"/>
        </w:rPr>
        <w:t xml:space="preserve"> 15</w:t>
      </w:r>
      <w:r w:rsidR="00236BF5" w:rsidRPr="00F66A86">
        <w:rPr>
          <w:rFonts w:ascii="-webkit-standard" w:hAnsi="-webkit-standard"/>
          <w:color w:val="000000"/>
          <w:sz w:val="40"/>
          <w:szCs w:val="40"/>
        </w:rPr>
        <w:t>5</w:t>
      </w:r>
      <w:r w:rsidR="00E60894">
        <w:rPr>
          <w:rFonts w:ascii="-webkit-standard" w:hAnsi="-webkit-standard"/>
          <w:color w:val="000000"/>
          <w:sz w:val="40"/>
          <w:szCs w:val="40"/>
        </w:rPr>
        <w:t>2</w:t>
      </w:r>
    </w:p>
    <w:p w14:paraId="58FBD469" w14:textId="77777777" w:rsidR="004537BD" w:rsidRDefault="004537BD" w:rsidP="004E3DEB">
      <w:pPr>
        <w:spacing w:before="100" w:beforeAutospacing="1" w:after="100" w:afterAutospacing="1"/>
        <w:rPr>
          <w:color w:val="000000"/>
          <w:sz w:val="32"/>
          <w:szCs w:val="32"/>
        </w:rPr>
      </w:pPr>
    </w:p>
    <w:p w14:paraId="2A0C91E8" w14:textId="77777777" w:rsidR="004537BD" w:rsidRDefault="004537BD" w:rsidP="004E3DEB">
      <w:pPr>
        <w:spacing w:before="100" w:beforeAutospacing="1" w:after="100" w:afterAutospacing="1"/>
        <w:rPr>
          <w:color w:val="000000"/>
          <w:sz w:val="32"/>
          <w:szCs w:val="32"/>
        </w:rPr>
      </w:pPr>
    </w:p>
    <w:p w14:paraId="40508821" w14:textId="5010A812" w:rsidR="0029165F" w:rsidRPr="004E3DEB" w:rsidRDefault="0029165F" w:rsidP="004E3DEB">
      <w:pPr>
        <w:spacing w:before="100" w:beforeAutospacing="1" w:after="100" w:afterAutospacing="1"/>
        <w:rPr>
          <w:color w:val="000000"/>
          <w:sz w:val="32"/>
          <w:szCs w:val="32"/>
        </w:rPr>
      </w:pPr>
      <w:r w:rsidRPr="007D3BBD">
        <w:rPr>
          <w:rFonts w:ascii="-webkit-standard" w:hAnsi="-webkit-standar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List </w:t>
      </w:r>
    </w:p>
    <w:p w14:paraId="6C832CA2" w14:textId="5411645F" w:rsidR="0029165F" w:rsidRDefault="00D94816" w:rsidP="0029165F">
      <w:pPr>
        <w:pStyle w:val="NormalWeb"/>
        <w:rPr>
          <w:color w:val="000000"/>
        </w:rPr>
      </w:pPr>
      <w:r>
        <w:rPr>
          <w:color w:val="000000"/>
        </w:rPr>
        <w:t>1.</w:t>
      </w:r>
      <w:r w:rsidR="0029165F">
        <w:rPr>
          <w:color w:val="000000"/>
        </w:rPr>
        <w:t>Adams, J.S. (1965) ‘Inequity in social exchange’, in Berkowitz, L. (ed.)</w:t>
      </w:r>
      <w:r w:rsidR="0029165F">
        <w:rPr>
          <w:rStyle w:val="apple-converted-space"/>
          <w:rFonts w:eastAsiaTheme="majorEastAsia"/>
          <w:color w:val="000000"/>
        </w:rPr>
        <w:t> </w:t>
      </w:r>
      <w:r w:rsidR="0029165F">
        <w:rPr>
          <w:rStyle w:val="Emphasis"/>
          <w:rFonts w:eastAsiaTheme="majorEastAsia"/>
          <w:color w:val="000000"/>
        </w:rPr>
        <w:t>Advances in Experimental Social Psychology</w:t>
      </w:r>
      <w:r w:rsidR="0029165F">
        <w:rPr>
          <w:color w:val="000000"/>
        </w:rPr>
        <w:t xml:space="preserve">. Vol. 2. New York: Academic Press, pp. 267–299. </w:t>
      </w:r>
      <w:proofErr w:type="spellStart"/>
      <w:r w:rsidR="0029165F">
        <w:rPr>
          <w:color w:val="000000"/>
        </w:rPr>
        <w:t>doi</w:t>
      </w:r>
      <w:proofErr w:type="spellEnd"/>
      <w:r w:rsidR="0029165F">
        <w:rPr>
          <w:color w:val="000000"/>
        </w:rPr>
        <w:t>: 10.1016/S0065-2601(08)60108-2.</w:t>
      </w:r>
    </w:p>
    <w:p w14:paraId="7F542A19" w14:textId="706B50F0" w:rsidR="0029165F" w:rsidRDefault="00D94816" w:rsidP="0029165F">
      <w:pPr>
        <w:pStyle w:val="NormalWeb"/>
        <w:rPr>
          <w:color w:val="000000"/>
        </w:rPr>
      </w:pPr>
      <w:r>
        <w:rPr>
          <w:color w:val="000000"/>
        </w:rPr>
        <w:t>2.</w:t>
      </w:r>
      <w:r w:rsidR="0029165F">
        <w:rPr>
          <w:color w:val="000000"/>
        </w:rPr>
        <w:t>Arksey, H. and O'Malley, L. (2005) ‘Scoping studies: towards a methodological framework’,</w:t>
      </w:r>
      <w:r w:rsidR="0029165F">
        <w:rPr>
          <w:rStyle w:val="apple-converted-space"/>
          <w:rFonts w:eastAsiaTheme="majorEastAsia"/>
          <w:color w:val="000000"/>
        </w:rPr>
        <w:t> </w:t>
      </w:r>
      <w:r w:rsidR="0029165F">
        <w:rPr>
          <w:rStyle w:val="Emphasis"/>
          <w:rFonts w:eastAsiaTheme="majorEastAsia"/>
          <w:color w:val="000000"/>
        </w:rPr>
        <w:t>International Journal of Social Research Methodology</w:t>
      </w:r>
      <w:r w:rsidR="0029165F">
        <w:rPr>
          <w:color w:val="000000"/>
        </w:rPr>
        <w:t>, 8(1), pp. 19–32.</w:t>
      </w:r>
    </w:p>
    <w:p w14:paraId="5AE00CF9" w14:textId="6E37C0A1" w:rsidR="0029165F" w:rsidRDefault="00D94816" w:rsidP="0029165F">
      <w:pPr>
        <w:pStyle w:val="NormalWeb"/>
        <w:rPr>
          <w:color w:val="000000"/>
        </w:rPr>
      </w:pPr>
      <w:r>
        <w:rPr>
          <w:color w:val="000000"/>
        </w:rPr>
        <w:t>3.</w:t>
      </w:r>
      <w:r w:rsidR="0029165F">
        <w:rPr>
          <w:color w:val="000000"/>
        </w:rPr>
        <w:t>Bayo-Moriones, A., Galdon-Sanchez, J.E. and Martinez-de-Morentin, S. (2013) ‘The diffusion of pay for performance across occupations’,</w:t>
      </w:r>
      <w:r w:rsidR="0029165F">
        <w:rPr>
          <w:rStyle w:val="apple-converted-space"/>
          <w:rFonts w:eastAsiaTheme="majorEastAsia"/>
          <w:color w:val="000000"/>
        </w:rPr>
        <w:t> </w:t>
      </w:r>
      <w:r w:rsidR="0029165F">
        <w:rPr>
          <w:rStyle w:val="Emphasis"/>
          <w:rFonts w:eastAsiaTheme="majorEastAsia"/>
          <w:color w:val="000000"/>
        </w:rPr>
        <w:t>Industrial and Labor Relations Review</w:t>
      </w:r>
      <w:r w:rsidR="0029165F">
        <w:rPr>
          <w:color w:val="000000"/>
        </w:rPr>
        <w:t>, 66(5), pp. 1117–1145.</w:t>
      </w:r>
    </w:p>
    <w:p w14:paraId="605E8B17" w14:textId="690A04BD" w:rsidR="0029165F" w:rsidRDefault="00D94816" w:rsidP="0029165F">
      <w:pPr>
        <w:pStyle w:val="NormalWeb"/>
        <w:rPr>
          <w:color w:val="000000"/>
        </w:rPr>
      </w:pPr>
      <w:r>
        <w:rPr>
          <w:color w:val="000000"/>
        </w:rPr>
        <w:t>4.</w:t>
      </w:r>
      <w:r w:rsidR="0029165F">
        <w:rPr>
          <w:color w:val="000000"/>
        </w:rPr>
        <w:t xml:space="preserve">Berger, J., </w:t>
      </w:r>
      <w:proofErr w:type="spellStart"/>
      <w:r w:rsidR="0029165F">
        <w:rPr>
          <w:color w:val="000000"/>
        </w:rPr>
        <w:t>Herbertz</w:t>
      </w:r>
      <w:proofErr w:type="spellEnd"/>
      <w:r w:rsidR="0029165F">
        <w:rPr>
          <w:color w:val="000000"/>
        </w:rPr>
        <w:t>, C. and Sliwka, D. (2011) ‘Incentives and cooperation in firms: Field evidence’,</w:t>
      </w:r>
      <w:r w:rsidR="0029165F">
        <w:rPr>
          <w:rStyle w:val="apple-converted-space"/>
          <w:rFonts w:eastAsiaTheme="majorEastAsia"/>
          <w:color w:val="000000"/>
        </w:rPr>
        <w:t> </w:t>
      </w:r>
      <w:r w:rsidR="0029165F">
        <w:rPr>
          <w:rStyle w:val="Emphasis"/>
          <w:rFonts w:eastAsiaTheme="majorEastAsia"/>
          <w:color w:val="000000"/>
        </w:rPr>
        <w:t>IZA Discussion Paper</w:t>
      </w:r>
      <w:r w:rsidR="0029165F">
        <w:rPr>
          <w:color w:val="000000"/>
        </w:rPr>
        <w:t>, No. 5618.</w:t>
      </w:r>
    </w:p>
    <w:p w14:paraId="260ADB02" w14:textId="71CF84C1" w:rsidR="0029165F" w:rsidRDefault="00D94816" w:rsidP="0029165F">
      <w:pPr>
        <w:pStyle w:val="NormalWeb"/>
        <w:rPr>
          <w:color w:val="000000"/>
        </w:rPr>
      </w:pPr>
      <w:r>
        <w:rPr>
          <w:color w:val="000000"/>
        </w:rPr>
        <w:t>5.</w:t>
      </w:r>
      <w:r w:rsidR="0029165F">
        <w:rPr>
          <w:color w:val="000000"/>
        </w:rPr>
        <w:t>Cerasoli, C.P., Nicklin, J.M. and Ford, M.T. (2014) ‘Intrinsic motivation and extrinsic incentives jointly predict performance: A 40-year meta-analysis’,</w:t>
      </w:r>
      <w:r w:rsidR="0029165F">
        <w:rPr>
          <w:rStyle w:val="apple-converted-space"/>
          <w:rFonts w:eastAsiaTheme="majorEastAsia"/>
          <w:color w:val="000000"/>
        </w:rPr>
        <w:t> </w:t>
      </w:r>
      <w:r w:rsidR="0029165F">
        <w:rPr>
          <w:rStyle w:val="Emphasis"/>
          <w:rFonts w:eastAsiaTheme="majorEastAsia"/>
          <w:color w:val="000000"/>
        </w:rPr>
        <w:t>Psychological Bulletin</w:t>
      </w:r>
      <w:r w:rsidR="0029165F">
        <w:rPr>
          <w:color w:val="000000"/>
        </w:rPr>
        <w:t xml:space="preserve">, 140(4), pp. 980–1008. </w:t>
      </w:r>
      <w:proofErr w:type="spellStart"/>
      <w:r w:rsidR="0029165F">
        <w:rPr>
          <w:color w:val="000000"/>
        </w:rPr>
        <w:t>doi</w:t>
      </w:r>
      <w:proofErr w:type="spellEnd"/>
      <w:r w:rsidR="0029165F">
        <w:rPr>
          <w:color w:val="000000"/>
        </w:rPr>
        <w:t>: 10.1037/a0035661.</w:t>
      </w:r>
    </w:p>
    <w:p w14:paraId="0980938D" w14:textId="3A3AC92A" w:rsidR="0029165F" w:rsidRDefault="00D94816" w:rsidP="0029165F">
      <w:pPr>
        <w:pStyle w:val="NormalWeb"/>
        <w:rPr>
          <w:color w:val="000000"/>
        </w:rPr>
      </w:pPr>
      <w:r>
        <w:rPr>
          <w:color w:val="000000"/>
        </w:rPr>
        <w:t>6.</w:t>
      </w:r>
      <w:r w:rsidR="0029165F">
        <w:rPr>
          <w:color w:val="000000"/>
        </w:rPr>
        <w:t>Chen, Y., Zhang, Z., Zhou, J., Liu, C., Zhang, X. and Yu, T. (2023) ‘A cognitive evaluation and equity-based perspective of pay for performance on job performance: A meta-analysis and path model’,</w:t>
      </w:r>
      <w:r w:rsidR="0029165F">
        <w:rPr>
          <w:rStyle w:val="apple-converted-space"/>
          <w:rFonts w:eastAsiaTheme="majorEastAsia"/>
          <w:color w:val="000000"/>
        </w:rPr>
        <w:t> </w:t>
      </w:r>
      <w:r w:rsidR="0029165F">
        <w:rPr>
          <w:rStyle w:val="Emphasis"/>
          <w:rFonts w:eastAsiaTheme="majorEastAsia"/>
          <w:color w:val="000000"/>
        </w:rPr>
        <w:t>Frontiers in Psychology</w:t>
      </w:r>
      <w:r w:rsidR="0029165F">
        <w:rPr>
          <w:color w:val="000000"/>
        </w:rPr>
        <w:t xml:space="preserve">, 13, 1039375. </w:t>
      </w:r>
      <w:proofErr w:type="spellStart"/>
      <w:r w:rsidR="0029165F">
        <w:rPr>
          <w:color w:val="000000"/>
        </w:rPr>
        <w:t>doi</w:t>
      </w:r>
      <w:proofErr w:type="spellEnd"/>
      <w:r w:rsidR="0029165F">
        <w:rPr>
          <w:color w:val="000000"/>
        </w:rPr>
        <w:t>: 10.3389/fpsyg.2022.1039375.</w:t>
      </w:r>
    </w:p>
    <w:p w14:paraId="24A94810" w14:textId="5A585D8F" w:rsidR="0029165F" w:rsidRDefault="00D94816" w:rsidP="0029165F">
      <w:pPr>
        <w:pStyle w:val="NormalWeb"/>
        <w:rPr>
          <w:color w:val="000000"/>
        </w:rPr>
      </w:pPr>
      <w:r>
        <w:rPr>
          <w:color w:val="000000"/>
        </w:rPr>
        <w:t>7.</w:t>
      </w:r>
      <w:r w:rsidR="0029165F">
        <w:rPr>
          <w:color w:val="000000"/>
        </w:rPr>
        <w:t xml:space="preserve">Condly, S.J., Clark, R.E. and </w:t>
      </w:r>
      <w:proofErr w:type="spellStart"/>
      <w:r w:rsidR="0029165F">
        <w:rPr>
          <w:color w:val="000000"/>
        </w:rPr>
        <w:t>Stolovitch</w:t>
      </w:r>
      <w:proofErr w:type="spellEnd"/>
      <w:r w:rsidR="0029165F">
        <w:rPr>
          <w:color w:val="000000"/>
        </w:rPr>
        <w:t>, H.D. (2003) ‘The effects of incentives on workplace performance: A meta-analytic review of research studies’,</w:t>
      </w:r>
      <w:r w:rsidR="0029165F">
        <w:rPr>
          <w:rStyle w:val="apple-converted-space"/>
          <w:rFonts w:eastAsiaTheme="majorEastAsia"/>
          <w:color w:val="000000"/>
        </w:rPr>
        <w:t> </w:t>
      </w:r>
      <w:r w:rsidR="0029165F">
        <w:rPr>
          <w:rStyle w:val="Emphasis"/>
          <w:rFonts w:eastAsiaTheme="majorEastAsia"/>
          <w:color w:val="000000"/>
        </w:rPr>
        <w:t>Performance Improvement Quarterly</w:t>
      </w:r>
      <w:r w:rsidR="0029165F">
        <w:rPr>
          <w:color w:val="000000"/>
        </w:rPr>
        <w:t xml:space="preserve">, 16(3), pp. 46–63. </w:t>
      </w:r>
      <w:proofErr w:type="spellStart"/>
      <w:r w:rsidR="0029165F">
        <w:rPr>
          <w:color w:val="000000"/>
        </w:rPr>
        <w:t>doi</w:t>
      </w:r>
      <w:proofErr w:type="spellEnd"/>
      <w:r w:rsidR="0029165F">
        <w:rPr>
          <w:color w:val="000000"/>
        </w:rPr>
        <w:t>: 10.1111/j.1937-</w:t>
      </w:r>
      <w:proofErr w:type="gramStart"/>
      <w:r w:rsidR="0029165F">
        <w:rPr>
          <w:color w:val="000000"/>
        </w:rPr>
        <w:t>8327.2003.tb00287.x.</w:t>
      </w:r>
      <w:proofErr w:type="gramEnd"/>
    </w:p>
    <w:p w14:paraId="0D3E5E5D" w14:textId="1F57C2D9" w:rsidR="0029165F" w:rsidRDefault="00D94816" w:rsidP="0029165F">
      <w:pPr>
        <w:pStyle w:val="NormalWeb"/>
        <w:rPr>
          <w:color w:val="000000"/>
        </w:rPr>
      </w:pPr>
      <w:r>
        <w:rPr>
          <w:color w:val="000000"/>
        </w:rPr>
        <w:t>8.</w:t>
      </w:r>
      <w:r w:rsidR="0029165F">
        <w:rPr>
          <w:color w:val="000000"/>
        </w:rPr>
        <w:t>Deci, E.L., Koestner, R. and Ryan, R.M. (1999) ‘A meta-analytic review of experiments examining the effects of extrinsic rewards on intrinsic motivation’,</w:t>
      </w:r>
      <w:r w:rsidR="0029165F">
        <w:rPr>
          <w:rStyle w:val="apple-converted-space"/>
          <w:rFonts w:eastAsiaTheme="majorEastAsia"/>
          <w:color w:val="000000"/>
        </w:rPr>
        <w:t> </w:t>
      </w:r>
      <w:r w:rsidR="0029165F">
        <w:rPr>
          <w:rStyle w:val="Emphasis"/>
          <w:rFonts w:eastAsiaTheme="majorEastAsia"/>
          <w:color w:val="000000"/>
        </w:rPr>
        <w:t>Psychological Bulletin</w:t>
      </w:r>
      <w:r w:rsidR="0029165F">
        <w:rPr>
          <w:color w:val="000000"/>
        </w:rPr>
        <w:t xml:space="preserve">, 125(6), pp. 627–668. </w:t>
      </w:r>
      <w:proofErr w:type="spellStart"/>
      <w:r w:rsidR="0029165F">
        <w:rPr>
          <w:color w:val="000000"/>
        </w:rPr>
        <w:t>doi</w:t>
      </w:r>
      <w:proofErr w:type="spellEnd"/>
      <w:r w:rsidR="0029165F">
        <w:rPr>
          <w:color w:val="000000"/>
        </w:rPr>
        <w:t>: 10.1037/0033-2909.125.6.627.</w:t>
      </w:r>
    </w:p>
    <w:p w14:paraId="2CB6D361" w14:textId="54731852" w:rsidR="0029165F" w:rsidRDefault="00D94816" w:rsidP="0029165F">
      <w:pPr>
        <w:pStyle w:val="NormalWeb"/>
        <w:rPr>
          <w:color w:val="000000"/>
        </w:rPr>
      </w:pPr>
      <w:r>
        <w:rPr>
          <w:color w:val="000000"/>
        </w:rPr>
        <w:lastRenderedPageBreak/>
        <w:t>9.</w:t>
      </w:r>
      <w:r w:rsidR="0029165F">
        <w:rPr>
          <w:color w:val="000000"/>
        </w:rPr>
        <w:t xml:space="preserve">Delfgaauw, J., Dur, R. and </w:t>
      </w:r>
      <w:proofErr w:type="spellStart"/>
      <w:r w:rsidR="0029165F">
        <w:rPr>
          <w:color w:val="000000"/>
        </w:rPr>
        <w:t>Souverijn</w:t>
      </w:r>
      <w:proofErr w:type="spellEnd"/>
      <w:r w:rsidR="0029165F">
        <w:rPr>
          <w:color w:val="000000"/>
        </w:rPr>
        <w:t>, M. (2018) ‘Team incentives, task assignment, and performance: A field experiment’,</w:t>
      </w:r>
      <w:r w:rsidR="0029165F">
        <w:rPr>
          <w:rStyle w:val="apple-converted-space"/>
          <w:rFonts w:eastAsiaTheme="majorEastAsia"/>
          <w:color w:val="000000"/>
        </w:rPr>
        <w:t> </w:t>
      </w:r>
      <w:r w:rsidR="0029165F">
        <w:rPr>
          <w:rStyle w:val="Emphasis"/>
          <w:rFonts w:eastAsiaTheme="majorEastAsia"/>
          <w:color w:val="000000"/>
        </w:rPr>
        <w:t>The Leadership Quarterly</w:t>
      </w:r>
      <w:r w:rsidR="0029165F">
        <w:rPr>
          <w:color w:val="000000"/>
        </w:rPr>
        <w:t xml:space="preserve">, 29(5), pp. 573–585. </w:t>
      </w:r>
      <w:proofErr w:type="spellStart"/>
      <w:r w:rsidR="0029165F">
        <w:rPr>
          <w:color w:val="000000"/>
        </w:rPr>
        <w:t>doi</w:t>
      </w:r>
      <w:proofErr w:type="spellEnd"/>
      <w:r w:rsidR="0029165F">
        <w:rPr>
          <w:color w:val="000000"/>
        </w:rPr>
        <w:t>: 10.1016/j.leaqua.2018.03.003.</w:t>
      </w:r>
    </w:p>
    <w:p w14:paraId="7CD7EF8D" w14:textId="3D16F738" w:rsidR="0029165F" w:rsidRDefault="00D94816" w:rsidP="0029165F">
      <w:pPr>
        <w:pStyle w:val="NormalWeb"/>
        <w:rPr>
          <w:color w:val="000000"/>
        </w:rPr>
      </w:pPr>
      <w:r>
        <w:rPr>
          <w:color w:val="000000"/>
        </w:rPr>
        <w:t>10.</w:t>
      </w:r>
      <w:r w:rsidR="0029165F">
        <w:rPr>
          <w:color w:val="000000"/>
        </w:rPr>
        <w:t>Friebel, G., Heinz, M., Krueger, M. and Zubanov, N. (2017) ‘Team incentives and performance: Evidence from a retail chain’,</w:t>
      </w:r>
      <w:r w:rsidR="0029165F">
        <w:rPr>
          <w:rStyle w:val="apple-converted-space"/>
          <w:rFonts w:eastAsiaTheme="majorEastAsia"/>
          <w:color w:val="000000"/>
        </w:rPr>
        <w:t> </w:t>
      </w:r>
      <w:r w:rsidR="0029165F">
        <w:rPr>
          <w:rStyle w:val="Emphasis"/>
          <w:rFonts w:eastAsiaTheme="majorEastAsia"/>
          <w:color w:val="000000"/>
        </w:rPr>
        <w:t>American Economic Review</w:t>
      </w:r>
      <w:r w:rsidR="0029165F">
        <w:rPr>
          <w:color w:val="000000"/>
        </w:rPr>
        <w:t xml:space="preserve">, 107(8), pp. 2168–2203. </w:t>
      </w:r>
      <w:proofErr w:type="spellStart"/>
      <w:r w:rsidR="0029165F">
        <w:rPr>
          <w:color w:val="000000"/>
        </w:rPr>
        <w:t>doi</w:t>
      </w:r>
      <w:proofErr w:type="spellEnd"/>
      <w:r w:rsidR="0029165F">
        <w:rPr>
          <w:color w:val="000000"/>
        </w:rPr>
        <w:t>: 10.1257/aer.20160788.</w:t>
      </w:r>
    </w:p>
    <w:p w14:paraId="030DE0B9" w14:textId="0E961C6D" w:rsidR="0029165F" w:rsidRDefault="00D94816" w:rsidP="0029165F">
      <w:pPr>
        <w:pStyle w:val="NormalWeb"/>
        <w:rPr>
          <w:color w:val="000000"/>
        </w:rPr>
      </w:pPr>
      <w:r>
        <w:rPr>
          <w:color w:val="000000"/>
        </w:rPr>
        <w:t>11.</w:t>
      </w:r>
      <w:r w:rsidR="0029165F">
        <w:rPr>
          <w:color w:val="000000"/>
        </w:rPr>
        <w:t>George, B. and van der Wal, Z. (2023) ‘Does performance-related-pay work? Recommendations for practice based on a meta-analysis’,</w:t>
      </w:r>
      <w:r w:rsidR="0029165F">
        <w:rPr>
          <w:rStyle w:val="apple-converted-space"/>
          <w:rFonts w:eastAsiaTheme="majorEastAsia"/>
          <w:color w:val="000000"/>
        </w:rPr>
        <w:t> </w:t>
      </w:r>
      <w:r w:rsidR="0029165F">
        <w:rPr>
          <w:rStyle w:val="Emphasis"/>
          <w:rFonts w:eastAsiaTheme="majorEastAsia"/>
          <w:color w:val="000000"/>
        </w:rPr>
        <w:t>Policy Design and Practice</w:t>
      </w:r>
      <w:r w:rsidR="0029165F">
        <w:rPr>
          <w:color w:val="000000"/>
        </w:rPr>
        <w:t xml:space="preserve">, 6(3), pp. 299–312. </w:t>
      </w:r>
      <w:proofErr w:type="spellStart"/>
      <w:r w:rsidR="0029165F">
        <w:rPr>
          <w:color w:val="000000"/>
        </w:rPr>
        <w:t>doi</w:t>
      </w:r>
      <w:proofErr w:type="spellEnd"/>
      <w:r w:rsidR="0029165F">
        <w:rPr>
          <w:color w:val="000000"/>
        </w:rPr>
        <w:t>: 10.1080/25741292.2023.2205756.</w:t>
      </w:r>
    </w:p>
    <w:p w14:paraId="4672CD48" w14:textId="3E456BF5" w:rsidR="0029165F" w:rsidRDefault="00D94816" w:rsidP="0029165F">
      <w:pPr>
        <w:pStyle w:val="NormalWeb"/>
        <w:rPr>
          <w:color w:val="000000"/>
        </w:rPr>
      </w:pPr>
      <w:r>
        <w:rPr>
          <w:color w:val="000000"/>
        </w:rPr>
        <w:t>12.</w:t>
      </w:r>
      <w:r w:rsidR="0029165F">
        <w:rPr>
          <w:color w:val="000000"/>
        </w:rPr>
        <w:t>Gerhart, B. and Fang, M. (2015) ‘Pay, intrinsic motivation, extrinsic motivation, performance, and creativity in the workplace: Revisiting long-held beliefs’,</w:t>
      </w:r>
      <w:r w:rsidR="0029165F">
        <w:rPr>
          <w:rStyle w:val="apple-converted-space"/>
          <w:rFonts w:eastAsiaTheme="majorEastAsia"/>
          <w:color w:val="000000"/>
        </w:rPr>
        <w:t> </w:t>
      </w:r>
      <w:r w:rsidR="0029165F">
        <w:rPr>
          <w:rStyle w:val="Emphasis"/>
          <w:rFonts w:eastAsiaTheme="majorEastAsia"/>
          <w:color w:val="000000"/>
        </w:rPr>
        <w:t>Annual Review of Organizational Psychology and Organizational Behavior</w:t>
      </w:r>
      <w:r w:rsidR="0029165F">
        <w:rPr>
          <w:color w:val="000000"/>
        </w:rPr>
        <w:t xml:space="preserve">, 2, pp. 489–521. </w:t>
      </w:r>
      <w:proofErr w:type="spellStart"/>
      <w:r w:rsidR="0029165F">
        <w:rPr>
          <w:color w:val="000000"/>
        </w:rPr>
        <w:t>doi</w:t>
      </w:r>
      <w:proofErr w:type="spellEnd"/>
      <w:r w:rsidR="0029165F">
        <w:rPr>
          <w:color w:val="000000"/>
        </w:rPr>
        <w:t>: 10.1146/annurev-orgpsych-032414-111418.</w:t>
      </w:r>
    </w:p>
    <w:p w14:paraId="5AA42FA4" w14:textId="475F9E4F" w:rsidR="002C6DDF" w:rsidRDefault="002C6DDF" w:rsidP="0029165F">
      <w:pPr>
        <w:pStyle w:val="NormalWeb"/>
        <w:rPr>
          <w:color w:val="000000"/>
        </w:rPr>
      </w:pPr>
      <w:r>
        <w:rPr>
          <w:color w:val="000000"/>
        </w:rPr>
        <w:t>13.</w:t>
      </w:r>
      <w:r w:rsidRPr="002C6DDF">
        <w:rPr>
          <w:rFonts w:ascii="-webkit-standard" w:hAnsi="-webkit-standard"/>
          <w:color w:val="000000"/>
          <w:sz w:val="27"/>
          <w:szCs w:val="27"/>
        </w:rPr>
        <w:t xml:space="preserve"> </w:t>
      </w:r>
      <w:r>
        <w:rPr>
          <w:rFonts w:ascii="-webkit-standard" w:hAnsi="-webkit-standard"/>
          <w:color w:val="000000"/>
          <w:sz w:val="27"/>
          <w:szCs w:val="27"/>
        </w:rPr>
        <w:t>Grant, M.J. and Booth, A. (2009) ‘A typology of reviews: an analysis of 14 review types and associated methodologies’,</w:t>
      </w:r>
      <w:r>
        <w:rPr>
          <w:rStyle w:val="apple-converted-space"/>
          <w:rFonts w:ascii="-webkit-standard" w:eastAsiaTheme="majorEastAsia" w:hAnsi="-webkit-standard"/>
          <w:color w:val="000000"/>
          <w:sz w:val="27"/>
          <w:szCs w:val="27"/>
        </w:rPr>
        <w:t> </w:t>
      </w:r>
      <w:r>
        <w:rPr>
          <w:rStyle w:val="Emphasis"/>
          <w:rFonts w:eastAsiaTheme="majorEastAsia"/>
          <w:color w:val="000000"/>
        </w:rPr>
        <w:t>Health Information &amp; Libraries Journal</w:t>
      </w:r>
      <w:r>
        <w:rPr>
          <w:rFonts w:ascii="-webkit-standard" w:hAnsi="-webkit-standard"/>
          <w:color w:val="000000"/>
          <w:sz w:val="27"/>
          <w:szCs w:val="27"/>
        </w:rPr>
        <w:t>, 26(2), pp. 91–108.</w:t>
      </w:r>
    </w:p>
    <w:p w14:paraId="3D3A2637" w14:textId="4C956F17" w:rsidR="0029165F" w:rsidRDefault="00D94816" w:rsidP="0029165F">
      <w:pPr>
        <w:pStyle w:val="NormalWeb"/>
        <w:rPr>
          <w:color w:val="000000"/>
        </w:rPr>
      </w:pPr>
      <w:r>
        <w:rPr>
          <w:color w:val="000000"/>
        </w:rPr>
        <w:t>13.</w:t>
      </w:r>
      <w:r w:rsidR="0029165F">
        <w:rPr>
          <w:color w:val="000000"/>
        </w:rPr>
        <w:t>Green, B.N., Johnson, C.D. and Adams, A. (2006) ‘Writing narrative literature reviews for peer-reviewed journals: secrets of the trade’,</w:t>
      </w:r>
      <w:r w:rsidR="0029165F">
        <w:rPr>
          <w:rStyle w:val="apple-converted-space"/>
          <w:rFonts w:eastAsiaTheme="majorEastAsia"/>
          <w:color w:val="000000"/>
        </w:rPr>
        <w:t> </w:t>
      </w:r>
      <w:r w:rsidR="0029165F">
        <w:rPr>
          <w:rStyle w:val="Emphasis"/>
          <w:rFonts w:eastAsiaTheme="majorEastAsia"/>
          <w:color w:val="000000"/>
        </w:rPr>
        <w:t>Journal of Chiropractic Medicine</w:t>
      </w:r>
      <w:r w:rsidR="0029165F">
        <w:rPr>
          <w:color w:val="000000"/>
        </w:rPr>
        <w:t>, 5(3), pp. 101–117.</w:t>
      </w:r>
    </w:p>
    <w:p w14:paraId="7AD8DB67" w14:textId="6AFE2034" w:rsidR="0029165F" w:rsidRDefault="00D94816" w:rsidP="0029165F">
      <w:pPr>
        <w:pStyle w:val="NormalWeb"/>
        <w:rPr>
          <w:color w:val="000000"/>
        </w:rPr>
      </w:pPr>
      <w:r>
        <w:rPr>
          <w:color w:val="000000"/>
        </w:rPr>
        <w:t>14.</w:t>
      </w:r>
      <w:r w:rsidR="0029165F">
        <w:rPr>
          <w:color w:val="000000"/>
        </w:rPr>
        <w:t>Jenkins, G.D., Mitra, A., Gupta, N. and Shaw, J.D. (1998) ‘Are financial incentives related to performance? A meta-analytic review of empirical research’,</w:t>
      </w:r>
      <w:r w:rsidR="0029165F">
        <w:rPr>
          <w:rStyle w:val="apple-converted-space"/>
          <w:rFonts w:eastAsiaTheme="majorEastAsia"/>
          <w:color w:val="000000"/>
        </w:rPr>
        <w:t> </w:t>
      </w:r>
      <w:r w:rsidR="0029165F">
        <w:rPr>
          <w:rStyle w:val="Emphasis"/>
          <w:rFonts w:eastAsiaTheme="majorEastAsia"/>
          <w:color w:val="000000"/>
        </w:rPr>
        <w:t>Journal of Applied Psychology</w:t>
      </w:r>
      <w:r w:rsidR="0029165F">
        <w:rPr>
          <w:color w:val="000000"/>
        </w:rPr>
        <w:t xml:space="preserve">, 83(5), pp. 777–787. </w:t>
      </w:r>
      <w:proofErr w:type="spellStart"/>
      <w:r w:rsidR="0029165F">
        <w:rPr>
          <w:color w:val="000000"/>
        </w:rPr>
        <w:t>doi</w:t>
      </w:r>
      <w:proofErr w:type="spellEnd"/>
      <w:r w:rsidR="0029165F">
        <w:rPr>
          <w:color w:val="000000"/>
        </w:rPr>
        <w:t>: 10.1037/0021-9010.83.5.777.</w:t>
      </w:r>
    </w:p>
    <w:p w14:paraId="6C65ECEF" w14:textId="76063CED" w:rsidR="0029165F" w:rsidRDefault="00D94816" w:rsidP="0029165F">
      <w:pPr>
        <w:pStyle w:val="NormalWeb"/>
        <w:rPr>
          <w:color w:val="000000"/>
        </w:rPr>
      </w:pPr>
      <w:r>
        <w:rPr>
          <w:color w:val="000000"/>
        </w:rPr>
        <w:t>15.</w:t>
      </w:r>
      <w:r w:rsidR="0029165F">
        <w:rPr>
          <w:color w:val="000000"/>
        </w:rPr>
        <w:t xml:space="preserve">Kuvaas, B., Buch, R., </w:t>
      </w:r>
      <w:proofErr w:type="spellStart"/>
      <w:r w:rsidR="0029165F">
        <w:rPr>
          <w:color w:val="000000"/>
        </w:rPr>
        <w:t>Gagné</w:t>
      </w:r>
      <w:proofErr w:type="spellEnd"/>
      <w:r w:rsidR="0029165F">
        <w:rPr>
          <w:color w:val="000000"/>
        </w:rPr>
        <w:t xml:space="preserve">, M., </w:t>
      </w:r>
      <w:proofErr w:type="spellStart"/>
      <w:r w:rsidR="0029165F">
        <w:rPr>
          <w:color w:val="000000"/>
        </w:rPr>
        <w:t>Dysvik</w:t>
      </w:r>
      <w:proofErr w:type="spellEnd"/>
      <w:r w:rsidR="0029165F">
        <w:rPr>
          <w:color w:val="000000"/>
        </w:rPr>
        <w:t>, A. and Forest, J. (2017) ‘Do you get what you pay for? Sales incentives and implications for motivation and changes in turnover intention and work effort’,</w:t>
      </w:r>
      <w:r w:rsidR="0029165F">
        <w:rPr>
          <w:rStyle w:val="apple-converted-space"/>
          <w:rFonts w:eastAsiaTheme="majorEastAsia"/>
          <w:color w:val="000000"/>
        </w:rPr>
        <w:t> </w:t>
      </w:r>
      <w:r w:rsidR="0029165F">
        <w:rPr>
          <w:rStyle w:val="Emphasis"/>
          <w:rFonts w:eastAsiaTheme="majorEastAsia"/>
          <w:color w:val="000000"/>
        </w:rPr>
        <w:t>Motivation and Emotion</w:t>
      </w:r>
      <w:r w:rsidR="0029165F">
        <w:rPr>
          <w:color w:val="000000"/>
        </w:rPr>
        <w:t xml:space="preserve">, 41, pp. 490–500. </w:t>
      </w:r>
      <w:proofErr w:type="spellStart"/>
      <w:r w:rsidR="0029165F">
        <w:rPr>
          <w:color w:val="000000"/>
        </w:rPr>
        <w:t>doi</w:t>
      </w:r>
      <w:proofErr w:type="spellEnd"/>
      <w:r w:rsidR="0029165F">
        <w:rPr>
          <w:color w:val="000000"/>
        </w:rPr>
        <w:t>: 10.1007/s11031-017-9585-5.</w:t>
      </w:r>
    </w:p>
    <w:p w14:paraId="1D3F8A08" w14:textId="035B48E5" w:rsidR="0029165F" w:rsidRDefault="00D94816" w:rsidP="0029165F">
      <w:pPr>
        <w:pStyle w:val="NormalWeb"/>
        <w:rPr>
          <w:color w:val="000000"/>
        </w:rPr>
      </w:pPr>
      <w:r>
        <w:rPr>
          <w:color w:val="000000"/>
        </w:rPr>
        <w:t>16.</w:t>
      </w:r>
      <w:r w:rsidR="0029165F">
        <w:rPr>
          <w:color w:val="000000"/>
        </w:rPr>
        <w:t>Lazear, E.P. (2000) ‘Performance pay and productivity’,</w:t>
      </w:r>
      <w:r w:rsidR="0029165F">
        <w:rPr>
          <w:rStyle w:val="apple-converted-space"/>
          <w:rFonts w:eastAsiaTheme="majorEastAsia"/>
          <w:color w:val="000000"/>
        </w:rPr>
        <w:t> </w:t>
      </w:r>
      <w:r w:rsidR="0029165F">
        <w:rPr>
          <w:rStyle w:val="Emphasis"/>
          <w:rFonts w:eastAsiaTheme="majorEastAsia"/>
          <w:color w:val="000000"/>
        </w:rPr>
        <w:t>American Economic Review</w:t>
      </w:r>
      <w:r w:rsidR="0029165F">
        <w:rPr>
          <w:color w:val="000000"/>
        </w:rPr>
        <w:t xml:space="preserve">, 90(5), pp. 1346–1361. </w:t>
      </w:r>
      <w:proofErr w:type="spellStart"/>
      <w:r w:rsidR="0029165F">
        <w:rPr>
          <w:color w:val="000000"/>
        </w:rPr>
        <w:t>doi</w:t>
      </w:r>
      <w:proofErr w:type="spellEnd"/>
      <w:r w:rsidR="0029165F">
        <w:rPr>
          <w:color w:val="000000"/>
        </w:rPr>
        <w:t>: 10.1257/aer.90.5.1346.</w:t>
      </w:r>
    </w:p>
    <w:p w14:paraId="299F1C77" w14:textId="528CD289" w:rsidR="0029165F" w:rsidRDefault="00D94816" w:rsidP="0029165F">
      <w:pPr>
        <w:pStyle w:val="NormalWeb"/>
        <w:rPr>
          <w:color w:val="000000"/>
        </w:rPr>
      </w:pPr>
      <w:r>
        <w:rPr>
          <w:color w:val="000000"/>
        </w:rPr>
        <w:t>17.</w:t>
      </w:r>
      <w:r w:rsidR="0029165F">
        <w:rPr>
          <w:color w:val="000000"/>
        </w:rPr>
        <w:t>Levac, D., Colquhoun, H. and O'Brien, K.K. (2010) ‘Scoping studies: advancing the methodology’,</w:t>
      </w:r>
      <w:r w:rsidR="0029165F">
        <w:rPr>
          <w:rStyle w:val="apple-converted-space"/>
          <w:rFonts w:eastAsiaTheme="majorEastAsia"/>
          <w:color w:val="000000"/>
        </w:rPr>
        <w:t> </w:t>
      </w:r>
      <w:r w:rsidR="0029165F">
        <w:rPr>
          <w:rStyle w:val="Emphasis"/>
          <w:rFonts w:eastAsiaTheme="majorEastAsia"/>
          <w:color w:val="000000"/>
        </w:rPr>
        <w:t>Implementation Science</w:t>
      </w:r>
      <w:r w:rsidR="0029165F">
        <w:rPr>
          <w:color w:val="000000"/>
        </w:rPr>
        <w:t>, 5, 69.</w:t>
      </w:r>
    </w:p>
    <w:p w14:paraId="51A6F4CC" w14:textId="7EA6FBA4" w:rsidR="001443D1" w:rsidRDefault="001443D1" w:rsidP="0029165F">
      <w:pPr>
        <w:pStyle w:val="NormalWeb"/>
        <w:rPr>
          <w:color w:val="000000"/>
        </w:rPr>
      </w:pPr>
      <w:r>
        <w:rPr>
          <w:rFonts w:ascii="-webkit-standard" w:hAnsi="-webkit-standard"/>
          <w:color w:val="000000"/>
          <w:sz w:val="27"/>
          <w:szCs w:val="27"/>
        </w:rPr>
        <w:t>Page, M.J.</w:t>
      </w:r>
      <w:r>
        <w:rPr>
          <w:rStyle w:val="apple-converted-space"/>
          <w:rFonts w:ascii="-webkit-standard" w:eastAsiaTheme="majorEastAsia" w:hAnsi="-webkit-standard"/>
          <w:color w:val="000000"/>
          <w:sz w:val="27"/>
          <w:szCs w:val="27"/>
        </w:rPr>
        <w:t> </w:t>
      </w:r>
      <w:r>
        <w:rPr>
          <w:rStyle w:val="Emphasis"/>
          <w:rFonts w:eastAsiaTheme="majorEastAsia"/>
          <w:color w:val="000000"/>
        </w:rPr>
        <w:t>et al.</w:t>
      </w:r>
      <w:r>
        <w:rPr>
          <w:rStyle w:val="apple-converted-space"/>
          <w:rFonts w:ascii="-webkit-standard" w:eastAsiaTheme="majorEastAsia" w:hAnsi="-webkit-standard"/>
          <w:color w:val="000000"/>
          <w:sz w:val="27"/>
          <w:szCs w:val="27"/>
        </w:rPr>
        <w:t> </w:t>
      </w:r>
      <w:r>
        <w:rPr>
          <w:rFonts w:ascii="-webkit-standard" w:hAnsi="-webkit-standard"/>
          <w:color w:val="000000"/>
          <w:sz w:val="27"/>
          <w:szCs w:val="27"/>
        </w:rPr>
        <w:t>(2021) ‘The PRISMA 2020 statement: an updated guideline for reporting systematic reviews’,</w:t>
      </w:r>
      <w:r>
        <w:rPr>
          <w:rStyle w:val="apple-converted-space"/>
          <w:rFonts w:ascii="-webkit-standard" w:eastAsiaTheme="majorEastAsia" w:hAnsi="-webkit-standard"/>
          <w:color w:val="000000"/>
          <w:sz w:val="27"/>
          <w:szCs w:val="27"/>
        </w:rPr>
        <w:t> </w:t>
      </w:r>
      <w:r>
        <w:rPr>
          <w:rStyle w:val="Emphasis"/>
          <w:rFonts w:eastAsiaTheme="majorEastAsia"/>
          <w:color w:val="000000"/>
        </w:rPr>
        <w:t>BMJ</w:t>
      </w:r>
      <w:r>
        <w:rPr>
          <w:rFonts w:ascii="-webkit-standard" w:hAnsi="-webkit-standard"/>
          <w:color w:val="000000"/>
          <w:sz w:val="27"/>
          <w:szCs w:val="27"/>
        </w:rPr>
        <w:t>, 372, n71.</w:t>
      </w:r>
    </w:p>
    <w:p w14:paraId="01B81ED8" w14:textId="77777777" w:rsidR="001443D1" w:rsidRDefault="001443D1" w:rsidP="0029165F">
      <w:pPr>
        <w:pStyle w:val="NormalWeb"/>
        <w:rPr>
          <w:color w:val="000000"/>
        </w:rPr>
      </w:pPr>
    </w:p>
    <w:p w14:paraId="5813C69D" w14:textId="7E223780" w:rsidR="0029165F" w:rsidRDefault="00D94816" w:rsidP="0029165F">
      <w:pPr>
        <w:pStyle w:val="NormalWeb"/>
        <w:rPr>
          <w:color w:val="000000"/>
        </w:rPr>
      </w:pPr>
      <w:r>
        <w:rPr>
          <w:color w:val="000000"/>
        </w:rPr>
        <w:t>18.</w:t>
      </w:r>
      <w:r w:rsidR="0029165F">
        <w:rPr>
          <w:color w:val="000000"/>
        </w:rPr>
        <w:t>Promberger, M. and Marteau, T.M. (2013) ‘When do financial incentives reduce intrinsic motivation? Comparing behaviors studied in psychological and economic literatures’,</w:t>
      </w:r>
      <w:r w:rsidR="0029165F">
        <w:rPr>
          <w:rStyle w:val="apple-converted-space"/>
          <w:rFonts w:eastAsiaTheme="majorEastAsia"/>
          <w:color w:val="000000"/>
        </w:rPr>
        <w:t> </w:t>
      </w:r>
      <w:r w:rsidR="0029165F">
        <w:rPr>
          <w:rStyle w:val="Emphasis"/>
          <w:rFonts w:eastAsiaTheme="majorEastAsia"/>
          <w:color w:val="000000"/>
        </w:rPr>
        <w:t>Health Psychology</w:t>
      </w:r>
      <w:r w:rsidR="0029165F">
        <w:rPr>
          <w:color w:val="000000"/>
        </w:rPr>
        <w:t xml:space="preserve">, 32(9), pp. 950–957. </w:t>
      </w:r>
      <w:proofErr w:type="spellStart"/>
      <w:r w:rsidR="0029165F">
        <w:rPr>
          <w:color w:val="000000"/>
        </w:rPr>
        <w:t>doi</w:t>
      </w:r>
      <w:proofErr w:type="spellEnd"/>
      <w:r w:rsidR="0029165F">
        <w:rPr>
          <w:color w:val="000000"/>
        </w:rPr>
        <w:t>: 10.1037/a0032727.</w:t>
      </w:r>
    </w:p>
    <w:p w14:paraId="09B75685" w14:textId="322FCE7F" w:rsidR="0029165F" w:rsidRDefault="00D94816" w:rsidP="0029165F">
      <w:pPr>
        <w:pStyle w:val="NormalWeb"/>
        <w:rPr>
          <w:color w:val="000000"/>
        </w:rPr>
      </w:pPr>
      <w:r>
        <w:rPr>
          <w:color w:val="000000"/>
        </w:rPr>
        <w:t>19.</w:t>
      </w:r>
      <w:r w:rsidR="0029165F">
        <w:rPr>
          <w:color w:val="000000"/>
        </w:rPr>
        <w:t>Snyder, H. (2019) ‘Literature review as a research methodology: An overview and guidelines’,</w:t>
      </w:r>
      <w:r w:rsidR="0029165F">
        <w:rPr>
          <w:rStyle w:val="apple-converted-space"/>
          <w:rFonts w:eastAsiaTheme="majorEastAsia"/>
          <w:color w:val="000000"/>
        </w:rPr>
        <w:t> </w:t>
      </w:r>
      <w:r w:rsidR="0029165F">
        <w:rPr>
          <w:rStyle w:val="Emphasis"/>
          <w:rFonts w:eastAsiaTheme="majorEastAsia"/>
          <w:color w:val="000000"/>
        </w:rPr>
        <w:t>Journal of Business Research</w:t>
      </w:r>
      <w:r w:rsidR="0029165F">
        <w:rPr>
          <w:color w:val="000000"/>
        </w:rPr>
        <w:t xml:space="preserve">, 104, pp. 333–339. </w:t>
      </w:r>
      <w:proofErr w:type="spellStart"/>
      <w:r w:rsidR="0029165F">
        <w:rPr>
          <w:color w:val="000000"/>
        </w:rPr>
        <w:t>doi</w:t>
      </w:r>
      <w:proofErr w:type="spellEnd"/>
      <w:r w:rsidR="0029165F">
        <w:rPr>
          <w:color w:val="000000"/>
        </w:rPr>
        <w:t>: 10.1016/j.jbusres.2019.07.039.</w:t>
      </w:r>
    </w:p>
    <w:p w14:paraId="597EEBDB" w14:textId="17E3B790" w:rsidR="0029165F" w:rsidRDefault="00D94816" w:rsidP="0029165F">
      <w:pPr>
        <w:pStyle w:val="NormalWeb"/>
        <w:rPr>
          <w:color w:val="000000"/>
        </w:rPr>
      </w:pPr>
      <w:r>
        <w:rPr>
          <w:color w:val="000000"/>
        </w:rPr>
        <w:t>20.</w:t>
      </w:r>
      <w:r w:rsidR="0029165F">
        <w:rPr>
          <w:color w:val="000000"/>
        </w:rPr>
        <w:t>Torraco, R.J. (2005) ‘Writing integrative literature reviews: Guidelines and examples’,</w:t>
      </w:r>
      <w:r w:rsidR="0029165F">
        <w:rPr>
          <w:rStyle w:val="apple-converted-space"/>
          <w:rFonts w:eastAsiaTheme="majorEastAsia"/>
          <w:color w:val="000000"/>
        </w:rPr>
        <w:t> </w:t>
      </w:r>
      <w:r w:rsidR="0029165F">
        <w:rPr>
          <w:rStyle w:val="Emphasis"/>
          <w:rFonts w:eastAsiaTheme="majorEastAsia"/>
          <w:color w:val="000000"/>
        </w:rPr>
        <w:t>Human Resource Development Review</w:t>
      </w:r>
      <w:r w:rsidR="0029165F">
        <w:rPr>
          <w:color w:val="000000"/>
        </w:rPr>
        <w:t xml:space="preserve">, 4(3), pp. 356–367. </w:t>
      </w:r>
      <w:proofErr w:type="spellStart"/>
      <w:r w:rsidR="0029165F">
        <w:rPr>
          <w:color w:val="000000"/>
        </w:rPr>
        <w:t>doi</w:t>
      </w:r>
      <w:proofErr w:type="spellEnd"/>
      <w:r w:rsidR="0029165F">
        <w:rPr>
          <w:color w:val="000000"/>
        </w:rPr>
        <w:t>: 10.1177/1534484305278283.</w:t>
      </w:r>
    </w:p>
    <w:p w14:paraId="752B0B98" w14:textId="2D36F459" w:rsidR="0029165F" w:rsidRDefault="00D94816" w:rsidP="0029165F">
      <w:pPr>
        <w:pStyle w:val="NormalWeb"/>
        <w:rPr>
          <w:color w:val="000000"/>
        </w:rPr>
      </w:pPr>
      <w:r>
        <w:rPr>
          <w:color w:val="000000"/>
        </w:rPr>
        <w:t>21.</w:t>
      </w:r>
      <w:r w:rsidR="0029165F">
        <w:rPr>
          <w:color w:val="000000"/>
        </w:rPr>
        <w:t>Tranfield, D., Denyer, D. and Smart, P. (2003) ‘Towards a methodology for developing evidence-informed management knowledge by means of systematic review’,</w:t>
      </w:r>
      <w:r w:rsidR="0029165F">
        <w:rPr>
          <w:rStyle w:val="apple-converted-space"/>
          <w:rFonts w:eastAsiaTheme="majorEastAsia"/>
          <w:color w:val="000000"/>
        </w:rPr>
        <w:t> </w:t>
      </w:r>
      <w:r w:rsidR="0029165F">
        <w:rPr>
          <w:rStyle w:val="Emphasis"/>
          <w:rFonts w:eastAsiaTheme="majorEastAsia"/>
          <w:color w:val="000000"/>
        </w:rPr>
        <w:t>British Journal of Management</w:t>
      </w:r>
      <w:r w:rsidR="0029165F">
        <w:rPr>
          <w:color w:val="000000"/>
        </w:rPr>
        <w:t>, 14(3), pp. 207–222.</w:t>
      </w:r>
    </w:p>
    <w:p w14:paraId="0F68BAA9" w14:textId="5C12D2AA" w:rsidR="0029165F" w:rsidRDefault="00D94816" w:rsidP="0029165F">
      <w:pPr>
        <w:pStyle w:val="NormalWeb"/>
        <w:rPr>
          <w:color w:val="000000"/>
        </w:rPr>
      </w:pPr>
      <w:r>
        <w:rPr>
          <w:color w:val="000000"/>
        </w:rPr>
        <w:t>22.</w:t>
      </w:r>
      <w:r w:rsidR="0029165F">
        <w:rPr>
          <w:color w:val="000000"/>
        </w:rPr>
        <w:t>Vroom, V.H. (1964)</w:t>
      </w:r>
      <w:r w:rsidR="0029165F">
        <w:rPr>
          <w:rStyle w:val="apple-converted-space"/>
          <w:rFonts w:eastAsiaTheme="majorEastAsia"/>
          <w:color w:val="000000"/>
        </w:rPr>
        <w:t> </w:t>
      </w:r>
      <w:r w:rsidR="0029165F">
        <w:rPr>
          <w:rStyle w:val="Emphasis"/>
          <w:rFonts w:eastAsiaTheme="majorEastAsia"/>
          <w:color w:val="000000"/>
        </w:rPr>
        <w:t>Work and Motivation</w:t>
      </w:r>
      <w:r w:rsidR="0029165F">
        <w:rPr>
          <w:color w:val="000000"/>
        </w:rPr>
        <w:t>. New York: Wiley.</w:t>
      </w:r>
    </w:p>
    <w:p w14:paraId="3FCDA35C" w14:textId="16791C19" w:rsidR="0029165F" w:rsidRDefault="00D94816" w:rsidP="0029165F">
      <w:pPr>
        <w:pStyle w:val="NormalWeb"/>
        <w:rPr>
          <w:color w:val="000000"/>
        </w:rPr>
      </w:pPr>
      <w:r>
        <w:rPr>
          <w:color w:val="000000"/>
        </w:rPr>
        <w:t>23.</w:t>
      </w:r>
      <w:r w:rsidR="0029165F">
        <w:rPr>
          <w:color w:val="000000"/>
        </w:rPr>
        <w:t>Wageman, R. (1995) ‘Interdependence and group effectiveness’,</w:t>
      </w:r>
      <w:r w:rsidR="0029165F">
        <w:rPr>
          <w:rStyle w:val="apple-converted-space"/>
          <w:rFonts w:eastAsiaTheme="majorEastAsia"/>
          <w:color w:val="000000"/>
        </w:rPr>
        <w:t> </w:t>
      </w:r>
      <w:r w:rsidR="0029165F">
        <w:rPr>
          <w:rStyle w:val="Emphasis"/>
          <w:rFonts w:eastAsiaTheme="majorEastAsia"/>
          <w:color w:val="000000"/>
        </w:rPr>
        <w:t>Administrative Science Quarterly</w:t>
      </w:r>
      <w:r w:rsidR="0029165F">
        <w:rPr>
          <w:color w:val="000000"/>
        </w:rPr>
        <w:t>, 40(1), pp. 145–180.</w:t>
      </w:r>
    </w:p>
    <w:p w14:paraId="4F00E294" w14:textId="5EB19A95" w:rsidR="0029165F" w:rsidRDefault="00D94816" w:rsidP="0029165F">
      <w:pPr>
        <w:pStyle w:val="NormalWeb"/>
        <w:rPr>
          <w:color w:val="000000"/>
        </w:rPr>
      </w:pPr>
      <w:r>
        <w:rPr>
          <w:color w:val="000000"/>
        </w:rPr>
        <w:t>24.</w:t>
      </w:r>
      <w:r w:rsidR="0029165F">
        <w:rPr>
          <w:color w:val="000000"/>
        </w:rPr>
        <w:t>Wood, S., Leoni, S. and Ladley, D. (2023) ‘Comparisons of the effects of individual and collective performance-related pay on performance: A review’,</w:t>
      </w:r>
      <w:r w:rsidR="0029165F">
        <w:rPr>
          <w:rStyle w:val="apple-converted-space"/>
          <w:rFonts w:eastAsiaTheme="majorEastAsia"/>
          <w:color w:val="000000"/>
        </w:rPr>
        <w:t> </w:t>
      </w:r>
      <w:r w:rsidR="0029165F">
        <w:rPr>
          <w:rStyle w:val="Emphasis"/>
          <w:rFonts w:eastAsiaTheme="majorEastAsia"/>
          <w:color w:val="000000"/>
        </w:rPr>
        <w:t>Human Resource Management Review</w:t>
      </w:r>
      <w:r w:rsidR="0029165F">
        <w:rPr>
          <w:color w:val="000000"/>
        </w:rPr>
        <w:t xml:space="preserve">, 33(4), 100982. </w:t>
      </w:r>
      <w:proofErr w:type="spellStart"/>
      <w:r w:rsidR="0029165F">
        <w:rPr>
          <w:color w:val="000000"/>
        </w:rPr>
        <w:t>doi</w:t>
      </w:r>
      <w:proofErr w:type="spellEnd"/>
      <w:r w:rsidR="0029165F">
        <w:rPr>
          <w:color w:val="000000"/>
        </w:rPr>
        <w:t>: 10.1016/j.hrmr.2023.100982.</w:t>
      </w:r>
    </w:p>
    <w:p w14:paraId="70011FA7" w14:textId="77777777" w:rsidR="0029165F" w:rsidRPr="007D3BBD"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76284C57" w14:textId="77777777" w:rsidR="0029165F" w:rsidRPr="000E4479" w:rsidRDefault="0029165F" w:rsidP="0029165F">
      <w:pPr>
        <w:pStyle w:val="ListParagraph"/>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03059D6B"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0974D66F" w14:textId="77777777" w:rsidR="0029165F" w:rsidRDefault="0029165F" w:rsidP="0029165F">
      <w:pPr>
        <w:rPr>
          <w:rFonts w:ascii="-webkit-standard" w:hAnsi="-webkit-standard"/>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62531B85" w14:textId="77777777" w:rsidR="0029165F" w:rsidRDefault="0029165F" w:rsidP="0029165F">
      <w:pPr>
        <w:spacing w:before="100" w:beforeAutospacing="1" w:after="100" w:afterAutospacing="1"/>
        <w:rPr>
          <w:color w:val="000000"/>
          <w:sz w:val="28"/>
          <w:szCs w:val="28"/>
        </w:rPr>
      </w:pPr>
    </w:p>
    <w:p w14:paraId="29539AD2" w14:textId="77777777" w:rsidR="0029165F" w:rsidRPr="00086DAC" w:rsidRDefault="0029165F" w:rsidP="0029165F">
      <w:pPr>
        <w:spacing w:before="100" w:beforeAutospacing="1" w:after="100" w:afterAutospacing="1"/>
        <w:rPr>
          <w:b/>
          <w:bCs/>
          <w:color w:val="000000"/>
          <w:sz w:val="72"/>
          <w:szCs w:val="72"/>
        </w:rPr>
      </w:pPr>
      <w:r w:rsidRPr="00086DAC">
        <w:rPr>
          <w:b/>
          <w:bCs/>
          <w:color w:val="000000"/>
          <w:sz w:val="72"/>
          <w:szCs w:val="72"/>
        </w:rPr>
        <w:t xml:space="preserve">                      Part 2</w:t>
      </w:r>
    </w:p>
    <w:p w14:paraId="4B786C88" w14:textId="1D88E846" w:rsidR="00EE33D9" w:rsidRPr="00E64512" w:rsidRDefault="0029165F" w:rsidP="00E64512">
      <w:pPr>
        <w:spacing w:before="100" w:beforeAutospacing="1" w:after="100" w:afterAutospacing="1"/>
        <w:rPr>
          <w:b/>
          <w:bCs/>
          <w:color w:val="000000"/>
          <w:sz w:val="56"/>
          <w:szCs w:val="56"/>
        </w:rPr>
      </w:pPr>
      <w:r>
        <w:rPr>
          <w:b/>
          <w:bCs/>
          <w:color w:val="000000"/>
          <w:sz w:val="56"/>
          <w:szCs w:val="56"/>
        </w:rPr>
        <w:lastRenderedPageBreak/>
        <w:t xml:space="preserve">              Annotated Bibliography</w:t>
      </w:r>
    </w:p>
    <w:p w14:paraId="2116EA5D" w14:textId="77777777" w:rsidR="00EE33D9" w:rsidRDefault="00EE33D9"/>
    <w:p w14:paraId="223E8757" w14:textId="77777777" w:rsidR="00EE33D9" w:rsidRDefault="00EE33D9"/>
    <w:p w14:paraId="1BAA82F9" w14:textId="77777777" w:rsidR="00543305" w:rsidRDefault="00543305"/>
    <w:tbl>
      <w:tblPr>
        <w:tblW w:w="13972" w:type="dxa"/>
        <w:tblInd w:w="-1265" w:type="dxa"/>
        <w:tblLayout w:type="fixed"/>
        <w:tblLook w:val="04A0" w:firstRow="1" w:lastRow="0" w:firstColumn="1" w:lastColumn="0" w:noHBand="0" w:noVBand="1"/>
      </w:tblPr>
      <w:tblGrid>
        <w:gridCol w:w="236"/>
        <w:gridCol w:w="124"/>
        <w:gridCol w:w="1260"/>
        <w:gridCol w:w="1530"/>
        <w:gridCol w:w="720"/>
        <w:gridCol w:w="1710"/>
        <w:gridCol w:w="1710"/>
        <w:gridCol w:w="1980"/>
        <w:gridCol w:w="1260"/>
        <w:gridCol w:w="1530"/>
        <w:gridCol w:w="1440"/>
        <w:gridCol w:w="236"/>
        <w:gridCol w:w="236"/>
      </w:tblGrid>
      <w:tr w:rsidR="002C1698" w:rsidRPr="009E1F1D" w14:paraId="79EA4AD6" w14:textId="77777777" w:rsidTr="00487C8D">
        <w:trPr>
          <w:gridAfter w:val="12"/>
          <w:wAfter w:w="13736" w:type="dxa"/>
          <w:trHeight w:val="76"/>
        </w:trPr>
        <w:tc>
          <w:tcPr>
            <w:tcW w:w="236" w:type="dxa"/>
            <w:tcBorders>
              <w:top w:val="single" w:sz="4" w:space="0" w:color="auto"/>
              <w:left w:val="single" w:sz="4" w:space="0" w:color="auto"/>
              <w:bottom w:val="single" w:sz="4" w:space="0" w:color="auto"/>
              <w:right w:val="single" w:sz="4" w:space="0" w:color="auto"/>
            </w:tcBorders>
            <w:shd w:val="clear" w:color="000000" w:fill="17365D"/>
            <w:noWrap/>
            <w:vAlign w:val="center"/>
            <w:hideMark/>
          </w:tcPr>
          <w:p w14:paraId="7F264321" w14:textId="5D7046BA" w:rsidR="002C1698" w:rsidRPr="009E1F1D" w:rsidRDefault="002C1698" w:rsidP="002705F1">
            <w:pPr>
              <w:rPr>
                <w:rFonts w:ascii="Calibri" w:hAnsi="Calibri" w:cs="Calibri"/>
                <w:b/>
                <w:bCs/>
                <w:color w:val="FFFFFF"/>
                <w:sz w:val="30"/>
              </w:rPr>
            </w:pPr>
          </w:p>
        </w:tc>
      </w:tr>
      <w:tr w:rsidR="002A58DC" w:rsidRPr="009E1F1D" w14:paraId="377D25C9" w14:textId="77777777" w:rsidTr="00487C8D">
        <w:trPr>
          <w:trHeight w:val="710"/>
        </w:trPr>
        <w:tc>
          <w:tcPr>
            <w:tcW w:w="360" w:type="dxa"/>
            <w:gridSpan w:val="2"/>
            <w:tcBorders>
              <w:top w:val="nil"/>
              <w:left w:val="single" w:sz="4" w:space="0" w:color="auto"/>
              <w:bottom w:val="single" w:sz="4" w:space="0" w:color="auto"/>
              <w:right w:val="single" w:sz="4" w:space="0" w:color="auto"/>
            </w:tcBorders>
            <w:shd w:val="clear" w:color="000000" w:fill="1F4E78"/>
            <w:vAlign w:val="center"/>
            <w:hideMark/>
          </w:tcPr>
          <w:p w14:paraId="2C45EBB4" w14:textId="77777777" w:rsidR="002C1698" w:rsidRPr="009E1F1D" w:rsidRDefault="002C1698" w:rsidP="002705F1">
            <w:pPr>
              <w:jc w:val="center"/>
              <w:rPr>
                <w:rFonts w:ascii="Calibri" w:hAnsi="Calibri" w:cs="Calibri"/>
                <w:b/>
                <w:bCs/>
                <w:color w:val="FFFFFF"/>
                <w:sz w:val="22"/>
                <w:szCs w:val="22"/>
              </w:rPr>
            </w:pPr>
            <w:r w:rsidRPr="009E1F1D">
              <w:rPr>
                <w:rFonts w:ascii="Calibri" w:hAnsi="Calibri" w:cs="Calibri"/>
                <w:b/>
                <w:bCs/>
                <w:color w:val="FFFFFF"/>
                <w:sz w:val="22"/>
                <w:szCs w:val="22"/>
              </w:rPr>
              <w:t>No.</w:t>
            </w:r>
          </w:p>
        </w:tc>
        <w:tc>
          <w:tcPr>
            <w:tcW w:w="1260" w:type="dxa"/>
            <w:tcBorders>
              <w:top w:val="nil"/>
              <w:left w:val="nil"/>
              <w:bottom w:val="single" w:sz="4" w:space="0" w:color="auto"/>
              <w:right w:val="single" w:sz="4" w:space="0" w:color="auto"/>
            </w:tcBorders>
            <w:shd w:val="clear" w:color="000000" w:fill="1F4E78"/>
            <w:vAlign w:val="center"/>
            <w:hideMark/>
          </w:tcPr>
          <w:p w14:paraId="11702AE4" w14:textId="77777777" w:rsidR="002C1698" w:rsidRPr="009E1F1D" w:rsidRDefault="002C1698" w:rsidP="002705F1">
            <w:pPr>
              <w:jc w:val="center"/>
              <w:rPr>
                <w:rFonts w:ascii="Calibri" w:hAnsi="Calibri" w:cs="Calibri"/>
                <w:b/>
                <w:bCs/>
                <w:color w:val="FFFFFF"/>
                <w:sz w:val="22"/>
                <w:szCs w:val="22"/>
              </w:rPr>
            </w:pPr>
            <w:r w:rsidRPr="009E1F1D">
              <w:rPr>
                <w:rFonts w:ascii="Calibri" w:hAnsi="Calibri" w:cs="Calibri"/>
                <w:b/>
                <w:bCs/>
                <w:color w:val="FFFFFF"/>
                <w:sz w:val="22"/>
                <w:szCs w:val="22"/>
              </w:rPr>
              <w:t>Title</w:t>
            </w:r>
          </w:p>
        </w:tc>
        <w:tc>
          <w:tcPr>
            <w:tcW w:w="1530" w:type="dxa"/>
            <w:tcBorders>
              <w:top w:val="nil"/>
              <w:left w:val="nil"/>
              <w:bottom w:val="single" w:sz="4" w:space="0" w:color="auto"/>
              <w:right w:val="single" w:sz="4" w:space="0" w:color="auto"/>
            </w:tcBorders>
            <w:shd w:val="clear" w:color="000000" w:fill="1F4E78"/>
            <w:vAlign w:val="center"/>
            <w:hideMark/>
          </w:tcPr>
          <w:p w14:paraId="172A1FC8" w14:textId="77777777" w:rsidR="002C1698" w:rsidRPr="009E1F1D" w:rsidRDefault="002C1698" w:rsidP="002705F1">
            <w:pPr>
              <w:jc w:val="center"/>
              <w:rPr>
                <w:rFonts w:ascii="Calibri" w:hAnsi="Calibri" w:cs="Calibri"/>
                <w:b/>
                <w:bCs/>
                <w:color w:val="FFFFFF"/>
                <w:sz w:val="22"/>
                <w:szCs w:val="22"/>
              </w:rPr>
            </w:pPr>
            <w:r w:rsidRPr="009E1F1D">
              <w:rPr>
                <w:rFonts w:ascii="Calibri" w:hAnsi="Calibri" w:cs="Calibri"/>
                <w:b/>
                <w:bCs/>
                <w:color w:val="FFFFFF"/>
                <w:sz w:val="22"/>
                <w:szCs w:val="22"/>
              </w:rPr>
              <w:t>Author(s)</w:t>
            </w:r>
          </w:p>
        </w:tc>
        <w:tc>
          <w:tcPr>
            <w:tcW w:w="720" w:type="dxa"/>
            <w:tcBorders>
              <w:top w:val="nil"/>
              <w:left w:val="nil"/>
              <w:bottom w:val="single" w:sz="4" w:space="0" w:color="auto"/>
              <w:right w:val="single" w:sz="4" w:space="0" w:color="auto"/>
            </w:tcBorders>
            <w:shd w:val="clear" w:color="000000" w:fill="1F4E78"/>
            <w:vAlign w:val="center"/>
            <w:hideMark/>
          </w:tcPr>
          <w:p w14:paraId="461202EA" w14:textId="77777777" w:rsidR="002C1698" w:rsidRPr="009E1F1D" w:rsidRDefault="002C1698" w:rsidP="002705F1">
            <w:pPr>
              <w:jc w:val="center"/>
              <w:rPr>
                <w:rFonts w:ascii="Calibri" w:hAnsi="Calibri" w:cs="Calibri"/>
                <w:b/>
                <w:bCs/>
                <w:color w:val="FFFFFF"/>
                <w:sz w:val="22"/>
                <w:szCs w:val="22"/>
              </w:rPr>
            </w:pPr>
            <w:r w:rsidRPr="009E1F1D">
              <w:rPr>
                <w:rFonts w:ascii="Calibri" w:hAnsi="Calibri" w:cs="Calibri"/>
                <w:b/>
                <w:bCs/>
                <w:color w:val="FFFFFF"/>
                <w:sz w:val="22"/>
                <w:szCs w:val="22"/>
              </w:rPr>
              <w:t>Year</w:t>
            </w:r>
          </w:p>
        </w:tc>
        <w:tc>
          <w:tcPr>
            <w:tcW w:w="1710" w:type="dxa"/>
            <w:tcBorders>
              <w:top w:val="nil"/>
              <w:left w:val="nil"/>
              <w:bottom w:val="single" w:sz="4" w:space="0" w:color="auto"/>
              <w:right w:val="single" w:sz="4" w:space="0" w:color="auto"/>
            </w:tcBorders>
            <w:shd w:val="clear" w:color="000000" w:fill="1F4E78"/>
            <w:vAlign w:val="center"/>
          </w:tcPr>
          <w:p w14:paraId="3C069AE2" w14:textId="0ED0354A" w:rsidR="002C1698" w:rsidRPr="009E1F1D" w:rsidRDefault="00F44944" w:rsidP="00F44944">
            <w:pPr>
              <w:rPr>
                <w:rFonts w:ascii="Calibri" w:hAnsi="Calibri" w:cs="Calibri"/>
                <w:b/>
                <w:bCs/>
                <w:color w:val="FFFFFF"/>
                <w:sz w:val="22"/>
                <w:szCs w:val="22"/>
              </w:rPr>
            </w:pPr>
            <w:r>
              <w:rPr>
                <w:rFonts w:ascii="Calibri" w:hAnsi="Calibri" w:cs="Calibri"/>
                <w:b/>
                <w:bCs/>
                <w:color w:val="FFFFFF"/>
                <w:sz w:val="22"/>
                <w:szCs w:val="22"/>
              </w:rPr>
              <w:t>Theori</w:t>
            </w:r>
            <w:r w:rsidR="009C5C77">
              <w:rPr>
                <w:rFonts w:ascii="Calibri" w:hAnsi="Calibri" w:cs="Calibri"/>
                <w:b/>
                <w:bCs/>
                <w:color w:val="FFFFFF"/>
                <w:sz w:val="22"/>
                <w:szCs w:val="22"/>
              </w:rPr>
              <w:t>es</w:t>
            </w:r>
          </w:p>
        </w:tc>
        <w:tc>
          <w:tcPr>
            <w:tcW w:w="1710" w:type="dxa"/>
            <w:tcBorders>
              <w:top w:val="nil"/>
              <w:left w:val="nil"/>
              <w:bottom w:val="single" w:sz="4" w:space="0" w:color="auto"/>
              <w:right w:val="single" w:sz="4" w:space="0" w:color="auto"/>
            </w:tcBorders>
            <w:shd w:val="clear" w:color="000000" w:fill="1F4E78"/>
            <w:vAlign w:val="center"/>
          </w:tcPr>
          <w:p w14:paraId="64709BB4" w14:textId="6EE51A49" w:rsidR="002C1698" w:rsidRPr="009E1F1D" w:rsidRDefault="00B229B8" w:rsidP="002705F1">
            <w:pPr>
              <w:jc w:val="center"/>
              <w:rPr>
                <w:rFonts w:ascii="Calibri" w:hAnsi="Calibri" w:cs="Calibri"/>
                <w:b/>
                <w:bCs/>
                <w:color w:val="FFFFFF"/>
                <w:sz w:val="22"/>
                <w:szCs w:val="22"/>
              </w:rPr>
            </w:pPr>
            <w:r>
              <w:rPr>
                <w:rFonts w:ascii="Calibri" w:hAnsi="Calibri" w:cs="Calibri"/>
                <w:b/>
                <w:bCs/>
                <w:color w:val="FFFFFF"/>
                <w:sz w:val="22"/>
                <w:szCs w:val="22"/>
              </w:rPr>
              <w:t>Advantage</w:t>
            </w:r>
            <w:r w:rsidR="00641204">
              <w:rPr>
                <w:rFonts w:ascii="Calibri" w:hAnsi="Calibri" w:cs="Calibri"/>
                <w:b/>
                <w:bCs/>
                <w:color w:val="FFFFFF"/>
                <w:sz w:val="22"/>
                <w:szCs w:val="22"/>
              </w:rPr>
              <w:t>s</w:t>
            </w:r>
          </w:p>
        </w:tc>
        <w:tc>
          <w:tcPr>
            <w:tcW w:w="1980" w:type="dxa"/>
            <w:tcBorders>
              <w:top w:val="nil"/>
              <w:left w:val="nil"/>
              <w:bottom w:val="single" w:sz="4" w:space="0" w:color="auto"/>
              <w:right w:val="single" w:sz="4" w:space="0" w:color="auto"/>
            </w:tcBorders>
            <w:shd w:val="clear" w:color="000000" w:fill="1F4E78"/>
            <w:vAlign w:val="center"/>
          </w:tcPr>
          <w:p w14:paraId="4F122CCB" w14:textId="42936F4F" w:rsidR="002C1698" w:rsidRPr="009E1F1D" w:rsidRDefault="00B229B8" w:rsidP="002705F1">
            <w:pPr>
              <w:jc w:val="center"/>
              <w:rPr>
                <w:rFonts w:ascii="Calibri" w:hAnsi="Calibri" w:cs="Calibri"/>
                <w:b/>
                <w:bCs/>
                <w:color w:val="FFFFFF"/>
                <w:sz w:val="22"/>
                <w:szCs w:val="22"/>
              </w:rPr>
            </w:pPr>
            <w:r>
              <w:rPr>
                <w:rFonts w:ascii="Calibri" w:hAnsi="Calibri" w:cs="Calibri"/>
                <w:b/>
                <w:bCs/>
                <w:color w:val="FFFFFF"/>
                <w:sz w:val="22"/>
                <w:szCs w:val="22"/>
              </w:rPr>
              <w:t>Disadvantag</w:t>
            </w:r>
            <w:r w:rsidR="00641204">
              <w:rPr>
                <w:rFonts w:ascii="Calibri" w:hAnsi="Calibri" w:cs="Calibri"/>
                <w:b/>
                <w:bCs/>
                <w:color w:val="FFFFFF"/>
                <w:sz w:val="22"/>
                <w:szCs w:val="22"/>
              </w:rPr>
              <w:t>es</w:t>
            </w:r>
          </w:p>
        </w:tc>
        <w:tc>
          <w:tcPr>
            <w:tcW w:w="1260" w:type="dxa"/>
            <w:tcBorders>
              <w:top w:val="nil"/>
              <w:left w:val="nil"/>
              <w:bottom w:val="single" w:sz="4" w:space="0" w:color="auto"/>
              <w:right w:val="single" w:sz="4" w:space="0" w:color="auto"/>
            </w:tcBorders>
            <w:shd w:val="clear" w:color="000000" w:fill="1F4E78"/>
            <w:vAlign w:val="center"/>
          </w:tcPr>
          <w:p w14:paraId="074D50E0" w14:textId="70F3546B" w:rsidR="002C1698" w:rsidRPr="009E1F1D" w:rsidRDefault="004941A1" w:rsidP="002705F1">
            <w:pPr>
              <w:jc w:val="center"/>
              <w:rPr>
                <w:rFonts w:ascii="Calibri" w:hAnsi="Calibri" w:cs="Calibri"/>
                <w:b/>
                <w:bCs/>
                <w:color w:val="FFFFFF"/>
                <w:sz w:val="22"/>
                <w:szCs w:val="22"/>
              </w:rPr>
            </w:pPr>
            <w:r>
              <w:rPr>
                <w:rFonts w:ascii="Calibri" w:hAnsi="Calibri" w:cs="Calibri"/>
                <w:b/>
                <w:bCs/>
                <w:color w:val="FFFFFF"/>
                <w:sz w:val="22"/>
                <w:szCs w:val="22"/>
              </w:rPr>
              <w:t>Impact</w:t>
            </w:r>
          </w:p>
        </w:tc>
        <w:tc>
          <w:tcPr>
            <w:tcW w:w="1530" w:type="dxa"/>
            <w:tcBorders>
              <w:top w:val="nil"/>
              <w:left w:val="nil"/>
              <w:bottom w:val="single" w:sz="4" w:space="0" w:color="auto"/>
              <w:right w:val="single" w:sz="4" w:space="0" w:color="auto"/>
            </w:tcBorders>
            <w:shd w:val="clear" w:color="000000" w:fill="1F4E78"/>
            <w:vAlign w:val="center"/>
            <w:hideMark/>
          </w:tcPr>
          <w:p w14:paraId="3C244EC8" w14:textId="77777777" w:rsidR="002C1698" w:rsidRPr="009E1F1D" w:rsidRDefault="002C1698" w:rsidP="002705F1">
            <w:pPr>
              <w:jc w:val="center"/>
              <w:rPr>
                <w:rFonts w:ascii="Calibri" w:hAnsi="Calibri" w:cs="Calibri"/>
                <w:b/>
                <w:bCs/>
                <w:color w:val="FFFFFF"/>
                <w:sz w:val="22"/>
                <w:szCs w:val="22"/>
              </w:rPr>
            </w:pPr>
            <w:r w:rsidRPr="009E1F1D">
              <w:rPr>
                <w:rFonts w:ascii="Calibri" w:hAnsi="Calibri" w:cs="Calibri"/>
                <w:b/>
                <w:bCs/>
                <w:color w:val="FFFFFF"/>
                <w:sz w:val="22"/>
                <w:szCs w:val="22"/>
              </w:rPr>
              <w:t>Factors</w:t>
            </w:r>
          </w:p>
        </w:tc>
        <w:tc>
          <w:tcPr>
            <w:tcW w:w="1440" w:type="dxa"/>
            <w:tcBorders>
              <w:top w:val="nil"/>
              <w:left w:val="nil"/>
              <w:bottom w:val="single" w:sz="4" w:space="0" w:color="auto"/>
              <w:right w:val="single" w:sz="4" w:space="0" w:color="auto"/>
            </w:tcBorders>
            <w:shd w:val="clear" w:color="000000" w:fill="1F4E78"/>
            <w:vAlign w:val="center"/>
          </w:tcPr>
          <w:p w14:paraId="57EF2B57" w14:textId="780AC191" w:rsidR="002C1698" w:rsidRPr="009E1F1D" w:rsidRDefault="009610A5" w:rsidP="009610A5">
            <w:pPr>
              <w:rPr>
                <w:rFonts w:ascii="Calibri" w:hAnsi="Calibri" w:cs="Calibri"/>
                <w:b/>
                <w:bCs/>
                <w:color w:val="FFFFFF"/>
                <w:sz w:val="22"/>
                <w:szCs w:val="22"/>
              </w:rPr>
            </w:pPr>
            <w:r>
              <w:rPr>
                <w:rFonts w:ascii="Calibri" w:hAnsi="Calibri" w:cs="Calibri"/>
                <w:b/>
                <w:bCs/>
                <w:color w:val="FFFFFF"/>
                <w:sz w:val="22"/>
                <w:szCs w:val="22"/>
              </w:rPr>
              <w:t>Keywords</w:t>
            </w:r>
          </w:p>
        </w:tc>
        <w:tc>
          <w:tcPr>
            <w:tcW w:w="236" w:type="dxa"/>
            <w:tcBorders>
              <w:top w:val="nil"/>
              <w:left w:val="nil"/>
              <w:bottom w:val="single" w:sz="4" w:space="0" w:color="auto"/>
              <w:right w:val="single" w:sz="4" w:space="0" w:color="auto"/>
            </w:tcBorders>
            <w:shd w:val="clear" w:color="000000" w:fill="1F4E78"/>
            <w:vAlign w:val="center"/>
          </w:tcPr>
          <w:p w14:paraId="0D5E9CE6" w14:textId="12876ABD" w:rsidR="002C1698" w:rsidRPr="009E1F1D" w:rsidRDefault="002C1698" w:rsidP="004941A1">
            <w:pPr>
              <w:rPr>
                <w:rFonts w:ascii="Calibri" w:hAnsi="Calibri" w:cs="Calibri"/>
                <w:b/>
                <w:bCs/>
                <w:color w:val="FFFFFF"/>
                <w:sz w:val="22"/>
                <w:szCs w:val="22"/>
              </w:rPr>
            </w:pPr>
          </w:p>
        </w:tc>
        <w:tc>
          <w:tcPr>
            <w:tcW w:w="236" w:type="dxa"/>
            <w:tcBorders>
              <w:top w:val="nil"/>
              <w:left w:val="nil"/>
              <w:bottom w:val="single" w:sz="4" w:space="0" w:color="auto"/>
              <w:right w:val="single" w:sz="4" w:space="0" w:color="auto"/>
            </w:tcBorders>
            <w:shd w:val="clear" w:color="000000" w:fill="1F4E78"/>
            <w:vAlign w:val="center"/>
          </w:tcPr>
          <w:p w14:paraId="01B5D370" w14:textId="533F632E" w:rsidR="002C1698" w:rsidRPr="009E1F1D" w:rsidRDefault="002C1698" w:rsidP="002705F1">
            <w:pPr>
              <w:jc w:val="center"/>
              <w:rPr>
                <w:rFonts w:ascii="Calibri" w:hAnsi="Calibri" w:cs="Calibri"/>
                <w:b/>
                <w:bCs/>
                <w:color w:val="FFFFFF"/>
                <w:sz w:val="22"/>
                <w:szCs w:val="22"/>
              </w:rPr>
            </w:pPr>
          </w:p>
        </w:tc>
      </w:tr>
      <w:tr w:rsidR="00F37988" w:rsidRPr="009E1F1D" w14:paraId="7F72E163"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71F6F68" w14:textId="77777777" w:rsidR="0013295C" w:rsidRPr="009E1F1D" w:rsidRDefault="0013295C" w:rsidP="0013295C">
            <w:pPr>
              <w:jc w:val="right"/>
              <w:rPr>
                <w:rFonts w:ascii="Calibri" w:hAnsi="Calibri" w:cs="Calibri"/>
                <w:color w:val="000000"/>
                <w:sz w:val="22"/>
                <w:szCs w:val="22"/>
              </w:rPr>
            </w:pPr>
            <w:r w:rsidRPr="009E1F1D">
              <w:rPr>
                <w:rFonts w:ascii="Calibri" w:hAnsi="Calibri" w:cs="Calibri"/>
                <w:color w:val="000000"/>
                <w:sz w:val="22"/>
                <w:szCs w:val="22"/>
              </w:rPr>
              <w:t>1</w:t>
            </w:r>
          </w:p>
        </w:tc>
        <w:tc>
          <w:tcPr>
            <w:tcW w:w="1260" w:type="dxa"/>
            <w:tcBorders>
              <w:top w:val="nil"/>
              <w:left w:val="nil"/>
              <w:bottom w:val="single" w:sz="4" w:space="0" w:color="auto"/>
              <w:right w:val="single" w:sz="4" w:space="0" w:color="auto"/>
            </w:tcBorders>
            <w:hideMark/>
          </w:tcPr>
          <w:p w14:paraId="6C01BC06"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Work and Motivation</w:t>
            </w:r>
          </w:p>
        </w:tc>
        <w:tc>
          <w:tcPr>
            <w:tcW w:w="1530" w:type="dxa"/>
            <w:tcBorders>
              <w:top w:val="nil"/>
              <w:left w:val="nil"/>
              <w:bottom w:val="single" w:sz="4" w:space="0" w:color="auto"/>
              <w:right w:val="single" w:sz="4" w:space="0" w:color="auto"/>
            </w:tcBorders>
            <w:hideMark/>
          </w:tcPr>
          <w:p w14:paraId="19972AD1"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Vroom, V.H.</w:t>
            </w:r>
          </w:p>
        </w:tc>
        <w:tc>
          <w:tcPr>
            <w:tcW w:w="720" w:type="dxa"/>
            <w:tcBorders>
              <w:top w:val="nil"/>
              <w:left w:val="nil"/>
              <w:bottom w:val="single" w:sz="4" w:space="0" w:color="auto"/>
              <w:right w:val="single" w:sz="4" w:space="0" w:color="auto"/>
            </w:tcBorders>
            <w:hideMark/>
          </w:tcPr>
          <w:p w14:paraId="5752587C"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1964</w:t>
            </w:r>
          </w:p>
        </w:tc>
        <w:tc>
          <w:tcPr>
            <w:tcW w:w="1710" w:type="dxa"/>
            <w:tcBorders>
              <w:top w:val="nil"/>
              <w:left w:val="nil"/>
              <w:bottom w:val="single" w:sz="4" w:space="0" w:color="auto"/>
              <w:right w:val="single" w:sz="4" w:space="0" w:color="auto"/>
            </w:tcBorders>
          </w:tcPr>
          <w:p w14:paraId="0D196E9B" w14:textId="6AA132B4" w:rsidR="0013295C" w:rsidRPr="009E1F1D" w:rsidRDefault="0013295C" w:rsidP="0013295C">
            <w:pPr>
              <w:rPr>
                <w:rFonts w:ascii="Calibri" w:hAnsi="Calibri" w:cs="Calibri"/>
                <w:color w:val="000000"/>
                <w:sz w:val="22"/>
                <w:szCs w:val="22"/>
              </w:rPr>
            </w:pPr>
            <w:r w:rsidRPr="00F0534D">
              <w:rPr>
                <w:rFonts w:ascii="Calibri" w:hAnsi="Calibri" w:cs="Calibri"/>
                <w:color w:val="000000"/>
                <w:sz w:val="22"/>
                <w:szCs w:val="22"/>
              </w:rPr>
              <w:t>Expectancy Theory</w:t>
            </w:r>
          </w:p>
        </w:tc>
        <w:tc>
          <w:tcPr>
            <w:tcW w:w="1710" w:type="dxa"/>
            <w:tcBorders>
              <w:top w:val="nil"/>
              <w:left w:val="nil"/>
              <w:bottom w:val="single" w:sz="4" w:space="0" w:color="auto"/>
              <w:right w:val="single" w:sz="4" w:space="0" w:color="auto"/>
            </w:tcBorders>
            <w:vAlign w:val="center"/>
          </w:tcPr>
          <w:p w14:paraId="23B4F6D1" w14:textId="4E79134C" w:rsidR="0013295C" w:rsidRPr="009E1F1D" w:rsidRDefault="0013295C" w:rsidP="0013295C">
            <w:pPr>
              <w:rPr>
                <w:rFonts w:ascii="Calibri" w:hAnsi="Calibri" w:cs="Calibri"/>
                <w:color w:val="000000"/>
                <w:sz w:val="22"/>
                <w:szCs w:val="22"/>
              </w:rPr>
            </w:pPr>
            <w:r w:rsidRPr="00D0217E">
              <w:rPr>
                <w:color w:val="000000"/>
              </w:rPr>
              <w:t>Effort motivation</w:t>
            </w:r>
          </w:p>
        </w:tc>
        <w:tc>
          <w:tcPr>
            <w:tcW w:w="1980" w:type="dxa"/>
            <w:tcBorders>
              <w:top w:val="nil"/>
              <w:left w:val="nil"/>
              <w:bottom w:val="single" w:sz="4" w:space="0" w:color="auto"/>
              <w:right w:val="single" w:sz="4" w:space="0" w:color="auto"/>
            </w:tcBorders>
            <w:vAlign w:val="center"/>
          </w:tcPr>
          <w:p w14:paraId="706D86D7" w14:textId="15E61A56" w:rsidR="0013295C" w:rsidRPr="009E1F1D" w:rsidRDefault="0013295C" w:rsidP="0013295C">
            <w:pPr>
              <w:rPr>
                <w:rFonts w:ascii="Calibri" w:hAnsi="Calibri" w:cs="Calibri"/>
                <w:color w:val="000000"/>
                <w:sz w:val="22"/>
                <w:szCs w:val="22"/>
              </w:rPr>
            </w:pPr>
            <w:r w:rsidRPr="00D0217E">
              <w:rPr>
                <w:color w:val="000000"/>
              </w:rPr>
              <w:t>Expectancy uncertainty</w:t>
            </w:r>
          </w:p>
        </w:tc>
        <w:tc>
          <w:tcPr>
            <w:tcW w:w="1260" w:type="dxa"/>
            <w:tcBorders>
              <w:top w:val="nil"/>
              <w:left w:val="nil"/>
              <w:bottom w:val="single" w:sz="4" w:space="0" w:color="auto"/>
              <w:right w:val="single" w:sz="4" w:space="0" w:color="auto"/>
            </w:tcBorders>
            <w:vAlign w:val="center"/>
          </w:tcPr>
          <w:p w14:paraId="34DADAEB" w14:textId="378D1E5F" w:rsidR="0013295C" w:rsidRPr="009E1F1D" w:rsidRDefault="0013295C" w:rsidP="0013295C">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4B0D4A1A" w14:textId="7BFBD0C9"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Clear effort</w:t>
            </w:r>
            <w:r>
              <w:rPr>
                <w:rFonts w:ascii="Calibri" w:hAnsi="Calibri" w:cs="Calibri"/>
                <w:color w:val="000000"/>
                <w:sz w:val="22"/>
                <w:szCs w:val="22"/>
              </w:rPr>
              <w:t xml:space="preserve">, </w:t>
            </w:r>
            <w:r w:rsidRPr="009E1F1D">
              <w:rPr>
                <w:rFonts w:ascii="Calibri" w:hAnsi="Calibri" w:cs="Calibri"/>
                <w:color w:val="000000"/>
                <w:sz w:val="22"/>
                <w:szCs w:val="22"/>
              </w:rPr>
              <w:t>performance</w:t>
            </w:r>
            <w:r>
              <w:rPr>
                <w:rFonts w:ascii="Calibri" w:hAnsi="Calibri" w:cs="Calibri"/>
                <w:color w:val="000000"/>
                <w:sz w:val="22"/>
                <w:szCs w:val="22"/>
              </w:rPr>
              <w:t xml:space="preserve">, </w:t>
            </w:r>
            <w:r w:rsidRPr="009E1F1D">
              <w:rPr>
                <w:rFonts w:ascii="Calibri" w:hAnsi="Calibri" w:cs="Calibri"/>
                <w:color w:val="000000"/>
                <w:sz w:val="22"/>
                <w:szCs w:val="22"/>
              </w:rPr>
              <w:t>reward linkage; valued rewards</w:t>
            </w:r>
          </w:p>
        </w:tc>
        <w:tc>
          <w:tcPr>
            <w:tcW w:w="1440" w:type="dxa"/>
            <w:tcBorders>
              <w:top w:val="nil"/>
              <w:left w:val="nil"/>
              <w:bottom w:val="single" w:sz="4" w:space="0" w:color="auto"/>
              <w:right w:val="single" w:sz="4" w:space="0" w:color="auto"/>
            </w:tcBorders>
          </w:tcPr>
          <w:p w14:paraId="62753E36" w14:textId="3BB97A02" w:rsidR="0013295C" w:rsidRPr="009E1F1D" w:rsidRDefault="004B1164" w:rsidP="0013295C">
            <w:pPr>
              <w:rPr>
                <w:rFonts w:ascii="Calibri" w:hAnsi="Calibri" w:cs="Calibri"/>
                <w:color w:val="000000"/>
                <w:sz w:val="22"/>
                <w:szCs w:val="22"/>
              </w:rPr>
            </w:pPr>
            <w:r w:rsidRPr="004B62CF">
              <w:rPr>
                <w:rFonts w:ascii="Calibri" w:hAnsi="Calibri" w:cs="Calibri"/>
                <w:color w:val="000000"/>
                <w:sz w:val="22"/>
                <w:szCs w:val="22"/>
              </w:rPr>
              <w:t>Expectancy, instrumentality and valence</w:t>
            </w:r>
          </w:p>
        </w:tc>
        <w:tc>
          <w:tcPr>
            <w:tcW w:w="236" w:type="dxa"/>
            <w:tcBorders>
              <w:top w:val="nil"/>
              <w:left w:val="nil"/>
              <w:bottom w:val="single" w:sz="4" w:space="0" w:color="auto"/>
              <w:right w:val="single" w:sz="4" w:space="0" w:color="auto"/>
            </w:tcBorders>
          </w:tcPr>
          <w:p w14:paraId="46E08E4F" w14:textId="044BD008" w:rsidR="0013295C" w:rsidRPr="009E1F1D" w:rsidRDefault="0013295C" w:rsidP="0013295C">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FC04DBC" w14:textId="41CCBBFE" w:rsidR="0013295C" w:rsidRPr="009E1F1D" w:rsidRDefault="0013295C" w:rsidP="0013295C">
            <w:pPr>
              <w:rPr>
                <w:rFonts w:ascii="Calibri" w:hAnsi="Calibri" w:cs="Calibri"/>
                <w:color w:val="000000"/>
                <w:sz w:val="22"/>
                <w:szCs w:val="22"/>
              </w:rPr>
            </w:pPr>
          </w:p>
        </w:tc>
      </w:tr>
      <w:tr w:rsidR="002A58DC" w:rsidRPr="009E1F1D" w14:paraId="5B4570E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53D86BA" w14:textId="77777777" w:rsidR="0013295C" w:rsidRPr="009E1F1D" w:rsidRDefault="0013295C" w:rsidP="0013295C">
            <w:pPr>
              <w:jc w:val="right"/>
              <w:rPr>
                <w:rFonts w:ascii="Calibri" w:hAnsi="Calibri" w:cs="Calibri"/>
                <w:color w:val="000000"/>
                <w:sz w:val="22"/>
                <w:szCs w:val="22"/>
              </w:rPr>
            </w:pPr>
            <w:r w:rsidRPr="009E1F1D">
              <w:rPr>
                <w:rFonts w:ascii="Calibri" w:hAnsi="Calibri" w:cs="Calibri"/>
                <w:color w:val="000000"/>
                <w:sz w:val="22"/>
                <w:szCs w:val="22"/>
              </w:rPr>
              <w:t>2</w:t>
            </w:r>
          </w:p>
        </w:tc>
        <w:tc>
          <w:tcPr>
            <w:tcW w:w="1260" w:type="dxa"/>
            <w:tcBorders>
              <w:top w:val="nil"/>
              <w:left w:val="nil"/>
              <w:bottom w:val="single" w:sz="4" w:space="0" w:color="auto"/>
              <w:right w:val="single" w:sz="4" w:space="0" w:color="auto"/>
            </w:tcBorders>
            <w:hideMark/>
          </w:tcPr>
          <w:p w14:paraId="54667FD6"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Inequity in Social Exchange</w:t>
            </w:r>
          </w:p>
        </w:tc>
        <w:tc>
          <w:tcPr>
            <w:tcW w:w="1530" w:type="dxa"/>
            <w:tcBorders>
              <w:top w:val="nil"/>
              <w:left w:val="nil"/>
              <w:bottom w:val="single" w:sz="4" w:space="0" w:color="auto"/>
              <w:right w:val="single" w:sz="4" w:space="0" w:color="auto"/>
            </w:tcBorders>
            <w:hideMark/>
          </w:tcPr>
          <w:p w14:paraId="7B430EBA"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Adams, J.S.</w:t>
            </w:r>
          </w:p>
        </w:tc>
        <w:tc>
          <w:tcPr>
            <w:tcW w:w="720" w:type="dxa"/>
            <w:tcBorders>
              <w:top w:val="nil"/>
              <w:left w:val="nil"/>
              <w:bottom w:val="single" w:sz="4" w:space="0" w:color="auto"/>
              <w:right w:val="single" w:sz="4" w:space="0" w:color="auto"/>
            </w:tcBorders>
            <w:hideMark/>
          </w:tcPr>
          <w:p w14:paraId="5698FB8B"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1965</w:t>
            </w:r>
          </w:p>
        </w:tc>
        <w:tc>
          <w:tcPr>
            <w:tcW w:w="1710" w:type="dxa"/>
            <w:tcBorders>
              <w:top w:val="nil"/>
              <w:left w:val="nil"/>
              <w:bottom w:val="single" w:sz="4" w:space="0" w:color="auto"/>
              <w:right w:val="single" w:sz="4" w:space="0" w:color="auto"/>
            </w:tcBorders>
          </w:tcPr>
          <w:p w14:paraId="45F6D4A5" w14:textId="2ED6C1D8" w:rsidR="0013295C" w:rsidRPr="009E1F1D" w:rsidRDefault="00307E10" w:rsidP="0013295C">
            <w:pPr>
              <w:rPr>
                <w:rFonts w:ascii="Calibri" w:hAnsi="Calibri" w:cs="Calibri"/>
                <w:color w:val="000000"/>
                <w:sz w:val="22"/>
                <w:szCs w:val="22"/>
              </w:rPr>
            </w:pPr>
            <w:r w:rsidRPr="00F0534D">
              <w:rPr>
                <w:rFonts w:ascii="Calibri" w:hAnsi="Calibri" w:cs="Calibri"/>
                <w:color w:val="000000"/>
                <w:sz w:val="22"/>
                <w:szCs w:val="22"/>
              </w:rPr>
              <w:t>Equity Theory</w:t>
            </w:r>
          </w:p>
        </w:tc>
        <w:tc>
          <w:tcPr>
            <w:tcW w:w="1710" w:type="dxa"/>
            <w:tcBorders>
              <w:top w:val="nil"/>
              <w:left w:val="nil"/>
              <w:bottom w:val="single" w:sz="4" w:space="0" w:color="auto"/>
              <w:right w:val="single" w:sz="4" w:space="0" w:color="auto"/>
            </w:tcBorders>
            <w:vAlign w:val="center"/>
          </w:tcPr>
          <w:p w14:paraId="29488CEB" w14:textId="1D448B00" w:rsidR="0013295C" w:rsidRPr="009E1F1D" w:rsidRDefault="0013295C" w:rsidP="0013295C">
            <w:pPr>
              <w:rPr>
                <w:rFonts w:ascii="Calibri" w:hAnsi="Calibri" w:cs="Calibri"/>
                <w:color w:val="000000"/>
                <w:sz w:val="22"/>
                <w:szCs w:val="22"/>
              </w:rPr>
            </w:pPr>
            <w:r w:rsidRPr="00D0217E">
              <w:rPr>
                <w:color w:val="000000"/>
              </w:rPr>
              <w:t>Perceived fairness</w:t>
            </w:r>
          </w:p>
        </w:tc>
        <w:tc>
          <w:tcPr>
            <w:tcW w:w="1980" w:type="dxa"/>
            <w:tcBorders>
              <w:top w:val="nil"/>
              <w:left w:val="nil"/>
              <w:bottom w:val="single" w:sz="4" w:space="0" w:color="auto"/>
              <w:right w:val="single" w:sz="4" w:space="0" w:color="auto"/>
            </w:tcBorders>
          </w:tcPr>
          <w:p w14:paraId="5F52D814" w14:textId="0626866F" w:rsidR="0013295C" w:rsidRPr="009E1F1D" w:rsidRDefault="0013295C" w:rsidP="0013295C">
            <w:pPr>
              <w:rPr>
                <w:rFonts w:ascii="Calibri" w:hAnsi="Calibri" w:cs="Calibri"/>
                <w:color w:val="000000"/>
                <w:sz w:val="22"/>
                <w:szCs w:val="22"/>
              </w:rPr>
            </w:pPr>
            <w:r w:rsidRPr="00D0217E">
              <w:rPr>
                <w:color w:val="000000"/>
              </w:rPr>
              <w:t>Inequity concerns</w:t>
            </w:r>
          </w:p>
        </w:tc>
        <w:tc>
          <w:tcPr>
            <w:tcW w:w="1260" w:type="dxa"/>
            <w:tcBorders>
              <w:top w:val="nil"/>
              <w:left w:val="nil"/>
              <w:bottom w:val="single" w:sz="4" w:space="0" w:color="auto"/>
              <w:right w:val="single" w:sz="4" w:space="0" w:color="auto"/>
            </w:tcBorders>
          </w:tcPr>
          <w:p w14:paraId="083866C3" w14:textId="435A86F3" w:rsidR="0013295C" w:rsidRPr="009E1F1D" w:rsidRDefault="0013295C" w:rsidP="0013295C">
            <w:pPr>
              <w:rPr>
                <w:rFonts w:ascii="Calibri" w:hAnsi="Calibri" w:cs="Calibri"/>
                <w:color w:val="000000"/>
                <w:sz w:val="22"/>
                <w:szCs w:val="22"/>
              </w:rPr>
            </w:pPr>
            <w:r>
              <w:rPr>
                <w:rFonts w:ascii="Calibri" w:hAnsi="Calibri" w:cs="Calibri"/>
                <w:color w:val="000000"/>
                <w:sz w:val="22"/>
                <w:szCs w:val="22"/>
              </w:rPr>
              <w:t>Work motivation</w:t>
            </w:r>
          </w:p>
        </w:tc>
        <w:tc>
          <w:tcPr>
            <w:tcW w:w="1530" w:type="dxa"/>
            <w:tcBorders>
              <w:top w:val="nil"/>
              <w:left w:val="nil"/>
              <w:bottom w:val="single" w:sz="4" w:space="0" w:color="auto"/>
              <w:right w:val="single" w:sz="4" w:space="0" w:color="auto"/>
            </w:tcBorders>
            <w:hideMark/>
          </w:tcPr>
          <w:p w14:paraId="76CB051A" w14:textId="77777777" w:rsidR="0013295C" w:rsidRPr="009E1F1D" w:rsidRDefault="0013295C" w:rsidP="0013295C">
            <w:pPr>
              <w:rPr>
                <w:rFonts w:ascii="Calibri" w:hAnsi="Calibri" w:cs="Calibri"/>
                <w:color w:val="000000"/>
                <w:sz w:val="22"/>
                <w:szCs w:val="22"/>
              </w:rPr>
            </w:pPr>
            <w:r w:rsidRPr="009E1F1D">
              <w:rPr>
                <w:rFonts w:ascii="Calibri" w:hAnsi="Calibri" w:cs="Calibri"/>
                <w:color w:val="000000"/>
                <w:sz w:val="22"/>
                <w:szCs w:val="22"/>
              </w:rPr>
              <w:t>Perceived distributive fairness</w:t>
            </w:r>
          </w:p>
        </w:tc>
        <w:tc>
          <w:tcPr>
            <w:tcW w:w="1440" w:type="dxa"/>
            <w:tcBorders>
              <w:top w:val="nil"/>
              <w:left w:val="nil"/>
              <w:bottom w:val="single" w:sz="4" w:space="0" w:color="auto"/>
              <w:right w:val="single" w:sz="4" w:space="0" w:color="auto"/>
            </w:tcBorders>
          </w:tcPr>
          <w:p w14:paraId="550B73E0" w14:textId="0B12B711" w:rsidR="0013295C" w:rsidRPr="009E1F1D" w:rsidRDefault="005F7E8C" w:rsidP="0013295C">
            <w:pPr>
              <w:rPr>
                <w:rFonts w:ascii="Calibri" w:hAnsi="Calibri" w:cs="Calibri"/>
                <w:color w:val="000000"/>
                <w:sz w:val="22"/>
                <w:szCs w:val="22"/>
              </w:rPr>
            </w:pPr>
            <w:r w:rsidRPr="004B62CF">
              <w:rPr>
                <w:rFonts w:ascii="Calibri" w:hAnsi="Calibri" w:cs="Calibri"/>
                <w:color w:val="000000"/>
                <w:sz w:val="22"/>
                <w:szCs w:val="22"/>
              </w:rPr>
              <w:t>Equity, fairness, comparison</w:t>
            </w:r>
          </w:p>
        </w:tc>
        <w:tc>
          <w:tcPr>
            <w:tcW w:w="236" w:type="dxa"/>
            <w:tcBorders>
              <w:top w:val="nil"/>
              <w:left w:val="nil"/>
              <w:bottom w:val="single" w:sz="4" w:space="0" w:color="auto"/>
              <w:right w:val="single" w:sz="4" w:space="0" w:color="auto"/>
            </w:tcBorders>
          </w:tcPr>
          <w:p w14:paraId="3369441F" w14:textId="3FFEEB32" w:rsidR="0013295C" w:rsidRPr="009E1F1D" w:rsidRDefault="0013295C" w:rsidP="0013295C">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8673ABE" w14:textId="6654E8C5" w:rsidR="0013295C" w:rsidRPr="009E1F1D" w:rsidRDefault="0013295C" w:rsidP="0013295C">
            <w:pPr>
              <w:rPr>
                <w:rFonts w:ascii="Calibri" w:hAnsi="Calibri" w:cs="Calibri"/>
                <w:color w:val="000000"/>
                <w:sz w:val="22"/>
                <w:szCs w:val="22"/>
              </w:rPr>
            </w:pPr>
          </w:p>
        </w:tc>
      </w:tr>
      <w:tr w:rsidR="002A58DC" w:rsidRPr="009E1F1D" w14:paraId="275C4C2C"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20A0F23" w14:textId="77777777" w:rsidR="00F440ED" w:rsidRPr="009E1F1D" w:rsidRDefault="00F440ED" w:rsidP="00F440ED">
            <w:pPr>
              <w:jc w:val="right"/>
              <w:rPr>
                <w:rFonts w:ascii="Calibri" w:hAnsi="Calibri" w:cs="Calibri"/>
                <w:color w:val="000000"/>
                <w:sz w:val="22"/>
                <w:szCs w:val="22"/>
              </w:rPr>
            </w:pPr>
            <w:r w:rsidRPr="009E1F1D">
              <w:rPr>
                <w:rFonts w:ascii="Calibri" w:hAnsi="Calibri" w:cs="Calibri"/>
                <w:color w:val="000000"/>
                <w:sz w:val="22"/>
                <w:szCs w:val="22"/>
              </w:rPr>
              <w:t>3</w:t>
            </w:r>
          </w:p>
        </w:tc>
        <w:tc>
          <w:tcPr>
            <w:tcW w:w="1260" w:type="dxa"/>
            <w:tcBorders>
              <w:top w:val="nil"/>
              <w:left w:val="nil"/>
              <w:bottom w:val="single" w:sz="4" w:space="0" w:color="auto"/>
              <w:right w:val="single" w:sz="4" w:space="0" w:color="auto"/>
            </w:tcBorders>
            <w:hideMark/>
          </w:tcPr>
          <w:p w14:paraId="26F37FCB"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The Motivation to Work</w:t>
            </w:r>
          </w:p>
        </w:tc>
        <w:tc>
          <w:tcPr>
            <w:tcW w:w="1530" w:type="dxa"/>
            <w:tcBorders>
              <w:top w:val="nil"/>
              <w:left w:val="nil"/>
              <w:bottom w:val="single" w:sz="4" w:space="0" w:color="auto"/>
              <w:right w:val="single" w:sz="4" w:space="0" w:color="auto"/>
            </w:tcBorders>
            <w:hideMark/>
          </w:tcPr>
          <w:p w14:paraId="667A4C8F"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Herzberg, F., Mausner, B. &amp; Snyderman, B.B.</w:t>
            </w:r>
          </w:p>
        </w:tc>
        <w:tc>
          <w:tcPr>
            <w:tcW w:w="720" w:type="dxa"/>
            <w:tcBorders>
              <w:top w:val="nil"/>
              <w:left w:val="nil"/>
              <w:bottom w:val="single" w:sz="4" w:space="0" w:color="auto"/>
              <w:right w:val="single" w:sz="4" w:space="0" w:color="auto"/>
            </w:tcBorders>
            <w:hideMark/>
          </w:tcPr>
          <w:p w14:paraId="7CD80487"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1959</w:t>
            </w:r>
          </w:p>
        </w:tc>
        <w:tc>
          <w:tcPr>
            <w:tcW w:w="1710" w:type="dxa"/>
            <w:tcBorders>
              <w:top w:val="nil"/>
              <w:left w:val="nil"/>
              <w:bottom w:val="single" w:sz="4" w:space="0" w:color="auto"/>
              <w:right w:val="single" w:sz="4" w:space="0" w:color="auto"/>
            </w:tcBorders>
          </w:tcPr>
          <w:p w14:paraId="0632B58B" w14:textId="66187030" w:rsidR="00F440ED" w:rsidRPr="009E1F1D" w:rsidRDefault="00F440ED" w:rsidP="00F440ED">
            <w:pPr>
              <w:rPr>
                <w:rFonts w:ascii="Calibri" w:hAnsi="Calibri" w:cs="Calibri"/>
                <w:color w:val="000000"/>
                <w:sz w:val="22"/>
                <w:szCs w:val="22"/>
              </w:rPr>
            </w:pPr>
            <w:r w:rsidRPr="00F0534D">
              <w:rPr>
                <w:rFonts w:ascii="Calibri" w:hAnsi="Calibri" w:cs="Calibri"/>
                <w:color w:val="000000"/>
                <w:sz w:val="22"/>
                <w:szCs w:val="22"/>
              </w:rPr>
              <w:t>Two-Factor Theory</w:t>
            </w:r>
          </w:p>
        </w:tc>
        <w:tc>
          <w:tcPr>
            <w:tcW w:w="1710" w:type="dxa"/>
            <w:tcBorders>
              <w:top w:val="nil"/>
              <w:left w:val="nil"/>
              <w:bottom w:val="single" w:sz="4" w:space="0" w:color="auto"/>
              <w:right w:val="single" w:sz="4" w:space="0" w:color="auto"/>
            </w:tcBorders>
            <w:vAlign w:val="center"/>
          </w:tcPr>
          <w:p w14:paraId="626B4AC5" w14:textId="5A079540" w:rsidR="00F440ED" w:rsidRPr="009E1F1D" w:rsidRDefault="00F440ED" w:rsidP="00F440ED">
            <w:pPr>
              <w:rPr>
                <w:rFonts w:ascii="Calibri" w:hAnsi="Calibri" w:cs="Calibri"/>
                <w:color w:val="000000"/>
                <w:sz w:val="22"/>
                <w:szCs w:val="22"/>
              </w:rPr>
            </w:pPr>
            <w:r w:rsidRPr="00D0217E">
              <w:rPr>
                <w:color w:val="000000"/>
              </w:rPr>
              <w:t>Job satisfaction</w:t>
            </w:r>
          </w:p>
        </w:tc>
        <w:tc>
          <w:tcPr>
            <w:tcW w:w="1980" w:type="dxa"/>
            <w:tcBorders>
              <w:top w:val="nil"/>
              <w:left w:val="nil"/>
              <w:bottom w:val="single" w:sz="4" w:space="0" w:color="auto"/>
              <w:right w:val="single" w:sz="4" w:space="0" w:color="auto"/>
            </w:tcBorders>
            <w:vAlign w:val="center"/>
          </w:tcPr>
          <w:p w14:paraId="49204706" w14:textId="6FF5A39F" w:rsidR="00F440ED" w:rsidRPr="009E1F1D" w:rsidRDefault="00F440ED" w:rsidP="00F440ED">
            <w:pPr>
              <w:rPr>
                <w:rFonts w:ascii="Calibri" w:hAnsi="Calibri" w:cs="Calibri"/>
                <w:color w:val="000000"/>
                <w:sz w:val="22"/>
                <w:szCs w:val="22"/>
              </w:rPr>
            </w:pPr>
            <w:r w:rsidRPr="00D0217E">
              <w:rPr>
                <w:color w:val="000000"/>
              </w:rPr>
              <w:t>Hygiene concerns</w:t>
            </w:r>
          </w:p>
        </w:tc>
        <w:tc>
          <w:tcPr>
            <w:tcW w:w="1260" w:type="dxa"/>
            <w:tcBorders>
              <w:top w:val="nil"/>
              <w:left w:val="nil"/>
              <w:bottom w:val="single" w:sz="4" w:space="0" w:color="auto"/>
              <w:right w:val="single" w:sz="4" w:space="0" w:color="auto"/>
            </w:tcBorders>
            <w:vAlign w:val="center"/>
          </w:tcPr>
          <w:p w14:paraId="76519AC0" w14:textId="3D92EFC4" w:rsidR="00F440ED" w:rsidRPr="009E1F1D" w:rsidRDefault="00F440ED" w:rsidP="00F440ED">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33AAB555"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Job security and pay reduce dissatisfaction; motivators include achievement</w:t>
            </w:r>
          </w:p>
        </w:tc>
        <w:tc>
          <w:tcPr>
            <w:tcW w:w="1440" w:type="dxa"/>
            <w:tcBorders>
              <w:top w:val="nil"/>
              <w:left w:val="nil"/>
              <w:bottom w:val="single" w:sz="4" w:space="0" w:color="auto"/>
              <w:right w:val="single" w:sz="4" w:space="0" w:color="auto"/>
            </w:tcBorders>
          </w:tcPr>
          <w:p w14:paraId="6019A547" w14:textId="5DD61CD9" w:rsidR="00F440ED" w:rsidRPr="009E1F1D" w:rsidRDefault="00291AB7" w:rsidP="00F440ED">
            <w:pPr>
              <w:rPr>
                <w:rFonts w:ascii="Calibri" w:hAnsi="Calibri" w:cs="Calibri"/>
                <w:color w:val="000000"/>
                <w:sz w:val="22"/>
                <w:szCs w:val="22"/>
              </w:rPr>
            </w:pPr>
            <w:r w:rsidRPr="004B62CF">
              <w:rPr>
                <w:rFonts w:ascii="Calibri" w:hAnsi="Calibri" w:cs="Calibri"/>
                <w:color w:val="000000"/>
                <w:sz w:val="22"/>
                <w:szCs w:val="22"/>
              </w:rPr>
              <w:t>Motivation, hygiene, satisfaction</w:t>
            </w:r>
          </w:p>
        </w:tc>
        <w:tc>
          <w:tcPr>
            <w:tcW w:w="236" w:type="dxa"/>
            <w:tcBorders>
              <w:top w:val="nil"/>
              <w:left w:val="nil"/>
              <w:bottom w:val="single" w:sz="4" w:space="0" w:color="auto"/>
              <w:right w:val="single" w:sz="4" w:space="0" w:color="auto"/>
            </w:tcBorders>
          </w:tcPr>
          <w:p w14:paraId="52E67C45" w14:textId="04FA41B8" w:rsidR="00F440ED" w:rsidRPr="009E1F1D" w:rsidRDefault="00F440ED" w:rsidP="00F440E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F3A36FC" w14:textId="6272C42D" w:rsidR="00F440ED" w:rsidRPr="009E1F1D" w:rsidRDefault="00F440ED" w:rsidP="00F440ED">
            <w:pPr>
              <w:rPr>
                <w:rFonts w:ascii="Calibri" w:hAnsi="Calibri" w:cs="Calibri"/>
                <w:color w:val="000000"/>
                <w:sz w:val="22"/>
                <w:szCs w:val="22"/>
              </w:rPr>
            </w:pPr>
          </w:p>
        </w:tc>
      </w:tr>
      <w:tr w:rsidR="002A58DC" w:rsidRPr="009E1F1D" w14:paraId="5981A07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AE2F9BF" w14:textId="77777777" w:rsidR="00F440ED" w:rsidRPr="009E1F1D" w:rsidRDefault="00F440ED" w:rsidP="00F440ED">
            <w:pPr>
              <w:jc w:val="right"/>
              <w:rPr>
                <w:rFonts w:ascii="Calibri" w:hAnsi="Calibri" w:cs="Calibri"/>
                <w:color w:val="000000"/>
                <w:sz w:val="22"/>
                <w:szCs w:val="22"/>
              </w:rPr>
            </w:pPr>
            <w:r w:rsidRPr="009E1F1D">
              <w:rPr>
                <w:rFonts w:ascii="Calibri" w:hAnsi="Calibri" w:cs="Calibri"/>
                <w:color w:val="000000"/>
                <w:sz w:val="22"/>
                <w:szCs w:val="22"/>
              </w:rPr>
              <w:t>4</w:t>
            </w:r>
          </w:p>
        </w:tc>
        <w:tc>
          <w:tcPr>
            <w:tcW w:w="1260" w:type="dxa"/>
            <w:tcBorders>
              <w:top w:val="nil"/>
              <w:left w:val="nil"/>
              <w:bottom w:val="single" w:sz="4" w:space="0" w:color="auto"/>
              <w:right w:val="single" w:sz="4" w:space="0" w:color="auto"/>
            </w:tcBorders>
            <w:hideMark/>
          </w:tcPr>
          <w:p w14:paraId="1093CBFD"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 xml:space="preserve">The Effects of Externally Mediated Rewards </w:t>
            </w:r>
            <w:r w:rsidRPr="009E1F1D">
              <w:rPr>
                <w:rFonts w:ascii="Calibri" w:hAnsi="Calibri" w:cs="Calibri"/>
                <w:color w:val="000000"/>
                <w:sz w:val="22"/>
                <w:szCs w:val="22"/>
              </w:rPr>
              <w:lastRenderedPageBreak/>
              <w:t>on Intrinsic Motivation</w:t>
            </w:r>
          </w:p>
        </w:tc>
        <w:tc>
          <w:tcPr>
            <w:tcW w:w="1530" w:type="dxa"/>
            <w:tcBorders>
              <w:top w:val="nil"/>
              <w:left w:val="nil"/>
              <w:bottom w:val="single" w:sz="4" w:space="0" w:color="auto"/>
              <w:right w:val="single" w:sz="4" w:space="0" w:color="auto"/>
            </w:tcBorders>
            <w:hideMark/>
          </w:tcPr>
          <w:p w14:paraId="110553D9"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lastRenderedPageBreak/>
              <w:t>Deci, E.L.</w:t>
            </w:r>
          </w:p>
        </w:tc>
        <w:tc>
          <w:tcPr>
            <w:tcW w:w="720" w:type="dxa"/>
            <w:tcBorders>
              <w:top w:val="nil"/>
              <w:left w:val="nil"/>
              <w:bottom w:val="single" w:sz="4" w:space="0" w:color="auto"/>
              <w:right w:val="single" w:sz="4" w:space="0" w:color="auto"/>
            </w:tcBorders>
            <w:hideMark/>
          </w:tcPr>
          <w:p w14:paraId="146E6262"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1971</w:t>
            </w:r>
          </w:p>
        </w:tc>
        <w:tc>
          <w:tcPr>
            <w:tcW w:w="1710" w:type="dxa"/>
            <w:tcBorders>
              <w:top w:val="nil"/>
              <w:left w:val="nil"/>
              <w:bottom w:val="single" w:sz="4" w:space="0" w:color="auto"/>
              <w:right w:val="single" w:sz="4" w:space="0" w:color="auto"/>
            </w:tcBorders>
          </w:tcPr>
          <w:p w14:paraId="69C10611" w14:textId="4610C19F" w:rsidR="00F440ED" w:rsidRPr="009E1F1D" w:rsidRDefault="00407172" w:rsidP="00F440ED">
            <w:pPr>
              <w:rPr>
                <w:rFonts w:ascii="Calibri" w:hAnsi="Calibri" w:cs="Calibri"/>
                <w:color w:val="000000"/>
                <w:sz w:val="22"/>
                <w:szCs w:val="22"/>
              </w:rPr>
            </w:pPr>
            <w:r w:rsidRPr="00F0534D">
              <w:rPr>
                <w:rFonts w:ascii="Calibri" w:hAnsi="Calibri" w:cs="Calibri"/>
                <w:color w:val="000000"/>
                <w:sz w:val="22"/>
                <w:szCs w:val="22"/>
              </w:rPr>
              <w:t>Cognitive Evaluation Theory</w:t>
            </w:r>
          </w:p>
        </w:tc>
        <w:tc>
          <w:tcPr>
            <w:tcW w:w="1710" w:type="dxa"/>
            <w:tcBorders>
              <w:top w:val="nil"/>
              <w:left w:val="nil"/>
              <w:bottom w:val="single" w:sz="4" w:space="0" w:color="auto"/>
              <w:right w:val="single" w:sz="4" w:space="0" w:color="auto"/>
            </w:tcBorders>
            <w:vAlign w:val="center"/>
          </w:tcPr>
          <w:p w14:paraId="2D12AA6B" w14:textId="52B03B97" w:rsidR="00F440ED" w:rsidRPr="009E1F1D" w:rsidRDefault="00F440ED" w:rsidP="00F440ED">
            <w:pPr>
              <w:rPr>
                <w:rFonts w:ascii="Calibri" w:hAnsi="Calibri" w:cs="Calibri"/>
                <w:color w:val="000000"/>
                <w:sz w:val="22"/>
                <w:szCs w:val="22"/>
              </w:rPr>
            </w:pPr>
            <w:r w:rsidRPr="00D0217E">
              <w:rPr>
                <w:color w:val="000000"/>
              </w:rPr>
              <w:t>External motivation</w:t>
            </w:r>
          </w:p>
        </w:tc>
        <w:tc>
          <w:tcPr>
            <w:tcW w:w="1980" w:type="dxa"/>
            <w:tcBorders>
              <w:top w:val="nil"/>
              <w:left w:val="nil"/>
              <w:bottom w:val="single" w:sz="4" w:space="0" w:color="auto"/>
              <w:right w:val="single" w:sz="4" w:space="0" w:color="auto"/>
            </w:tcBorders>
            <w:vAlign w:val="center"/>
          </w:tcPr>
          <w:p w14:paraId="4020A875" w14:textId="4DEAF130" w:rsidR="00F440ED" w:rsidRPr="009E1F1D" w:rsidRDefault="00F440ED" w:rsidP="00F440ED">
            <w:pPr>
              <w:rPr>
                <w:rFonts w:ascii="Calibri" w:hAnsi="Calibri" w:cs="Calibri"/>
                <w:color w:val="000000"/>
                <w:sz w:val="22"/>
                <w:szCs w:val="22"/>
              </w:rPr>
            </w:pPr>
            <w:r w:rsidRPr="00D0217E">
              <w:rPr>
                <w:color w:val="000000"/>
              </w:rPr>
              <w:t>Intrinsic crowding</w:t>
            </w:r>
          </w:p>
        </w:tc>
        <w:tc>
          <w:tcPr>
            <w:tcW w:w="1260" w:type="dxa"/>
            <w:tcBorders>
              <w:top w:val="nil"/>
              <w:left w:val="nil"/>
              <w:bottom w:val="single" w:sz="4" w:space="0" w:color="auto"/>
              <w:right w:val="single" w:sz="4" w:space="0" w:color="auto"/>
            </w:tcBorders>
            <w:vAlign w:val="center"/>
          </w:tcPr>
          <w:p w14:paraId="3FEB6553" w14:textId="49339667" w:rsidR="00F440ED" w:rsidRPr="009E1F1D" w:rsidRDefault="00F440ED" w:rsidP="00F440ED">
            <w:pPr>
              <w:rPr>
                <w:rFonts w:ascii="Calibri" w:hAnsi="Calibri" w:cs="Calibri"/>
                <w:color w:val="000000"/>
                <w:sz w:val="22"/>
                <w:szCs w:val="22"/>
              </w:rPr>
            </w:pPr>
            <w:r w:rsidRPr="00D0217E">
              <w:rPr>
                <w:color w:val="000000"/>
              </w:rPr>
              <w:t>Intrinsic motivation</w:t>
            </w:r>
          </w:p>
        </w:tc>
        <w:tc>
          <w:tcPr>
            <w:tcW w:w="1530" w:type="dxa"/>
            <w:tcBorders>
              <w:top w:val="nil"/>
              <w:left w:val="nil"/>
              <w:bottom w:val="single" w:sz="4" w:space="0" w:color="auto"/>
              <w:right w:val="single" w:sz="4" w:space="0" w:color="auto"/>
            </w:tcBorders>
            <w:hideMark/>
          </w:tcPr>
          <w:p w14:paraId="449AEC4E" w14:textId="77777777" w:rsidR="00F440ED" w:rsidRPr="009E1F1D" w:rsidRDefault="00F440ED" w:rsidP="00F440ED">
            <w:pPr>
              <w:rPr>
                <w:rFonts w:ascii="Calibri" w:hAnsi="Calibri" w:cs="Calibri"/>
                <w:color w:val="000000"/>
                <w:sz w:val="22"/>
                <w:szCs w:val="22"/>
              </w:rPr>
            </w:pPr>
            <w:r w:rsidRPr="009E1F1D">
              <w:rPr>
                <w:rFonts w:ascii="Calibri" w:hAnsi="Calibri" w:cs="Calibri"/>
                <w:color w:val="000000"/>
                <w:sz w:val="22"/>
                <w:szCs w:val="22"/>
              </w:rPr>
              <w:t xml:space="preserve">Reward contingency can reduce intrinsic motivation </w:t>
            </w:r>
            <w:r w:rsidRPr="009E1F1D">
              <w:rPr>
                <w:rFonts w:ascii="Calibri" w:hAnsi="Calibri" w:cs="Calibri"/>
                <w:color w:val="000000"/>
                <w:sz w:val="22"/>
                <w:szCs w:val="22"/>
              </w:rPr>
              <w:lastRenderedPageBreak/>
              <w:t>under some conditions</w:t>
            </w:r>
          </w:p>
        </w:tc>
        <w:tc>
          <w:tcPr>
            <w:tcW w:w="1440" w:type="dxa"/>
            <w:tcBorders>
              <w:top w:val="nil"/>
              <w:left w:val="nil"/>
              <w:bottom w:val="single" w:sz="4" w:space="0" w:color="auto"/>
              <w:right w:val="single" w:sz="4" w:space="0" w:color="auto"/>
            </w:tcBorders>
          </w:tcPr>
          <w:p w14:paraId="6A6A11BB" w14:textId="7A314E7A" w:rsidR="00F440ED" w:rsidRPr="009E1F1D" w:rsidRDefault="00B509E3" w:rsidP="00F440ED">
            <w:pPr>
              <w:rPr>
                <w:rFonts w:ascii="Calibri" w:hAnsi="Calibri" w:cs="Calibri"/>
                <w:color w:val="000000"/>
                <w:sz w:val="22"/>
                <w:szCs w:val="22"/>
              </w:rPr>
            </w:pPr>
            <w:r w:rsidRPr="004B62CF">
              <w:rPr>
                <w:rFonts w:ascii="Calibri" w:hAnsi="Calibri" w:cs="Calibri"/>
                <w:color w:val="000000"/>
                <w:sz w:val="22"/>
                <w:szCs w:val="22"/>
              </w:rPr>
              <w:lastRenderedPageBreak/>
              <w:t>Intrinsic motivation, rewards</w:t>
            </w:r>
          </w:p>
        </w:tc>
        <w:tc>
          <w:tcPr>
            <w:tcW w:w="236" w:type="dxa"/>
            <w:tcBorders>
              <w:top w:val="nil"/>
              <w:left w:val="nil"/>
              <w:bottom w:val="single" w:sz="4" w:space="0" w:color="auto"/>
              <w:right w:val="single" w:sz="4" w:space="0" w:color="auto"/>
            </w:tcBorders>
          </w:tcPr>
          <w:p w14:paraId="02372AD3" w14:textId="0FB7E545" w:rsidR="00F440ED" w:rsidRPr="009E1F1D" w:rsidRDefault="00F440ED" w:rsidP="00F440E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97285BF" w14:textId="4EB7DF1E" w:rsidR="00F440ED" w:rsidRPr="009E1F1D" w:rsidRDefault="00F440ED" w:rsidP="00F440ED">
            <w:pPr>
              <w:rPr>
                <w:rFonts w:ascii="Calibri" w:hAnsi="Calibri" w:cs="Calibri"/>
                <w:color w:val="000000"/>
                <w:sz w:val="22"/>
                <w:szCs w:val="22"/>
              </w:rPr>
            </w:pPr>
          </w:p>
        </w:tc>
      </w:tr>
      <w:tr w:rsidR="002A58DC" w:rsidRPr="009E1F1D" w14:paraId="1184F322"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CF6E3C7" w14:textId="77777777" w:rsidR="00D630EE" w:rsidRPr="009E1F1D" w:rsidRDefault="00D630EE" w:rsidP="00D630EE">
            <w:pPr>
              <w:jc w:val="right"/>
              <w:rPr>
                <w:rFonts w:ascii="Calibri" w:hAnsi="Calibri" w:cs="Calibri"/>
                <w:color w:val="000000"/>
                <w:sz w:val="22"/>
                <w:szCs w:val="22"/>
              </w:rPr>
            </w:pPr>
            <w:r w:rsidRPr="009E1F1D">
              <w:rPr>
                <w:rFonts w:ascii="Calibri" w:hAnsi="Calibri" w:cs="Calibri"/>
                <w:color w:val="000000"/>
                <w:sz w:val="22"/>
                <w:szCs w:val="22"/>
              </w:rPr>
              <w:t>5</w:t>
            </w:r>
          </w:p>
        </w:tc>
        <w:tc>
          <w:tcPr>
            <w:tcW w:w="1260" w:type="dxa"/>
            <w:tcBorders>
              <w:top w:val="nil"/>
              <w:left w:val="nil"/>
              <w:bottom w:val="single" w:sz="4" w:space="0" w:color="auto"/>
              <w:right w:val="single" w:sz="4" w:space="0" w:color="auto"/>
            </w:tcBorders>
            <w:hideMark/>
          </w:tcPr>
          <w:p w14:paraId="068D399D"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Intrinsic Motivation and Self-Determination in Human Behavior</w:t>
            </w:r>
          </w:p>
        </w:tc>
        <w:tc>
          <w:tcPr>
            <w:tcW w:w="1530" w:type="dxa"/>
            <w:tcBorders>
              <w:top w:val="nil"/>
              <w:left w:val="nil"/>
              <w:bottom w:val="single" w:sz="4" w:space="0" w:color="auto"/>
              <w:right w:val="single" w:sz="4" w:space="0" w:color="auto"/>
            </w:tcBorders>
            <w:hideMark/>
          </w:tcPr>
          <w:p w14:paraId="72E7FA39"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Deci, E.L. &amp; Ryan, R.M.</w:t>
            </w:r>
          </w:p>
        </w:tc>
        <w:tc>
          <w:tcPr>
            <w:tcW w:w="720" w:type="dxa"/>
            <w:tcBorders>
              <w:top w:val="nil"/>
              <w:left w:val="nil"/>
              <w:bottom w:val="single" w:sz="4" w:space="0" w:color="auto"/>
              <w:right w:val="single" w:sz="4" w:space="0" w:color="auto"/>
            </w:tcBorders>
            <w:hideMark/>
          </w:tcPr>
          <w:p w14:paraId="487753C5"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1985</w:t>
            </w:r>
          </w:p>
        </w:tc>
        <w:tc>
          <w:tcPr>
            <w:tcW w:w="1710" w:type="dxa"/>
            <w:tcBorders>
              <w:top w:val="nil"/>
              <w:left w:val="nil"/>
              <w:bottom w:val="single" w:sz="4" w:space="0" w:color="auto"/>
              <w:right w:val="single" w:sz="4" w:space="0" w:color="auto"/>
            </w:tcBorders>
          </w:tcPr>
          <w:p w14:paraId="24D5782C" w14:textId="4C466EC8" w:rsidR="00D630EE" w:rsidRPr="009E1F1D" w:rsidRDefault="00D630EE" w:rsidP="00D630EE">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2C6FEE07" w14:textId="095AA834" w:rsidR="00D630EE" w:rsidRPr="009E1F1D" w:rsidRDefault="00D630EE" w:rsidP="00D630EE">
            <w:pPr>
              <w:rPr>
                <w:rFonts w:ascii="Calibri" w:hAnsi="Calibri" w:cs="Calibri"/>
                <w:color w:val="000000"/>
                <w:sz w:val="22"/>
                <w:szCs w:val="22"/>
              </w:rPr>
            </w:pPr>
            <w:r w:rsidRPr="00D0217E">
              <w:rPr>
                <w:color w:val="000000"/>
              </w:rPr>
              <w:t>Autonomy support</w:t>
            </w:r>
          </w:p>
        </w:tc>
        <w:tc>
          <w:tcPr>
            <w:tcW w:w="1980" w:type="dxa"/>
            <w:tcBorders>
              <w:top w:val="nil"/>
              <w:left w:val="nil"/>
              <w:bottom w:val="single" w:sz="4" w:space="0" w:color="auto"/>
              <w:right w:val="single" w:sz="4" w:space="0" w:color="auto"/>
            </w:tcBorders>
            <w:vAlign w:val="center"/>
          </w:tcPr>
          <w:p w14:paraId="5D0B454D" w14:textId="75F398F2" w:rsidR="00D630EE" w:rsidRPr="009E1F1D" w:rsidRDefault="00D630EE" w:rsidP="00D630EE">
            <w:pPr>
              <w:rPr>
                <w:rFonts w:ascii="Calibri" w:hAnsi="Calibri" w:cs="Calibri"/>
                <w:color w:val="000000"/>
                <w:sz w:val="22"/>
                <w:szCs w:val="22"/>
              </w:rPr>
            </w:pPr>
            <w:r w:rsidRPr="00D0217E">
              <w:rPr>
                <w:color w:val="000000"/>
              </w:rPr>
              <w:t>External control</w:t>
            </w:r>
          </w:p>
        </w:tc>
        <w:tc>
          <w:tcPr>
            <w:tcW w:w="1260" w:type="dxa"/>
            <w:tcBorders>
              <w:top w:val="nil"/>
              <w:left w:val="nil"/>
              <w:bottom w:val="single" w:sz="4" w:space="0" w:color="auto"/>
              <w:right w:val="single" w:sz="4" w:space="0" w:color="auto"/>
            </w:tcBorders>
            <w:vAlign w:val="center"/>
          </w:tcPr>
          <w:p w14:paraId="146E951C" w14:textId="1D3F75C0" w:rsidR="00D630EE" w:rsidRPr="009E1F1D" w:rsidRDefault="00D630EE" w:rsidP="00D630EE">
            <w:pPr>
              <w:rPr>
                <w:rFonts w:ascii="Calibri" w:hAnsi="Calibri" w:cs="Calibri"/>
                <w:color w:val="000000"/>
                <w:sz w:val="22"/>
                <w:szCs w:val="22"/>
              </w:rPr>
            </w:pPr>
            <w:r w:rsidRPr="00D0217E">
              <w:rPr>
                <w:color w:val="000000"/>
              </w:rPr>
              <w:t>Intrinsic motivation</w:t>
            </w:r>
          </w:p>
        </w:tc>
        <w:tc>
          <w:tcPr>
            <w:tcW w:w="1530" w:type="dxa"/>
            <w:tcBorders>
              <w:top w:val="nil"/>
              <w:left w:val="nil"/>
              <w:bottom w:val="single" w:sz="4" w:space="0" w:color="auto"/>
              <w:right w:val="single" w:sz="4" w:space="0" w:color="auto"/>
            </w:tcBorders>
            <w:hideMark/>
          </w:tcPr>
          <w:p w14:paraId="715B097E"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Autonomy-supportive conditions foster self-determined motivation</w:t>
            </w:r>
          </w:p>
        </w:tc>
        <w:tc>
          <w:tcPr>
            <w:tcW w:w="1440" w:type="dxa"/>
            <w:tcBorders>
              <w:top w:val="nil"/>
              <w:left w:val="nil"/>
              <w:bottom w:val="single" w:sz="4" w:space="0" w:color="auto"/>
              <w:right w:val="single" w:sz="4" w:space="0" w:color="auto"/>
            </w:tcBorders>
          </w:tcPr>
          <w:p w14:paraId="1C830B0F" w14:textId="59FA2370" w:rsidR="00D630EE" w:rsidRPr="009E1F1D" w:rsidRDefault="00D630EE" w:rsidP="00D630EE">
            <w:pPr>
              <w:rPr>
                <w:rFonts w:ascii="Calibri" w:hAnsi="Calibri" w:cs="Calibri"/>
                <w:color w:val="000000"/>
                <w:sz w:val="22"/>
                <w:szCs w:val="22"/>
              </w:rPr>
            </w:pPr>
            <w:r w:rsidRPr="004B62CF">
              <w:rPr>
                <w:rFonts w:ascii="Calibri" w:hAnsi="Calibri" w:cs="Calibri"/>
                <w:color w:val="000000"/>
                <w:sz w:val="22"/>
                <w:szCs w:val="22"/>
              </w:rPr>
              <w:t>Autonomy, competence, relatedness</w:t>
            </w:r>
          </w:p>
        </w:tc>
        <w:tc>
          <w:tcPr>
            <w:tcW w:w="236" w:type="dxa"/>
            <w:tcBorders>
              <w:top w:val="nil"/>
              <w:left w:val="nil"/>
              <w:bottom w:val="single" w:sz="4" w:space="0" w:color="auto"/>
              <w:right w:val="single" w:sz="4" w:space="0" w:color="auto"/>
            </w:tcBorders>
          </w:tcPr>
          <w:p w14:paraId="6A4BF48C" w14:textId="1CE34F1A" w:rsidR="00D630EE" w:rsidRPr="009E1F1D" w:rsidRDefault="00D630EE" w:rsidP="00D630EE">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EF17E3D" w14:textId="7EF75DD5" w:rsidR="00D630EE" w:rsidRPr="009E1F1D" w:rsidRDefault="00D630EE" w:rsidP="00D630EE">
            <w:pPr>
              <w:rPr>
                <w:rFonts w:ascii="Calibri" w:hAnsi="Calibri" w:cs="Calibri"/>
                <w:color w:val="000000"/>
                <w:sz w:val="22"/>
                <w:szCs w:val="22"/>
              </w:rPr>
            </w:pPr>
          </w:p>
        </w:tc>
      </w:tr>
      <w:tr w:rsidR="002A58DC" w:rsidRPr="009E1F1D" w14:paraId="608C460A"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4701454" w14:textId="77777777" w:rsidR="00D630EE" w:rsidRPr="009E1F1D" w:rsidRDefault="00D630EE" w:rsidP="00D630EE">
            <w:pPr>
              <w:jc w:val="right"/>
              <w:rPr>
                <w:rFonts w:ascii="Calibri" w:hAnsi="Calibri" w:cs="Calibri"/>
                <w:color w:val="000000"/>
                <w:sz w:val="22"/>
                <w:szCs w:val="22"/>
              </w:rPr>
            </w:pPr>
            <w:r w:rsidRPr="009E1F1D">
              <w:rPr>
                <w:rFonts w:ascii="Calibri" w:hAnsi="Calibri" w:cs="Calibri"/>
                <w:color w:val="000000"/>
                <w:sz w:val="22"/>
                <w:szCs w:val="22"/>
              </w:rPr>
              <w:t>6</w:t>
            </w:r>
          </w:p>
        </w:tc>
        <w:tc>
          <w:tcPr>
            <w:tcW w:w="1260" w:type="dxa"/>
            <w:tcBorders>
              <w:top w:val="nil"/>
              <w:left w:val="nil"/>
              <w:bottom w:val="single" w:sz="4" w:space="0" w:color="auto"/>
              <w:right w:val="single" w:sz="4" w:space="0" w:color="auto"/>
            </w:tcBorders>
            <w:hideMark/>
          </w:tcPr>
          <w:p w14:paraId="4AC89E1A"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A Theory of Goal Setting and Task Performance</w:t>
            </w:r>
          </w:p>
        </w:tc>
        <w:tc>
          <w:tcPr>
            <w:tcW w:w="1530" w:type="dxa"/>
            <w:tcBorders>
              <w:top w:val="nil"/>
              <w:left w:val="nil"/>
              <w:bottom w:val="single" w:sz="4" w:space="0" w:color="auto"/>
              <w:right w:val="single" w:sz="4" w:space="0" w:color="auto"/>
            </w:tcBorders>
            <w:hideMark/>
          </w:tcPr>
          <w:p w14:paraId="0D661F25"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Locke, E.A. &amp; Latham, G.P.</w:t>
            </w:r>
          </w:p>
        </w:tc>
        <w:tc>
          <w:tcPr>
            <w:tcW w:w="720" w:type="dxa"/>
            <w:tcBorders>
              <w:top w:val="nil"/>
              <w:left w:val="nil"/>
              <w:bottom w:val="single" w:sz="4" w:space="0" w:color="auto"/>
              <w:right w:val="single" w:sz="4" w:space="0" w:color="auto"/>
            </w:tcBorders>
            <w:hideMark/>
          </w:tcPr>
          <w:p w14:paraId="21C57DCC"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1990</w:t>
            </w:r>
          </w:p>
        </w:tc>
        <w:tc>
          <w:tcPr>
            <w:tcW w:w="1710" w:type="dxa"/>
            <w:tcBorders>
              <w:top w:val="nil"/>
              <w:left w:val="nil"/>
              <w:bottom w:val="single" w:sz="4" w:space="0" w:color="auto"/>
              <w:right w:val="single" w:sz="4" w:space="0" w:color="auto"/>
            </w:tcBorders>
          </w:tcPr>
          <w:p w14:paraId="3077CD28" w14:textId="0F8C2185" w:rsidR="00D630EE" w:rsidRPr="009E1F1D" w:rsidRDefault="00D630EE" w:rsidP="00D630EE">
            <w:pPr>
              <w:rPr>
                <w:rFonts w:ascii="Calibri" w:hAnsi="Calibri" w:cs="Calibri"/>
                <w:color w:val="000000"/>
                <w:sz w:val="22"/>
                <w:szCs w:val="22"/>
              </w:rPr>
            </w:pPr>
            <w:r w:rsidRPr="00F0534D">
              <w:rPr>
                <w:rFonts w:ascii="Calibri" w:hAnsi="Calibri" w:cs="Calibri"/>
                <w:color w:val="000000"/>
                <w:sz w:val="22"/>
                <w:szCs w:val="22"/>
              </w:rPr>
              <w:t>Goal-Setting Theory</w:t>
            </w:r>
          </w:p>
        </w:tc>
        <w:tc>
          <w:tcPr>
            <w:tcW w:w="1710" w:type="dxa"/>
            <w:tcBorders>
              <w:top w:val="nil"/>
              <w:left w:val="nil"/>
              <w:bottom w:val="single" w:sz="4" w:space="0" w:color="auto"/>
              <w:right w:val="single" w:sz="4" w:space="0" w:color="auto"/>
            </w:tcBorders>
            <w:vAlign w:val="center"/>
          </w:tcPr>
          <w:p w14:paraId="7F064D65" w14:textId="329A10FD" w:rsidR="00D630EE" w:rsidRPr="009E1F1D" w:rsidRDefault="00D630EE" w:rsidP="00D630EE">
            <w:pPr>
              <w:rPr>
                <w:rFonts w:ascii="Calibri" w:hAnsi="Calibri" w:cs="Calibri"/>
                <w:color w:val="000000"/>
                <w:sz w:val="22"/>
                <w:szCs w:val="22"/>
              </w:rPr>
            </w:pPr>
            <w:r w:rsidRPr="00D0217E">
              <w:rPr>
                <w:color w:val="000000"/>
              </w:rPr>
              <w:t>Clear goals</w:t>
            </w:r>
          </w:p>
        </w:tc>
        <w:tc>
          <w:tcPr>
            <w:tcW w:w="1980" w:type="dxa"/>
            <w:tcBorders>
              <w:top w:val="nil"/>
              <w:left w:val="nil"/>
              <w:bottom w:val="single" w:sz="4" w:space="0" w:color="auto"/>
              <w:right w:val="single" w:sz="4" w:space="0" w:color="auto"/>
            </w:tcBorders>
            <w:vAlign w:val="center"/>
          </w:tcPr>
          <w:p w14:paraId="2FD4220A" w14:textId="5B8A9805" w:rsidR="00D630EE" w:rsidRPr="009E1F1D" w:rsidRDefault="00D630EE" w:rsidP="00D630EE">
            <w:pPr>
              <w:rPr>
                <w:rFonts w:ascii="Calibri" w:hAnsi="Calibri" w:cs="Calibri"/>
                <w:color w:val="000000"/>
                <w:sz w:val="22"/>
                <w:szCs w:val="22"/>
              </w:rPr>
            </w:pPr>
            <w:r w:rsidRPr="00D0217E">
              <w:rPr>
                <w:color w:val="000000"/>
              </w:rPr>
              <w:t>Goal pressure</w:t>
            </w:r>
          </w:p>
        </w:tc>
        <w:tc>
          <w:tcPr>
            <w:tcW w:w="1260" w:type="dxa"/>
            <w:tcBorders>
              <w:top w:val="nil"/>
              <w:left w:val="nil"/>
              <w:bottom w:val="single" w:sz="4" w:space="0" w:color="auto"/>
              <w:right w:val="single" w:sz="4" w:space="0" w:color="auto"/>
            </w:tcBorders>
            <w:vAlign w:val="center"/>
          </w:tcPr>
          <w:p w14:paraId="782AA755" w14:textId="6EF6D70C" w:rsidR="00D630EE" w:rsidRPr="009E1F1D" w:rsidRDefault="00D630EE" w:rsidP="00D630EE">
            <w:pPr>
              <w:rPr>
                <w:rFonts w:ascii="Calibri" w:hAnsi="Calibri" w:cs="Calibri"/>
                <w:color w:val="000000"/>
                <w:sz w:val="22"/>
                <w:szCs w:val="22"/>
              </w:rPr>
            </w:pPr>
            <w:r w:rsidRPr="00D0217E">
              <w:rPr>
                <w:color w:val="000000"/>
              </w:rPr>
              <w:t>Task performance</w:t>
            </w:r>
          </w:p>
        </w:tc>
        <w:tc>
          <w:tcPr>
            <w:tcW w:w="1530" w:type="dxa"/>
            <w:tcBorders>
              <w:top w:val="nil"/>
              <w:left w:val="nil"/>
              <w:bottom w:val="single" w:sz="4" w:space="0" w:color="auto"/>
              <w:right w:val="single" w:sz="4" w:space="0" w:color="auto"/>
            </w:tcBorders>
            <w:hideMark/>
          </w:tcPr>
          <w:p w14:paraId="17624F95" w14:textId="77777777" w:rsidR="00D630EE" w:rsidRPr="009E1F1D" w:rsidRDefault="00D630EE" w:rsidP="00D630EE">
            <w:pPr>
              <w:rPr>
                <w:rFonts w:ascii="Calibri" w:hAnsi="Calibri" w:cs="Calibri"/>
                <w:color w:val="000000"/>
                <w:sz w:val="22"/>
                <w:szCs w:val="22"/>
              </w:rPr>
            </w:pPr>
            <w:r w:rsidRPr="009E1F1D">
              <w:rPr>
                <w:rFonts w:ascii="Calibri" w:hAnsi="Calibri" w:cs="Calibri"/>
                <w:color w:val="000000"/>
                <w:sz w:val="22"/>
                <w:szCs w:val="22"/>
              </w:rPr>
              <w:t>Clear challenging goals can improve effort and performance</w:t>
            </w:r>
          </w:p>
        </w:tc>
        <w:tc>
          <w:tcPr>
            <w:tcW w:w="1440" w:type="dxa"/>
            <w:tcBorders>
              <w:top w:val="nil"/>
              <w:left w:val="nil"/>
              <w:bottom w:val="single" w:sz="4" w:space="0" w:color="auto"/>
              <w:right w:val="single" w:sz="4" w:space="0" w:color="auto"/>
            </w:tcBorders>
          </w:tcPr>
          <w:p w14:paraId="0DA9841E" w14:textId="68FCF44C" w:rsidR="00D630EE" w:rsidRPr="009E1F1D" w:rsidRDefault="000B1AA4" w:rsidP="00D630EE">
            <w:pPr>
              <w:rPr>
                <w:rFonts w:ascii="Calibri" w:hAnsi="Calibri" w:cs="Calibri"/>
                <w:color w:val="000000"/>
                <w:sz w:val="22"/>
                <w:szCs w:val="22"/>
              </w:rPr>
            </w:pPr>
            <w:r w:rsidRPr="004B62CF">
              <w:rPr>
                <w:rFonts w:ascii="Calibri" w:hAnsi="Calibri" w:cs="Calibri"/>
                <w:color w:val="000000"/>
                <w:sz w:val="22"/>
                <w:szCs w:val="22"/>
              </w:rPr>
              <w:t>Goals, feedback, performance</w:t>
            </w:r>
          </w:p>
        </w:tc>
        <w:tc>
          <w:tcPr>
            <w:tcW w:w="236" w:type="dxa"/>
            <w:tcBorders>
              <w:top w:val="nil"/>
              <w:left w:val="nil"/>
              <w:bottom w:val="single" w:sz="4" w:space="0" w:color="auto"/>
              <w:right w:val="single" w:sz="4" w:space="0" w:color="auto"/>
            </w:tcBorders>
          </w:tcPr>
          <w:p w14:paraId="3B3E39B5" w14:textId="575E536A" w:rsidR="00D630EE" w:rsidRPr="009E1F1D" w:rsidRDefault="00D630EE" w:rsidP="00D630EE">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D38A12E" w14:textId="72D7AFB5" w:rsidR="00D630EE" w:rsidRPr="009E1F1D" w:rsidRDefault="00D630EE" w:rsidP="00D630EE">
            <w:pPr>
              <w:rPr>
                <w:rFonts w:ascii="Calibri" w:hAnsi="Calibri" w:cs="Calibri"/>
                <w:color w:val="000000"/>
                <w:sz w:val="22"/>
                <w:szCs w:val="22"/>
              </w:rPr>
            </w:pPr>
          </w:p>
        </w:tc>
      </w:tr>
      <w:tr w:rsidR="002A58DC" w:rsidRPr="009E1F1D" w14:paraId="7A3B1A7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067CFCB" w14:textId="77777777" w:rsidR="00367130" w:rsidRPr="009E1F1D" w:rsidRDefault="00367130" w:rsidP="00367130">
            <w:pPr>
              <w:jc w:val="right"/>
              <w:rPr>
                <w:rFonts w:ascii="Calibri" w:hAnsi="Calibri" w:cs="Calibri"/>
                <w:color w:val="000000"/>
                <w:sz w:val="22"/>
                <w:szCs w:val="22"/>
              </w:rPr>
            </w:pPr>
            <w:r w:rsidRPr="009E1F1D">
              <w:rPr>
                <w:rFonts w:ascii="Calibri" w:hAnsi="Calibri" w:cs="Calibri"/>
                <w:color w:val="000000"/>
                <w:sz w:val="22"/>
                <w:szCs w:val="22"/>
              </w:rPr>
              <w:t>7</w:t>
            </w:r>
          </w:p>
        </w:tc>
        <w:tc>
          <w:tcPr>
            <w:tcW w:w="1260" w:type="dxa"/>
            <w:tcBorders>
              <w:top w:val="nil"/>
              <w:left w:val="nil"/>
              <w:bottom w:val="single" w:sz="4" w:space="0" w:color="auto"/>
              <w:right w:val="single" w:sz="4" w:space="0" w:color="auto"/>
            </w:tcBorders>
            <w:hideMark/>
          </w:tcPr>
          <w:p w14:paraId="299B5047"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Work Redesign</w:t>
            </w:r>
          </w:p>
        </w:tc>
        <w:tc>
          <w:tcPr>
            <w:tcW w:w="1530" w:type="dxa"/>
            <w:tcBorders>
              <w:top w:val="nil"/>
              <w:left w:val="nil"/>
              <w:bottom w:val="single" w:sz="4" w:space="0" w:color="auto"/>
              <w:right w:val="single" w:sz="4" w:space="0" w:color="auto"/>
            </w:tcBorders>
            <w:hideMark/>
          </w:tcPr>
          <w:p w14:paraId="466369BE"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Hackman, J.R. &amp; Oldham, G.R.</w:t>
            </w:r>
          </w:p>
        </w:tc>
        <w:tc>
          <w:tcPr>
            <w:tcW w:w="720" w:type="dxa"/>
            <w:tcBorders>
              <w:top w:val="nil"/>
              <w:left w:val="nil"/>
              <w:bottom w:val="single" w:sz="4" w:space="0" w:color="auto"/>
              <w:right w:val="single" w:sz="4" w:space="0" w:color="auto"/>
            </w:tcBorders>
            <w:hideMark/>
          </w:tcPr>
          <w:p w14:paraId="6EDC7DDB"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1980</w:t>
            </w:r>
          </w:p>
        </w:tc>
        <w:tc>
          <w:tcPr>
            <w:tcW w:w="1710" w:type="dxa"/>
            <w:tcBorders>
              <w:top w:val="nil"/>
              <w:left w:val="nil"/>
              <w:bottom w:val="single" w:sz="4" w:space="0" w:color="auto"/>
              <w:right w:val="single" w:sz="4" w:space="0" w:color="auto"/>
            </w:tcBorders>
          </w:tcPr>
          <w:p w14:paraId="1BD5209D" w14:textId="65AEC4C5" w:rsidR="00367130" w:rsidRPr="009E1F1D" w:rsidRDefault="00367130" w:rsidP="00367130">
            <w:pPr>
              <w:rPr>
                <w:rFonts w:ascii="Calibri" w:hAnsi="Calibri" w:cs="Calibri"/>
                <w:color w:val="000000"/>
                <w:sz w:val="22"/>
                <w:szCs w:val="22"/>
              </w:rPr>
            </w:pPr>
            <w:r w:rsidRPr="00F0534D">
              <w:rPr>
                <w:rFonts w:ascii="Calibri" w:hAnsi="Calibri" w:cs="Calibri"/>
                <w:color w:val="000000"/>
                <w:sz w:val="22"/>
                <w:szCs w:val="22"/>
              </w:rPr>
              <w:t>Job Characteristics Model</w:t>
            </w:r>
          </w:p>
        </w:tc>
        <w:tc>
          <w:tcPr>
            <w:tcW w:w="1710" w:type="dxa"/>
            <w:tcBorders>
              <w:top w:val="nil"/>
              <w:left w:val="nil"/>
              <w:bottom w:val="single" w:sz="4" w:space="0" w:color="auto"/>
              <w:right w:val="single" w:sz="4" w:space="0" w:color="auto"/>
            </w:tcBorders>
            <w:vAlign w:val="center"/>
          </w:tcPr>
          <w:p w14:paraId="5A50E9CC" w14:textId="52D3E8C5" w:rsidR="00367130" w:rsidRPr="009E1F1D" w:rsidRDefault="00367130" w:rsidP="00367130">
            <w:pPr>
              <w:rPr>
                <w:rFonts w:ascii="Calibri" w:hAnsi="Calibri" w:cs="Calibri"/>
                <w:color w:val="000000"/>
                <w:sz w:val="22"/>
                <w:szCs w:val="22"/>
              </w:rPr>
            </w:pPr>
            <w:r w:rsidRPr="00D0217E">
              <w:rPr>
                <w:color w:val="000000"/>
              </w:rPr>
              <w:t>Meaningful work</w:t>
            </w:r>
          </w:p>
        </w:tc>
        <w:tc>
          <w:tcPr>
            <w:tcW w:w="1980" w:type="dxa"/>
            <w:tcBorders>
              <w:top w:val="nil"/>
              <w:left w:val="nil"/>
              <w:bottom w:val="single" w:sz="4" w:space="0" w:color="auto"/>
              <w:right w:val="single" w:sz="4" w:space="0" w:color="auto"/>
            </w:tcBorders>
            <w:vAlign w:val="center"/>
          </w:tcPr>
          <w:p w14:paraId="6D260AE0" w14:textId="2695ADDA" w:rsidR="00367130" w:rsidRPr="009E1F1D" w:rsidRDefault="00367130" w:rsidP="00367130">
            <w:pPr>
              <w:rPr>
                <w:rFonts w:ascii="Calibri" w:hAnsi="Calibri" w:cs="Calibri"/>
                <w:color w:val="000000"/>
                <w:sz w:val="22"/>
                <w:szCs w:val="22"/>
              </w:rPr>
            </w:pPr>
            <w:r w:rsidRPr="00D0217E">
              <w:rPr>
                <w:color w:val="000000"/>
              </w:rPr>
              <w:t>Design limitations</w:t>
            </w:r>
          </w:p>
        </w:tc>
        <w:tc>
          <w:tcPr>
            <w:tcW w:w="1260" w:type="dxa"/>
            <w:tcBorders>
              <w:top w:val="nil"/>
              <w:left w:val="nil"/>
              <w:bottom w:val="single" w:sz="4" w:space="0" w:color="auto"/>
              <w:right w:val="single" w:sz="4" w:space="0" w:color="auto"/>
            </w:tcBorders>
            <w:vAlign w:val="center"/>
          </w:tcPr>
          <w:p w14:paraId="677C366C" w14:textId="573B4754" w:rsidR="00367130" w:rsidRPr="009E1F1D" w:rsidRDefault="00367130" w:rsidP="00367130">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2340C19A"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Job design can support intrinsic motivation alongside pay</w:t>
            </w:r>
          </w:p>
        </w:tc>
        <w:tc>
          <w:tcPr>
            <w:tcW w:w="1440" w:type="dxa"/>
            <w:tcBorders>
              <w:top w:val="nil"/>
              <w:left w:val="nil"/>
              <w:bottom w:val="single" w:sz="4" w:space="0" w:color="auto"/>
              <w:right w:val="single" w:sz="4" w:space="0" w:color="auto"/>
            </w:tcBorders>
          </w:tcPr>
          <w:p w14:paraId="427C2F16" w14:textId="0B22834F" w:rsidR="00367130" w:rsidRPr="009E1F1D" w:rsidRDefault="00367130" w:rsidP="00367130">
            <w:pPr>
              <w:rPr>
                <w:rFonts w:ascii="Calibri" w:hAnsi="Calibri" w:cs="Calibri"/>
                <w:color w:val="000000"/>
                <w:sz w:val="22"/>
                <w:szCs w:val="22"/>
              </w:rPr>
            </w:pPr>
            <w:r w:rsidRPr="004B62CF">
              <w:rPr>
                <w:rFonts w:ascii="Calibri" w:hAnsi="Calibri" w:cs="Calibri"/>
                <w:color w:val="000000"/>
                <w:sz w:val="22"/>
                <w:szCs w:val="22"/>
              </w:rPr>
              <w:t>Job design, autonomy</w:t>
            </w:r>
          </w:p>
        </w:tc>
        <w:tc>
          <w:tcPr>
            <w:tcW w:w="236" w:type="dxa"/>
            <w:tcBorders>
              <w:top w:val="nil"/>
              <w:left w:val="nil"/>
              <w:bottom w:val="single" w:sz="4" w:space="0" w:color="auto"/>
              <w:right w:val="single" w:sz="4" w:space="0" w:color="auto"/>
            </w:tcBorders>
          </w:tcPr>
          <w:p w14:paraId="31273EC0" w14:textId="58B2E179" w:rsidR="00367130" w:rsidRPr="009E1F1D" w:rsidRDefault="00367130" w:rsidP="0036713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99F2AD5" w14:textId="577CB25B" w:rsidR="00367130" w:rsidRPr="009E1F1D" w:rsidRDefault="00367130" w:rsidP="00367130">
            <w:pPr>
              <w:rPr>
                <w:rFonts w:ascii="Calibri" w:hAnsi="Calibri" w:cs="Calibri"/>
                <w:color w:val="000000"/>
                <w:sz w:val="22"/>
                <w:szCs w:val="22"/>
              </w:rPr>
            </w:pPr>
          </w:p>
        </w:tc>
      </w:tr>
      <w:tr w:rsidR="002A58DC" w:rsidRPr="009E1F1D" w14:paraId="12D560D3"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8737FC7" w14:textId="77777777" w:rsidR="00367130" w:rsidRPr="009E1F1D" w:rsidRDefault="00367130" w:rsidP="00367130">
            <w:pPr>
              <w:jc w:val="right"/>
              <w:rPr>
                <w:rFonts w:ascii="Calibri" w:hAnsi="Calibri" w:cs="Calibri"/>
                <w:color w:val="000000"/>
                <w:sz w:val="22"/>
                <w:szCs w:val="22"/>
              </w:rPr>
            </w:pPr>
            <w:r w:rsidRPr="009E1F1D">
              <w:rPr>
                <w:rFonts w:ascii="Calibri" w:hAnsi="Calibri" w:cs="Calibri"/>
                <w:color w:val="000000"/>
                <w:sz w:val="22"/>
                <w:szCs w:val="22"/>
              </w:rPr>
              <w:t>8</w:t>
            </w:r>
          </w:p>
        </w:tc>
        <w:tc>
          <w:tcPr>
            <w:tcW w:w="1260" w:type="dxa"/>
            <w:tcBorders>
              <w:top w:val="nil"/>
              <w:left w:val="nil"/>
              <w:bottom w:val="single" w:sz="4" w:space="0" w:color="auto"/>
              <w:right w:val="single" w:sz="4" w:space="0" w:color="auto"/>
            </w:tcBorders>
            <w:hideMark/>
          </w:tcPr>
          <w:p w14:paraId="11F9DDD2"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 xml:space="preserve">A Meta-Analytic Review of Experiments Examining the Effects of Extrinsic Rewards </w:t>
            </w:r>
            <w:r w:rsidRPr="009E1F1D">
              <w:rPr>
                <w:rFonts w:ascii="Calibri" w:hAnsi="Calibri" w:cs="Calibri"/>
                <w:color w:val="000000"/>
                <w:sz w:val="22"/>
                <w:szCs w:val="22"/>
              </w:rPr>
              <w:lastRenderedPageBreak/>
              <w:t>on Intrinsic Motivation</w:t>
            </w:r>
          </w:p>
        </w:tc>
        <w:tc>
          <w:tcPr>
            <w:tcW w:w="1530" w:type="dxa"/>
            <w:tcBorders>
              <w:top w:val="nil"/>
              <w:left w:val="nil"/>
              <w:bottom w:val="single" w:sz="4" w:space="0" w:color="auto"/>
              <w:right w:val="single" w:sz="4" w:space="0" w:color="auto"/>
            </w:tcBorders>
            <w:hideMark/>
          </w:tcPr>
          <w:p w14:paraId="39BF83AD"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lastRenderedPageBreak/>
              <w:t>Deci, E.L., Koestner, R. &amp; Ryan, R.M.</w:t>
            </w:r>
          </w:p>
        </w:tc>
        <w:tc>
          <w:tcPr>
            <w:tcW w:w="720" w:type="dxa"/>
            <w:tcBorders>
              <w:top w:val="nil"/>
              <w:left w:val="nil"/>
              <w:bottom w:val="single" w:sz="4" w:space="0" w:color="auto"/>
              <w:right w:val="single" w:sz="4" w:space="0" w:color="auto"/>
            </w:tcBorders>
            <w:hideMark/>
          </w:tcPr>
          <w:p w14:paraId="032B5B25"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1999</w:t>
            </w:r>
          </w:p>
        </w:tc>
        <w:tc>
          <w:tcPr>
            <w:tcW w:w="1710" w:type="dxa"/>
            <w:tcBorders>
              <w:top w:val="nil"/>
              <w:left w:val="nil"/>
              <w:bottom w:val="single" w:sz="4" w:space="0" w:color="auto"/>
              <w:right w:val="single" w:sz="4" w:space="0" w:color="auto"/>
            </w:tcBorders>
          </w:tcPr>
          <w:p w14:paraId="31543F02" w14:textId="0D031E54" w:rsidR="00367130" w:rsidRPr="009E1F1D" w:rsidRDefault="00367130" w:rsidP="00367130">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0801FBC9" w14:textId="1DB939E4" w:rsidR="00367130" w:rsidRPr="009E1F1D" w:rsidRDefault="00367130" w:rsidP="00367130">
            <w:pPr>
              <w:rPr>
                <w:rFonts w:ascii="Calibri" w:hAnsi="Calibri" w:cs="Calibri"/>
                <w:color w:val="000000"/>
                <w:sz w:val="22"/>
                <w:szCs w:val="22"/>
              </w:rPr>
            </w:pPr>
            <w:r w:rsidRPr="00D0217E">
              <w:rPr>
                <w:color w:val="000000"/>
              </w:rPr>
              <w:t>Extrinsic motivation</w:t>
            </w:r>
          </w:p>
        </w:tc>
        <w:tc>
          <w:tcPr>
            <w:tcW w:w="1980" w:type="dxa"/>
            <w:tcBorders>
              <w:top w:val="nil"/>
              <w:left w:val="nil"/>
              <w:bottom w:val="single" w:sz="4" w:space="0" w:color="auto"/>
              <w:right w:val="single" w:sz="4" w:space="0" w:color="auto"/>
            </w:tcBorders>
            <w:vAlign w:val="center"/>
          </w:tcPr>
          <w:p w14:paraId="4F250025" w14:textId="65EE97B9" w:rsidR="00367130" w:rsidRPr="009E1F1D" w:rsidRDefault="00367130" w:rsidP="00367130">
            <w:pPr>
              <w:rPr>
                <w:rFonts w:ascii="Calibri" w:hAnsi="Calibri" w:cs="Calibri"/>
                <w:color w:val="000000"/>
                <w:sz w:val="22"/>
                <w:szCs w:val="22"/>
              </w:rPr>
            </w:pPr>
            <w:r w:rsidRPr="00D0217E">
              <w:rPr>
                <w:color w:val="000000"/>
              </w:rPr>
              <w:t>Intrinsic crowding</w:t>
            </w:r>
          </w:p>
        </w:tc>
        <w:tc>
          <w:tcPr>
            <w:tcW w:w="1260" w:type="dxa"/>
            <w:tcBorders>
              <w:top w:val="nil"/>
              <w:left w:val="nil"/>
              <w:bottom w:val="single" w:sz="4" w:space="0" w:color="auto"/>
              <w:right w:val="single" w:sz="4" w:space="0" w:color="auto"/>
            </w:tcBorders>
            <w:vAlign w:val="center"/>
          </w:tcPr>
          <w:p w14:paraId="59837923" w14:textId="0D3F8162" w:rsidR="00367130" w:rsidRPr="009E1F1D" w:rsidRDefault="00367130" w:rsidP="00367130">
            <w:pPr>
              <w:rPr>
                <w:rFonts w:ascii="Calibri" w:hAnsi="Calibri" w:cs="Calibri"/>
                <w:color w:val="000000"/>
                <w:sz w:val="22"/>
                <w:szCs w:val="22"/>
              </w:rPr>
            </w:pPr>
            <w:r w:rsidRPr="00D0217E">
              <w:rPr>
                <w:color w:val="000000"/>
              </w:rPr>
              <w:t>Intrinsic motivation</w:t>
            </w:r>
          </w:p>
        </w:tc>
        <w:tc>
          <w:tcPr>
            <w:tcW w:w="1530" w:type="dxa"/>
            <w:tcBorders>
              <w:top w:val="nil"/>
              <w:left w:val="nil"/>
              <w:bottom w:val="single" w:sz="4" w:space="0" w:color="auto"/>
              <w:right w:val="single" w:sz="4" w:space="0" w:color="auto"/>
            </w:tcBorders>
            <w:hideMark/>
          </w:tcPr>
          <w:p w14:paraId="23CB0A8F"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Performance-contingent rewards reduced intrinsic motivation in experimental settings</w:t>
            </w:r>
          </w:p>
        </w:tc>
        <w:tc>
          <w:tcPr>
            <w:tcW w:w="1440" w:type="dxa"/>
            <w:tcBorders>
              <w:top w:val="nil"/>
              <w:left w:val="nil"/>
              <w:bottom w:val="single" w:sz="4" w:space="0" w:color="auto"/>
              <w:right w:val="single" w:sz="4" w:space="0" w:color="auto"/>
            </w:tcBorders>
          </w:tcPr>
          <w:p w14:paraId="01357BBE" w14:textId="3C6B6B79" w:rsidR="00367130" w:rsidRPr="009E1F1D" w:rsidRDefault="001A7006" w:rsidP="00367130">
            <w:pPr>
              <w:rPr>
                <w:rFonts w:ascii="Calibri" w:hAnsi="Calibri" w:cs="Calibri"/>
                <w:color w:val="000000"/>
                <w:sz w:val="22"/>
                <w:szCs w:val="22"/>
              </w:rPr>
            </w:pPr>
            <w:r w:rsidRPr="004B62CF">
              <w:rPr>
                <w:rFonts w:ascii="Calibri" w:hAnsi="Calibri" w:cs="Calibri"/>
                <w:color w:val="000000"/>
                <w:sz w:val="22"/>
                <w:szCs w:val="22"/>
              </w:rPr>
              <w:t>Extrinsic rewards, intrinsic motivation</w:t>
            </w:r>
          </w:p>
        </w:tc>
        <w:tc>
          <w:tcPr>
            <w:tcW w:w="236" w:type="dxa"/>
            <w:tcBorders>
              <w:top w:val="nil"/>
              <w:left w:val="nil"/>
              <w:bottom w:val="single" w:sz="4" w:space="0" w:color="auto"/>
              <w:right w:val="single" w:sz="4" w:space="0" w:color="auto"/>
            </w:tcBorders>
          </w:tcPr>
          <w:p w14:paraId="7BD8E742" w14:textId="6180C23C" w:rsidR="00367130" w:rsidRPr="009E1F1D" w:rsidRDefault="00367130" w:rsidP="0036713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B2CDADE" w14:textId="65D333C9" w:rsidR="00367130" w:rsidRPr="009E1F1D" w:rsidRDefault="00367130" w:rsidP="00367130">
            <w:pPr>
              <w:rPr>
                <w:rFonts w:ascii="Calibri" w:hAnsi="Calibri" w:cs="Calibri"/>
                <w:color w:val="000000"/>
                <w:sz w:val="22"/>
                <w:szCs w:val="22"/>
              </w:rPr>
            </w:pPr>
          </w:p>
        </w:tc>
      </w:tr>
      <w:tr w:rsidR="002A58DC" w:rsidRPr="009E1F1D" w14:paraId="510BA9B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EF040E4" w14:textId="77777777" w:rsidR="00367130" w:rsidRPr="009E1F1D" w:rsidRDefault="00367130" w:rsidP="00367130">
            <w:pPr>
              <w:jc w:val="right"/>
              <w:rPr>
                <w:rFonts w:ascii="Calibri" w:hAnsi="Calibri" w:cs="Calibri"/>
                <w:color w:val="000000"/>
                <w:sz w:val="22"/>
                <w:szCs w:val="22"/>
              </w:rPr>
            </w:pPr>
            <w:r w:rsidRPr="009E1F1D">
              <w:rPr>
                <w:rFonts w:ascii="Calibri" w:hAnsi="Calibri" w:cs="Calibri"/>
                <w:color w:val="000000"/>
                <w:sz w:val="22"/>
                <w:szCs w:val="22"/>
              </w:rPr>
              <w:t>9</w:t>
            </w:r>
          </w:p>
        </w:tc>
        <w:tc>
          <w:tcPr>
            <w:tcW w:w="1260" w:type="dxa"/>
            <w:tcBorders>
              <w:top w:val="nil"/>
              <w:left w:val="nil"/>
              <w:bottom w:val="single" w:sz="4" w:space="0" w:color="auto"/>
              <w:right w:val="single" w:sz="4" w:space="0" w:color="auto"/>
            </w:tcBorders>
            <w:hideMark/>
          </w:tcPr>
          <w:p w14:paraId="01F63430"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The Role of Conscious Goals in Motivating Action</w:t>
            </w:r>
          </w:p>
        </w:tc>
        <w:tc>
          <w:tcPr>
            <w:tcW w:w="1530" w:type="dxa"/>
            <w:tcBorders>
              <w:top w:val="nil"/>
              <w:left w:val="nil"/>
              <w:bottom w:val="single" w:sz="4" w:space="0" w:color="auto"/>
              <w:right w:val="single" w:sz="4" w:space="0" w:color="auto"/>
            </w:tcBorders>
            <w:hideMark/>
          </w:tcPr>
          <w:p w14:paraId="5D3CC23E"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Locke, E.A. &amp; Latham, G.P.</w:t>
            </w:r>
          </w:p>
        </w:tc>
        <w:tc>
          <w:tcPr>
            <w:tcW w:w="720" w:type="dxa"/>
            <w:tcBorders>
              <w:top w:val="nil"/>
              <w:left w:val="nil"/>
              <w:bottom w:val="single" w:sz="4" w:space="0" w:color="auto"/>
              <w:right w:val="single" w:sz="4" w:space="0" w:color="auto"/>
            </w:tcBorders>
            <w:hideMark/>
          </w:tcPr>
          <w:p w14:paraId="7EF4B630"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2002</w:t>
            </w:r>
          </w:p>
        </w:tc>
        <w:tc>
          <w:tcPr>
            <w:tcW w:w="1710" w:type="dxa"/>
            <w:tcBorders>
              <w:top w:val="nil"/>
              <w:left w:val="nil"/>
              <w:bottom w:val="single" w:sz="4" w:space="0" w:color="auto"/>
              <w:right w:val="single" w:sz="4" w:space="0" w:color="auto"/>
            </w:tcBorders>
          </w:tcPr>
          <w:p w14:paraId="0CFE5556" w14:textId="02A1D844" w:rsidR="00367130" w:rsidRPr="009E1F1D" w:rsidRDefault="00367130" w:rsidP="00367130">
            <w:pPr>
              <w:rPr>
                <w:rFonts w:ascii="Calibri" w:hAnsi="Calibri" w:cs="Calibri"/>
                <w:color w:val="000000"/>
                <w:sz w:val="22"/>
                <w:szCs w:val="22"/>
              </w:rPr>
            </w:pPr>
            <w:r w:rsidRPr="00F0534D">
              <w:rPr>
                <w:rFonts w:ascii="Calibri" w:hAnsi="Calibri" w:cs="Calibri"/>
                <w:color w:val="000000"/>
                <w:sz w:val="22"/>
                <w:szCs w:val="22"/>
              </w:rPr>
              <w:t>Goal-Setting Theory</w:t>
            </w:r>
          </w:p>
        </w:tc>
        <w:tc>
          <w:tcPr>
            <w:tcW w:w="1710" w:type="dxa"/>
            <w:tcBorders>
              <w:top w:val="nil"/>
              <w:left w:val="nil"/>
              <w:bottom w:val="single" w:sz="4" w:space="0" w:color="auto"/>
              <w:right w:val="single" w:sz="4" w:space="0" w:color="auto"/>
            </w:tcBorders>
            <w:vAlign w:val="center"/>
          </w:tcPr>
          <w:p w14:paraId="141C8E80" w14:textId="3DF225AD" w:rsidR="00367130" w:rsidRPr="009E1F1D" w:rsidRDefault="00367130" w:rsidP="00367130">
            <w:pPr>
              <w:rPr>
                <w:rFonts w:ascii="Calibri" w:hAnsi="Calibri" w:cs="Calibri"/>
                <w:color w:val="000000"/>
                <w:sz w:val="22"/>
                <w:szCs w:val="22"/>
              </w:rPr>
            </w:pPr>
            <w:r w:rsidRPr="00D0217E">
              <w:rPr>
                <w:color w:val="000000"/>
              </w:rPr>
              <w:t>Goal clarity</w:t>
            </w:r>
          </w:p>
        </w:tc>
        <w:tc>
          <w:tcPr>
            <w:tcW w:w="1980" w:type="dxa"/>
            <w:tcBorders>
              <w:top w:val="nil"/>
              <w:left w:val="nil"/>
              <w:bottom w:val="single" w:sz="4" w:space="0" w:color="auto"/>
              <w:right w:val="single" w:sz="4" w:space="0" w:color="auto"/>
            </w:tcBorders>
            <w:vAlign w:val="center"/>
          </w:tcPr>
          <w:p w14:paraId="26937834" w14:textId="0D9C34D8" w:rsidR="00367130" w:rsidRPr="009E1F1D" w:rsidRDefault="00367130" w:rsidP="00367130">
            <w:pPr>
              <w:rPr>
                <w:rFonts w:ascii="Calibri" w:hAnsi="Calibri" w:cs="Calibri"/>
                <w:color w:val="000000"/>
                <w:sz w:val="22"/>
                <w:szCs w:val="22"/>
              </w:rPr>
            </w:pPr>
            <w:r w:rsidRPr="00D0217E">
              <w:rPr>
                <w:color w:val="000000"/>
              </w:rPr>
              <w:t>Excessive pressure</w:t>
            </w:r>
          </w:p>
        </w:tc>
        <w:tc>
          <w:tcPr>
            <w:tcW w:w="1260" w:type="dxa"/>
            <w:tcBorders>
              <w:top w:val="nil"/>
              <w:left w:val="nil"/>
              <w:bottom w:val="single" w:sz="4" w:space="0" w:color="auto"/>
              <w:right w:val="single" w:sz="4" w:space="0" w:color="auto"/>
            </w:tcBorders>
            <w:vAlign w:val="center"/>
          </w:tcPr>
          <w:p w14:paraId="0277231C" w14:textId="3CA3F186" w:rsidR="00367130" w:rsidRPr="009E1F1D" w:rsidRDefault="00367130" w:rsidP="00367130">
            <w:pPr>
              <w:rPr>
                <w:rFonts w:ascii="Calibri" w:hAnsi="Calibri" w:cs="Calibri"/>
                <w:color w:val="000000"/>
                <w:sz w:val="22"/>
                <w:szCs w:val="22"/>
              </w:rPr>
            </w:pPr>
            <w:r w:rsidRPr="00D0217E">
              <w:rPr>
                <w:color w:val="000000"/>
              </w:rPr>
              <w:t>Task motivation</w:t>
            </w:r>
          </w:p>
        </w:tc>
        <w:tc>
          <w:tcPr>
            <w:tcW w:w="1530" w:type="dxa"/>
            <w:tcBorders>
              <w:top w:val="nil"/>
              <w:left w:val="nil"/>
              <w:bottom w:val="single" w:sz="4" w:space="0" w:color="auto"/>
              <w:right w:val="single" w:sz="4" w:space="0" w:color="auto"/>
            </w:tcBorders>
            <w:hideMark/>
          </w:tcPr>
          <w:p w14:paraId="2F8A8FD6" w14:textId="77777777" w:rsidR="00367130" w:rsidRPr="009E1F1D" w:rsidRDefault="00367130" w:rsidP="00367130">
            <w:pPr>
              <w:rPr>
                <w:rFonts w:ascii="Calibri" w:hAnsi="Calibri" w:cs="Calibri"/>
                <w:color w:val="000000"/>
                <w:sz w:val="22"/>
                <w:szCs w:val="22"/>
              </w:rPr>
            </w:pPr>
            <w:r w:rsidRPr="009E1F1D">
              <w:rPr>
                <w:rFonts w:ascii="Calibri" w:hAnsi="Calibri" w:cs="Calibri"/>
                <w:color w:val="000000"/>
                <w:sz w:val="22"/>
                <w:szCs w:val="22"/>
              </w:rPr>
              <w:t>Goal clarity and commitment are central to motivated performance</w:t>
            </w:r>
          </w:p>
        </w:tc>
        <w:tc>
          <w:tcPr>
            <w:tcW w:w="1440" w:type="dxa"/>
            <w:tcBorders>
              <w:top w:val="nil"/>
              <w:left w:val="nil"/>
              <w:bottom w:val="single" w:sz="4" w:space="0" w:color="auto"/>
              <w:right w:val="single" w:sz="4" w:space="0" w:color="auto"/>
            </w:tcBorders>
          </w:tcPr>
          <w:p w14:paraId="742174E8" w14:textId="0A9D6082" w:rsidR="00367130" w:rsidRPr="009E1F1D" w:rsidRDefault="00EC1315" w:rsidP="00367130">
            <w:pPr>
              <w:rPr>
                <w:rFonts w:ascii="Calibri" w:hAnsi="Calibri" w:cs="Calibri"/>
                <w:color w:val="000000"/>
                <w:sz w:val="22"/>
                <w:szCs w:val="22"/>
              </w:rPr>
            </w:pPr>
            <w:r w:rsidRPr="004B62CF">
              <w:rPr>
                <w:rFonts w:ascii="Calibri" w:hAnsi="Calibri" w:cs="Calibri"/>
                <w:color w:val="000000"/>
                <w:sz w:val="22"/>
                <w:szCs w:val="22"/>
              </w:rPr>
              <w:t>Goals, motivation</w:t>
            </w:r>
          </w:p>
        </w:tc>
        <w:tc>
          <w:tcPr>
            <w:tcW w:w="236" w:type="dxa"/>
            <w:tcBorders>
              <w:top w:val="nil"/>
              <w:left w:val="nil"/>
              <w:bottom w:val="single" w:sz="4" w:space="0" w:color="auto"/>
              <w:right w:val="single" w:sz="4" w:space="0" w:color="auto"/>
            </w:tcBorders>
          </w:tcPr>
          <w:p w14:paraId="428EE08B" w14:textId="23A86B7D" w:rsidR="00367130" w:rsidRPr="009E1F1D" w:rsidRDefault="00367130" w:rsidP="0036713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E48FC80" w14:textId="727680FB" w:rsidR="00367130" w:rsidRPr="009E1F1D" w:rsidRDefault="00367130" w:rsidP="00367130">
            <w:pPr>
              <w:rPr>
                <w:rFonts w:ascii="Calibri" w:hAnsi="Calibri" w:cs="Calibri"/>
                <w:color w:val="000000"/>
                <w:sz w:val="22"/>
                <w:szCs w:val="22"/>
              </w:rPr>
            </w:pPr>
          </w:p>
        </w:tc>
      </w:tr>
      <w:tr w:rsidR="002A58DC" w:rsidRPr="009E1F1D" w14:paraId="685453D4"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779DA6B" w14:textId="77777777" w:rsidR="005F71DB" w:rsidRPr="009E1F1D" w:rsidRDefault="005F71DB" w:rsidP="005F71DB">
            <w:pPr>
              <w:jc w:val="right"/>
              <w:rPr>
                <w:rFonts w:ascii="Calibri" w:hAnsi="Calibri" w:cs="Calibri"/>
                <w:color w:val="000000"/>
                <w:sz w:val="22"/>
                <w:szCs w:val="22"/>
              </w:rPr>
            </w:pPr>
            <w:r w:rsidRPr="009E1F1D">
              <w:rPr>
                <w:rFonts w:ascii="Calibri" w:hAnsi="Calibri" w:cs="Calibri"/>
                <w:color w:val="000000"/>
                <w:sz w:val="22"/>
                <w:szCs w:val="22"/>
              </w:rPr>
              <w:t>10</w:t>
            </w:r>
          </w:p>
        </w:tc>
        <w:tc>
          <w:tcPr>
            <w:tcW w:w="1260" w:type="dxa"/>
            <w:tcBorders>
              <w:top w:val="nil"/>
              <w:left w:val="nil"/>
              <w:bottom w:val="single" w:sz="4" w:space="0" w:color="auto"/>
              <w:right w:val="single" w:sz="4" w:space="0" w:color="auto"/>
            </w:tcBorders>
            <w:hideMark/>
          </w:tcPr>
          <w:p w14:paraId="28BD2306"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Self-Determination Theory and the Facilitation of Intrinsic Motivation, Social Development, and Well-Being</w:t>
            </w:r>
          </w:p>
        </w:tc>
        <w:tc>
          <w:tcPr>
            <w:tcW w:w="1530" w:type="dxa"/>
            <w:tcBorders>
              <w:top w:val="nil"/>
              <w:left w:val="nil"/>
              <w:bottom w:val="single" w:sz="4" w:space="0" w:color="auto"/>
              <w:right w:val="single" w:sz="4" w:space="0" w:color="auto"/>
            </w:tcBorders>
            <w:hideMark/>
          </w:tcPr>
          <w:p w14:paraId="7AF56316"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Ryan, R.M. &amp; Deci, E.L.</w:t>
            </w:r>
          </w:p>
        </w:tc>
        <w:tc>
          <w:tcPr>
            <w:tcW w:w="720" w:type="dxa"/>
            <w:tcBorders>
              <w:top w:val="nil"/>
              <w:left w:val="nil"/>
              <w:bottom w:val="single" w:sz="4" w:space="0" w:color="auto"/>
              <w:right w:val="single" w:sz="4" w:space="0" w:color="auto"/>
            </w:tcBorders>
            <w:hideMark/>
          </w:tcPr>
          <w:p w14:paraId="32E72EE4"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2000</w:t>
            </w:r>
          </w:p>
        </w:tc>
        <w:tc>
          <w:tcPr>
            <w:tcW w:w="1710" w:type="dxa"/>
            <w:tcBorders>
              <w:top w:val="nil"/>
              <w:left w:val="nil"/>
              <w:bottom w:val="single" w:sz="4" w:space="0" w:color="auto"/>
              <w:right w:val="single" w:sz="4" w:space="0" w:color="auto"/>
            </w:tcBorders>
          </w:tcPr>
          <w:p w14:paraId="69FEA9E2" w14:textId="45AD7A3A" w:rsidR="005F71DB" w:rsidRPr="009E1F1D" w:rsidRDefault="005F71DB" w:rsidP="005F71DB">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69C820C2" w14:textId="3330F530" w:rsidR="005F71DB" w:rsidRPr="009E1F1D" w:rsidRDefault="005F71DB" w:rsidP="005F71DB">
            <w:pPr>
              <w:rPr>
                <w:rFonts w:ascii="Calibri" w:hAnsi="Calibri" w:cs="Calibri"/>
                <w:color w:val="000000"/>
                <w:sz w:val="22"/>
                <w:szCs w:val="22"/>
              </w:rPr>
            </w:pPr>
            <w:r w:rsidRPr="00D0217E">
              <w:rPr>
                <w:color w:val="000000"/>
              </w:rPr>
              <w:t>Intrinsic motivation</w:t>
            </w:r>
          </w:p>
        </w:tc>
        <w:tc>
          <w:tcPr>
            <w:tcW w:w="1980" w:type="dxa"/>
            <w:tcBorders>
              <w:top w:val="nil"/>
              <w:left w:val="nil"/>
              <w:bottom w:val="single" w:sz="4" w:space="0" w:color="auto"/>
              <w:right w:val="single" w:sz="4" w:space="0" w:color="auto"/>
            </w:tcBorders>
            <w:vAlign w:val="center"/>
          </w:tcPr>
          <w:p w14:paraId="3D9DB4A1" w14:textId="783AFAE4" w:rsidR="005F71DB" w:rsidRPr="009E1F1D" w:rsidRDefault="005F71DB" w:rsidP="005F71DB">
            <w:pPr>
              <w:rPr>
                <w:rFonts w:ascii="Calibri" w:hAnsi="Calibri" w:cs="Calibri"/>
                <w:color w:val="000000"/>
                <w:sz w:val="22"/>
                <w:szCs w:val="22"/>
              </w:rPr>
            </w:pPr>
            <w:r w:rsidRPr="00D0217E">
              <w:rPr>
                <w:color w:val="000000"/>
              </w:rPr>
              <w:t>External control</w:t>
            </w:r>
          </w:p>
        </w:tc>
        <w:tc>
          <w:tcPr>
            <w:tcW w:w="1260" w:type="dxa"/>
            <w:tcBorders>
              <w:top w:val="nil"/>
              <w:left w:val="nil"/>
              <w:bottom w:val="single" w:sz="4" w:space="0" w:color="auto"/>
              <w:right w:val="single" w:sz="4" w:space="0" w:color="auto"/>
            </w:tcBorders>
            <w:vAlign w:val="center"/>
          </w:tcPr>
          <w:p w14:paraId="66274B85" w14:textId="09B7EF79" w:rsidR="005F71DB" w:rsidRPr="009E1F1D" w:rsidRDefault="005F71DB" w:rsidP="005F71DB">
            <w:pPr>
              <w:rPr>
                <w:rFonts w:ascii="Calibri" w:hAnsi="Calibri" w:cs="Calibri"/>
                <w:color w:val="000000"/>
                <w:sz w:val="22"/>
                <w:szCs w:val="22"/>
              </w:rPr>
            </w:pPr>
            <w:r w:rsidRPr="00D0217E">
              <w:rPr>
                <w:color w:val="000000"/>
              </w:rPr>
              <w:t>Employee wellbeing</w:t>
            </w:r>
          </w:p>
        </w:tc>
        <w:tc>
          <w:tcPr>
            <w:tcW w:w="1530" w:type="dxa"/>
            <w:tcBorders>
              <w:top w:val="nil"/>
              <w:left w:val="nil"/>
              <w:bottom w:val="single" w:sz="4" w:space="0" w:color="auto"/>
              <w:right w:val="single" w:sz="4" w:space="0" w:color="auto"/>
            </w:tcBorders>
            <w:hideMark/>
          </w:tcPr>
          <w:p w14:paraId="0C890EA7"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Need satisfaction supports intrinsic motivation and well-being</w:t>
            </w:r>
          </w:p>
        </w:tc>
        <w:tc>
          <w:tcPr>
            <w:tcW w:w="1440" w:type="dxa"/>
            <w:tcBorders>
              <w:top w:val="nil"/>
              <w:left w:val="nil"/>
              <w:bottom w:val="single" w:sz="4" w:space="0" w:color="auto"/>
              <w:right w:val="single" w:sz="4" w:space="0" w:color="auto"/>
            </w:tcBorders>
          </w:tcPr>
          <w:p w14:paraId="0A0D105A" w14:textId="11B43DA3" w:rsidR="005F71DB" w:rsidRPr="009E1F1D" w:rsidRDefault="005F71DB" w:rsidP="005F71DB">
            <w:pPr>
              <w:rPr>
                <w:rFonts w:ascii="Calibri" w:hAnsi="Calibri" w:cs="Calibri"/>
                <w:color w:val="000000"/>
                <w:sz w:val="22"/>
                <w:szCs w:val="22"/>
              </w:rPr>
            </w:pPr>
            <w:r w:rsidRPr="004B62CF">
              <w:rPr>
                <w:rFonts w:ascii="Calibri" w:hAnsi="Calibri" w:cs="Calibri"/>
                <w:color w:val="000000"/>
                <w:sz w:val="22"/>
                <w:szCs w:val="22"/>
              </w:rPr>
              <w:t>SDT, intrinsic motivation</w:t>
            </w:r>
          </w:p>
        </w:tc>
        <w:tc>
          <w:tcPr>
            <w:tcW w:w="236" w:type="dxa"/>
            <w:tcBorders>
              <w:top w:val="nil"/>
              <w:left w:val="nil"/>
              <w:bottom w:val="single" w:sz="4" w:space="0" w:color="auto"/>
              <w:right w:val="single" w:sz="4" w:space="0" w:color="auto"/>
            </w:tcBorders>
          </w:tcPr>
          <w:p w14:paraId="3238F3A9" w14:textId="0F305F46" w:rsidR="005F71DB" w:rsidRPr="009E1F1D" w:rsidRDefault="005F71DB" w:rsidP="005F71D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DE86AC1" w14:textId="473F0AA7" w:rsidR="005F71DB" w:rsidRPr="009E1F1D" w:rsidRDefault="005F71DB" w:rsidP="005F71DB">
            <w:pPr>
              <w:rPr>
                <w:rFonts w:ascii="Calibri" w:hAnsi="Calibri" w:cs="Calibri"/>
                <w:color w:val="000000"/>
                <w:sz w:val="22"/>
                <w:szCs w:val="22"/>
              </w:rPr>
            </w:pPr>
          </w:p>
        </w:tc>
      </w:tr>
      <w:tr w:rsidR="002A58DC" w:rsidRPr="009E1F1D" w14:paraId="36ED943F"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620C8C8" w14:textId="77777777" w:rsidR="005F71DB" w:rsidRPr="009E1F1D" w:rsidRDefault="005F71DB" w:rsidP="005F71DB">
            <w:pPr>
              <w:jc w:val="right"/>
              <w:rPr>
                <w:rFonts w:ascii="Calibri" w:hAnsi="Calibri" w:cs="Calibri"/>
                <w:color w:val="000000"/>
                <w:sz w:val="22"/>
                <w:szCs w:val="22"/>
              </w:rPr>
            </w:pPr>
            <w:r w:rsidRPr="009E1F1D">
              <w:rPr>
                <w:rFonts w:ascii="Calibri" w:hAnsi="Calibri" w:cs="Calibri"/>
                <w:color w:val="000000"/>
                <w:sz w:val="22"/>
                <w:szCs w:val="22"/>
              </w:rPr>
              <w:t>11</w:t>
            </w:r>
          </w:p>
        </w:tc>
        <w:tc>
          <w:tcPr>
            <w:tcW w:w="1260" w:type="dxa"/>
            <w:tcBorders>
              <w:top w:val="nil"/>
              <w:left w:val="nil"/>
              <w:bottom w:val="single" w:sz="4" w:space="0" w:color="auto"/>
              <w:right w:val="single" w:sz="4" w:space="0" w:color="auto"/>
            </w:tcBorders>
            <w:hideMark/>
          </w:tcPr>
          <w:p w14:paraId="32C34F30"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Self-Determination Theory and Work Motivation</w:t>
            </w:r>
          </w:p>
        </w:tc>
        <w:tc>
          <w:tcPr>
            <w:tcW w:w="1530" w:type="dxa"/>
            <w:tcBorders>
              <w:top w:val="nil"/>
              <w:left w:val="nil"/>
              <w:bottom w:val="single" w:sz="4" w:space="0" w:color="auto"/>
              <w:right w:val="single" w:sz="4" w:space="0" w:color="auto"/>
            </w:tcBorders>
            <w:hideMark/>
          </w:tcPr>
          <w:p w14:paraId="09C1B690"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Gagné, M. &amp; Deci, E.L.</w:t>
            </w:r>
          </w:p>
        </w:tc>
        <w:tc>
          <w:tcPr>
            <w:tcW w:w="720" w:type="dxa"/>
            <w:tcBorders>
              <w:top w:val="nil"/>
              <w:left w:val="nil"/>
              <w:bottom w:val="single" w:sz="4" w:space="0" w:color="auto"/>
              <w:right w:val="single" w:sz="4" w:space="0" w:color="auto"/>
            </w:tcBorders>
            <w:hideMark/>
          </w:tcPr>
          <w:p w14:paraId="678568C9"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2005</w:t>
            </w:r>
          </w:p>
        </w:tc>
        <w:tc>
          <w:tcPr>
            <w:tcW w:w="1710" w:type="dxa"/>
            <w:tcBorders>
              <w:top w:val="nil"/>
              <w:left w:val="nil"/>
              <w:bottom w:val="single" w:sz="4" w:space="0" w:color="auto"/>
              <w:right w:val="single" w:sz="4" w:space="0" w:color="auto"/>
            </w:tcBorders>
          </w:tcPr>
          <w:p w14:paraId="0411C2E3" w14:textId="5BE97D37" w:rsidR="005F71DB" w:rsidRPr="009E1F1D" w:rsidRDefault="005F71DB" w:rsidP="005F71DB">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386E261A" w14:textId="33EFB51B" w:rsidR="005F71DB" w:rsidRPr="009E1F1D" w:rsidRDefault="005F71DB" w:rsidP="005F71DB">
            <w:pPr>
              <w:rPr>
                <w:rFonts w:ascii="Calibri" w:hAnsi="Calibri" w:cs="Calibri"/>
                <w:color w:val="000000"/>
                <w:sz w:val="22"/>
                <w:szCs w:val="22"/>
              </w:rPr>
            </w:pPr>
            <w:r w:rsidRPr="00D0217E">
              <w:rPr>
                <w:color w:val="000000"/>
              </w:rPr>
              <w:t>Autonomous motivation</w:t>
            </w:r>
          </w:p>
        </w:tc>
        <w:tc>
          <w:tcPr>
            <w:tcW w:w="1980" w:type="dxa"/>
            <w:tcBorders>
              <w:top w:val="nil"/>
              <w:left w:val="nil"/>
              <w:bottom w:val="single" w:sz="4" w:space="0" w:color="auto"/>
              <w:right w:val="single" w:sz="4" w:space="0" w:color="auto"/>
            </w:tcBorders>
            <w:vAlign w:val="center"/>
          </w:tcPr>
          <w:p w14:paraId="74B890A7" w14:textId="0E038EE6" w:rsidR="005F71DB" w:rsidRPr="009E1F1D" w:rsidRDefault="005F71DB" w:rsidP="005F71DB">
            <w:pPr>
              <w:rPr>
                <w:rFonts w:ascii="Calibri" w:hAnsi="Calibri" w:cs="Calibri"/>
                <w:color w:val="000000"/>
                <w:sz w:val="22"/>
                <w:szCs w:val="22"/>
              </w:rPr>
            </w:pPr>
            <w:r w:rsidRPr="00D0217E">
              <w:rPr>
                <w:color w:val="000000"/>
              </w:rPr>
              <w:t>Controlled motivation</w:t>
            </w:r>
          </w:p>
        </w:tc>
        <w:tc>
          <w:tcPr>
            <w:tcW w:w="1260" w:type="dxa"/>
            <w:tcBorders>
              <w:top w:val="nil"/>
              <w:left w:val="nil"/>
              <w:bottom w:val="single" w:sz="4" w:space="0" w:color="auto"/>
              <w:right w:val="single" w:sz="4" w:space="0" w:color="auto"/>
            </w:tcBorders>
            <w:vAlign w:val="center"/>
          </w:tcPr>
          <w:p w14:paraId="6792555F" w14:textId="398DC8F9" w:rsidR="005F71DB" w:rsidRPr="009E1F1D" w:rsidRDefault="005F71DB" w:rsidP="005F71DB">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73E1FD58" w14:textId="77777777" w:rsidR="005F71DB" w:rsidRPr="009E1F1D" w:rsidRDefault="005F71DB" w:rsidP="005F71DB">
            <w:pPr>
              <w:rPr>
                <w:rFonts w:ascii="Calibri" w:hAnsi="Calibri" w:cs="Calibri"/>
                <w:color w:val="000000"/>
                <w:sz w:val="22"/>
                <w:szCs w:val="22"/>
              </w:rPr>
            </w:pPr>
            <w:r w:rsidRPr="009E1F1D">
              <w:rPr>
                <w:rFonts w:ascii="Calibri" w:hAnsi="Calibri" w:cs="Calibri"/>
                <w:color w:val="000000"/>
                <w:sz w:val="22"/>
                <w:szCs w:val="22"/>
              </w:rPr>
              <w:t>Work contexts influence whether rewards support autonomous motivation</w:t>
            </w:r>
          </w:p>
        </w:tc>
        <w:tc>
          <w:tcPr>
            <w:tcW w:w="1440" w:type="dxa"/>
            <w:tcBorders>
              <w:top w:val="nil"/>
              <w:left w:val="nil"/>
              <w:bottom w:val="single" w:sz="4" w:space="0" w:color="auto"/>
              <w:right w:val="single" w:sz="4" w:space="0" w:color="auto"/>
            </w:tcBorders>
          </w:tcPr>
          <w:p w14:paraId="6A044BF0" w14:textId="67DD5A72" w:rsidR="005F71DB" w:rsidRPr="009E1F1D" w:rsidRDefault="003A246E" w:rsidP="005F71DB">
            <w:pPr>
              <w:rPr>
                <w:rFonts w:ascii="Calibri" w:hAnsi="Calibri" w:cs="Calibri"/>
                <w:color w:val="000000"/>
                <w:sz w:val="22"/>
                <w:szCs w:val="22"/>
              </w:rPr>
            </w:pPr>
            <w:r w:rsidRPr="004B62CF">
              <w:rPr>
                <w:rFonts w:ascii="Calibri" w:hAnsi="Calibri" w:cs="Calibri"/>
                <w:color w:val="000000"/>
                <w:sz w:val="22"/>
                <w:szCs w:val="22"/>
              </w:rPr>
              <w:t>Work motivation, autonomy</w:t>
            </w:r>
          </w:p>
        </w:tc>
        <w:tc>
          <w:tcPr>
            <w:tcW w:w="236" w:type="dxa"/>
            <w:tcBorders>
              <w:top w:val="nil"/>
              <w:left w:val="nil"/>
              <w:bottom w:val="single" w:sz="4" w:space="0" w:color="auto"/>
              <w:right w:val="single" w:sz="4" w:space="0" w:color="auto"/>
            </w:tcBorders>
          </w:tcPr>
          <w:p w14:paraId="41E23052" w14:textId="4DC3B122" w:rsidR="005F71DB" w:rsidRPr="009E1F1D" w:rsidRDefault="005F71DB" w:rsidP="005F71D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D64967A" w14:textId="5888910B" w:rsidR="005F71DB" w:rsidRPr="009E1F1D" w:rsidRDefault="005F71DB" w:rsidP="005F71DB">
            <w:pPr>
              <w:rPr>
                <w:rFonts w:ascii="Calibri" w:hAnsi="Calibri" w:cs="Calibri"/>
                <w:color w:val="000000"/>
                <w:sz w:val="22"/>
                <w:szCs w:val="22"/>
              </w:rPr>
            </w:pPr>
          </w:p>
        </w:tc>
      </w:tr>
      <w:tr w:rsidR="002A58DC" w:rsidRPr="009E1F1D" w14:paraId="1C363F74"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35D0B21" w14:textId="77777777" w:rsidR="004B55B2" w:rsidRPr="009E1F1D" w:rsidRDefault="004B55B2" w:rsidP="004B55B2">
            <w:pPr>
              <w:jc w:val="right"/>
              <w:rPr>
                <w:rFonts w:ascii="Calibri" w:hAnsi="Calibri" w:cs="Calibri"/>
                <w:color w:val="000000"/>
                <w:sz w:val="22"/>
                <w:szCs w:val="22"/>
              </w:rPr>
            </w:pPr>
            <w:r w:rsidRPr="009E1F1D">
              <w:rPr>
                <w:rFonts w:ascii="Calibri" w:hAnsi="Calibri" w:cs="Calibri"/>
                <w:color w:val="000000"/>
                <w:sz w:val="22"/>
                <w:szCs w:val="22"/>
              </w:rPr>
              <w:lastRenderedPageBreak/>
              <w:t>12</w:t>
            </w:r>
          </w:p>
        </w:tc>
        <w:tc>
          <w:tcPr>
            <w:tcW w:w="1260" w:type="dxa"/>
            <w:tcBorders>
              <w:top w:val="nil"/>
              <w:left w:val="nil"/>
              <w:bottom w:val="single" w:sz="4" w:space="0" w:color="auto"/>
              <w:right w:val="single" w:sz="4" w:space="0" w:color="auto"/>
            </w:tcBorders>
            <w:hideMark/>
          </w:tcPr>
          <w:p w14:paraId="3380CD73" w14:textId="77777777" w:rsidR="004B55B2" w:rsidRPr="009E1F1D" w:rsidRDefault="004B55B2" w:rsidP="004B55B2">
            <w:pPr>
              <w:rPr>
                <w:rFonts w:ascii="Calibri" w:hAnsi="Calibri" w:cs="Calibri"/>
                <w:color w:val="000000"/>
                <w:sz w:val="22"/>
                <w:szCs w:val="22"/>
              </w:rPr>
            </w:pPr>
            <w:r w:rsidRPr="009E1F1D">
              <w:rPr>
                <w:rFonts w:ascii="Calibri" w:hAnsi="Calibri" w:cs="Calibri"/>
                <w:color w:val="000000"/>
                <w:sz w:val="22"/>
                <w:szCs w:val="22"/>
              </w:rPr>
              <w:t>Self-Determination Theory in Work Organizations: The State of a Science</w:t>
            </w:r>
          </w:p>
        </w:tc>
        <w:tc>
          <w:tcPr>
            <w:tcW w:w="1530" w:type="dxa"/>
            <w:tcBorders>
              <w:top w:val="nil"/>
              <w:left w:val="nil"/>
              <w:bottom w:val="single" w:sz="4" w:space="0" w:color="auto"/>
              <w:right w:val="single" w:sz="4" w:space="0" w:color="auto"/>
            </w:tcBorders>
            <w:hideMark/>
          </w:tcPr>
          <w:p w14:paraId="6F569429" w14:textId="77777777" w:rsidR="004B55B2" w:rsidRPr="009E1F1D" w:rsidRDefault="004B55B2" w:rsidP="004B55B2">
            <w:pPr>
              <w:rPr>
                <w:rFonts w:ascii="Calibri" w:hAnsi="Calibri" w:cs="Calibri"/>
                <w:color w:val="000000"/>
                <w:sz w:val="22"/>
                <w:szCs w:val="22"/>
              </w:rPr>
            </w:pPr>
            <w:r w:rsidRPr="009E1F1D">
              <w:rPr>
                <w:rFonts w:ascii="Calibri" w:hAnsi="Calibri" w:cs="Calibri"/>
                <w:color w:val="000000"/>
                <w:sz w:val="22"/>
                <w:szCs w:val="22"/>
              </w:rPr>
              <w:t>Gagné, M. et al.</w:t>
            </w:r>
          </w:p>
        </w:tc>
        <w:tc>
          <w:tcPr>
            <w:tcW w:w="720" w:type="dxa"/>
            <w:tcBorders>
              <w:top w:val="nil"/>
              <w:left w:val="nil"/>
              <w:bottom w:val="single" w:sz="4" w:space="0" w:color="auto"/>
              <w:right w:val="single" w:sz="4" w:space="0" w:color="auto"/>
            </w:tcBorders>
            <w:hideMark/>
          </w:tcPr>
          <w:p w14:paraId="677ECB80" w14:textId="77777777" w:rsidR="004B55B2" w:rsidRPr="009E1F1D" w:rsidRDefault="004B55B2" w:rsidP="004B55B2">
            <w:pPr>
              <w:rPr>
                <w:rFonts w:ascii="Calibri" w:hAnsi="Calibri" w:cs="Calibri"/>
                <w:color w:val="000000"/>
                <w:sz w:val="22"/>
                <w:szCs w:val="22"/>
              </w:rPr>
            </w:pPr>
            <w:r w:rsidRPr="009E1F1D">
              <w:rPr>
                <w:rFonts w:ascii="Calibri" w:hAnsi="Calibri" w:cs="Calibri"/>
                <w:color w:val="000000"/>
                <w:sz w:val="22"/>
                <w:szCs w:val="22"/>
              </w:rPr>
              <w:t>2018</w:t>
            </w:r>
          </w:p>
        </w:tc>
        <w:tc>
          <w:tcPr>
            <w:tcW w:w="1710" w:type="dxa"/>
            <w:tcBorders>
              <w:top w:val="nil"/>
              <w:left w:val="nil"/>
              <w:bottom w:val="single" w:sz="4" w:space="0" w:color="auto"/>
              <w:right w:val="single" w:sz="4" w:space="0" w:color="auto"/>
            </w:tcBorders>
          </w:tcPr>
          <w:p w14:paraId="0651C8D7" w14:textId="72DF9283" w:rsidR="004B55B2" w:rsidRPr="009E1F1D" w:rsidRDefault="004B55B2" w:rsidP="004B55B2">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0A92A3B2" w14:textId="0548A8A8" w:rsidR="004B55B2" w:rsidRPr="009E1F1D" w:rsidRDefault="004B55B2" w:rsidP="004B55B2">
            <w:pPr>
              <w:rPr>
                <w:rFonts w:ascii="Calibri" w:hAnsi="Calibri" w:cs="Calibri"/>
                <w:color w:val="000000"/>
                <w:sz w:val="22"/>
                <w:szCs w:val="22"/>
              </w:rPr>
            </w:pPr>
            <w:r w:rsidRPr="00D0217E">
              <w:rPr>
                <w:color w:val="000000"/>
              </w:rPr>
              <w:t>Employee autonomy</w:t>
            </w:r>
          </w:p>
        </w:tc>
        <w:tc>
          <w:tcPr>
            <w:tcW w:w="1980" w:type="dxa"/>
            <w:tcBorders>
              <w:top w:val="nil"/>
              <w:left w:val="nil"/>
              <w:bottom w:val="single" w:sz="4" w:space="0" w:color="auto"/>
              <w:right w:val="single" w:sz="4" w:space="0" w:color="auto"/>
            </w:tcBorders>
            <w:vAlign w:val="center"/>
          </w:tcPr>
          <w:p w14:paraId="369E90FF" w14:textId="4F7AEB94" w:rsidR="004B55B2" w:rsidRPr="009E1F1D" w:rsidRDefault="004B55B2" w:rsidP="004B55B2">
            <w:pPr>
              <w:rPr>
                <w:rFonts w:ascii="Calibri" w:hAnsi="Calibri" w:cs="Calibri"/>
                <w:color w:val="000000"/>
                <w:sz w:val="22"/>
                <w:szCs w:val="22"/>
              </w:rPr>
            </w:pPr>
            <w:r w:rsidRPr="00D0217E">
              <w:rPr>
                <w:color w:val="000000"/>
              </w:rPr>
              <w:t>External control</w:t>
            </w:r>
          </w:p>
        </w:tc>
        <w:tc>
          <w:tcPr>
            <w:tcW w:w="1260" w:type="dxa"/>
            <w:tcBorders>
              <w:top w:val="nil"/>
              <w:left w:val="nil"/>
              <w:bottom w:val="single" w:sz="4" w:space="0" w:color="auto"/>
              <w:right w:val="single" w:sz="4" w:space="0" w:color="auto"/>
            </w:tcBorders>
            <w:vAlign w:val="center"/>
          </w:tcPr>
          <w:p w14:paraId="7C2D5C5A" w14:textId="39AC6F99" w:rsidR="004B55B2" w:rsidRPr="009E1F1D" w:rsidRDefault="004B55B2" w:rsidP="004B55B2">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733CE11A" w14:textId="77777777" w:rsidR="004B55B2" w:rsidRPr="009E1F1D" w:rsidRDefault="004B55B2" w:rsidP="004B55B2">
            <w:pPr>
              <w:rPr>
                <w:rFonts w:ascii="Calibri" w:hAnsi="Calibri" w:cs="Calibri"/>
                <w:color w:val="000000"/>
                <w:sz w:val="22"/>
                <w:szCs w:val="22"/>
              </w:rPr>
            </w:pPr>
            <w:r w:rsidRPr="009E1F1D">
              <w:rPr>
                <w:rFonts w:ascii="Calibri" w:hAnsi="Calibri" w:cs="Calibri"/>
                <w:color w:val="000000"/>
                <w:sz w:val="22"/>
                <w:szCs w:val="22"/>
              </w:rPr>
              <w:t>Autonomy-supportive management is important for high-quality motivation</w:t>
            </w:r>
          </w:p>
        </w:tc>
        <w:tc>
          <w:tcPr>
            <w:tcW w:w="1440" w:type="dxa"/>
            <w:tcBorders>
              <w:top w:val="nil"/>
              <w:left w:val="nil"/>
              <w:bottom w:val="single" w:sz="4" w:space="0" w:color="auto"/>
              <w:right w:val="single" w:sz="4" w:space="0" w:color="auto"/>
            </w:tcBorders>
          </w:tcPr>
          <w:p w14:paraId="3D9B12C7" w14:textId="67725D40" w:rsidR="004B55B2" w:rsidRPr="009E1F1D" w:rsidRDefault="004B55B2" w:rsidP="004B55B2">
            <w:pPr>
              <w:rPr>
                <w:rFonts w:ascii="Calibri" w:hAnsi="Calibri" w:cs="Calibri"/>
                <w:color w:val="000000"/>
                <w:sz w:val="22"/>
                <w:szCs w:val="22"/>
              </w:rPr>
            </w:pPr>
            <w:r w:rsidRPr="004B62CF">
              <w:rPr>
                <w:rFonts w:ascii="Calibri" w:hAnsi="Calibri" w:cs="Calibri"/>
                <w:color w:val="000000"/>
                <w:sz w:val="22"/>
                <w:szCs w:val="22"/>
              </w:rPr>
              <w:t>Autonomy, engagement, work motivation</w:t>
            </w:r>
          </w:p>
        </w:tc>
        <w:tc>
          <w:tcPr>
            <w:tcW w:w="236" w:type="dxa"/>
            <w:tcBorders>
              <w:top w:val="nil"/>
              <w:left w:val="nil"/>
              <w:bottom w:val="single" w:sz="4" w:space="0" w:color="auto"/>
              <w:right w:val="single" w:sz="4" w:space="0" w:color="auto"/>
            </w:tcBorders>
          </w:tcPr>
          <w:p w14:paraId="012C2CC5" w14:textId="676F41BC" w:rsidR="004B55B2" w:rsidRPr="009E1F1D" w:rsidRDefault="004B55B2" w:rsidP="004B55B2">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6BE43A8" w14:textId="0A312DD0" w:rsidR="004B55B2" w:rsidRPr="009E1F1D" w:rsidRDefault="004B55B2" w:rsidP="004B55B2">
            <w:pPr>
              <w:rPr>
                <w:rFonts w:ascii="Calibri" w:hAnsi="Calibri" w:cs="Calibri"/>
                <w:color w:val="000000"/>
                <w:sz w:val="22"/>
                <w:szCs w:val="22"/>
              </w:rPr>
            </w:pPr>
          </w:p>
        </w:tc>
      </w:tr>
      <w:tr w:rsidR="002A58DC" w:rsidRPr="009E1F1D" w14:paraId="216B318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82D05B0" w14:textId="77777777" w:rsidR="00361869" w:rsidRPr="009E1F1D" w:rsidRDefault="00361869" w:rsidP="00361869">
            <w:pPr>
              <w:jc w:val="right"/>
              <w:rPr>
                <w:rFonts w:ascii="Calibri" w:hAnsi="Calibri" w:cs="Calibri"/>
                <w:color w:val="000000"/>
                <w:sz w:val="22"/>
                <w:szCs w:val="22"/>
              </w:rPr>
            </w:pPr>
            <w:r w:rsidRPr="009E1F1D">
              <w:rPr>
                <w:rFonts w:ascii="Calibri" w:hAnsi="Calibri" w:cs="Calibri"/>
                <w:color w:val="000000"/>
                <w:sz w:val="22"/>
                <w:szCs w:val="22"/>
              </w:rPr>
              <w:t>13</w:t>
            </w:r>
          </w:p>
        </w:tc>
        <w:tc>
          <w:tcPr>
            <w:tcW w:w="1260" w:type="dxa"/>
            <w:tcBorders>
              <w:top w:val="nil"/>
              <w:left w:val="nil"/>
              <w:bottom w:val="single" w:sz="4" w:space="0" w:color="auto"/>
              <w:right w:val="single" w:sz="4" w:space="0" w:color="auto"/>
            </w:tcBorders>
            <w:hideMark/>
          </w:tcPr>
          <w:p w14:paraId="22403081" w14:textId="77777777" w:rsidR="00361869" w:rsidRPr="009E1F1D" w:rsidRDefault="00361869" w:rsidP="00361869">
            <w:pPr>
              <w:rPr>
                <w:rFonts w:ascii="Calibri" w:hAnsi="Calibri" w:cs="Calibri"/>
                <w:color w:val="000000"/>
                <w:sz w:val="22"/>
                <w:szCs w:val="22"/>
              </w:rPr>
            </w:pPr>
            <w:r w:rsidRPr="009E1F1D">
              <w:rPr>
                <w:rFonts w:ascii="Calibri" w:hAnsi="Calibri" w:cs="Calibri"/>
                <w:color w:val="000000"/>
                <w:sz w:val="22"/>
                <w:szCs w:val="22"/>
              </w:rPr>
              <w:t>Pay, Intrinsic Motivation, Extrinsic Motivation, Performance, and Creativity in the Workplace: Revisiting Long-Held Beliefs</w:t>
            </w:r>
          </w:p>
        </w:tc>
        <w:tc>
          <w:tcPr>
            <w:tcW w:w="1530" w:type="dxa"/>
            <w:tcBorders>
              <w:top w:val="nil"/>
              <w:left w:val="nil"/>
              <w:bottom w:val="single" w:sz="4" w:space="0" w:color="auto"/>
              <w:right w:val="single" w:sz="4" w:space="0" w:color="auto"/>
            </w:tcBorders>
            <w:hideMark/>
          </w:tcPr>
          <w:p w14:paraId="139194E4" w14:textId="77777777" w:rsidR="00361869" w:rsidRPr="009E1F1D" w:rsidRDefault="00361869" w:rsidP="00361869">
            <w:pPr>
              <w:rPr>
                <w:rFonts w:ascii="Calibri" w:hAnsi="Calibri" w:cs="Calibri"/>
                <w:color w:val="000000"/>
                <w:sz w:val="22"/>
                <w:szCs w:val="22"/>
              </w:rPr>
            </w:pPr>
            <w:r w:rsidRPr="009E1F1D">
              <w:rPr>
                <w:rFonts w:ascii="Calibri" w:hAnsi="Calibri" w:cs="Calibri"/>
                <w:color w:val="000000"/>
                <w:sz w:val="22"/>
                <w:szCs w:val="22"/>
              </w:rPr>
              <w:t>Gerhart, B. &amp; Fang, M.</w:t>
            </w:r>
          </w:p>
        </w:tc>
        <w:tc>
          <w:tcPr>
            <w:tcW w:w="720" w:type="dxa"/>
            <w:tcBorders>
              <w:top w:val="nil"/>
              <w:left w:val="nil"/>
              <w:bottom w:val="single" w:sz="4" w:space="0" w:color="auto"/>
              <w:right w:val="single" w:sz="4" w:space="0" w:color="auto"/>
            </w:tcBorders>
            <w:hideMark/>
          </w:tcPr>
          <w:p w14:paraId="5309A201" w14:textId="77777777" w:rsidR="00361869" w:rsidRPr="009E1F1D" w:rsidRDefault="00361869" w:rsidP="00361869">
            <w:pPr>
              <w:rPr>
                <w:rFonts w:ascii="Calibri" w:hAnsi="Calibri" w:cs="Calibri"/>
                <w:color w:val="000000"/>
                <w:sz w:val="22"/>
                <w:szCs w:val="22"/>
              </w:rPr>
            </w:pPr>
            <w:r w:rsidRPr="009E1F1D">
              <w:rPr>
                <w:rFonts w:ascii="Calibri" w:hAnsi="Calibri" w:cs="Calibri"/>
                <w:color w:val="000000"/>
                <w:sz w:val="22"/>
                <w:szCs w:val="22"/>
              </w:rPr>
              <w:t>2015</w:t>
            </w:r>
          </w:p>
        </w:tc>
        <w:tc>
          <w:tcPr>
            <w:tcW w:w="1710" w:type="dxa"/>
            <w:tcBorders>
              <w:top w:val="nil"/>
              <w:left w:val="nil"/>
              <w:bottom w:val="single" w:sz="4" w:space="0" w:color="auto"/>
              <w:right w:val="single" w:sz="4" w:space="0" w:color="auto"/>
            </w:tcBorders>
          </w:tcPr>
          <w:p w14:paraId="3398DC87" w14:textId="77A45368" w:rsidR="00361869" w:rsidRPr="009E1F1D" w:rsidRDefault="00361869" w:rsidP="00361869">
            <w:pPr>
              <w:rPr>
                <w:rFonts w:ascii="Calibri" w:hAnsi="Calibri" w:cs="Calibri"/>
                <w:color w:val="000000"/>
                <w:sz w:val="22"/>
                <w:szCs w:val="22"/>
              </w:rPr>
            </w:pPr>
            <w:r w:rsidRPr="00F0534D">
              <w:rPr>
                <w:rFonts w:ascii="Calibri" w:hAnsi="Calibri" w:cs="Calibri"/>
                <w:color w:val="000000"/>
                <w:sz w:val="22"/>
                <w:szCs w:val="22"/>
              </w:rPr>
              <w:t>Self-Determination Theory; Incentive Theory</w:t>
            </w:r>
          </w:p>
        </w:tc>
        <w:tc>
          <w:tcPr>
            <w:tcW w:w="1710" w:type="dxa"/>
            <w:tcBorders>
              <w:top w:val="nil"/>
              <w:left w:val="nil"/>
              <w:bottom w:val="single" w:sz="4" w:space="0" w:color="auto"/>
              <w:right w:val="single" w:sz="4" w:space="0" w:color="auto"/>
            </w:tcBorders>
            <w:vAlign w:val="center"/>
          </w:tcPr>
          <w:p w14:paraId="0A50EA8F" w14:textId="1F77C58E" w:rsidR="00361869" w:rsidRPr="009E1F1D" w:rsidRDefault="00361869" w:rsidP="00361869">
            <w:pPr>
              <w:rPr>
                <w:rFonts w:ascii="Calibri" w:hAnsi="Calibri" w:cs="Calibri"/>
                <w:color w:val="000000"/>
                <w:sz w:val="22"/>
                <w:szCs w:val="22"/>
              </w:rPr>
            </w:pPr>
            <w:r w:rsidRPr="00D0217E">
              <w:rPr>
                <w:color w:val="000000"/>
              </w:rPr>
              <w:t>Motivation support</w:t>
            </w:r>
          </w:p>
        </w:tc>
        <w:tc>
          <w:tcPr>
            <w:tcW w:w="1980" w:type="dxa"/>
            <w:tcBorders>
              <w:top w:val="nil"/>
              <w:left w:val="nil"/>
              <w:bottom w:val="single" w:sz="4" w:space="0" w:color="auto"/>
              <w:right w:val="single" w:sz="4" w:space="0" w:color="auto"/>
            </w:tcBorders>
            <w:vAlign w:val="center"/>
          </w:tcPr>
          <w:p w14:paraId="5D431650" w14:textId="50E2A35D" w:rsidR="00361869" w:rsidRPr="009E1F1D" w:rsidRDefault="00361869" w:rsidP="00361869">
            <w:pPr>
              <w:rPr>
                <w:rFonts w:ascii="Calibri" w:hAnsi="Calibri" w:cs="Calibri"/>
                <w:color w:val="000000"/>
                <w:sz w:val="22"/>
                <w:szCs w:val="22"/>
              </w:rPr>
            </w:pPr>
            <w:r w:rsidRPr="00D0217E">
              <w:rPr>
                <w:color w:val="000000"/>
              </w:rPr>
              <w:t>Creativity concerns</w:t>
            </w:r>
          </w:p>
        </w:tc>
        <w:tc>
          <w:tcPr>
            <w:tcW w:w="1260" w:type="dxa"/>
            <w:tcBorders>
              <w:top w:val="nil"/>
              <w:left w:val="nil"/>
              <w:bottom w:val="single" w:sz="4" w:space="0" w:color="auto"/>
              <w:right w:val="single" w:sz="4" w:space="0" w:color="auto"/>
            </w:tcBorders>
            <w:vAlign w:val="center"/>
          </w:tcPr>
          <w:p w14:paraId="71BBD4E6" w14:textId="21A20B44" w:rsidR="00361869" w:rsidRPr="009E1F1D" w:rsidRDefault="00361869" w:rsidP="00361869">
            <w:pPr>
              <w:rPr>
                <w:rFonts w:ascii="Calibri" w:hAnsi="Calibri" w:cs="Calibri"/>
                <w:color w:val="000000"/>
                <w:sz w:val="22"/>
                <w:szCs w:val="22"/>
              </w:rPr>
            </w:pPr>
            <w:r w:rsidRPr="00D0217E">
              <w:rPr>
                <w:color w:val="000000"/>
              </w:rPr>
              <w:t>Performance and creativity</w:t>
            </w:r>
          </w:p>
        </w:tc>
        <w:tc>
          <w:tcPr>
            <w:tcW w:w="1530" w:type="dxa"/>
            <w:tcBorders>
              <w:top w:val="nil"/>
              <w:left w:val="nil"/>
              <w:bottom w:val="single" w:sz="4" w:space="0" w:color="auto"/>
              <w:right w:val="single" w:sz="4" w:space="0" w:color="auto"/>
            </w:tcBorders>
            <w:hideMark/>
          </w:tcPr>
          <w:p w14:paraId="4DE37397" w14:textId="77777777" w:rsidR="00361869" w:rsidRPr="009E1F1D" w:rsidRDefault="00361869" w:rsidP="00361869">
            <w:pPr>
              <w:rPr>
                <w:rFonts w:ascii="Calibri" w:hAnsi="Calibri" w:cs="Calibri"/>
                <w:color w:val="000000"/>
                <w:sz w:val="22"/>
                <w:szCs w:val="22"/>
              </w:rPr>
            </w:pPr>
            <w:r w:rsidRPr="009E1F1D">
              <w:rPr>
                <w:rFonts w:ascii="Calibri" w:hAnsi="Calibri" w:cs="Calibri"/>
                <w:color w:val="000000"/>
                <w:sz w:val="22"/>
                <w:szCs w:val="22"/>
              </w:rPr>
              <w:t>Workplace evidence does not consistently support the claim that PFP harms motivation</w:t>
            </w:r>
          </w:p>
        </w:tc>
        <w:tc>
          <w:tcPr>
            <w:tcW w:w="1440" w:type="dxa"/>
            <w:tcBorders>
              <w:top w:val="nil"/>
              <w:left w:val="nil"/>
              <w:bottom w:val="single" w:sz="4" w:space="0" w:color="auto"/>
              <w:right w:val="single" w:sz="4" w:space="0" w:color="auto"/>
            </w:tcBorders>
          </w:tcPr>
          <w:p w14:paraId="1B979BDB" w14:textId="46040085" w:rsidR="00361869" w:rsidRPr="009E1F1D" w:rsidRDefault="00361869" w:rsidP="00361869">
            <w:pPr>
              <w:rPr>
                <w:rFonts w:ascii="Calibri" w:hAnsi="Calibri" w:cs="Calibri"/>
                <w:color w:val="000000"/>
                <w:sz w:val="22"/>
                <w:szCs w:val="22"/>
              </w:rPr>
            </w:pPr>
            <w:r w:rsidRPr="004B62CF">
              <w:rPr>
                <w:rFonts w:ascii="Calibri" w:hAnsi="Calibri" w:cs="Calibri"/>
                <w:color w:val="000000"/>
                <w:sz w:val="22"/>
                <w:szCs w:val="22"/>
              </w:rPr>
              <w:t>Pay, P</w:t>
            </w:r>
            <w:r w:rsidR="00E8023E">
              <w:rPr>
                <w:rFonts w:ascii="Calibri" w:hAnsi="Calibri" w:cs="Calibri"/>
                <w:color w:val="000000"/>
                <w:sz w:val="22"/>
                <w:szCs w:val="22"/>
              </w:rPr>
              <w:t>B</w:t>
            </w:r>
            <w:r w:rsidRPr="004B62CF">
              <w:rPr>
                <w:rFonts w:ascii="Calibri" w:hAnsi="Calibri" w:cs="Calibri"/>
                <w:color w:val="000000"/>
                <w:sz w:val="22"/>
                <w:szCs w:val="22"/>
              </w:rPr>
              <w:t>P, creativity</w:t>
            </w:r>
          </w:p>
        </w:tc>
        <w:tc>
          <w:tcPr>
            <w:tcW w:w="236" w:type="dxa"/>
            <w:tcBorders>
              <w:top w:val="nil"/>
              <w:left w:val="nil"/>
              <w:bottom w:val="single" w:sz="4" w:space="0" w:color="auto"/>
              <w:right w:val="single" w:sz="4" w:space="0" w:color="auto"/>
            </w:tcBorders>
          </w:tcPr>
          <w:p w14:paraId="2242E412" w14:textId="743F9A50" w:rsidR="00361869" w:rsidRPr="009E1F1D" w:rsidRDefault="00361869" w:rsidP="00361869">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B345343" w14:textId="1BB73DBC" w:rsidR="00361869" w:rsidRPr="009E1F1D" w:rsidRDefault="00361869" w:rsidP="00361869">
            <w:pPr>
              <w:rPr>
                <w:rFonts w:ascii="Calibri" w:hAnsi="Calibri" w:cs="Calibri"/>
                <w:color w:val="000000"/>
                <w:sz w:val="22"/>
                <w:szCs w:val="22"/>
              </w:rPr>
            </w:pPr>
          </w:p>
        </w:tc>
      </w:tr>
      <w:tr w:rsidR="002A58DC" w:rsidRPr="009E1F1D" w14:paraId="4EF208F6"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858733F" w14:textId="77777777" w:rsidR="00BB088A" w:rsidRPr="009E1F1D" w:rsidRDefault="00BB088A" w:rsidP="00BB088A">
            <w:pPr>
              <w:jc w:val="right"/>
              <w:rPr>
                <w:rFonts w:ascii="Calibri" w:hAnsi="Calibri" w:cs="Calibri"/>
                <w:color w:val="000000"/>
                <w:sz w:val="22"/>
                <w:szCs w:val="22"/>
              </w:rPr>
            </w:pPr>
            <w:r w:rsidRPr="009E1F1D">
              <w:rPr>
                <w:rFonts w:ascii="Calibri" w:hAnsi="Calibri" w:cs="Calibri"/>
                <w:color w:val="000000"/>
                <w:sz w:val="22"/>
                <w:szCs w:val="22"/>
              </w:rPr>
              <w:t>14</w:t>
            </w:r>
          </w:p>
        </w:tc>
        <w:tc>
          <w:tcPr>
            <w:tcW w:w="1260" w:type="dxa"/>
            <w:tcBorders>
              <w:top w:val="nil"/>
              <w:left w:val="nil"/>
              <w:bottom w:val="single" w:sz="4" w:space="0" w:color="auto"/>
              <w:right w:val="single" w:sz="4" w:space="0" w:color="auto"/>
            </w:tcBorders>
            <w:hideMark/>
          </w:tcPr>
          <w:p w14:paraId="6449F1E1" w14:textId="77777777" w:rsidR="00BB088A" w:rsidRPr="009E1F1D" w:rsidRDefault="00BB088A" w:rsidP="00BB088A">
            <w:pPr>
              <w:rPr>
                <w:rFonts w:ascii="Calibri" w:hAnsi="Calibri" w:cs="Calibri"/>
                <w:color w:val="000000"/>
                <w:sz w:val="22"/>
                <w:szCs w:val="22"/>
              </w:rPr>
            </w:pPr>
            <w:r w:rsidRPr="009E1F1D">
              <w:rPr>
                <w:rFonts w:ascii="Calibri" w:hAnsi="Calibri" w:cs="Calibri"/>
                <w:color w:val="000000"/>
                <w:sz w:val="22"/>
                <w:szCs w:val="22"/>
              </w:rPr>
              <w:t xml:space="preserve">How Important Is Pay and What Are the Effects (Positive and Negative) of Pay for </w:t>
            </w:r>
            <w:proofErr w:type="gramStart"/>
            <w:r w:rsidRPr="009E1F1D">
              <w:rPr>
                <w:rFonts w:ascii="Calibri" w:hAnsi="Calibri" w:cs="Calibri"/>
                <w:color w:val="000000"/>
                <w:sz w:val="22"/>
                <w:szCs w:val="22"/>
              </w:rPr>
              <w:t>Performance?:</w:t>
            </w:r>
            <w:proofErr w:type="gramEnd"/>
            <w:r w:rsidRPr="009E1F1D">
              <w:rPr>
                <w:rFonts w:ascii="Calibri" w:hAnsi="Calibri" w:cs="Calibri"/>
                <w:color w:val="000000"/>
                <w:sz w:val="22"/>
                <w:szCs w:val="22"/>
              </w:rPr>
              <w:t xml:space="preserve"> Evaluating </w:t>
            </w:r>
            <w:r w:rsidRPr="009E1F1D">
              <w:rPr>
                <w:rFonts w:ascii="Calibri" w:hAnsi="Calibri" w:cs="Calibri"/>
                <w:color w:val="000000"/>
                <w:sz w:val="22"/>
                <w:szCs w:val="22"/>
              </w:rPr>
              <w:lastRenderedPageBreak/>
              <w:t>Claims and Evidence</w:t>
            </w:r>
          </w:p>
        </w:tc>
        <w:tc>
          <w:tcPr>
            <w:tcW w:w="1530" w:type="dxa"/>
            <w:tcBorders>
              <w:top w:val="nil"/>
              <w:left w:val="nil"/>
              <w:bottom w:val="single" w:sz="4" w:space="0" w:color="auto"/>
              <w:right w:val="single" w:sz="4" w:space="0" w:color="auto"/>
            </w:tcBorders>
            <w:hideMark/>
          </w:tcPr>
          <w:p w14:paraId="03D13536" w14:textId="77777777" w:rsidR="00BB088A" w:rsidRPr="009E1F1D" w:rsidRDefault="00BB088A" w:rsidP="00BB088A">
            <w:pPr>
              <w:rPr>
                <w:rFonts w:ascii="Calibri" w:hAnsi="Calibri" w:cs="Calibri"/>
                <w:color w:val="000000"/>
                <w:sz w:val="22"/>
                <w:szCs w:val="22"/>
              </w:rPr>
            </w:pPr>
            <w:r w:rsidRPr="009E1F1D">
              <w:rPr>
                <w:rFonts w:ascii="Calibri" w:hAnsi="Calibri" w:cs="Calibri"/>
                <w:color w:val="000000"/>
                <w:sz w:val="22"/>
                <w:szCs w:val="22"/>
              </w:rPr>
              <w:lastRenderedPageBreak/>
              <w:t>Gerhart, B., Kim, J.H. &amp; He, S.</w:t>
            </w:r>
          </w:p>
        </w:tc>
        <w:tc>
          <w:tcPr>
            <w:tcW w:w="720" w:type="dxa"/>
            <w:tcBorders>
              <w:top w:val="nil"/>
              <w:left w:val="nil"/>
              <w:bottom w:val="single" w:sz="4" w:space="0" w:color="auto"/>
              <w:right w:val="single" w:sz="4" w:space="0" w:color="auto"/>
            </w:tcBorders>
            <w:hideMark/>
          </w:tcPr>
          <w:p w14:paraId="0BF2FE62" w14:textId="77777777" w:rsidR="00BB088A" w:rsidRPr="009E1F1D" w:rsidRDefault="00BB088A" w:rsidP="00BB088A">
            <w:pPr>
              <w:rPr>
                <w:rFonts w:ascii="Calibri" w:hAnsi="Calibri" w:cs="Calibri"/>
                <w:color w:val="000000"/>
                <w:sz w:val="22"/>
                <w:szCs w:val="22"/>
              </w:rPr>
            </w:pPr>
            <w:r w:rsidRPr="009E1F1D">
              <w:rPr>
                <w:rFonts w:ascii="Calibri" w:hAnsi="Calibri" w:cs="Calibri"/>
                <w:color w:val="000000"/>
                <w:sz w:val="22"/>
                <w:szCs w:val="22"/>
              </w:rPr>
              <w:t>2026</w:t>
            </w:r>
          </w:p>
        </w:tc>
        <w:tc>
          <w:tcPr>
            <w:tcW w:w="1710" w:type="dxa"/>
            <w:tcBorders>
              <w:top w:val="nil"/>
              <w:left w:val="nil"/>
              <w:bottom w:val="single" w:sz="4" w:space="0" w:color="auto"/>
              <w:right w:val="single" w:sz="4" w:space="0" w:color="auto"/>
            </w:tcBorders>
          </w:tcPr>
          <w:p w14:paraId="0415BE10" w14:textId="38BE9B18" w:rsidR="00BB088A" w:rsidRPr="009E1F1D" w:rsidRDefault="00BB088A" w:rsidP="00BB088A">
            <w:pPr>
              <w:rPr>
                <w:rFonts w:ascii="Calibri" w:hAnsi="Calibri" w:cs="Calibri"/>
                <w:color w:val="000000"/>
                <w:sz w:val="22"/>
                <w:szCs w:val="22"/>
              </w:rPr>
            </w:pPr>
            <w:r w:rsidRPr="00F0534D">
              <w:rPr>
                <w:rFonts w:ascii="Calibri" w:hAnsi="Calibri" w:cs="Calibri"/>
                <w:color w:val="000000"/>
                <w:sz w:val="22"/>
                <w:szCs w:val="22"/>
              </w:rPr>
              <w:t>Expectancy; Agency; Self-Determination; Equity</w:t>
            </w:r>
          </w:p>
        </w:tc>
        <w:tc>
          <w:tcPr>
            <w:tcW w:w="1710" w:type="dxa"/>
            <w:tcBorders>
              <w:top w:val="nil"/>
              <w:left w:val="nil"/>
              <w:bottom w:val="single" w:sz="4" w:space="0" w:color="auto"/>
              <w:right w:val="single" w:sz="4" w:space="0" w:color="auto"/>
            </w:tcBorders>
            <w:vAlign w:val="center"/>
          </w:tcPr>
          <w:p w14:paraId="512911BA" w14:textId="10FDD176" w:rsidR="00BB088A" w:rsidRPr="009E1F1D" w:rsidRDefault="00BB088A" w:rsidP="00BB088A">
            <w:pPr>
              <w:rPr>
                <w:rFonts w:ascii="Calibri" w:hAnsi="Calibri" w:cs="Calibri"/>
                <w:color w:val="000000"/>
                <w:sz w:val="22"/>
                <w:szCs w:val="22"/>
              </w:rPr>
            </w:pPr>
            <w:r w:rsidRPr="00D0217E">
              <w:rPr>
                <w:color w:val="000000"/>
              </w:rPr>
              <w:t>Performance incentives</w:t>
            </w:r>
          </w:p>
        </w:tc>
        <w:tc>
          <w:tcPr>
            <w:tcW w:w="1980" w:type="dxa"/>
            <w:tcBorders>
              <w:top w:val="nil"/>
              <w:left w:val="nil"/>
              <w:bottom w:val="single" w:sz="4" w:space="0" w:color="auto"/>
              <w:right w:val="single" w:sz="4" w:space="0" w:color="auto"/>
            </w:tcBorders>
            <w:vAlign w:val="center"/>
          </w:tcPr>
          <w:p w14:paraId="2F99E2F7" w14:textId="74594872" w:rsidR="00BB088A" w:rsidRPr="009E1F1D" w:rsidRDefault="00BB088A" w:rsidP="00BB088A">
            <w:pPr>
              <w:rPr>
                <w:rFonts w:ascii="Calibri" w:hAnsi="Calibri" w:cs="Calibri"/>
                <w:color w:val="000000"/>
                <w:sz w:val="22"/>
                <w:szCs w:val="22"/>
              </w:rPr>
            </w:pPr>
            <w:r w:rsidRPr="00D0217E">
              <w:rPr>
                <w:color w:val="000000"/>
              </w:rPr>
              <w:t>Hidden costs</w:t>
            </w:r>
          </w:p>
        </w:tc>
        <w:tc>
          <w:tcPr>
            <w:tcW w:w="1260" w:type="dxa"/>
            <w:tcBorders>
              <w:top w:val="nil"/>
              <w:left w:val="nil"/>
              <w:bottom w:val="single" w:sz="4" w:space="0" w:color="auto"/>
              <w:right w:val="single" w:sz="4" w:space="0" w:color="auto"/>
            </w:tcBorders>
            <w:vAlign w:val="center"/>
          </w:tcPr>
          <w:p w14:paraId="3DA4E1C4" w14:textId="203D408A" w:rsidR="00BB088A" w:rsidRPr="009E1F1D" w:rsidRDefault="00BB088A" w:rsidP="00BB088A">
            <w:pPr>
              <w:rPr>
                <w:rFonts w:ascii="Calibri" w:hAnsi="Calibri" w:cs="Calibri"/>
                <w:color w:val="000000"/>
                <w:sz w:val="22"/>
                <w:szCs w:val="22"/>
              </w:rPr>
            </w:pPr>
            <w:r w:rsidRPr="00D0217E">
              <w:rPr>
                <w:color w:val="000000"/>
              </w:rPr>
              <w:t>Employee outcomes</w:t>
            </w:r>
          </w:p>
        </w:tc>
        <w:tc>
          <w:tcPr>
            <w:tcW w:w="1530" w:type="dxa"/>
            <w:tcBorders>
              <w:top w:val="nil"/>
              <w:left w:val="nil"/>
              <w:bottom w:val="single" w:sz="4" w:space="0" w:color="auto"/>
              <w:right w:val="single" w:sz="4" w:space="0" w:color="auto"/>
            </w:tcBorders>
            <w:hideMark/>
          </w:tcPr>
          <w:p w14:paraId="7975F357" w14:textId="1A87B3E0" w:rsidR="00BB088A" w:rsidRPr="009E1F1D" w:rsidRDefault="00BB088A" w:rsidP="00BB088A">
            <w:pPr>
              <w:rPr>
                <w:rFonts w:ascii="Calibri" w:hAnsi="Calibri" w:cs="Calibri"/>
                <w:color w:val="000000"/>
                <w:sz w:val="22"/>
                <w:szCs w:val="22"/>
              </w:rPr>
            </w:pPr>
            <w:r w:rsidRPr="009E1F1D">
              <w:rPr>
                <w:rFonts w:ascii="Calibri" w:hAnsi="Calibri" w:cs="Calibri"/>
                <w:color w:val="000000"/>
                <w:sz w:val="22"/>
                <w:szCs w:val="22"/>
              </w:rPr>
              <w:t>P</w:t>
            </w:r>
            <w:r w:rsidR="00E8023E">
              <w:rPr>
                <w:rFonts w:ascii="Calibri" w:hAnsi="Calibri" w:cs="Calibri"/>
                <w:color w:val="000000"/>
                <w:sz w:val="22"/>
                <w:szCs w:val="22"/>
              </w:rPr>
              <w:t>B</w:t>
            </w:r>
            <w:r w:rsidRPr="009E1F1D">
              <w:rPr>
                <w:rFonts w:ascii="Calibri" w:hAnsi="Calibri" w:cs="Calibri"/>
                <w:color w:val="000000"/>
                <w:sz w:val="22"/>
                <w:szCs w:val="22"/>
              </w:rPr>
              <w:t>P can have positive effects, but outcomes depend on incentive design, context and employee circumstances</w:t>
            </w:r>
          </w:p>
        </w:tc>
        <w:tc>
          <w:tcPr>
            <w:tcW w:w="1440" w:type="dxa"/>
            <w:tcBorders>
              <w:top w:val="nil"/>
              <w:left w:val="nil"/>
              <w:bottom w:val="single" w:sz="4" w:space="0" w:color="auto"/>
              <w:right w:val="single" w:sz="4" w:space="0" w:color="auto"/>
            </w:tcBorders>
          </w:tcPr>
          <w:p w14:paraId="1166F69A" w14:textId="6CF71723" w:rsidR="00BB088A" w:rsidRPr="009E1F1D" w:rsidRDefault="00BB088A" w:rsidP="00BB088A">
            <w:pPr>
              <w:rPr>
                <w:rFonts w:ascii="Calibri" w:hAnsi="Calibri" w:cs="Calibri"/>
                <w:color w:val="000000"/>
                <w:sz w:val="22"/>
                <w:szCs w:val="22"/>
              </w:rPr>
            </w:pPr>
            <w:r w:rsidRPr="004B62CF">
              <w:rPr>
                <w:rFonts w:ascii="Calibri" w:hAnsi="Calibri" w:cs="Calibri"/>
                <w:color w:val="000000"/>
                <w:sz w:val="22"/>
                <w:szCs w:val="22"/>
              </w:rPr>
              <w:t>Pay, P</w:t>
            </w:r>
            <w:r w:rsidR="00E8023E">
              <w:rPr>
                <w:rFonts w:ascii="Calibri" w:hAnsi="Calibri" w:cs="Calibri"/>
                <w:color w:val="000000"/>
                <w:sz w:val="22"/>
                <w:szCs w:val="22"/>
              </w:rPr>
              <w:t>B</w:t>
            </w:r>
            <w:r w:rsidRPr="004B62CF">
              <w:rPr>
                <w:rFonts w:ascii="Calibri" w:hAnsi="Calibri" w:cs="Calibri"/>
                <w:color w:val="000000"/>
                <w:sz w:val="22"/>
                <w:szCs w:val="22"/>
              </w:rPr>
              <w:t>P, well-being</w:t>
            </w:r>
          </w:p>
        </w:tc>
        <w:tc>
          <w:tcPr>
            <w:tcW w:w="236" w:type="dxa"/>
            <w:tcBorders>
              <w:top w:val="nil"/>
              <w:left w:val="nil"/>
              <w:bottom w:val="single" w:sz="4" w:space="0" w:color="auto"/>
              <w:right w:val="single" w:sz="4" w:space="0" w:color="auto"/>
            </w:tcBorders>
          </w:tcPr>
          <w:p w14:paraId="360F1A42" w14:textId="470FED77" w:rsidR="00BB088A" w:rsidRPr="009E1F1D" w:rsidRDefault="00BB088A" w:rsidP="00BB088A">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C6F252C" w14:textId="5FC81F79" w:rsidR="00BB088A" w:rsidRPr="009E1F1D" w:rsidRDefault="00BB088A" w:rsidP="00BB088A">
            <w:pPr>
              <w:rPr>
                <w:rFonts w:ascii="Calibri" w:hAnsi="Calibri" w:cs="Calibri"/>
                <w:color w:val="000000"/>
                <w:sz w:val="22"/>
                <w:szCs w:val="22"/>
              </w:rPr>
            </w:pPr>
          </w:p>
        </w:tc>
      </w:tr>
      <w:tr w:rsidR="002A58DC" w:rsidRPr="009E1F1D" w14:paraId="14345B1A"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64EA880"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15</w:t>
            </w:r>
          </w:p>
        </w:tc>
        <w:tc>
          <w:tcPr>
            <w:tcW w:w="1260" w:type="dxa"/>
            <w:tcBorders>
              <w:top w:val="nil"/>
              <w:left w:val="nil"/>
              <w:bottom w:val="single" w:sz="4" w:space="0" w:color="auto"/>
              <w:right w:val="single" w:sz="4" w:space="0" w:color="auto"/>
            </w:tcBorders>
            <w:hideMark/>
          </w:tcPr>
          <w:p w14:paraId="02A2F5E5"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Pay for (Individual) Performance: Issues, Claims, Evidence and the Role of Sorting Effects</w:t>
            </w:r>
          </w:p>
        </w:tc>
        <w:tc>
          <w:tcPr>
            <w:tcW w:w="1530" w:type="dxa"/>
            <w:tcBorders>
              <w:top w:val="nil"/>
              <w:left w:val="nil"/>
              <w:bottom w:val="single" w:sz="4" w:space="0" w:color="auto"/>
              <w:right w:val="single" w:sz="4" w:space="0" w:color="auto"/>
            </w:tcBorders>
            <w:hideMark/>
          </w:tcPr>
          <w:p w14:paraId="40BFF8EE"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Gerhart, B. &amp; Fang, M.</w:t>
            </w:r>
          </w:p>
        </w:tc>
        <w:tc>
          <w:tcPr>
            <w:tcW w:w="720" w:type="dxa"/>
            <w:tcBorders>
              <w:top w:val="nil"/>
              <w:left w:val="nil"/>
              <w:bottom w:val="single" w:sz="4" w:space="0" w:color="auto"/>
              <w:right w:val="single" w:sz="4" w:space="0" w:color="auto"/>
            </w:tcBorders>
            <w:hideMark/>
          </w:tcPr>
          <w:p w14:paraId="1FBD98C8"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2014</w:t>
            </w:r>
          </w:p>
        </w:tc>
        <w:tc>
          <w:tcPr>
            <w:tcW w:w="1710" w:type="dxa"/>
            <w:tcBorders>
              <w:top w:val="nil"/>
              <w:left w:val="nil"/>
              <w:bottom w:val="single" w:sz="4" w:space="0" w:color="auto"/>
              <w:right w:val="single" w:sz="4" w:space="0" w:color="auto"/>
            </w:tcBorders>
          </w:tcPr>
          <w:p w14:paraId="479B04BA" w14:textId="4577F922"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 Incentive Theory</w:t>
            </w:r>
          </w:p>
        </w:tc>
        <w:tc>
          <w:tcPr>
            <w:tcW w:w="1710" w:type="dxa"/>
            <w:tcBorders>
              <w:top w:val="nil"/>
              <w:left w:val="nil"/>
              <w:bottom w:val="single" w:sz="4" w:space="0" w:color="auto"/>
              <w:right w:val="single" w:sz="4" w:space="0" w:color="auto"/>
            </w:tcBorders>
            <w:vAlign w:val="center"/>
          </w:tcPr>
          <w:p w14:paraId="211125C5" w14:textId="58789E67" w:rsidR="003C6645" w:rsidRPr="009E1F1D" w:rsidRDefault="003C6645" w:rsidP="003C6645">
            <w:pPr>
              <w:rPr>
                <w:rFonts w:ascii="Calibri" w:hAnsi="Calibri" w:cs="Calibri"/>
                <w:color w:val="000000"/>
                <w:sz w:val="22"/>
                <w:szCs w:val="22"/>
              </w:rPr>
            </w:pPr>
            <w:r w:rsidRPr="00D0217E">
              <w:rPr>
                <w:color w:val="000000"/>
              </w:rPr>
              <w:t>Performance improvement</w:t>
            </w:r>
          </w:p>
        </w:tc>
        <w:tc>
          <w:tcPr>
            <w:tcW w:w="1980" w:type="dxa"/>
            <w:tcBorders>
              <w:top w:val="nil"/>
              <w:left w:val="nil"/>
              <w:bottom w:val="single" w:sz="4" w:space="0" w:color="auto"/>
              <w:right w:val="single" w:sz="4" w:space="0" w:color="auto"/>
            </w:tcBorders>
            <w:vAlign w:val="center"/>
          </w:tcPr>
          <w:p w14:paraId="29E2B402" w14:textId="2661C596" w:rsidR="003C6645" w:rsidRPr="009E1F1D" w:rsidRDefault="003C6645" w:rsidP="003C6645">
            <w:pPr>
              <w:rPr>
                <w:rFonts w:ascii="Calibri" w:hAnsi="Calibri" w:cs="Calibri"/>
                <w:color w:val="000000"/>
                <w:sz w:val="22"/>
                <w:szCs w:val="22"/>
              </w:rPr>
            </w:pPr>
            <w:r w:rsidRPr="00D0217E">
              <w:rPr>
                <w:color w:val="000000"/>
              </w:rPr>
              <w:t>Sorting effects</w:t>
            </w:r>
          </w:p>
        </w:tc>
        <w:tc>
          <w:tcPr>
            <w:tcW w:w="1260" w:type="dxa"/>
            <w:tcBorders>
              <w:top w:val="nil"/>
              <w:left w:val="nil"/>
              <w:bottom w:val="single" w:sz="4" w:space="0" w:color="auto"/>
              <w:right w:val="single" w:sz="4" w:space="0" w:color="auto"/>
            </w:tcBorders>
            <w:vAlign w:val="center"/>
          </w:tcPr>
          <w:p w14:paraId="79208877" w14:textId="0FE5E21D" w:rsidR="003C6645" w:rsidRPr="009E1F1D" w:rsidRDefault="003C6645" w:rsidP="003C6645">
            <w:pPr>
              <w:rPr>
                <w:rFonts w:ascii="Calibri" w:hAnsi="Calibri" w:cs="Calibri"/>
                <w:color w:val="000000"/>
                <w:sz w:val="22"/>
                <w:szCs w:val="22"/>
              </w:rPr>
            </w:pPr>
            <w:r w:rsidRPr="00D0217E">
              <w:rPr>
                <w:color w:val="000000"/>
              </w:rPr>
              <w:t>Employee outcomes</w:t>
            </w:r>
          </w:p>
        </w:tc>
        <w:tc>
          <w:tcPr>
            <w:tcW w:w="1530" w:type="dxa"/>
            <w:tcBorders>
              <w:top w:val="nil"/>
              <w:left w:val="nil"/>
              <w:bottom w:val="single" w:sz="4" w:space="0" w:color="auto"/>
              <w:right w:val="single" w:sz="4" w:space="0" w:color="auto"/>
            </w:tcBorders>
            <w:hideMark/>
          </w:tcPr>
          <w:p w14:paraId="702031F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Sorting effects can be as important as direct incentive effects</w:t>
            </w:r>
          </w:p>
        </w:tc>
        <w:tc>
          <w:tcPr>
            <w:tcW w:w="1440" w:type="dxa"/>
            <w:tcBorders>
              <w:top w:val="nil"/>
              <w:left w:val="nil"/>
              <w:bottom w:val="single" w:sz="4" w:space="0" w:color="auto"/>
              <w:right w:val="single" w:sz="4" w:space="0" w:color="auto"/>
            </w:tcBorders>
          </w:tcPr>
          <w:p w14:paraId="45413292" w14:textId="3F56E925" w:rsidR="003C6645" w:rsidRPr="009E1F1D" w:rsidRDefault="003C6645" w:rsidP="003C6645">
            <w:pPr>
              <w:rPr>
                <w:rFonts w:ascii="Calibri" w:hAnsi="Calibri" w:cs="Calibri"/>
                <w:color w:val="000000"/>
                <w:sz w:val="22"/>
                <w:szCs w:val="22"/>
              </w:rPr>
            </w:pPr>
            <w:r w:rsidRPr="004B62CF">
              <w:rPr>
                <w:rFonts w:ascii="Calibri" w:hAnsi="Calibri" w:cs="Calibri"/>
                <w:color w:val="000000"/>
                <w:sz w:val="22"/>
                <w:szCs w:val="22"/>
              </w:rPr>
              <w:t>Individual P</w:t>
            </w:r>
            <w:r w:rsidR="00E8023E">
              <w:rPr>
                <w:rFonts w:ascii="Calibri" w:hAnsi="Calibri" w:cs="Calibri"/>
                <w:color w:val="000000"/>
                <w:sz w:val="22"/>
                <w:szCs w:val="22"/>
              </w:rPr>
              <w:t>B</w:t>
            </w:r>
            <w:r w:rsidRPr="004B62CF">
              <w:rPr>
                <w:rFonts w:ascii="Calibri" w:hAnsi="Calibri" w:cs="Calibri"/>
                <w:color w:val="000000"/>
                <w:sz w:val="22"/>
                <w:szCs w:val="22"/>
              </w:rPr>
              <w:t>P, sorting</w:t>
            </w:r>
          </w:p>
        </w:tc>
        <w:tc>
          <w:tcPr>
            <w:tcW w:w="236" w:type="dxa"/>
            <w:tcBorders>
              <w:top w:val="nil"/>
              <w:left w:val="nil"/>
              <w:bottom w:val="single" w:sz="4" w:space="0" w:color="auto"/>
              <w:right w:val="single" w:sz="4" w:space="0" w:color="auto"/>
            </w:tcBorders>
          </w:tcPr>
          <w:p w14:paraId="713DEB65" w14:textId="4915D88E"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F7C7228" w14:textId="1B6C5E6B" w:rsidR="003C6645" w:rsidRPr="009E1F1D" w:rsidRDefault="003C6645" w:rsidP="003C6645">
            <w:pPr>
              <w:rPr>
                <w:rFonts w:ascii="Calibri" w:hAnsi="Calibri" w:cs="Calibri"/>
                <w:color w:val="000000"/>
                <w:sz w:val="22"/>
                <w:szCs w:val="22"/>
              </w:rPr>
            </w:pPr>
          </w:p>
        </w:tc>
      </w:tr>
      <w:tr w:rsidR="002A58DC" w:rsidRPr="009E1F1D" w14:paraId="1C3B2EE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7979D95"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16</w:t>
            </w:r>
          </w:p>
        </w:tc>
        <w:tc>
          <w:tcPr>
            <w:tcW w:w="1260" w:type="dxa"/>
            <w:tcBorders>
              <w:top w:val="nil"/>
              <w:left w:val="nil"/>
              <w:bottom w:val="single" w:sz="4" w:space="0" w:color="auto"/>
              <w:right w:val="single" w:sz="4" w:space="0" w:color="auto"/>
            </w:tcBorders>
            <w:hideMark/>
          </w:tcPr>
          <w:p w14:paraId="4E852C41"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Personnel Psychology: Performance Evaluation and Pay for Performance</w:t>
            </w:r>
          </w:p>
        </w:tc>
        <w:tc>
          <w:tcPr>
            <w:tcW w:w="1530" w:type="dxa"/>
            <w:tcBorders>
              <w:top w:val="nil"/>
              <w:left w:val="nil"/>
              <w:bottom w:val="single" w:sz="4" w:space="0" w:color="auto"/>
              <w:right w:val="single" w:sz="4" w:space="0" w:color="auto"/>
            </w:tcBorders>
            <w:hideMark/>
          </w:tcPr>
          <w:p w14:paraId="65FF8C42"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Rynes, S.L., Gerhart, B. &amp; Parks, L.</w:t>
            </w:r>
          </w:p>
        </w:tc>
        <w:tc>
          <w:tcPr>
            <w:tcW w:w="720" w:type="dxa"/>
            <w:tcBorders>
              <w:top w:val="nil"/>
              <w:left w:val="nil"/>
              <w:bottom w:val="single" w:sz="4" w:space="0" w:color="auto"/>
              <w:right w:val="single" w:sz="4" w:space="0" w:color="auto"/>
            </w:tcBorders>
            <w:hideMark/>
          </w:tcPr>
          <w:p w14:paraId="17B4A73B"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2005</w:t>
            </w:r>
          </w:p>
        </w:tc>
        <w:tc>
          <w:tcPr>
            <w:tcW w:w="1710" w:type="dxa"/>
            <w:tcBorders>
              <w:top w:val="nil"/>
              <w:left w:val="nil"/>
              <w:bottom w:val="single" w:sz="4" w:space="0" w:color="auto"/>
              <w:right w:val="single" w:sz="4" w:space="0" w:color="auto"/>
            </w:tcBorders>
          </w:tcPr>
          <w:p w14:paraId="08804174" w14:textId="112CD61E"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Performance appraisal; incentive theories</w:t>
            </w:r>
          </w:p>
        </w:tc>
        <w:tc>
          <w:tcPr>
            <w:tcW w:w="1710" w:type="dxa"/>
            <w:tcBorders>
              <w:top w:val="nil"/>
              <w:left w:val="nil"/>
              <w:bottom w:val="single" w:sz="4" w:space="0" w:color="auto"/>
              <w:right w:val="single" w:sz="4" w:space="0" w:color="auto"/>
            </w:tcBorders>
            <w:vAlign w:val="center"/>
          </w:tcPr>
          <w:p w14:paraId="3B5BA967" w14:textId="3D60BDF3" w:rsidR="003C6645" w:rsidRPr="009E1F1D" w:rsidRDefault="003C6645" w:rsidP="003C6645">
            <w:pPr>
              <w:rPr>
                <w:rFonts w:ascii="Calibri" w:hAnsi="Calibri" w:cs="Calibri"/>
                <w:color w:val="000000"/>
                <w:sz w:val="22"/>
                <w:szCs w:val="22"/>
              </w:rPr>
            </w:pPr>
            <w:r w:rsidRPr="00D0217E">
              <w:rPr>
                <w:color w:val="000000"/>
              </w:rPr>
              <w:t>Performance rewards</w:t>
            </w:r>
          </w:p>
        </w:tc>
        <w:tc>
          <w:tcPr>
            <w:tcW w:w="1980" w:type="dxa"/>
            <w:tcBorders>
              <w:top w:val="nil"/>
              <w:left w:val="nil"/>
              <w:bottom w:val="single" w:sz="4" w:space="0" w:color="auto"/>
              <w:right w:val="single" w:sz="4" w:space="0" w:color="auto"/>
            </w:tcBorders>
            <w:vAlign w:val="center"/>
          </w:tcPr>
          <w:p w14:paraId="467E98FA" w14:textId="4363E7F2" w:rsidR="003C6645" w:rsidRPr="009E1F1D" w:rsidRDefault="003C6645" w:rsidP="003C6645">
            <w:pPr>
              <w:rPr>
                <w:rFonts w:ascii="Calibri" w:hAnsi="Calibri" w:cs="Calibri"/>
                <w:color w:val="000000"/>
                <w:sz w:val="22"/>
                <w:szCs w:val="22"/>
              </w:rPr>
            </w:pPr>
            <w:r w:rsidRPr="00D0217E">
              <w:rPr>
                <w:color w:val="000000"/>
              </w:rPr>
              <w:t>Evaluation bias</w:t>
            </w:r>
          </w:p>
        </w:tc>
        <w:tc>
          <w:tcPr>
            <w:tcW w:w="1260" w:type="dxa"/>
            <w:tcBorders>
              <w:top w:val="nil"/>
              <w:left w:val="nil"/>
              <w:bottom w:val="single" w:sz="4" w:space="0" w:color="auto"/>
              <w:right w:val="single" w:sz="4" w:space="0" w:color="auto"/>
            </w:tcBorders>
            <w:vAlign w:val="center"/>
          </w:tcPr>
          <w:p w14:paraId="01BF9062" w14:textId="6AC6127E" w:rsidR="003C6645" w:rsidRPr="009E1F1D" w:rsidRDefault="003C6645" w:rsidP="003C6645">
            <w:pPr>
              <w:rPr>
                <w:rFonts w:ascii="Calibri" w:hAnsi="Calibri" w:cs="Calibri"/>
                <w:color w:val="000000"/>
                <w:sz w:val="22"/>
                <w:szCs w:val="22"/>
              </w:rPr>
            </w:pPr>
            <w:r w:rsidRPr="00D0217E">
              <w:rPr>
                <w:color w:val="000000"/>
              </w:rPr>
              <w:t>Employee performance</w:t>
            </w:r>
          </w:p>
        </w:tc>
        <w:tc>
          <w:tcPr>
            <w:tcW w:w="1530" w:type="dxa"/>
            <w:tcBorders>
              <w:top w:val="nil"/>
              <w:left w:val="nil"/>
              <w:bottom w:val="single" w:sz="4" w:space="0" w:color="auto"/>
              <w:right w:val="single" w:sz="4" w:space="0" w:color="auto"/>
            </w:tcBorders>
            <w:hideMark/>
          </w:tcPr>
          <w:p w14:paraId="2D129FBF"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Performance measurement and pay linkage are central to incentive effectiveness</w:t>
            </w:r>
          </w:p>
        </w:tc>
        <w:tc>
          <w:tcPr>
            <w:tcW w:w="1440" w:type="dxa"/>
            <w:tcBorders>
              <w:top w:val="nil"/>
              <w:left w:val="nil"/>
              <w:bottom w:val="single" w:sz="4" w:space="0" w:color="auto"/>
              <w:right w:val="single" w:sz="4" w:space="0" w:color="auto"/>
            </w:tcBorders>
          </w:tcPr>
          <w:p w14:paraId="64AE4AC9" w14:textId="359A66DF" w:rsidR="003C6645" w:rsidRPr="009E1F1D" w:rsidRDefault="00780743" w:rsidP="003C6645">
            <w:pPr>
              <w:rPr>
                <w:rFonts w:ascii="Calibri" w:hAnsi="Calibri" w:cs="Calibri"/>
                <w:color w:val="000000"/>
                <w:sz w:val="22"/>
                <w:szCs w:val="22"/>
              </w:rPr>
            </w:pPr>
            <w:r w:rsidRPr="004B62CF">
              <w:rPr>
                <w:rFonts w:ascii="Calibri" w:hAnsi="Calibri" w:cs="Calibri"/>
                <w:color w:val="000000"/>
                <w:sz w:val="22"/>
                <w:szCs w:val="22"/>
              </w:rPr>
              <w:t>Appraisal, incentives</w:t>
            </w:r>
          </w:p>
        </w:tc>
        <w:tc>
          <w:tcPr>
            <w:tcW w:w="236" w:type="dxa"/>
            <w:tcBorders>
              <w:top w:val="nil"/>
              <w:left w:val="nil"/>
              <w:bottom w:val="single" w:sz="4" w:space="0" w:color="auto"/>
              <w:right w:val="single" w:sz="4" w:space="0" w:color="auto"/>
            </w:tcBorders>
          </w:tcPr>
          <w:p w14:paraId="0D77FEFA" w14:textId="66218FC2"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F7D7D42" w14:textId="276EF335" w:rsidR="003C6645" w:rsidRPr="009E1F1D" w:rsidRDefault="003C6645" w:rsidP="003C6645">
            <w:pPr>
              <w:rPr>
                <w:rFonts w:ascii="Calibri" w:hAnsi="Calibri" w:cs="Calibri"/>
                <w:color w:val="000000"/>
                <w:sz w:val="22"/>
                <w:szCs w:val="22"/>
              </w:rPr>
            </w:pPr>
          </w:p>
        </w:tc>
      </w:tr>
      <w:tr w:rsidR="002A58DC" w:rsidRPr="009E1F1D" w14:paraId="443FB100"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58363A2"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17</w:t>
            </w:r>
          </w:p>
        </w:tc>
        <w:tc>
          <w:tcPr>
            <w:tcW w:w="1260" w:type="dxa"/>
            <w:tcBorders>
              <w:top w:val="nil"/>
              <w:left w:val="nil"/>
              <w:bottom w:val="single" w:sz="4" w:space="0" w:color="auto"/>
              <w:right w:val="single" w:sz="4" w:space="0" w:color="auto"/>
            </w:tcBorders>
            <w:hideMark/>
          </w:tcPr>
          <w:p w14:paraId="3C92002A"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Pay for Performance: Theory and Evidence</w:t>
            </w:r>
          </w:p>
        </w:tc>
        <w:tc>
          <w:tcPr>
            <w:tcW w:w="1530" w:type="dxa"/>
            <w:tcBorders>
              <w:top w:val="nil"/>
              <w:left w:val="nil"/>
              <w:bottom w:val="single" w:sz="4" w:space="0" w:color="auto"/>
              <w:right w:val="single" w:sz="4" w:space="0" w:color="auto"/>
            </w:tcBorders>
            <w:hideMark/>
          </w:tcPr>
          <w:p w14:paraId="481D1B95"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Prendergast, C.</w:t>
            </w:r>
          </w:p>
        </w:tc>
        <w:tc>
          <w:tcPr>
            <w:tcW w:w="720" w:type="dxa"/>
            <w:tcBorders>
              <w:top w:val="nil"/>
              <w:left w:val="nil"/>
              <w:bottom w:val="single" w:sz="4" w:space="0" w:color="auto"/>
              <w:right w:val="single" w:sz="4" w:space="0" w:color="auto"/>
            </w:tcBorders>
            <w:hideMark/>
          </w:tcPr>
          <w:p w14:paraId="1FB7F22E"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1999</w:t>
            </w:r>
          </w:p>
        </w:tc>
        <w:tc>
          <w:tcPr>
            <w:tcW w:w="1710" w:type="dxa"/>
            <w:tcBorders>
              <w:top w:val="nil"/>
              <w:left w:val="nil"/>
              <w:bottom w:val="single" w:sz="4" w:space="0" w:color="auto"/>
              <w:right w:val="single" w:sz="4" w:space="0" w:color="auto"/>
            </w:tcBorders>
          </w:tcPr>
          <w:p w14:paraId="6ED29A63" w14:textId="035FD180"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2079B357" w14:textId="4EA867B3" w:rsidR="003C6645" w:rsidRPr="009E1F1D" w:rsidRDefault="003C6645" w:rsidP="003C6645">
            <w:pPr>
              <w:rPr>
                <w:rFonts w:ascii="Calibri" w:hAnsi="Calibri" w:cs="Calibri"/>
                <w:color w:val="000000"/>
                <w:sz w:val="22"/>
                <w:szCs w:val="22"/>
              </w:rPr>
            </w:pPr>
            <w:r w:rsidRPr="00D0217E">
              <w:rPr>
                <w:color w:val="000000"/>
              </w:rPr>
              <w:t>Incentive alignment</w:t>
            </w:r>
          </w:p>
        </w:tc>
        <w:tc>
          <w:tcPr>
            <w:tcW w:w="1980" w:type="dxa"/>
            <w:tcBorders>
              <w:top w:val="nil"/>
              <w:left w:val="nil"/>
              <w:bottom w:val="single" w:sz="4" w:space="0" w:color="auto"/>
              <w:right w:val="single" w:sz="4" w:space="0" w:color="auto"/>
            </w:tcBorders>
            <w:vAlign w:val="center"/>
          </w:tcPr>
          <w:p w14:paraId="77E1CF51" w14:textId="2D9F2774" w:rsidR="003C6645" w:rsidRPr="009E1F1D" w:rsidRDefault="003C6645" w:rsidP="003C6645">
            <w:pPr>
              <w:rPr>
                <w:rFonts w:ascii="Calibri" w:hAnsi="Calibri" w:cs="Calibri"/>
                <w:color w:val="000000"/>
                <w:sz w:val="22"/>
                <w:szCs w:val="22"/>
              </w:rPr>
            </w:pPr>
            <w:r w:rsidRPr="00D0217E">
              <w:rPr>
                <w:color w:val="000000"/>
              </w:rPr>
              <w:t>Distorted effort</w:t>
            </w:r>
          </w:p>
        </w:tc>
        <w:tc>
          <w:tcPr>
            <w:tcW w:w="1260" w:type="dxa"/>
            <w:tcBorders>
              <w:top w:val="nil"/>
              <w:left w:val="nil"/>
              <w:bottom w:val="single" w:sz="4" w:space="0" w:color="auto"/>
              <w:right w:val="single" w:sz="4" w:space="0" w:color="auto"/>
            </w:tcBorders>
            <w:vAlign w:val="center"/>
          </w:tcPr>
          <w:p w14:paraId="2CDB57E7" w14:textId="4DB9566C" w:rsidR="003C6645" w:rsidRPr="009E1F1D" w:rsidRDefault="003C6645" w:rsidP="003C6645">
            <w:pPr>
              <w:rPr>
                <w:rFonts w:ascii="Calibri" w:hAnsi="Calibri" w:cs="Calibri"/>
                <w:color w:val="000000"/>
                <w:sz w:val="22"/>
                <w:szCs w:val="22"/>
              </w:rPr>
            </w:pPr>
            <w:r w:rsidRPr="00D0217E">
              <w:rPr>
                <w:color w:val="000000"/>
              </w:rPr>
              <w:t>Employee performance</w:t>
            </w:r>
          </w:p>
        </w:tc>
        <w:tc>
          <w:tcPr>
            <w:tcW w:w="1530" w:type="dxa"/>
            <w:tcBorders>
              <w:top w:val="nil"/>
              <w:left w:val="nil"/>
              <w:bottom w:val="single" w:sz="4" w:space="0" w:color="auto"/>
              <w:right w:val="single" w:sz="4" w:space="0" w:color="auto"/>
            </w:tcBorders>
            <w:hideMark/>
          </w:tcPr>
          <w:p w14:paraId="75C80DF5"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Performance pay can align employee and employer interests but measurement problems matter</w:t>
            </w:r>
          </w:p>
        </w:tc>
        <w:tc>
          <w:tcPr>
            <w:tcW w:w="1440" w:type="dxa"/>
            <w:tcBorders>
              <w:top w:val="nil"/>
              <w:left w:val="nil"/>
              <w:bottom w:val="single" w:sz="4" w:space="0" w:color="auto"/>
              <w:right w:val="single" w:sz="4" w:space="0" w:color="auto"/>
            </w:tcBorders>
          </w:tcPr>
          <w:p w14:paraId="3CE80858" w14:textId="58FBD9C0" w:rsidR="003C6645" w:rsidRPr="009E1F1D" w:rsidRDefault="00FF3874" w:rsidP="003C6645">
            <w:pPr>
              <w:rPr>
                <w:rFonts w:ascii="Calibri" w:hAnsi="Calibri" w:cs="Calibri"/>
                <w:color w:val="000000"/>
                <w:sz w:val="22"/>
                <w:szCs w:val="22"/>
              </w:rPr>
            </w:pPr>
            <w:r w:rsidRPr="004B62CF">
              <w:rPr>
                <w:rFonts w:ascii="Calibri" w:hAnsi="Calibri" w:cs="Calibri"/>
                <w:color w:val="000000"/>
                <w:sz w:val="22"/>
                <w:szCs w:val="22"/>
              </w:rPr>
              <w:t>Agency, incentives</w:t>
            </w:r>
          </w:p>
        </w:tc>
        <w:tc>
          <w:tcPr>
            <w:tcW w:w="236" w:type="dxa"/>
            <w:tcBorders>
              <w:top w:val="nil"/>
              <w:left w:val="nil"/>
              <w:bottom w:val="single" w:sz="4" w:space="0" w:color="auto"/>
              <w:right w:val="single" w:sz="4" w:space="0" w:color="auto"/>
            </w:tcBorders>
          </w:tcPr>
          <w:p w14:paraId="2C94DC28" w14:textId="3094ECF4"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5CEA93F" w14:textId="667504E7" w:rsidR="003C6645" w:rsidRPr="009E1F1D" w:rsidRDefault="003C6645" w:rsidP="003C6645">
            <w:pPr>
              <w:rPr>
                <w:rFonts w:ascii="Calibri" w:hAnsi="Calibri" w:cs="Calibri"/>
                <w:color w:val="000000"/>
                <w:sz w:val="22"/>
                <w:szCs w:val="22"/>
              </w:rPr>
            </w:pPr>
          </w:p>
        </w:tc>
      </w:tr>
      <w:tr w:rsidR="002A58DC" w:rsidRPr="009E1F1D" w14:paraId="2B5B1EE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A76220B"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lastRenderedPageBreak/>
              <w:t>18</w:t>
            </w:r>
          </w:p>
        </w:tc>
        <w:tc>
          <w:tcPr>
            <w:tcW w:w="1260" w:type="dxa"/>
            <w:tcBorders>
              <w:top w:val="nil"/>
              <w:left w:val="nil"/>
              <w:bottom w:val="single" w:sz="4" w:space="0" w:color="auto"/>
              <w:right w:val="single" w:sz="4" w:space="0" w:color="auto"/>
            </w:tcBorders>
            <w:hideMark/>
          </w:tcPr>
          <w:p w14:paraId="0104E00F" w14:textId="5C62D16F" w:rsidR="003C6645" w:rsidRPr="00146424" w:rsidRDefault="003C6645" w:rsidP="003C6645">
            <w:pPr>
              <w:rPr>
                <w:rFonts w:ascii="Calibri" w:hAnsi="Calibri" w:cs="Calibri"/>
                <w:color w:val="000000"/>
                <w:sz w:val="22"/>
                <w:szCs w:val="22"/>
              </w:rPr>
            </w:pPr>
            <w:r w:rsidRPr="00146424">
              <w:rPr>
                <w:rFonts w:ascii="-webkit-standard" w:hAnsi="-webkit-standard"/>
                <w:color w:val="000000"/>
                <w:sz w:val="22"/>
                <w:szCs w:val="22"/>
              </w:rPr>
              <w:t>Salaries and Piece Rates</w:t>
            </w:r>
          </w:p>
        </w:tc>
        <w:tc>
          <w:tcPr>
            <w:tcW w:w="1530" w:type="dxa"/>
            <w:tcBorders>
              <w:top w:val="nil"/>
              <w:left w:val="nil"/>
              <w:bottom w:val="single" w:sz="4" w:space="0" w:color="auto"/>
              <w:right w:val="single" w:sz="4" w:space="0" w:color="auto"/>
            </w:tcBorders>
            <w:hideMark/>
          </w:tcPr>
          <w:p w14:paraId="33144DAE"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Lazear, E.P.</w:t>
            </w:r>
          </w:p>
        </w:tc>
        <w:tc>
          <w:tcPr>
            <w:tcW w:w="720" w:type="dxa"/>
            <w:tcBorders>
              <w:top w:val="nil"/>
              <w:left w:val="nil"/>
              <w:bottom w:val="single" w:sz="4" w:space="0" w:color="auto"/>
              <w:right w:val="single" w:sz="4" w:space="0" w:color="auto"/>
            </w:tcBorders>
            <w:hideMark/>
          </w:tcPr>
          <w:p w14:paraId="2CF4E8D3" w14:textId="6EF244B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19</w:t>
            </w:r>
            <w:r>
              <w:rPr>
                <w:rFonts w:ascii="Calibri" w:hAnsi="Calibri" w:cs="Calibri"/>
                <w:color w:val="000000"/>
                <w:sz w:val="22"/>
                <w:szCs w:val="22"/>
              </w:rPr>
              <w:t>86</w:t>
            </w:r>
          </w:p>
        </w:tc>
        <w:tc>
          <w:tcPr>
            <w:tcW w:w="1710" w:type="dxa"/>
            <w:tcBorders>
              <w:top w:val="nil"/>
              <w:left w:val="nil"/>
              <w:bottom w:val="single" w:sz="4" w:space="0" w:color="auto"/>
              <w:right w:val="single" w:sz="4" w:space="0" w:color="auto"/>
            </w:tcBorders>
          </w:tcPr>
          <w:p w14:paraId="4A94B91C" w14:textId="172F6FED"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468E502F" w14:textId="58029692" w:rsidR="003C6645" w:rsidRPr="009E1F1D" w:rsidRDefault="003C6645" w:rsidP="003C6645">
            <w:pPr>
              <w:rPr>
                <w:rFonts w:ascii="Calibri" w:hAnsi="Calibri" w:cs="Calibri"/>
                <w:color w:val="000000"/>
                <w:sz w:val="22"/>
                <w:szCs w:val="22"/>
              </w:rPr>
            </w:pPr>
            <w:r w:rsidRPr="00D0217E">
              <w:rPr>
                <w:color w:val="000000"/>
              </w:rPr>
              <w:t>Higher productivity</w:t>
            </w:r>
          </w:p>
        </w:tc>
        <w:tc>
          <w:tcPr>
            <w:tcW w:w="1980" w:type="dxa"/>
            <w:tcBorders>
              <w:top w:val="nil"/>
              <w:left w:val="nil"/>
              <w:bottom w:val="single" w:sz="4" w:space="0" w:color="auto"/>
              <w:right w:val="single" w:sz="4" w:space="0" w:color="auto"/>
            </w:tcBorders>
            <w:vAlign w:val="center"/>
          </w:tcPr>
          <w:p w14:paraId="5CA6F789" w14:textId="7657332E" w:rsidR="003C6645" w:rsidRPr="009E1F1D" w:rsidRDefault="003C6645" w:rsidP="003C6645">
            <w:pPr>
              <w:rPr>
                <w:rFonts w:ascii="Calibri" w:hAnsi="Calibri" w:cs="Calibri"/>
                <w:color w:val="000000"/>
                <w:sz w:val="22"/>
                <w:szCs w:val="22"/>
              </w:rPr>
            </w:pPr>
            <w:r w:rsidRPr="00D0217E">
              <w:rPr>
                <w:color w:val="000000"/>
              </w:rPr>
              <w:t>Income variability</w:t>
            </w:r>
          </w:p>
        </w:tc>
        <w:tc>
          <w:tcPr>
            <w:tcW w:w="1260" w:type="dxa"/>
            <w:tcBorders>
              <w:top w:val="nil"/>
              <w:left w:val="nil"/>
              <w:bottom w:val="single" w:sz="4" w:space="0" w:color="auto"/>
              <w:right w:val="single" w:sz="4" w:space="0" w:color="auto"/>
            </w:tcBorders>
            <w:vAlign w:val="center"/>
          </w:tcPr>
          <w:p w14:paraId="0C732228" w14:textId="0A536B3E" w:rsidR="003C6645" w:rsidRPr="009E1F1D" w:rsidRDefault="003C6645" w:rsidP="003C6645">
            <w:pPr>
              <w:rPr>
                <w:rFonts w:ascii="Calibri" w:hAnsi="Calibri" w:cs="Calibri"/>
                <w:color w:val="000000"/>
                <w:sz w:val="22"/>
                <w:szCs w:val="22"/>
              </w:rPr>
            </w:pPr>
            <w:r w:rsidRPr="00D0217E">
              <w:rPr>
                <w:color w:val="000000"/>
              </w:rPr>
              <w:t>Employee effort</w:t>
            </w:r>
          </w:p>
        </w:tc>
        <w:tc>
          <w:tcPr>
            <w:tcW w:w="1530" w:type="dxa"/>
            <w:tcBorders>
              <w:top w:val="nil"/>
              <w:left w:val="nil"/>
              <w:bottom w:val="single" w:sz="4" w:space="0" w:color="auto"/>
              <w:right w:val="single" w:sz="4" w:space="0" w:color="auto"/>
            </w:tcBorders>
            <w:hideMark/>
          </w:tcPr>
          <w:p w14:paraId="37F214C6" w14:textId="74E600B0" w:rsidR="003C6645" w:rsidRPr="00C27B62" w:rsidRDefault="003C6645" w:rsidP="003C6645">
            <w:pPr>
              <w:rPr>
                <w:rFonts w:ascii="Calibri" w:hAnsi="Calibri" w:cs="Calibri"/>
                <w:color w:val="000000"/>
                <w:sz w:val="22"/>
                <w:szCs w:val="22"/>
              </w:rPr>
            </w:pPr>
            <w:r w:rsidRPr="00C27B62">
              <w:rPr>
                <w:rFonts w:ascii="-webkit-standard" w:hAnsi="-webkit-standard"/>
                <w:color w:val="000000"/>
                <w:sz w:val="22"/>
                <w:szCs w:val="22"/>
              </w:rPr>
              <w:t>Employee productivity, effort, monitoring costs, performance measurement, incentive strength, risk, wage structure</w:t>
            </w:r>
          </w:p>
        </w:tc>
        <w:tc>
          <w:tcPr>
            <w:tcW w:w="1440" w:type="dxa"/>
            <w:tcBorders>
              <w:top w:val="nil"/>
              <w:left w:val="nil"/>
              <w:bottom w:val="single" w:sz="4" w:space="0" w:color="auto"/>
              <w:right w:val="single" w:sz="4" w:space="0" w:color="auto"/>
            </w:tcBorders>
          </w:tcPr>
          <w:p w14:paraId="5B69D9A6" w14:textId="190D1FC3" w:rsidR="003C6645" w:rsidRPr="009E1F1D" w:rsidRDefault="00771355" w:rsidP="003C6645">
            <w:pPr>
              <w:rPr>
                <w:rFonts w:ascii="Calibri" w:hAnsi="Calibri" w:cs="Calibri"/>
                <w:color w:val="000000"/>
                <w:sz w:val="22"/>
                <w:szCs w:val="22"/>
              </w:rPr>
            </w:pPr>
            <w:r w:rsidRPr="004B62CF">
              <w:rPr>
                <w:rFonts w:ascii="Calibri" w:hAnsi="Calibri" w:cs="Calibri"/>
                <w:color w:val="000000"/>
                <w:sz w:val="22"/>
                <w:szCs w:val="22"/>
              </w:rPr>
              <w:t>Incentives, monitoring</w:t>
            </w:r>
          </w:p>
        </w:tc>
        <w:tc>
          <w:tcPr>
            <w:tcW w:w="236" w:type="dxa"/>
            <w:tcBorders>
              <w:top w:val="nil"/>
              <w:left w:val="nil"/>
              <w:bottom w:val="single" w:sz="4" w:space="0" w:color="auto"/>
              <w:right w:val="single" w:sz="4" w:space="0" w:color="auto"/>
            </w:tcBorders>
          </w:tcPr>
          <w:p w14:paraId="06CFAF5E" w14:textId="5C53208F"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8875880" w14:textId="324A0B27" w:rsidR="003C6645" w:rsidRPr="009E1F1D" w:rsidRDefault="003C6645" w:rsidP="003C6645">
            <w:pPr>
              <w:rPr>
                <w:rFonts w:ascii="Calibri" w:hAnsi="Calibri" w:cs="Calibri"/>
                <w:color w:val="000000"/>
                <w:sz w:val="22"/>
                <w:szCs w:val="22"/>
              </w:rPr>
            </w:pPr>
          </w:p>
        </w:tc>
      </w:tr>
      <w:tr w:rsidR="002A58DC" w:rsidRPr="009E1F1D" w14:paraId="2E69E73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1BDA683"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19</w:t>
            </w:r>
          </w:p>
        </w:tc>
        <w:tc>
          <w:tcPr>
            <w:tcW w:w="1260" w:type="dxa"/>
            <w:tcBorders>
              <w:top w:val="nil"/>
              <w:left w:val="nil"/>
              <w:bottom w:val="single" w:sz="4" w:space="0" w:color="auto"/>
              <w:right w:val="single" w:sz="4" w:space="0" w:color="auto"/>
            </w:tcBorders>
            <w:hideMark/>
          </w:tcPr>
          <w:p w14:paraId="43A9CF93"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Performance Pay and Productivity</w:t>
            </w:r>
          </w:p>
        </w:tc>
        <w:tc>
          <w:tcPr>
            <w:tcW w:w="1530" w:type="dxa"/>
            <w:tcBorders>
              <w:top w:val="nil"/>
              <w:left w:val="nil"/>
              <w:bottom w:val="single" w:sz="4" w:space="0" w:color="auto"/>
              <w:right w:val="single" w:sz="4" w:space="0" w:color="auto"/>
            </w:tcBorders>
            <w:hideMark/>
          </w:tcPr>
          <w:p w14:paraId="648D080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Lazear, E.P.</w:t>
            </w:r>
          </w:p>
        </w:tc>
        <w:tc>
          <w:tcPr>
            <w:tcW w:w="720" w:type="dxa"/>
            <w:tcBorders>
              <w:top w:val="nil"/>
              <w:left w:val="nil"/>
              <w:bottom w:val="single" w:sz="4" w:space="0" w:color="auto"/>
              <w:right w:val="single" w:sz="4" w:space="0" w:color="auto"/>
            </w:tcBorders>
            <w:hideMark/>
          </w:tcPr>
          <w:p w14:paraId="1179D54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2000</w:t>
            </w:r>
          </w:p>
        </w:tc>
        <w:tc>
          <w:tcPr>
            <w:tcW w:w="1710" w:type="dxa"/>
            <w:tcBorders>
              <w:top w:val="nil"/>
              <w:left w:val="nil"/>
              <w:bottom w:val="single" w:sz="4" w:space="0" w:color="auto"/>
              <w:right w:val="single" w:sz="4" w:space="0" w:color="auto"/>
            </w:tcBorders>
          </w:tcPr>
          <w:p w14:paraId="09F7CB61" w14:textId="44BC3C22"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0241FFC4" w14:textId="56D7D534" w:rsidR="003C6645" w:rsidRPr="009E1F1D" w:rsidRDefault="003C6645" w:rsidP="003C6645">
            <w:pPr>
              <w:rPr>
                <w:rFonts w:ascii="Calibri" w:hAnsi="Calibri" w:cs="Calibri"/>
                <w:color w:val="000000"/>
                <w:sz w:val="22"/>
                <w:szCs w:val="22"/>
              </w:rPr>
            </w:pPr>
            <w:r w:rsidRPr="00D0217E">
              <w:rPr>
                <w:color w:val="000000"/>
              </w:rPr>
              <w:t>Higher productivity</w:t>
            </w:r>
          </w:p>
        </w:tc>
        <w:tc>
          <w:tcPr>
            <w:tcW w:w="1980" w:type="dxa"/>
            <w:tcBorders>
              <w:top w:val="nil"/>
              <w:left w:val="nil"/>
              <w:bottom w:val="single" w:sz="4" w:space="0" w:color="auto"/>
              <w:right w:val="single" w:sz="4" w:space="0" w:color="auto"/>
            </w:tcBorders>
            <w:vAlign w:val="center"/>
          </w:tcPr>
          <w:p w14:paraId="38FDA62B" w14:textId="311B0D86" w:rsidR="003C6645" w:rsidRPr="009E1F1D" w:rsidRDefault="003C6645" w:rsidP="003C6645">
            <w:pPr>
              <w:rPr>
                <w:rFonts w:ascii="Calibri" w:hAnsi="Calibri" w:cs="Calibri"/>
                <w:color w:val="000000"/>
                <w:sz w:val="22"/>
                <w:szCs w:val="22"/>
              </w:rPr>
            </w:pPr>
            <w:r w:rsidRPr="00D0217E">
              <w:rPr>
                <w:color w:val="000000"/>
              </w:rPr>
              <w:t>Worker selection</w:t>
            </w:r>
          </w:p>
        </w:tc>
        <w:tc>
          <w:tcPr>
            <w:tcW w:w="1260" w:type="dxa"/>
            <w:tcBorders>
              <w:top w:val="nil"/>
              <w:left w:val="nil"/>
              <w:bottom w:val="single" w:sz="4" w:space="0" w:color="auto"/>
              <w:right w:val="single" w:sz="4" w:space="0" w:color="auto"/>
            </w:tcBorders>
            <w:vAlign w:val="center"/>
          </w:tcPr>
          <w:p w14:paraId="75DCA0A7" w14:textId="75E29B27" w:rsidR="003C6645" w:rsidRPr="009E1F1D" w:rsidRDefault="003C6645" w:rsidP="003C6645">
            <w:pPr>
              <w:rPr>
                <w:rFonts w:ascii="Calibri" w:hAnsi="Calibri" w:cs="Calibri"/>
                <w:color w:val="000000"/>
                <w:sz w:val="22"/>
                <w:szCs w:val="22"/>
              </w:rPr>
            </w:pPr>
            <w:r w:rsidRPr="00D0217E">
              <w:rPr>
                <w:color w:val="000000"/>
              </w:rPr>
              <w:t>Productivity growth</w:t>
            </w:r>
          </w:p>
        </w:tc>
        <w:tc>
          <w:tcPr>
            <w:tcW w:w="1530" w:type="dxa"/>
            <w:tcBorders>
              <w:top w:val="nil"/>
              <w:left w:val="nil"/>
              <w:bottom w:val="single" w:sz="4" w:space="0" w:color="auto"/>
              <w:right w:val="single" w:sz="4" w:space="0" w:color="auto"/>
            </w:tcBorders>
            <w:hideMark/>
          </w:tcPr>
          <w:p w14:paraId="2C0C2021"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Changing to performance pay increased productivity substantially, partly through selection</w:t>
            </w:r>
          </w:p>
        </w:tc>
        <w:tc>
          <w:tcPr>
            <w:tcW w:w="1440" w:type="dxa"/>
            <w:tcBorders>
              <w:top w:val="nil"/>
              <w:left w:val="nil"/>
              <w:bottom w:val="single" w:sz="4" w:space="0" w:color="auto"/>
              <w:right w:val="single" w:sz="4" w:space="0" w:color="auto"/>
            </w:tcBorders>
          </w:tcPr>
          <w:p w14:paraId="7AB45AAC" w14:textId="1E18C629" w:rsidR="003C6645" w:rsidRPr="009E1F1D" w:rsidRDefault="00E30A07" w:rsidP="003C6645">
            <w:pPr>
              <w:rPr>
                <w:rFonts w:ascii="Calibri" w:hAnsi="Calibri" w:cs="Calibri"/>
                <w:color w:val="000000"/>
                <w:sz w:val="22"/>
                <w:szCs w:val="22"/>
              </w:rPr>
            </w:pPr>
            <w:r w:rsidRPr="004B62CF">
              <w:rPr>
                <w:rFonts w:ascii="Calibri" w:hAnsi="Calibri" w:cs="Calibri"/>
                <w:color w:val="000000"/>
                <w:sz w:val="22"/>
                <w:szCs w:val="22"/>
              </w:rPr>
              <w:t xml:space="preserve">Performance </w:t>
            </w:r>
            <w:proofErr w:type="gramStart"/>
            <w:r w:rsidRPr="004B62CF">
              <w:rPr>
                <w:rFonts w:ascii="Calibri" w:hAnsi="Calibri" w:cs="Calibri"/>
                <w:color w:val="000000"/>
                <w:sz w:val="22"/>
                <w:szCs w:val="22"/>
              </w:rPr>
              <w:t>pay</w:t>
            </w:r>
            <w:proofErr w:type="gramEnd"/>
            <w:r w:rsidRPr="004B62CF">
              <w:rPr>
                <w:rFonts w:ascii="Calibri" w:hAnsi="Calibri" w:cs="Calibri"/>
                <w:color w:val="000000"/>
                <w:sz w:val="22"/>
                <w:szCs w:val="22"/>
              </w:rPr>
              <w:t>, productivity</w:t>
            </w:r>
          </w:p>
        </w:tc>
        <w:tc>
          <w:tcPr>
            <w:tcW w:w="236" w:type="dxa"/>
            <w:tcBorders>
              <w:top w:val="nil"/>
              <w:left w:val="nil"/>
              <w:bottom w:val="single" w:sz="4" w:space="0" w:color="auto"/>
              <w:right w:val="single" w:sz="4" w:space="0" w:color="auto"/>
            </w:tcBorders>
          </w:tcPr>
          <w:p w14:paraId="74076D98" w14:textId="7C14F892"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C045CD3" w14:textId="0113D306" w:rsidR="003C6645" w:rsidRPr="009E1F1D" w:rsidRDefault="003C6645" w:rsidP="003C6645">
            <w:pPr>
              <w:rPr>
                <w:rFonts w:ascii="Calibri" w:hAnsi="Calibri" w:cs="Calibri"/>
                <w:color w:val="000000"/>
                <w:sz w:val="22"/>
                <w:szCs w:val="22"/>
              </w:rPr>
            </w:pPr>
          </w:p>
        </w:tc>
      </w:tr>
      <w:tr w:rsidR="002A58DC" w:rsidRPr="009E1F1D" w14:paraId="4F8ADB5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FD702CA"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20</w:t>
            </w:r>
          </w:p>
        </w:tc>
        <w:tc>
          <w:tcPr>
            <w:tcW w:w="1260" w:type="dxa"/>
            <w:tcBorders>
              <w:top w:val="nil"/>
              <w:left w:val="nil"/>
              <w:bottom w:val="single" w:sz="4" w:space="0" w:color="auto"/>
              <w:right w:val="single" w:sz="4" w:space="0" w:color="auto"/>
            </w:tcBorders>
            <w:hideMark/>
          </w:tcPr>
          <w:p w14:paraId="6692DDDE"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The Power of Incentives</w:t>
            </w:r>
          </w:p>
        </w:tc>
        <w:tc>
          <w:tcPr>
            <w:tcW w:w="1530" w:type="dxa"/>
            <w:tcBorders>
              <w:top w:val="nil"/>
              <w:left w:val="nil"/>
              <w:bottom w:val="single" w:sz="4" w:space="0" w:color="auto"/>
              <w:right w:val="single" w:sz="4" w:space="0" w:color="auto"/>
            </w:tcBorders>
            <w:hideMark/>
          </w:tcPr>
          <w:p w14:paraId="2B56695D"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Lazear, E.P.</w:t>
            </w:r>
          </w:p>
        </w:tc>
        <w:tc>
          <w:tcPr>
            <w:tcW w:w="720" w:type="dxa"/>
            <w:tcBorders>
              <w:top w:val="nil"/>
              <w:left w:val="nil"/>
              <w:bottom w:val="single" w:sz="4" w:space="0" w:color="auto"/>
              <w:right w:val="single" w:sz="4" w:space="0" w:color="auto"/>
            </w:tcBorders>
            <w:hideMark/>
          </w:tcPr>
          <w:p w14:paraId="2D14D4DA"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2000</w:t>
            </w:r>
          </w:p>
        </w:tc>
        <w:tc>
          <w:tcPr>
            <w:tcW w:w="1710" w:type="dxa"/>
            <w:tcBorders>
              <w:top w:val="nil"/>
              <w:left w:val="nil"/>
              <w:bottom w:val="single" w:sz="4" w:space="0" w:color="auto"/>
              <w:right w:val="single" w:sz="4" w:space="0" w:color="auto"/>
            </w:tcBorders>
          </w:tcPr>
          <w:p w14:paraId="13366E4A" w14:textId="0EFB0A84"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2A31BE1D" w14:textId="20810F2E" w:rsidR="003C6645" w:rsidRPr="009E1F1D" w:rsidRDefault="003C6645" w:rsidP="003C6645">
            <w:pPr>
              <w:rPr>
                <w:rFonts w:ascii="Calibri" w:hAnsi="Calibri" w:cs="Calibri"/>
                <w:color w:val="000000"/>
                <w:sz w:val="22"/>
                <w:szCs w:val="22"/>
              </w:rPr>
            </w:pPr>
            <w:r w:rsidRPr="00D0217E">
              <w:rPr>
                <w:color w:val="000000"/>
              </w:rPr>
              <w:t>Stronger incentives</w:t>
            </w:r>
          </w:p>
        </w:tc>
        <w:tc>
          <w:tcPr>
            <w:tcW w:w="1980" w:type="dxa"/>
            <w:tcBorders>
              <w:top w:val="nil"/>
              <w:left w:val="nil"/>
              <w:bottom w:val="single" w:sz="4" w:space="0" w:color="auto"/>
              <w:right w:val="single" w:sz="4" w:space="0" w:color="auto"/>
            </w:tcBorders>
            <w:vAlign w:val="center"/>
          </w:tcPr>
          <w:p w14:paraId="51571EF9" w14:textId="123009FE" w:rsidR="003C6645" w:rsidRPr="009E1F1D" w:rsidRDefault="003C6645" w:rsidP="003C6645">
            <w:pPr>
              <w:rPr>
                <w:rFonts w:ascii="Calibri" w:hAnsi="Calibri" w:cs="Calibri"/>
                <w:color w:val="000000"/>
                <w:sz w:val="22"/>
                <w:szCs w:val="22"/>
              </w:rPr>
            </w:pPr>
            <w:r w:rsidRPr="00D0217E">
              <w:rPr>
                <w:color w:val="000000"/>
              </w:rPr>
              <w:t>Performance pressure</w:t>
            </w:r>
          </w:p>
        </w:tc>
        <w:tc>
          <w:tcPr>
            <w:tcW w:w="1260" w:type="dxa"/>
            <w:tcBorders>
              <w:top w:val="nil"/>
              <w:left w:val="nil"/>
              <w:bottom w:val="single" w:sz="4" w:space="0" w:color="auto"/>
              <w:right w:val="single" w:sz="4" w:space="0" w:color="auto"/>
            </w:tcBorders>
            <w:vAlign w:val="center"/>
          </w:tcPr>
          <w:p w14:paraId="164C1864" w14:textId="57FC042D" w:rsidR="003C6645" w:rsidRPr="009E1F1D" w:rsidRDefault="003C6645" w:rsidP="003C6645">
            <w:pPr>
              <w:rPr>
                <w:rFonts w:ascii="Calibri" w:hAnsi="Calibri" w:cs="Calibri"/>
                <w:color w:val="000000"/>
                <w:sz w:val="22"/>
                <w:szCs w:val="22"/>
              </w:rPr>
            </w:pPr>
            <w:r w:rsidRPr="00D0217E">
              <w:rPr>
                <w:color w:val="000000"/>
              </w:rPr>
              <w:t>Employee effort</w:t>
            </w:r>
          </w:p>
        </w:tc>
        <w:tc>
          <w:tcPr>
            <w:tcW w:w="1530" w:type="dxa"/>
            <w:tcBorders>
              <w:top w:val="nil"/>
              <w:left w:val="nil"/>
              <w:bottom w:val="single" w:sz="4" w:space="0" w:color="auto"/>
              <w:right w:val="single" w:sz="4" w:space="0" w:color="auto"/>
            </w:tcBorders>
            <w:hideMark/>
          </w:tcPr>
          <w:p w14:paraId="00507751"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Performance incentives raised productivity and altered workforce composition</w:t>
            </w:r>
          </w:p>
        </w:tc>
        <w:tc>
          <w:tcPr>
            <w:tcW w:w="1440" w:type="dxa"/>
            <w:tcBorders>
              <w:top w:val="nil"/>
              <w:left w:val="nil"/>
              <w:bottom w:val="single" w:sz="4" w:space="0" w:color="auto"/>
              <w:right w:val="single" w:sz="4" w:space="0" w:color="auto"/>
            </w:tcBorders>
          </w:tcPr>
          <w:p w14:paraId="153AC2FD" w14:textId="6BF54C91" w:rsidR="003C6645" w:rsidRPr="009E1F1D" w:rsidRDefault="0031471F" w:rsidP="003C6645">
            <w:pPr>
              <w:rPr>
                <w:rFonts w:ascii="Calibri" w:hAnsi="Calibri" w:cs="Calibri"/>
                <w:color w:val="000000"/>
                <w:sz w:val="22"/>
                <w:szCs w:val="22"/>
              </w:rPr>
            </w:pPr>
            <w:r w:rsidRPr="004B62CF">
              <w:rPr>
                <w:rFonts w:ascii="Calibri" w:hAnsi="Calibri" w:cs="Calibri"/>
                <w:color w:val="000000"/>
                <w:sz w:val="22"/>
                <w:szCs w:val="22"/>
              </w:rPr>
              <w:t>Incentives, productivity</w:t>
            </w:r>
          </w:p>
        </w:tc>
        <w:tc>
          <w:tcPr>
            <w:tcW w:w="236" w:type="dxa"/>
            <w:tcBorders>
              <w:top w:val="nil"/>
              <w:left w:val="nil"/>
              <w:bottom w:val="single" w:sz="4" w:space="0" w:color="auto"/>
              <w:right w:val="single" w:sz="4" w:space="0" w:color="auto"/>
            </w:tcBorders>
          </w:tcPr>
          <w:p w14:paraId="0A571AFC" w14:textId="4B90E516"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AB2FC6E" w14:textId="709331AB" w:rsidR="003C6645" w:rsidRPr="009E1F1D" w:rsidRDefault="003C6645" w:rsidP="003C6645">
            <w:pPr>
              <w:rPr>
                <w:rFonts w:ascii="Calibri" w:hAnsi="Calibri" w:cs="Calibri"/>
                <w:color w:val="000000"/>
                <w:sz w:val="22"/>
                <w:szCs w:val="22"/>
              </w:rPr>
            </w:pPr>
          </w:p>
        </w:tc>
      </w:tr>
      <w:tr w:rsidR="002A58DC" w:rsidRPr="009E1F1D" w14:paraId="5E46AF2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D0E1245"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21</w:t>
            </w:r>
          </w:p>
        </w:tc>
        <w:tc>
          <w:tcPr>
            <w:tcW w:w="1260" w:type="dxa"/>
            <w:tcBorders>
              <w:top w:val="nil"/>
              <w:left w:val="nil"/>
              <w:bottom w:val="single" w:sz="4" w:space="0" w:color="auto"/>
              <w:right w:val="single" w:sz="4" w:space="0" w:color="auto"/>
            </w:tcBorders>
            <w:hideMark/>
          </w:tcPr>
          <w:p w14:paraId="3FDF9D3C"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A Field Study of the Impact of a Performance-Based Incentive Plan</w:t>
            </w:r>
          </w:p>
        </w:tc>
        <w:tc>
          <w:tcPr>
            <w:tcW w:w="1530" w:type="dxa"/>
            <w:tcBorders>
              <w:top w:val="nil"/>
              <w:left w:val="nil"/>
              <w:bottom w:val="single" w:sz="4" w:space="0" w:color="auto"/>
              <w:right w:val="single" w:sz="4" w:space="0" w:color="auto"/>
            </w:tcBorders>
            <w:hideMark/>
          </w:tcPr>
          <w:p w14:paraId="009FDB2C"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Banker, R.D., Lee, S.-Y. &amp; Potter, G.</w:t>
            </w:r>
          </w:p>
        </w:tc>
        <w:tc>
          <w:tcPr>
            <w:tcW w:w="720" w:type="dxa"/>
            <w:tcBorders>
              <w:top w:val="nil"/>
              <w:left w:val="nil"/>
              <w:bottom w:val="single" w:sz="4" w:space="0" w:color="auto"/>
              <w:right w:val="single" w:sz="4" w:space="0" w:color="auto"/>
            </w:tcBorders>
            <w:hideMark/>
          </w:tcPr>
          <w:p w14:paraId="0FA7C855"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1996</w:t>
            </w:r>
          </w:p>
        </w:tc>
        <w:tc>
          <w:tcPr>
            <w:tcW w:w="1710" w:type="dxa"/>
            <w:tcBorders>
              <w:top w:val="nil"/>
              <w:left w:val="nil"/>
              <w:bottom w:val="single" w:sz="4" w:space="0" w:color="auto"/>
              <w:right w:val="single" w:sz="4" w:space="0" w:color="auto"/>
            </w:tcBorders>
          </w:tcPr>
          <w:p w14:paraId="32BD11D7" w14:textId="782D06A1"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1A62237C" w14:textId="44142BE8" w:rsidR="003C6645" w:rsidRPr="009E1F1D" w:rsidRDefault="003C6645" w:rsidP="003C6645">
            <w:pPr>
              <w:rPr>
                <w:rFonts w:ascii="Calibri" w:hAnsi="Calibri" w:cs="Calibri"/>
                <w:color w:val="000000"/>
                <w:sz w:val="22"/>
                <w:szCs w:val="22"/>
              </w:rPr>
            </w:pPr>
            <w:r w:rsidRPr="00D0217E">
              <w:rPr>
                <w:color w:val="000000"/>
              </w:rPr>
              <w:t>Higher productivity</w:t>
            </w:r>
          </w:p>
        </w:tc>
        <w:tc>
          <w:tcPr>
            <w:tcW w:w="1980" w:type="dxa"/>
            <w:tcBorders>
              <w:top w:val="nil"/>
              <w:left w:val="nil"/>
              <w:bottom w:val="single" w:sz="4" w:space="0" w:color="auto"/>
              <w:right w:val="single" w:sz="4" w:space="0" w:color="auto"/>
            </w:tcBorders>
            <w:vAlign w:val="center"/>
          </w:tcPr>
          <w:p w14:paraId="41F81AFC" w14:textId="54E5346D" w:rsidR="003C6645" w:rsidRPr="009E1F1D" w:rsidRDefault="003C6645" w:rsidP="003C6645">
            <w:pPr>
              <w:rPr>
                <w:rFonts w:ascii="Calibri" w:hAnsi="Calibri" w:cs="Calibri"/>
                <w:color w:val="000000"/>
                <w:sz w:val="22"/>
                <w:szCs w:val="22"/>
              </w:rPr>
            </w:pPr>
            <w:r w:rsidRPr="00D0217E">
              <w:rPr>
                <w:color w:val="000000"/>
              </w:rPr>
              <w:t>Performance pressure</w:t>
            </w:r>
          </w:p>
        </w:tc>
        <w:tc>
          <w:tcPr>
            <w:tcW w:w="1260" w:type="dxa"/>
            <w:tcBorders>
              <w:top w:val="nil"/>
              <w:left w:val="nil"/>
              <w:bottom w:val="single" w:sz="4" w:space="0" w:color="auto"/>
              <w:right w:val="single" w:sz="4" w:space="0" w:color="auto"/>
            </w:tcBorders>
            <w:vAlign w:val="center"/>
          </w:tcPr>
          <w:p w14:paraId="663009F4" w14:textId="78192EEF" w:rsidR="003C6645" w:rsidRPr="009E1F1D" w:rsidRDefault="003C6645" w:rsidP="003C6645">
            <w:pPr>
              <w:rPr>
                <w:rFonts w:ascii="Calibri" w:hAnsi="Calibri" w:cs="Calibri"/>
                <w:color w:val="000000"/>
                <w:sz w:val="22"/>
                <w:szCs w:val="22"/>
              </w:rPr>
            </w:pPr>
            <w:r w:rsidRPr="00D0217E">
              <w:rPr>
                <w:color w:val="000000"/>
              </w:rPr>
              <w:t>Improved performance</w:t>
            </w:r>
          </w:p>
        </w:tc>
        <w:tc>
          <w:tcPr>
            <w:tcW w:w="1530" w:type="dxa"/>
            <w:tcBorders>
              <w:top w:val="nil"/>
              <w:left w:val="nil"/>
              <w:bottom w:val="single" w:sz="4" w:space="0" w:color="auto"/>
              <w:right w:val="single" w:sz="4" w:space="0" w:color="auto"/>
            </w:tcBorders>
            <w:hideMark/>
          </w:tcPr>
          <w:p w14:paraId="5BFAB40D" w14:textId="6E15C895"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l sales increased after implementation and effects persisted</w:t>
            </w:r>
          </w:p>
        </w:tc>
        <w:tc>
          <w:tcPr>
            <w:tcW w:w="1440" w:type="dxa"/>
            <w:tcBorders>
              <w:top w:val="nil"/>
              <w:left w:val="nil"/>
              <w:bottom w:val="single" w:sz="4" w:space="0" w:color="auto"/>
              <w:right w:val="single" w:sz="4" w:space="0" w:color="auto"/>
            </w:tcBorders>
          </w:tcPr>
          <w:p w14:paraId="3BC25EC7" w14:textId="2473A2C8" w:rsidR="003C6645" w:rsidRPr="009E1F1D" w:rsidRDefault="004F003D" w:rsidP="003C6645">
            <w:pPr>
              <w:rPr>
                <w:rFonts w:ascii="Calibri" w:hAnsi="Calibri" w:cs="Calibri"/>
                <w:color w:val="000000"/>
                <w:sz w:val="22"/>
                <w:szCs w:val="22"/>
              </w:rPr>
            </w:pPr>
            <w:r w:rsidRPr="004B62CF">
              <w:rPr>
                <w:rFonts w:ascii="Calibri" w:hAnsi="Calibri" w:cs="Calibri"/>
                <w:color w:val="000000"/>
                <w:sz w:val="22"/>
                <w:szCs w:val="22"/>
              </w:rPr>
              <w:t>Retail sales, P</w:t>
            </w:r>
            <w:r w:rsidR="00D70748">
              <w:rPr>
                <w:rFonts w:ascii="Calibri" w:hAnsi="Calibri" w:cs="Calibri"/>
                <w:color w:val="000000"/>
                <w:sz w:val="22"/>
                <w:szCs w:val="22"/>
              </w:rPr>
              <w:t>B</w:t>
            </w:r>
            <w:r w:rsidRPr="004B62CF">
              <w:rPr>
                <w:rFonts w:ascii="Calibri" w:hAnsi="Calibri" w:cs="Calibri"/>
                <w:color w:val="000000"/>
                <w:sz w:val="22"/>
                <w:szCs w:val="22"/>
              </w:rPr>
              <w:t>P</w:t>
            </w:r>
          </w:p>
        </w:tc>
        <w:tc>
          <w:tcPr>
            <w:tcW w:w="236" w:type="dxa"/>
            <w:tcBorders>
              <w:top w:val="nil"/>
              <w:left w:val="nil"/>
              <w:bottom w:val="single" w:sz="4" w:space="0" w:color="auto"/>
              <w:right w:val="single" w:sz="4" w:space="0" w:color="auto"/>
            </w:tcBorders>
          </w:tcPr>
          <w:p w14:paraId="2ABADD5F" w14:textId="0EA4D79F"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DCB609F" w14:textId="59E55891" w:rsidR="003C6645" w:rsidRPr="009E1F1D" w:rsidRDefault="003C6645" w:rsidP="003C6645">
            <w:pPr>
              <w:rPr>
                <w:rFonts w:ascii="Calibri" w:hAnsi="Calibri" w:cs="Calibri"/>
                <w:color w:val="000000"/>
                <w:sz w:val="22"/>
                <w:szCs w:val="22"/>
              </w:rPr>
            </w:pPr>
          </w:p>
        </w:tc>
      </w:tr>
      <w:tr w:rsidR="002A58DC" w:rsidRPr="009E1F1D" w14:paraId="5726A1A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8BAE4AE"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lastRenderedPageBreak/>
              <w:t>22</w:t>
            </w:r>
          </w:p>
        </w:tc>
        <w:tc>
          <w:tcPr>
            <w:tcW w:w="1260" w:type="dxa"/>
            <w:tcBorders>
              <w:top w:val="nil"/>
              <w:left w:val="nil"/>
              <w:bottom w:val="single" w:sz="4" w:space="0" w:color="auto"/>
              <w:right w:val="single" w:sz="4" w:space="0" w:color="auto"/>
            </w:tcBorders>
            <w:hideMark/>
          </w:tcPr>
          <w:p w14:paraId="14E3BBCF"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An Empirical Analysis of Continuing Improvements Following the Implementation of a Performance-Based Compensation Plan</w:t>
            </w:r>
          </w:p>
        </w:tc>
        <w:tc>
          <w:tcPr>
            <w:tcW w:w="1530" w:type="dxa"/>
            <w:tcBorders>
              <w:top w:val="nil"/>
              <w:left w:val="nil"/>
              <w:bottom w:val="single" w:sz="4" w:space="0" w:color="auto"/>
              <w:right w:val="single" w:sz="4" w:space="0" w:color="auto"/>
            </w:tcBorders>
            <w:hideMark/>
          </w:tcPr>
          <w:p w14:paraId="7FA8AA72"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Banker, R.D., Lee, S.-Y., Potter, G. &amp; Srinivasan, D.</w:t>
            </w:r>
          </w:p>
        </w:tc>
        <w:tc>
          <w:tcPr>
            <w:tcW w:w="720" w:type="dxa"/>
            <w:tcBorders>
              <w:top w:val="nil"/>
              <w:left w:val="nil"/>
              <w:bottom w:val="single" w:sz="4" w:space="0" w:color="auto"/>
              <w:right w:val="single" w:sz="4" w:space="0" w:color="auto"/>
            </w:tcBorders>
            <w:hideMark/>
          </w:tcPr>
          <w:p w14:paraId="049FC4BD" w14:textId="71729C6F"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w:t>
            </w:r>
            <w:r>
              <w:rPr>
                <w:rFonts w:ascii="Calibri" w:hAnsi="Calibri" w:cs="Calibri"/>
                <w:color w:val="000000"/>
                <w:sz w:val="22"/>
                <w:szCs w:val="22"/>
              </w:rPr>
              <w:t>0</w:t>
            </w:r>
          </w:p>
        </w:tc>
        <w:tc>
          <w:tcPr>
            <w:tcW w:w="1710" w:type="dxa"/>
            <w:tcBorders>
              <w:top w:val="nil"/>
              <w:left w:val="nil"/>
              <w:bottom w:val="single" w:sz="4" w:space="0" w:color="auto"/>
              <w:right w:val="single" w:sz="4" w:space="0" w:color="auto"/>
            </w:tcBorders>
          </w:tcPr>
          <w:p w14:paraId="004B3ABD" w14:textId="1CDB7A6F"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6119215A" w14:textId="0E4D7720" w:rsidR="003C6645" w:rsidRPr="009E1F1D" w:rsidRDefault="003C6645" w:rsidP="003C6645">
            <w:pPr>
              <w:rPr>
                <w:rFonts w:ascii="Calibri" w:hAnsi="Calibri" w:cs="Calibri"/>
                <w:color w:val="000000"/>
                <w:sz w:val="22"/>
                <w:szCs w:val="22"/>
              </w:rPr>
            </w:pPr>
            <w:r w:rsidRPr="00D0217E">
              <w:rPr>
                <w:color w:val="000000"/>
              </w:rPr>
              <w:t>Continuous improvement</w:t>
            </w:r>
          </w:p>
        </w:tc>
        <w:tc>
          <w:tcPr>
            <w:tcW w:w="1980" w:type="dxa"/>
            <w:tcBorders>
              <w:top w:val="nil"/>
              <w:left w:val="nil"/>
              <w:bottom w:val="single" w:sz="4" w:space="0" w:color="auto"/>
              <w:right w:val="single" w:sz="4" w:space="0" w:color="auto"/>
            </w:tcBorders>
            <w:vAlign w:val="center"/>
          </w:tcPr>
          <w:p w14:paraId="1C21587C" w14:textId="4CDFB096" w:rsidR="003C6645" w:rsidRPr="009E1F1D" w:rsidRDefault="003C6645" w:rsidP="003C6645">
            <w:pPr>
              <w:rPr>
                <w:rFonts w:ascii="Calibri" w:hAnsi="Calibri" w:cs="Calibri"/>
                <w:color w:val="000000"/>
                <w:sz w:val="22"/>
                <w:szCs w:val="22"/>
              </w:rPr>
            </w:pPr>
            <w:r w:rsidRPr="00D0217E">
              <w:rPr>
                <w:color w:val="000000"/>
              </w:rPr>
              <w:t>Incentive dependence</w:t>
            </w:r>
          </w:p>
        </w:tc>
        <w:tc>
          <w:tcPr>
            <w:tcW w:w="1260" w:type="dxa"/>
            <w:tcBorders>
              <w:top w:val="nil"/>
              <w:left w:val="nil"/>
              <w:bottom w:val="single" w:sz="4" w:space="0" w:color="auto"/>
              <w:right w:val="single" w:sz="4" w:space="0" w:color="auto"/>
            </w:tcBorders>
            <w:vAlign w:val="center"/>
          </w:tcPr>
          <w:p w14:paraId="464C464B" w14:textId="3C86398B" w:rsidR="003C6645" w:rsidRPr="009E1F1D" w:rsidRDefault="003C6645" w:rsidP="003C6645">
            <w:pPr>
              <w:rPr>
                <w:rFonts w:ascii="Calibri" w:hAnsi="Calibri" w:cs="Calibri"/>
                <w:color w:val="000000"/>
                <w:sz w:val="22"/>
                <w:szCs w:val="22"/>
              </w:rPr>
            </w:pPr>
            <w:r w:rsidRPr="00D0217E">
              <w:rPr>
                <w:color w:val="000000"/>
              </w:rPr>
              <w:t>Productivity growth</w:t>
            </w:r>
          </w:p>
        </w:tc>
        <w:tc>
          <w:tcPr>
            <w:tcW w:w="1530" w:type="dxa"/>
            <w:tcBorders>
              <w:top w:val="nil"/>
              <w:left w:val="nil"/>
              <w:bottom w:val="single" w:sz="4" w:space="0" w:color="auto"/>
              <w:right w:val="single" w:sz="4" w:space="0" w:color="auto"/>
            </w:tcBorders>
            <w:hideMark/>
          </w:tcPr>
          <w:p w14:paraId="77317C64" w14:textId="2E2A8DBC"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w:t>
            </w:r>
            <w:r w:rsidR="00D70748">
              <w:rPr>
                <w:rFonts w:ascii="Calibri" w:hAnsi="Calibri" w:cs="Calibri"/>
                <w:color w:val="000000"/>
                <w:sz w:val="22"/>
                <w:szCs w:val="22"/>
              </w:rPr>
              <w:t>B</w:t>
            </w:r>
            <w:r w:rsidRPr="009E1F1D">
              <w:rPr>
                <w:rFonts w:ascii="Calibri" w:hAnsi="Calibri" w:cs="Calibri"/>
                <w:color w:val="000000"/>
                <w:sz w:val="22"/>
                <w:szCs w:val="22"/>
              </w:rPr>
              <w:t>P supported both selection and effort effects in a retail firm</w:t>
            </w:r>
          </w:p>
        </w:tc>
        <w:tc>
          <w:tcPr>
            <w:tcW w:w="1440" w:type="dxa"/>
            <w:tcBorders>
              <w:top w:val="nil"/>
              <w:left w:val="nil"/>
              <w:bottom w:val="single" w:sz="4" w:space="0" w:color="auto"/>
              <w:right w:val="single" w:sz="4" w:space="0" w:color="auto"/>
            </w:tcBorders>
          </w:tcPr>
          <w:p w14:paraId="3C794DFB" w14:textId="30E3C9BA" w:rsidR="003C6645" w:rsidRPr="009E1F1D" w:rsidRDefault="00010E64" w:rsidP="003C6645">
            <w:pPr>
              <w:rPr>
                <w:rFonts w:ascii="Calibri" w:hAnsi="Calibri" w:cs="Calibri"/>
                <w:color w:val="000000"/>
                <w:sz w:val="22"/>
                <w:szCs w:val="22"/>
              </w:rPr>
            </w:pPr>
            <w:r w:rsidRPr="004B62CF">
              <w:rPr>
                <w:rFonts w:ascii="Calibri" w:hAnsi="Calibri" w:cs="Calibri"/>
                <w:color w:val="000000"/>
                <w:sz w:val="22"/>
                <w:szCs w:val="22"/>
              </w:rPr>
              <w:t>productivity, selection</w:t>
            </w:r>
          </w:p>
        </w:tc>
        <w:tc>
          <w:tcPr>
            <w:tcW w:w="236" w:type="dxa"/>
            <w:tcBorders>
              <w:top w:val="nil"/>
              <w:left w:val="nil"/>
              <w:bottom w:val="single" w:sz="4" w:space="0" w:color="auto"/>
              <w:right w:val="single" w:sz="4" w:space="0" w:color="auto"/>
            </w:tcBorders>
          </w:tcPr>
          <w:p w14:paraId="14B16D41" w14:textId="64F0B09F"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5B90CA2" w14:textId="4E83AA30" w:rsidR="003C6645" w:rsidRPr="009E1F1D" w:rsidRDefault="003C6645" w:rsidP="003C6645">
            <w:pPr>
              <w:rPr>
                <w:rFonts w:ascii="Calibri" w:hAnsi="Calibri" w:cs="Calibri"/>
                <w:color w:val="000000"/>
                <w:sz w:val="22"/>
                <w:szCs w:val="22"/>
              </w:rPr>
            </w:pPr>
          </w:p>
        </w:tc>
      </w:tr>
      <w:tr w:rsidR="002A58DC" w:rsidRPr="009E1F1D" w14:paraId="7C7AA4F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0138438"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23</w:t>
            </w:r>
          </w:p>
        </w:tc>
        <w:tc>
          <w:tcPr>
            <w:tcW w:w="1260" w:type="dxa"/>
            <w:tcBorders>
              <w:top w:val="nil"/>
              <w:left w:val="nil"/>
              <w:bottom w:val="single" w:sz="4" w:space="0" w:color="auto"/>
              <w:right w:val="single" w:sz="4" w:space="0" w:color="auto"/>
            </w:tcBorders>
            <w:hideMark/>
          </w:tcPr>
          <w:p w14:paraId="07C40CF2"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Agency- and Institutional-Theory Explanations: The Case of Retail Sales Compensation</w:t>
            </w:r>
          </w:p>
        </w:tc>
        <w:tc>
          <w:tcPr>
            <w:tcW w:w="1530" w:type="dxa"/>
            <w:tcBorders>
              <w:top w:val="nil"/>
              <w:left w:val="nil"/>
              <w:bottom w:val="single" w:sz="4" w:space="0" w:color="auto"/>
              <w:right w:val="single" w:sz="4" w:space="0" w:color="auto"/>
            </w:tcBorders>
            <w:hideMark/>
          </w:tcPr>
          <w:p w14:paraId="0731670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Eisenhardt, K.M.</w:t>
            </w:r>
          </w:p>
        </w:tc>
        <w:tc>
          <w:tcPr>
            <w:tcW w:w="720" w:type="dxa"/>
            <w:tcBorders>
              <w:top w:val="nil"/>
              <w:left w:val="nil"/>
              <w:bottom w:val="single" w:sz="4" w:space="0" w:color="auto"/>
              <w:right w:val="single" w:sz="4" w:space="0" w:color="auto"/>
            </w:tcBorders>
            <w:hideMark/>
          </w:tcPr>
          <w:p w14:paraId="0D4A20C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1988</w:t>
            </w:r>
          </w:p>
        </w:tc>
        <w:tc>
          <w:tcPr>
            <w:tcW w:w="1710" w:type="dxa"/>
            <w:tcBorders>
              <w:top w:val="nil"/>
              <w:left w:val="nil"/>
              <w:bottom w:val="single" w:sz="4" w:space="0" w:color="auto"/>
              <w:right w:val="single" w:sz="4" w:space="0" w:color="auto"/>
            </w:tcBorders>
          </w:tcPr>
          <w:p w14:paraId="6FD81A2C" w14:textId="148824B6"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 Institutional Theory</w:t>
            </w:r>
          </w:p>
        </w:tc>
        <w:tc>
          <w:tcPr>
            <w:tcW w:w="1710" w:type="dxa"/>
            <w:tcBorders>
              <w:top w:val="nil"/>
              <w:left w:val="nil"/>
              <w:bottom w:val="single" w:sz="4" w:space="0" w:color="auto"/>
              <w:right w:val="single" w:sz="4" w:space="0" w:color="auto"/>
            </w:tcBorders>
            <w:vAlign w:val="center"/>
          </w:tcPr>
          <w:p w14:paraId="5070F440" w14:textId="12D96C09" w:rsidR="003C6645" w:rsidRPr="009E1F1D" w:rsidRDefault="003C6645" w:rsidP="003C6645">
            <w:pPr>
              <w:rPr>
                <w:rFonts w:ascii="Calibri" w:hAnsi="Calibri" w:cs="Calibri"/>
                <w:color w:val="000000"/>
                <w:sz w:val="22"/>
                <w:szCs w:val="22"/>
              </w:rPr>
            </w:pPr>
            <w:r w:rsidRPr="00D0217E">
              <w:rPr>
                <w:color w:val="000000"/>
              </w:rPr>
              <w:t>Incentive alignment</w:t>
            </w:r>
          </w:p>
        </w:tc>
        <w:tc>
          <w:tcPr>
            <w:tcW w:w="1980" w:type="dxa"/>
            <w:tcBorders>
              <w:top w:val="nil"/>
              <w:left w:val="nil"/>
              <w:bottom w:val="single" w:sz="4" w:space="0" w:color="auto"/>
              <w:right w:val="single" w:sz="4" w:space="0" w:color="auto"/>
            </w:tcBorders>
            <w:vAlign w:val="center"/>
          </w:tcPr>
          <w:p w14:paraId="18572307" w14:textId="3A1251BD" w:rsidR="003C6645" w:rsidRPr="009E1F1D" w:rsidRDefault="003C6645" w:rsidP="003C6645">
            <w:pPr>
              <w:rPr>
                <w:rFonts w:ascii="Calibri" w:hAnsi="Calibri" w:cs="Calibri"/>
                <w:color w:val="000000"/>
                <w:sz w:val="22"/>
                <w:szCs w:val="22"/>
              </w:rPr>
            </w:pPr>
            <w:r w:rsidRPr="00D0217E">
              <w:rPr>
                <w:color w:val="000000"/>
              </w:rPr>
              <w:t>Monitoring difficulties</w:t>
            </w:r>
          </w:p>
        </w:tc>
        <w:tc>
          <w:tcPr>
            <w:tcW w:w="1260" w:type="dxa"/>
            <w:tcBorders>
              <w:top w:val="nil"/>
              <w:left w:val="nil"/>
              <w:bottom w:val="single" w:sz="4" w:space="0" w:color="auto"/>
              <w:right w:val="single" w:sz="4" w:space="0" w:color="auto"/>
            </w:tcBorders>
            <w:vAlign w:val="center"/>
          </w:tcPr>
          <w:p w14:paraId="61E78CF9" w14:textId="6BD68989" w:rsidR="003C6645" w:rsidRPr="009E1F1D" w:rsidRDefault="003C6645" w:rsidP="003C6645">
            <w:pPr>
              <w:rPr>
                <w:rFonts w:ascii="Calibri" w:hAnsi="Calibri" w:cs="Calibri"/>
                <w:color w:val="000000"/>
                <w:sz w:val="22"/>
                <w:szCs w:val="22"/>
              </w:rPr>
            </w:pPr>
            <w:r w:rsidRPr="00D0217E">
              <w:rPr>
                <w:color w:val="000000"/>
              </w:rPr>
              <w:t>Sales compensation</w:t>
            </w:r>
          </w:p>
        </w:tc>
        <w:tc>
          <w:tcPr>
            <w:tcW w:w="1530" w:type="dxa"/>
            <w:tcBorders>
              <w:top w:val="nil"/>
              <w:left w:val="nil"/>
              <w:bottom w:val="single" w:sz="4" w:space="0" w:color="auto"/>
              <w:right w:val="single" w:sz="4" w:space="0" w:color="auto"/>
            </w:tcBorders>
            <w:hideMark/>
          </w:tcPr>
          <w:p w14:paraId="0B180699"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Job programmability, uncertainty and merchandise type predicted salary versus performance pay</w:t>
            </w:r>
          </w:p>
        </w:tc>
        <w:tc>
          <w:tcPr>
            <w:tcW w:w="1440" w:type="dxa"/>
            <w:tcBorders>
              <w:top w:val="nil"/>
              <w:left w:val="nil"/>
              <w:bottom w:val="single" w:sz="4" w:space="0" w:color="auto"/>
              <w:right w:val="single" w:sz="4" w:space="0" w:color="auto"/>
            </w:tcBorders>
          </w:tcPr>
          <w:p w14:paraId="3025421C" w14:textId="0B18EB70" w:rsidR="003C6645" w:rsidRPr="009E1F1D" w:rsidRDefault="00C664BB" w:rsidP="003C6645">
            <w:pPr>
              <w:rPr>
                <w:rFonts w:ascii="Calibri" w:hAnsi="Calibri" w:cs="Calibri"/>
                <w:color w:val="000000"/>
                <w:sz w:val="22"/>
                <w:szCs w:val="22"/>
              </w:rPr>
            </w:pPr>
            <w:r w:rsidRPr="004B62CF">
              <w:rPr>
                <w:rFonts w:ascii="Calibri" w:hAnsi="Calibri" w:cs="Calibri"/>
                <w:color w:val="000000"/>
                <w:sz w:val="22"/>
                <w:szCs w:val="22"/>
              </w:rPr>
              <w:t>Retail compensation, job design</w:t>
            </w:r>
          </w:p>
        </w:tc>
        <w:tc>
          <w:tcPr>
            <w:tcW w:w="236" w:type="dxa"/>
            <w:tcBorders>
              <w:top w:val="nil"/>
              <w:left w:val="nil"/>
              <w:bottom w:val="single" w:sz="4" w:space="0" w:color="auto"/>
              <w:right w:val="single" w:sz="4" w:space="0" w:color="auto"/>
            </w:tcBorders>
          </w:tcPr>
          <w:p w14:paraId="2065FBE6" w14:textId="00B4B701"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37D643A" w14:textId="2C24C26A" w:rsidR="003C6645" w:rsidRPr="009E1F1D" w:rsidRDefault="003C6645" w:rsidP="003C6645">
            <w:pPr>
              <w:rPr>
                <w:rFonts w:ascii="Calibri" w:hAnsi="Calibri" w:cs="Calibri"/>
                <w:color w:val="000000"/>
                <w:sz w:val="22"/>
                <w:szCs w:val="22"/>
              </w:rPr>
            </w:pPr>
          </w:p>
        </w:tc>
      </w:tr>
      <w:tr w:rsidR="002A58DC" w:rsidRPr="009E1F1D" w14:paraId="2827A030"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818664A"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24</w:t>
            </w:r>
          </w:p>
        </w:tc>
        <w:tc>
          <w:tcPr>
            <w:tcW w:w="1260" w:type="dxa"/>
            <w:tcBorders>
              <w:top w:val="nil"/>
              <w:left w:val="nil"/>
              <w:bottom w:val="single" w:sz="4" w:space="0" w:color="auto"/>
              <w:right w:val="single" w:sz="4" w:space="0" w:color="auto"/>
            </w:tcBorders>
            <w:hideMark/>
          </w:tcPr>
          <w:p w14:paraId="2B18D969"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Performance Pay and Productivity</w:t>
            </w:r>
          </w:p>
        </w:tc>
        <w:tc>
          <w:tcPr>
            <w:tcW w:w="1530" w:type="dxa"/>
            <w:tcBorders>
              <w:top w:val="nil"/>
              <w:left w:val="nil"/>
              <w:bottom w:val="single" w:sz="4" w:space="0" w:color="auto"/>
              <w:right w:val="single" w:sz="4" w:space="0" w:color="auto"/>
            </w:tcBorders>
            <w:hideMark/>
          </w:tcPr>
          <w:p w14:paraId="73595148"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Shearer, B.</w:t>
            </w:r>
          </w:p>
        </w:tc>
        <w:tc>
          <w:tcPr>
            <w:tcW w:w="720" w:type="dxa"/>
            <w:tcBorders>
              <w:top w:val="nil"/>
              <w:left w:val="nil"/>
              <w:bottom w:val="single" w:sz="4" w:space="0" w:color="auto"/>
              <w:right w:val="single" w:sz="4" w:space="0" w:color="auto"/>
            </w:tcBorders>
            <w:hideMark/>
          </w:tcPr>
          <w:p w14:paraId="44902394"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2004</w:t>
            </w:r>
          </w:p>
        </w:tc>
        <w:tc>
          <w:tcPr>
            <w:tcW w:w="1710" w:type="dxa"/>
            <w:tcBorders>
              <w:top w:val="nil"/>
              <w:left w:val="nil"/>
              <w:bottom w:val="single" w:sz="4" w:space="0" w:color="auto"/>
              <w:right w:val="single" w:sz="4" w:space="0" w:color="auto"/>
            </w:tcBorders>
          </w:tcPr>
          <w:p w14:paraId="68B1B84F" w14:textId="4247AC5C"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04F89CD9" w14:textId="6DA48E3B" w:rsidR="003C6645" w:rsidRPr="009E1F1D" w:rsidRDefault="003C6645" w:rsidP="003C6645">
            <w:pPr>
              <w:rPr>
                <w:rFonts w:ascii="Calibri" w:hAnsi="Calibri" w:cs="Calibri"/>
                <w:color w:val="000000"/>
                <w:sz w:val="22"/>
                <w:szCs w:val="22"/>
              </w:rPr>
            </w:pPr>
            <w:r w:rsidRPr="00D0217E">
              <w:rPr>
                <w:color w:val="000000"/>
              </w:rPr>
              <w:t>Higher productivity</w:t>
            </w:r>
          </w:p>
        </w:tc>
        <w:tc>
          <w:tcPr>
            <w:tcW w:w="1980" w:type="dxa"/>
            <w:tcBorders>
              <w:top w:val="nil"/>
              <w:left w:val="nil"/>
              <w:bottom w:val="single" w:sz="4" w:space="0" w:color="auto"/>
              <w:right w:val="single" w:sz="4" w:space="0" w:color="auto"/>
            </w:tcBorders>
            <w:vAlign w:val="center"/>
          </w:tcPr>
          <w:p w14:paraId="50A5E4C2" w14:textId="5CF16518" w:rsidR="003C6645" w:rsidRPr="009E1F1D" w:rsidRDefault="003C6645" w:rsidP="003C6645">
            <w:pPr>
              <w:rPr>
                <w:rFonts w:ascii="Calibri" w:hAnsi="Calibri" w:cs="Calibri"/>
                <w:color w:val="000000"/>
                <w:sz w:val="22"/>
                <w:szCs w:val="22"/>
              </w:rPr>
            </w:pPr>
            <w:r w:rsidRPr="00D0217E">
              <w:rPr>
                <w:color w:val="000000"/>
              </w:rPr>
              <w:t>Income risk</w:t>
            </w:r>
          </w:p>
        </w:tc>
        <w:tc>
          <w:tcPr>
            <w:tcW w:w="1260" w:type="dxa"/>
            <w:tcBorders>
              <w:top w:val="nil"/>
              <w:left w:val="nil"/>
              <w:bottom w:val="single" w:sz="4" w:space="0" w:color="auto"/>
              <w:right w:val="single" w:sz="4" w:space="0" w:color="auto"/>
            </w:tcBorders>
            <w:vAlign w:val="center"/>
          </w:tcPr>
          <w:p w14:paraId="0745BB99" w14:textId="33C026B5" w:rsidR="003C6645" w:rsidRPr="009E1F1D" w:rsidRDefault="003C6645" w:rsidP="003C6645">
            <w:pPr>
              <w:rPr>
                <w:rFonts w:ascii="Calibri" w:hAnsi="Calibri" w:cs="Calibri"/>
                <w:color w:val="000000"/>
                <w:sz w:val="22"/>
                <w:szCs w:val="22"/>
              </w:rPr>
            </w:pPr>
            <w:r w:rsidRPr="00D0217E">
              <w:rPr>
                <w:color w:val="000000"/>
              </w:rPr>
              <w:t>Worker effort</w:t>
            </w:r>
          </w:p>
        </w:tc>
        <w:tc>
          <w:tcPr>
            <w:tcW w:w="1530" w:type="dxa"/>
            <w:tcBorders>
              <w:top w:val="nil"/>
              <w:left w:val="nil"/>
              <w:bottom w:val="single" w:sz="4" w:space="0" w:color="auto"/>
              <w:right w:val="single" w:sz="4" w:space="0" w:color="auto"/>
            </w:tcBorders>
            <w:hideMark/>
          </w:tcPr>
          <w:p w14:paraId="193A9D3F"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 xml:space="preserve">Performance </w:t>
            </w:r>
            <w:proofErr w:type="gramStart"/>
            <w:r w:rsidRPr="009E1F1D">
              <w:rPr>
                <w:rFonts w:ascii="Calibri" w:hAnsi="Calibri" w:cs="Calibri"/>
                <w:color w:val="000000"/>
                <w:sz w:val="22"/>
                <w:szCs w:val="22"/>
              </w:rPr>
              <w:t>pay</w:t>
            </w:r>
            <w:proofErr w:type="gramEnd"/>
            <w:r w:rsidRPr="009E1F1D">
              <w:rPr>
                <w:rFonts w:ascii="Calibri" w:hAnsi="Calibri" w:cs="Calibri"/>
                <w:color w:val="000000"/>
                <w:sz w:val="22"/>
                <w:szCs w:val="22"/>
              </w:rPr>
              <w:t xml:space="preserve"> increased productivity compared with fixed wages</w:t>
            </w:r>
          </w:p>
        </w:tc>
        <w:tc>
          <w:tcPr>
            <w:tcW w:w="1440" w:type="dxa"/>
            <w:tcBorders>
              <w:top w:val="nil"/>
              <w:left w:val="nil"/>
              <w:bottom w:val="single" w:sz="4" w:space="0" w:color="auto"/>
              <w:right w:val="single" w:sz="4" w:space="0" w:color="auto"/>
            </w:tcBorders>
          </w:tcPr>
          <w:p w14:paraId="77C48868" w14:textId="1E0FE45F" w:rsidR="003C6645" w:rsidRPr="009E1F1D" w:rsidRDefault="00FE53C6" w:rsidP="003C6645">
            <w:pPr>
              <w:rPr>
                <w:rFonts w:ascii="Calibri" w:hAnsi="Calibri" w:cs="Calibri"/>
                <w:color w:val="000000"/>
                <w:sz w:val="22"/>
                <w:szCs w:val="22"/>
              </w:rPr>
            </w:pPr>
            <w:r w:rsidRPr="004B62CF">
              <w:rPr>
                <w:rFonts w:ascii="Calibri" w:hAnsi="Calibri" w:cs="Calibri"/>
                <w:color w:val="000000"/>
                <w:sz w:val="22"/>
                <w:szCs w:val="22"/>
              </w:rPr>
              <w:t>Piece rates, productivity</w:t>
            </w:r>
          </w:p>
        </w:tc>
        <w:tc>
          <w:tcPr>
            <w:tcW w:w="236" w:type="dxa"/>
            <w:tcBorders>
              <w:top w:val="nil"/>
              <w:left w:val="nil"/>
              <w:bottom w:val="single" w:sz="4" w:space="0" w:color="auto"/>
              <w:right w:val="single" w:sz="4" w:space="0" w:color="auto"/>
            </w:tcBorders>
          </w:tcPr>
          <w:p w14:paraId="49B1E7A8" w14:textId="2FDD62C7"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910E4D5" w14:textId="19432138" w:rsidR="003C6645" w:rsidRPr="009E1F1D" w:rsidRDefault="003C6645" w:rsidP="003C6645">
            <w:pPr>
              <w:rPr>
                <w:rFonts w:ascii="Calibri" w:hAnsi="Calibri" w:cs="Calibri"/>
                <w:color w:val="000000"/>
                <w:sz w:val="22"/>
                <w:szCs w:val="22"/>
              </w:rPr>
            </w:pPr>
          </w:p>
        </w:tc>
      </w:tr>
      <w:tr w:rsidR="002A58DC" w:rsidRPr="009E1F1D" w14:paraId="7DD8611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3391EFE"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lastRenderedPageBreak/>
              <w:t>25</w:t>
            </w:r>
          </w:p>
        </w:tc>
        <w:tc>
          <w:tcPr>
            <w:tcW w:w="1260" w:type="dxa"/>
            <w:tcBorders>
              <w:top w:val="nil"/>
              <w:left w:val="nil"/>
              <w:bottom w:val="single" w:sz="4" w:space="0" w:color="auto"/>
              <w:right w:val="single" w:sz="4" w:space="0" w:color="auto"/>
            </w:tcBorders>
            <w:hideMark/>
          </w:tcPr>
          <w:p w14:paraId="1166A9AD"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Worker Responses to Piece Rates: Evidence from a Field Experiment</w:t>
            </w:r>
          </w:p>
        </w:tc>
        <w:tc>
          <w:tcPr>
            <w:tcW w:w="1530" w:type="dxa"/>
            <w:tcBorders>
              <w:top w:val="nil"/>
              <w:left w:val="nil"/>
              <w:bottom w:val="single" w:sz="4" w:space="0" w:color="auto"/>
              <w:right w:val="single" w:sz="4" w:space="0" w:color="auto"/>
            </w:tcBorders>
            <w:hideMark/>
          </w:tcPr>
          <w:p w14:paraId="2A881C8E"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Paarsch, H.J. &amp; Shearer, B.S.</w:t>
            </w:r>
          </w:p>
        </w:tc>
        <w:tc>
          <w:tcPr>
            <w:tcW w:w="720" w:type="dxa"/>
            <w:tcBorders>
              <w:top w:val="nil"/>
              <w:left w:val="nil"/>
              <w:bottom w:val="single" w:sz="4" w:space="0" w:color="auto"/>
              <w:right w:val="single" w:sz="4" w:space="0" w:color="auto"/>
            </w:tcBorders>
            <w:hideMark/>
          </w:tcPr>
          <w:p w14:paraId="42BC2ABC"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2000</w:t>
            </w:r>
          </w:p>
        </w:tc>
        <w:tc>
          <w:tcPr>
            <w:tcW w:w="1710" w:type="dxa"/>
            <w:tcBorders>
              <w:top w:val="nil"/>
              <w:left w:val="nil"/>
              <w:bottom w:val="single" w:sz="4" w:space="0" w:color="auto"/>
              <w:right w:val="single" w:sz="4" w:space="0" w:color="auto"/>
            </w:tcBorders>
          </w:tcPr>
          <w:p w14:paraId="47C03C26" w14:textId="61EA11BC"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34D04D14" w14:textId="4DE0C3CA" w:rsidR="003C6645" w:rsidRPr="009E1F1D" w:rsidRDefault="003C6645" w:rsidP="003C6645">
            <w:pPr>
              <w:rPr>
                <w:rFonts w:ascii="Calibri" w:hAnsi="Calibri" w:cs="Calibri"/>
                <w:color w:val="000000"/>
                <w:sz w:val="22"/>
                <w:szCs w:val="22"/>
              </w:rPr>
            </w:pPr>
            <w:r w:rsidRPr="00D0217E">
              <w:rPr>
                <w:color w:val="000000"/>
              </w:rPr>
              <w:t>Higher effort</w:t>
            </w:r>
          </w:p>
        </w:tc>
        <w:tc>
          <w:tcPr>
            <w:tcW w:w="1980" w:type="dxa"/>
            <w:tcBorders>
              <w:top w:val="nil"/>
              <w:left w:val="nil"/>
              <w:bottom w:val="single" w:sz="4" w:space="0" w:color="auto"/>
              <w:right w:val="single" w:sz="4" w:space="0" w:color="auto"/>
            </w:tcBorders>
            <w:vAlign w:val="center"/>
          </w:tcPr>
          <w:p w14:paraId="3629D8D9" w14:textId="42C40C40" w:rsidR="003C6645" w:rsidRPr="009E1F1D" w:rsidRDefault="003C6645" w:rsidP="003C6645">
            <w:pPr>
              <w:rPr>
                <w:rFonts w:ascii="Calibri" w:hAnsi="Calibri" w:cs="Calibri"/>
                <w:color w:val="000000"/>
                <w:sz w:val="22"/>
                <w:szCs w:val="22"/>
              </w:rPr>
            </w:pPr>
            <w:r w:rsidRPr="00D0217E">
              <w:rPr>
                <w:color w:val="000000"/>
              </w:rPr>
              <w:t>Income uncertainty</w:t>
            </w:r>
          </w:p>
        </w:tc>
        <w:tc>
          <w:tcPr>
            <w:tcW w:w="1260" w:type="dxa"/>
            <w:tcBorders>
              <w:top w:val="nil"/>
              <w:left w:val="nil"/>
              <w:bottom w:val="single" w:sz="4" w:space="0" w:color="auto"/>
              <w:right w:val="single" w:sz="4" w:space="0" w:color="auto"/>
            </w:tcBorders>
            <w:vAlign w:val="center"/>
          </w:tcPr>
          <w:p w14:paraId="7E70DBD6" w14:textId="7616D45B" w:rsidR="003C6645" w:rsidRPr="009E1F1D" w:rsidRDefault="003C6645" w:rsidP="003C6645">
            <w:pPr>
              <w:rPr>
                <w:rFonts w:ascii="Calibri" w:hAnsi="Calibri" w:cs="Calibri"/>
                <w:color w:val="000000"/>
                <w:sz w:val="22"/>
                <w:szCs w:val="22"/>
              </w:rPr>
            </w:pPr>
            <w:r w:rsidRPr="00D0217E">
              <w:rPr>
                <w:color w:val="000000"/>
              </w:rPr>
              <w:t>Worker productivity</w:t>
            </w:r>
          </w:p>
        </w:tc>
        <w:tc>
          <w:tcPr>
            <w:tcW w:w="1530" w:type="dxa"/>
            <w:tcBorders>
              <w:top w:val="nil"/>
              <w:left w:val="nil"/>
              <w:bottom w:val="single" w:sz="4" w:space="0" w:color="auto"/>
              <w:right w:val="single" w:sz="4" w:space="0" w:color="auto"/>
            </w:tcBorders>
            <w:hideMark/>
          </w:tcPr>
          <w:p w14:paraId="4AAEAD3B"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Piece rates increased effort and output</w:t>
            </w:r>
          </w:p>
        </w:tc>
        <w:tc>
          <w:tcPr>
            <w:tcW w:w="1440" w:type="dxa"/>
            <w:tcBorders>
              <w:top w:val="nil"/>
              <w:left w:val="nil"/>
              <w:bottom w:val="single" w:sz="4" w:space="0" w:color="auto"/>
              <w:right w:val="single" w:sz="4" w:space="0" w:color="auto"/>
            </w:tcBorders>
          </w:tcPr>
          <w:p w14:paraId="59704AD2" w14:textId="56F8C1CE" w:rsidR="003C6645" w:rsidRPr="009E1F1D" w:rsidRDefault="00A66738" w:rsidP="003C6645">
            <w:pPr>
              <w:rPr>
                <w:rFonts w:ascii="Calibri" w:hAnsi="Calibri" w:cs="Calibri"/>
                <w:color w:val="000000"/>
                <w:sz w:val="22"/>
                <w:szCs w:val="22"/>
              </w:rPr>
            </w:pPr>
            <w:r w:rsidRPr="004B62CF">
              <w:rPr>
                <w:rFonts w:ascii="Calibri" w:hAnsi="Calibri" w:cs="Calibri"/>
                <w:color w:val="000000"/>
                <w:sz w:val="22"/>
                <w:szCs w:val="22"/>
              </w:rPr>
              <w:t>Piece rates, effort</w:t>
            </w:r>
          </w:p>
        </w:tc>
        <w:tc>
          <w:tcPr>
            <w:tcW w:w="236" w:type="dxa"/>
            <w:tcBorders>
              <w:top w:val="nil"/>
              <w:left w:val="nil"/>
              <w:bottom w:val="single" w:sz="4" w:space="0" w:color="auto"/>
              <w:right w:val="single" w:sz="4" w:space="0" w:color="auto"/>
            </w:tcBorders>
          </w:tcPr>
          <w:p w14:paraId="43F33B79" w14:textId="5B2335B9"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53D5AFC" w14:textId="3F5E2A79" w:rsidR="003C6645" w:rsidRPr="009E1F1D" w:rsidRDefault="003C6645" w:rsidP="003C6645">
            <w:pPr>
              <w:rPr>
                <w:rFonts w:ascii="Calibri" w:hAnsi="Calibri" w:cs="Calibri"/>
                <w:color w:val="000000"/>
                <w:sz w:val="22"/>
                <w:szCs w:val="22"/>
              </w:rPr>
            </w:pPr>
          </w:p>
        </w:tc>
      </w:tr>
      <w:tr w:rsidR="002A58DC" w:rsidRPr="009E1F1D" w14:paraId="19E3F36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110BC1D"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26</w:t>
            </w:r>
          </w:p>
        </w:tc>
        <w:tc>
          <w:tcPr>
            <w:tcW w:w="1260" w:type="dxa"/>
            <w:tcBorders>
              <w:top w:val="nil"/>
              <w:left w:val="nil"/>
              <w:bottom w:val="single" w:sz="4" w:space="0" w:color="auto"/>
              <w:right w:val="single" w:sz="4" w:space="0" w:color="auto"/>
            </w:tcBorders>
            <w:hideMark/>
          </w:tcPr>
          <w:p w14:paraId="2A0D96F4"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The Effects of Performance Pay on Productivity and Job Satisfaction</w:t>
            </w:r>
          </w:p>
        </w:tc>
        <w:tc>
          <w:tcPr>
            <w:tcW w:w="1530" w:type="dxa"/>
            <w:tcBorders>
              <w:top w:val="nil"/>
              <w:left w:val="nil"/>
              <w:bottom w:val="single" w:sz="4" w:space="0" w:color="auto"/>
              <w:right w:val="single" w:sz="4" w:space="0" w:color="auto"/>
            </w:tcBorders>
            <w:hideMark/>
          </w:tcPr>
          <w:p w14:paraId="6664D033"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Green, C. &amp; Heywood, J.S.</w:t>
            </w:r>
          </w:p>
        </w:tc>
        <w:tc>
          <w:tcPr>
            <w:tcW w:w="720" w:type="dxa"/>
            <w:tcBorders>
              <w:top w:val="nil"/>
              <w:left w:val="nil"/>
              <w:bottom w:val="single" w:sz="4" w:space="0" w:color="auto"/>
              <w:right w:val="single" w:sz="4" w:space="0" w:color="auto"/>
            </w:tcBorders>
            <w:hideMark/>
          </w:tcPr>
          <w:p w14:paraId="44943242"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2008</w:t>
            </w:r>
          </w:p>
        </w:tc>
        <w:tc>
          <w:tcPr>
            <w:tcW w:w="1710" w:type="dxa"/>
            <w:tcBorders>
              <w:top w:val="nil"/>
              <w:left w:val="nil"/>
              <w:bottom w:val="single" w:sz="4" w:space="0" w:color="auto"/>
              <w:right w:val="single" w:sz="4" w:space="0" w:color="auto"/>
            </w:tcBorders>
          </w:tcPr>
          <w:p w14:paraId="0458DFE1" w14:textId="34F00944"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Theory; Job satisfaction</w:t>
            </w:r>
          </w:p>
        </w:tc>
        <w:tc>
          <w:tcPr>
            <w:tcW w:w="1710" w:type="dxa"/>
            <w:tcBorders>
              <w:top w:val="nil"/>
              <w:left w:val="nil"/>
              <w:bottom w:val="single" w:sz="4" w:space="0" w:color="auto"/>
              <w:right w:val="single" w:sz="4" w:space="0" w:color="auto"/>
            </w:tcBorders>
            <w:vAlign w:val="center"/>
          </w:tcPr>
          <w:p w14:paraId="60915C4E" w14:textId="48CE7971" w:rsidR="003C6645" w:rsidRPr="009E1F1D" w:rsidRDefault="003C6645" w:rsidP="003C6645">
            <w:pPr>
              <w:rPr>
                <w:rFonts w:ascii="Calibri" w:hAnsi="Calibri" w:cs="Calibri"/>
                <w:color w:val="000000"/>
                <w:sz w:val="22"/>
                <w:szCs w:val="22"/>
              </w:rPr>
            </w:pPr>
            <w:r w:rsidRPr="00D0217E">
              <w:rPr>
                <w:color w:val="000000"/>
              </w:rPr>
              <w:t>Higher satisfaction</w:t>
            </w:r>
          </w:p>
        </w:tc>
        <w:tc>
          <w:tcPr>
            <w:tcW w:w="1980" w:type="dxa"/>
            <w:tcBorders>
              <w:top w:val="nil"/>
              <w:left w:val="nil"/>
              <w:bottom w:val="single" w:sz="4" w:space="0" w:color="auto"/>
              <w:right w:val="single" w:sz="4" w:space="0" w:color="auto"/>
            </w:tcBorders>
            <w:vAlign w:val="center"/>
          </w:tcPr>
          <w:p w14:paraId="438F0490" w14:textId="3415CB3A" w:rsidR="003C6645" w:rsidRPr="009E1F1D" w:rsidRDefault="003C6645" w:rsidP="003C6645">
            <w:pPr>
              <w:rPr>
                <w:rFonts w:ascii="Calibri" w:hAnsi="Calibri" w:cs="Calibri"/>
                <w:color w:val="000000"/>
                <w:sz w:val="22"/>
                <w:szCs w:val="22"/>
              </w:rPr>
            </w:pPr>
            <w:r w:rsidRPr="00D0217E">
              <w:rPr>
                <w:color w:val="000000"/>
              </w:rPr>
              <w:t>Performance pressure</w:t>
            </w:r>
          </w:p>
        </w:tc>
        <w:tc>
          <w:tcPr>
            <w:tcW w:w="1260" w:type="dxa"/>
            <w:tcBorders>
              <w:top w:val="nil"/>
              <w:left w:val="nil"/>
              <w:bottom w:val="single" w:sz="4" w:space="0" w:color="auto"/>
              <w:right w:val="single" w:sz="4" w:space="0" w:color="auto"/>
            </w:tcBorders>
            <w:vAlign w:val="center"/>
          </w:tcPr>
          <w:p w14:paraId="60AED530" w14:textId="43224E7B" w:rsidR="003C6645" w:rsidRPr="009E1F1D" w:rsidRDefault="003C6645" w:rsidP="003C6645">
            <w:pPr>
              <w:rPr>
                <w:rFonts w:ascii="Calibri" w:hAnsi="Calibri" w:cs="Calibri"/>
                <w:color w:val="000000"/>
                <w:sz w:val="22"/>
                <w:szCs w:val="22"/>
              </w:rPr>
            </w:pPr>
            <w:r w:rsidRPr="00D0217E">
              <w:rPr>
                <w:color w:val="000000"/>
              </w:rPr>
              <w:t>Job satisfaction</w:t>
            </w:r>
          </w:p>
        </w:tc>
        <w:tc>
          <w:tcPr>
            <w:tcW w:w="1530" w:type="dxa"/>
            <w:tcBorders>
              <w:top w:val="nil"/>
              <w:left w:val="nil"/>
              <w:bottom w:val="single" w:sz="4" w:space="0" w:color="auto"/>
              <w:right w:val="single" w:sz="4" w:space="0" w:color="auto"/>
            </w:tcBorders>
            <w:hideMark/>
          </w:tcPr>
          <w:p w14:paraId="2E357A3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Performance pay can improve satisfaction under some conditions</w:t>
            </w:r>
          </w:p>
        </w:tc>
        <w:tc>
          <w:tcPr>
            <w:tcW w:w="1440" w:type="dxa"/>
            <w:tcBorders>
              <w:top w:val="nil"/>
              <w:left w:val="nil"/>
              <w:bottom w:val="single" w:sz="4" w:space="0" w:color="auto"/>
              <w:right w:val="single" w:sz="4" w:space="0" w:color="auto"/>
            </w:tcBorders>
          </w:tcPr>
          <w:p w14:paraId="59D8EB48" w14:textId="293D4310" w:rsidR="003C6645" w:rsidRPr="009E1F1D" w:rsidRDefault="005C1AF9" w:rsidP="003C6645">
            <w:pPr>
              <w:rPr>
                <w:rFonts w:ascii="Calibri" w:hAnsi="Calibri" w:cs="Calibri"/>
                <w:color w:val="000000"/>
                <w:sz w:val="22"/>
                <w:szCs w:val="22"/>
              </w:rPr>
            </w:pPr>
            <w:r w:rsidRPr="004B62CF">
              <w:rPr>
                <w:rFonts w:ascii="Calibri" w:hAnsi="Calibri" w:cs="Calibri"/>
                <w:color w:val="000000"/>
                <w:sz w:val="22"/>
                <w:szCs w:val="22"/>
              </w:rPr>
              <w:t>Job satisfaction, PFP</w:t>
            </w:r>
          </w:p>
        </w:tc>
        <w:tc>
          <w:tcPr>
            <w:tcW w:w="236" w:type="dxa"/>
            <w:tcBorders>
              <w:top w:val="nil"/>
              <w:left w:val="nil"/>
              <w:bottom w:val="single" w:sz="4" w:space="0" w:color="auto"/>
              <w:right w:val="single" w:sz="4" w:space="0" w:color="auto"/>
            </w:tcBorders>
          </w:tcPr>
          <w:p w14:paraId="71C716B3" w14:textId="70D0DFD8"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DBEC04B" w14:textId="1A904897" w:rsidR="003C6645" w:rsidRPr="009E1F1D" w:rsidRDefault="003C6645" w:rsidP="003C6645">
            <w:pPr>
              <w:rPr>
                <w:rFonts w:ascii="Calibri" w:hAnsi="Calibri" w:cs="Calibri"/>
                <w:color w:val="000000"/>
                <w:sz w:val="22"/>
                <w:szCs w:val="22"/>
              </w:rPr>
            </w:pPr>
          </w:p>
        </w:tc>
      </w:tr>
      <w:tr w:rsidR="002A58DC" w:rsidRPr="009E1F1D" w14:paraId="0841EDC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8FDC7DA"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27</w:t>
            </w:r>
          </w:p>
        </w:tc>
        <w:tc>
          <w:tcPr>
            <w:tcW w:w="1260" w:type="dxa"/>
            <w:tcBorders>
              <w:top w:val="nil"/>
              <w:left w:val="nil"/>
              <w:bottom w:val="single" w:sz="4" w:space="0" w:color="auto"/>
              <w:right w:val="single" w:sz="4" w:space="0" w:color="auto"/>
            </w:tcBorders>
            <w:hideMark/>
          </w:tcPr>
          <w:p w14:paraId="1AE8E5B1"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The Effects of Financial Incentives on Performance: A Quantitative Review of Individual and Team-Based Incentive Plans</w:t>
            </w:r>
          </w:p>
        </w:tc>
        <w:tc>
          <w:tcPr>
            <w:tcW w:w="1530" w:type="dxa"/>
            <w:tcBorders>
              <w:top w:val="nil"/>
              <w:left w:val="nil"/>
              <w:bottom w:val="single" w:sz="4" w:space="0" w:color="auto"/>
              <w:right w:val="single" w:sz="4" w:space="0" w:color="auto"/>
            </w:tcBorders>
            <w:hideMark/>
          </w:tcPr>
          <w:p w14:paraId="73C07590" w14:textId="77777777" w:rsidR="003C6645" w:rsidRPr="009E1F1D" w:rsidRDefault="003C6645" w:rsidP="003C6645">
            <w:pPr>
              <w:rPr>
                <w:rFonts w:ascii="Calibri" w:hAnsi="Calibri" w:cs="Calibri"/>
                <w:color w:val="000000"/>
                <w:sz w:val="22"/>
                <w:szCs w:val="22"/>
              </w:rPr>
            </w:pPr>
            <w:proofErr w:type="spellStart"/>
            <w:r w:rsidRPr="009E1F1D">
              <w:rPr>
                <w:rFonts w:ascii="Calibri" w:hAnsi="Calibri" w:cs="Calibri"/>
                <w:color w:val="000000"/>
                <w:sz w:val="22"/>
                <w:szCs w:val="22"/>
              </w:rPr>
              <w:t>Condly</w:t>
            </w:r>
            <w:proofErr w:type="spellEnd"/>
            <w:r w:rsidRPr="009E1F1D">
              <w:rPr>
                <w:rFonts w:ascii="Calibri" w:hAnsi="Calibri" w:cs="Calibri"/>
                <w:color w:val="000000"/>
                <w:sz w:val="22"/>
                <w:szCs w:val="22"/>
              </w:rPr>
              <w:t xml:space="preserve">, S.J., Clark, R.E. &amp; </w:t>
            </w:r>
            <w:proofErr w:type="spellStart"/>
            <w:r w:rsidRPr="009E1F1D">
              <w:rPr>
                <w:rFonts w:ascii="Calibri" w:hAnsi="Calibri" w:cs="Calibri"/>
                <w:color w:val="000000"/>
                <w:sz w:val="22"/>
                <w:szCs w:val="22"/>
              </w:rPr>
              <w:t>Stolovitch</w:t>
            </w:r>
            <w:proofErr w:type="spellEnd"/>
            <w:r w:rsidRPr="009E1F1D">
              <w:rPr>
                <w:rFonts w:ascii="Calibri" w:hAnsi="Calibri" w:cs="Calibri"/>
                <w:color w:val="000000"/>
                <w:sz w:val="22"/>
                <w:szCs w:val="22"/>
              </w:rPr>
              <w:t>, H.D.</w:t>
            </w:r>
          </w:p>
        </w:tc>
        <w:tc>
          <w:tcPr>
            <w:tcW w:w="720" w:type="dxa"/>
            <w:tcBorders>
              <w:top w:val="nil"/>
              <w:left w:val="nil"/>
              <w:bottom w:val="single" w:sz="4" w:space="0" w:color="auto"/>
              <w:right w:val="single" w:sz="4" w:space="0" w:color="auto"/>
            </w:tcBorders>
            <w:hideMark/>
          </w:tcPr>
          <w:p w14:paraId="396B1358"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2003</w:t>
            </w:r>
          </w:p>
        </w:tc>
        <w:tc>
          <w:tcPr>
            <w:tcW w:w="1710" w:type="dxa"/>
            <w:tcBorders>
              <w:top w:val="nil"/>
              <w:left w:val="nil"/>
              <w:bottom w:val="single" w:sz="4" w:space="0" w:color="auto"/>
              <w:right w:val="single" w:sz="4" w:space="0" w:color="auto"/>
            </w:tcBorders>
          </w:tcPr>
          <w:p w14:paraId="5BD1DE86" w14:textId="1C86926D"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Incentive theory</w:t>
            </w:r>
          </w:p>
        </w:tc>
        <w:tc>
          <w:tcPr>
            <w:tcW w:w="1710" w:type="dxa"/>
            <w:tcBorders>
              <w:top w:val="nil"/>
              <w:left w:val="nil"/>
              <w:bottom w:val="single" w:sz="4" w:space="0" w:color="auto"/>
              <w:right w:val="single" w:sz="4" w:space="0" w:color="auto"/>
            </w:tcBorders>
            <w:vAlign w:val="center"/>
          </w:tcPr>
          <w:p w14:paraId="1D52A66E" w14:textId="1FE02F79" w:rsidR="003C6645" w:rsidRPr="009E1F1D" w:rsidRDefault="003C6645" w:rsidP="003C6645">
            <w:pPr>
              <w:rPr>
                <w:rFonts w:ascii="Calibri" w:hAnsi="Calibri" w:cs="Calibri"/>
                <w:color w:val="000000"/>
                <w:sz w:val="22"/>
                <w:szCs w:val="22"/>
              </w:rPr>
            </w:pPr>
            <w:r w:rsidRPr="00D0217E">
              <w:rPr>
                <w:color w:val="000000"/>
              </w:rPr>
              <w:t>Performance improvement</w:t>
            </w:r>
          </w:p>
        </w:tc>
        <w:tc>
          <w:tcPr>
            <w:tcW w:w="1980" w:type="dxa"/>
            <w:tcBorders>
              <w:top w:val="nil"/>
              <w:left w:val="nil"/>
              <w:bottom w:val="single" w:sz="4" w:space="0" w:color="auto"/>
              <w:right w:val="single" w:sz="4" w:space="0" w:color="auto"/>
            </w:tcBorders>
            <w:vAlign w:val="center"/>
          </w:tcPr>
          <w:p w14:paraId="06C78515" w14:textId="7689F2D8" w:rsidR="003C6645" w:rsidRPr="009E1F1D" w:rsidRDefault="003C6645" w:rsidP="003C6645">
            <w:pPr>
              <w:rPr>
                <w:rFonts w:ascii="Calibri" w:hAnsi="Calibri" w:cs="Calibri"/>
                <w:color w:val="000000"/>
                <w:sz w:val="22"/>
                <w:szCs w:val="22"/>
              </w:rPr>
            </w:pPr>
            <w:r w:rsidRPr="00D0217E">
              <w:rPr>
                <w:color w:val="000000"/>
              </w:rPr>
              <w:t>Incentive costs</w:t>
            </w:r>
          </w:p>
        </w:tc>
        <w:tc>
          <w:tcPr>
            <w:tcW w:w="1260" w:type="dxa"/>
            <w:tcBorders>
              <w:top w:val="nil"/>
              <w:left w:val="nil"/>
              <w:bottom w:val="single" w:sz="4" w:space="0" w:color="auto"/>
              <w:right w:val="single" w:sz="4" w:space="0" w:color="auto"/>
            </w:tcBorders>
            <w:vAlign w:val="center"/>
          </w:tcPr>
          <w:p w14:paraId="2F49362B" w14:textId="25364A06" w:rsidR="003C6645" w:rsidRPr="009E1F1D" w:rsidRDefault="003C6645" w:rsidP="003C6645">
            <w:pPr>
              <w:rPr>
                <w:rFonts w:ascii="Calibri" w:hAnsi="Calibri" w:cs="Calibri"/>
                <w:color w:val="000000"/>
                <w:sz w:val="22"/>
                <w:szCs w:val="22"/>
              </w:rPr>
            </w:pPr>
            <w:r w:rsidRPr="00D0217E">
              <w:rPr>
                <w:color w:val="000000"/>
              </w:rPr>
              <w:t>Workplace performance</w:t>
            </w:r>
          </w:p>
        </w:tc>
        <w:tc>
          <w:tcPr>
            <w:tcW w:w="1530" w:type="dxa"/>
            <w:tcBorders>
              <w:top w:val="nil"/>
              <w:left w:val="nil"/>
              <w:bottom w:val="single" w:sz="4" w:space="0" w:color="auto"/>
              <w:right w:val="single" w:sz="4" w:space="0" w:color="auto"/>
            </w:tcBorders>
            <w:hideMark/>
          </w:tcPr>
          <w:p w14:paraId="26AFEAA9"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Financial incentives generally improve performance, with variation by context</w:t>
            </w:r>
          </w:p>
        </w:tc>
        <w:tc>
          <w:tcPr>
            <w:tcW w:w="1440" w:type="dxa"/>
            <w:tcBorders>
              <w:top w:val="nil"/>
              <w:left w:val="nil"/>
              <w:bottom w:val="single" w:sz="4" w:space="0" w:color="auto"/>
              <w:right w:val="single" w:sz="4" w:space="0" w:color="auto"/>
            </w:tcBorders>
          </w:tcPr>
          <w:p w14:paraId="76BF96C5" w14:textId="74E3266E" w:rsidR="003C6645" w:rsidRPr="009E1F1D" w:rsidRDefault="009850F0" w:rsidP="003C6645">
            <w:pPr>
              <w:rPr>
                <w:rFonts w:ascii="Calibri" w:hAnsi="Calibri" w:cs="Calibri"/>
                <w:color w:val="000000"/>
                <w:sz w:val="22"/>
                <w:szCs w:val="22"/>
              </w:rPr>
            </w:pPr>
            <w:r w:rsidRPr="004B62CF">
              <w:rPr>
                <w:rFonts w:ascii="Calibri" w:hAnsi="Calibri" w:cs="Calibri"/>
                <w:color w:val="000000"/>
                <w:sz w:val="22"/>
                <w:szCs w:val="22"/>
              </w:rPr>
              <w:t>Financial incentives, performance</w:t>
            </w:r>
          </w:p>
        </w:tc>
        <w:tc>
          <w:tcPr>
            <w:tcW w:w="236" w:type="dxa"/>
            <w:tcBorders>
              <w:top w:val="nil"/>
              <w:left w:val="nil"/>
              <w:bottom w:val="single" w:sz="4" w:space="0" w:color="auto"/>
              <w:right w:val="single" w:sz="4" w:space="0" w:color="auto"/>
            </w:tcBorders>
          </w:tcPr>
          <w:p w14:paraId="2F07FE27" w14:textId="18285DB4"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0ADD7F0" w14:textId="2C3D7A29" w:rsidR="003C6645" w:rsidRPr="009E1F1D" w:rsidRDefault="003C6645" w:rsidP="003C6645">
            <w:pPr>
              <w:rPr>
                <w:rFonts w:ascii="Calibri" w:hAnsi="Calibri" w:cs="Calibri"/>
                <w:color w:val="000000"/>
                <w:sz w:val="22"/>
                <w:szCs w:val="22"/>
              </w:rPr>
            </w:pPr>
          </w:p>
        </w:tc>
      </w:tr>
      <w:tr w:rsidR="002A58DC" w:rsidRPr="009E1F1D" w14:paraId="28A44C4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44AB73D"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28</w:t>
            </w:r>
          </w:p>
        </w:tc>
        <w:tc>
          <w:tcPr>
            <w:tcW w:w="1260" w:type="dxa"/>
            <w:tcBorders>
              <w:top w:val="nil"/>
              <w:left w:val="nil"/>
              <w:bottom w:val="single" w:sz="4" w:space="0" w:color="auto"/>
              <w:right w:val="single" w:sz="4" w:space="0" w:color="auto"/>
            </w:tcBorders>
            <w:hideMark/>
          </w:tcPr>
          <w:p w14:paraId="21648CDB"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 xml:space="preserve">The Effects of Incentive Schemes on Workplace </w:t>
            </w:r>
            <w:r w:rsidRPr="009E1F1D">
              <w:rPr>
                <w:rFonts w:ascii="Calibri" w:hAnsi="Calibri" w:cs="Calibri"/>
                <w:color w:val="000000"/>
                <w:sz w:val="22"/>
                <w:szCs w:val="22"/>
              </w:rPr>
              <w:lastRenderedPageBreak/>
              <w:t>Performance: A Systematic Review</w:t>
            </w:r>
          </w:p>
        </w:tc>
        <w:tc>
          <w:tcPr>
            <w:tcW w:w="1530" w:type="dxa"/>
            <w:tcBorders>
              <w:top w:val="nil"/>
              <w:left w:val="nil"/>
              <w:bottom w:val="single" w:sz="4" w:space="0" w:color="auto"/>
              <w:right w:val="single" w:sz="4" w:space="0" w:color="auto"/>
            </w:tcBorders>
            <w:hideMark/>
          </w:tcPr>
          <w:p w14:paraId="297C846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lastRenderedPageBreak/>
              <w:t>Weibel, A., Rost, K. &amp; Osterloh, M.</w:t>
            </w:r>
          </w:p>
        </w:tc>
        <w:tc>
          <w:tcPr>
            <w:tcW w:w="720" w:type="dxa"/>
            <w:tcBorders>
              <w:top w:val="nil"/>
              <w:left w:val="nil"/>
              <w:bottom w:val="single" w:sz="4" w:space="0" w:color="auto"/>
              <w:right w:val="single" w:sz="4" w:space="0" w:color="auto"/>
            </w:tcBorders>
            <w:hideMark/>
          </w:tcPr>
          <w:p w14:paraId="28F02AE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2010</w:t>
            </w:r>
          </w:p>
        </w:tc>
        <w:tc>
          <w:tcPr>
            <w:tcW w:w="1710" w:type="dxa"/>
            <w:tcBorders>
              <w:top w:val="nil"/>
              <w:left w:val="nil"/>
              <w:bottom w:val="single" w:sz="4" w:space="0" w:color="auto"/>
              <w:right w:val="single" w:sz="4" w:space="0" w:color="auto"/>
            </w:tcBorders>
          </w:tcPr>
          <w:p w14:paraId="20AA9E56" w14:textId="7BFBEED9"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Self-Determination Theory; Agency Theory</w:t>
            </w:r>
          </w:p>
        </w:tc>
        <w:tc>
          <w:tcPr>
            <w:tcW w:w="1710" w:type="dxa"/>
            <w:tcBorders>
              <w:top w:val="nil"/>
              <w:left w:val="nil"/>
              <w:bottom w:val="single" w:sz="4" w:space="0" w:color="auto"/>
              <w:right w:val="single" w:sz="4" w:space="0" w:color="auto"/>
            </w:tcBorders>
            <w:vAlign w:val="center"/>
          </w:tcPr>
          <w:p w14:paraId="4C89087B" w14:textId="37FE0C5F" w:rsidR="003C6645" w:rsidRPr="009E1F1D" w:rsidRDefault="003C6645" w:rsidP="003C6645">
            <w:pPr>
              <w:rPr>
                <w:rFonts w:ascii="Calibri" w:hAnsi="Calibri" w:cs="Calibri"/>
                <w:color w:val="000000"/>
                <w:sz w:val="22"/>
                <w:szCs w:val="22"/>
              </w:rPr>
            </w:pPr>
            <w:r w:rsidRPr="00D0217E">
              <w:rPr>
                <w:color w:val="000000"/>
              </w:rPr>
              <w:t>Performance improvement</w:t>
            </w:r>
          </w:p>
        </w:tc>
        <w:tc>
          <w:tcPr>
            <w:tcW w:w="1980" w:type="dxa"/>
            <w:tcBorders>
              <w:top w:val="nil"/>
              <w:left w:val="nil"/>
              <w:bottom w:val="single" w:sz="4" w:space="0" w:color="auto"/>
              <w:right w:val="single" w:sz="4" w:space="0" w:color="auto"/>
            </w:tcBorders>
            <w:vAlign w:val="center"/>
          </w:tcPr>
          <w:p w14:paraId="40173C36" w14:textId="282D6311" w:rsidR="003C6645" w:rsidRPr="009E1F1D" w:rsidRDefault="003C6645" w:rsidP="003C6645">
            <w:pPr>
              <w:rPr>
                <w:rFonts w:ascii="Calibri" w:hAnsi="Calibri" w:cs="Calibri"/>
                <w:color w:val="000000"/>
                <w:sz w:val="22"/>
                <w:szCs w:val="22"/>
              </w:rPr>
            </w:pPr>
            <w:r w:rsidRPr="00D0217E">
              <w:rPr>
                <w:color w:val="000000"/>
              </w:rPr>
              <w:t>Hidden costs</w:t>
            </w:r>
          </w:p>
        </w:tc>
        <w:tc>
          <w:tcPr>
            <w:tcW w:w="1260" w:type="dxa"/>
            <w:tcBorders>
              <w:top w:val="nil"/>
              <w:left w:val="nil"/>
              <w:bottom w:val="single" w:sz="4" w:space="0" w:color="auto"/>
              <w:right w:val="single" w:sz="4" w:space="0" w:color="auto"/>
            </w:tcBorders>
            <w:vAlign w:val="center"/>
          </w:tcPr>
          <w:p w14:paraId="566DC22D" w14:textId="703E52BF" w:rsidR="003C6645" w:rsidRPr="009E1F1D" w:rsidRDefault="003C6645" w:rsidP="003C6645">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4BBF1B07"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 xml:space="preserve">Incentives can improve performance but may produce </w:t>
            </w:r>
            <w:r w:rsidRPr="009E1F1D">
              <w:rPr>
                <w:rFonts w:ascii="Calibri" w:hAnsi="Calibri" w:cs="Calibri"/>
                <w:color w:val="000000"/>
                <w:sz w:val="22"/>
                <w:szCs w:val="22"/>
              </w:rPr>
              <w:lastRenderedPageBreak/>
              <w:t>crowding-out effects</w:t>
            </w:r>
          </w:p>
        </w:tc>
        <w:tc>
          <w:tcPr>
            <w:tcW w:w="1440" w:type="dxa"/>
            <w:tcBorders>
              <w:top w:val="nil"/>
              <w:left w:val="nil"/>
              <w:bottom w:val="single" w:sz="4" w:space="0" w:color="auto"/>
              <w:right w:val="single" w:sz="4" w:space="0" w:color="auto"/>
            </w:tcBorders>
          </w:tcPr>
          <w:p w14:paraId="358C13A9" w14:textId="2BC525C7" w:rsidR="003C6645" w:rsidRPr="009E1F1D" w:rsidRDefault="00D526D4" w:rsidP="003C6645">
            <w:pPr>
              <w:rPr>
                <w:rFonts w:ascii="Calibri" w:hAnsi="Calibri" w:cs="Calibri"/>
                <w:color w:val="000000"/>
                <w:sz w:val="22"/>
                <w:szCs w:val="22"/>
              </w:rPr>
            </w:pPr>
            <w:r w:rsidRPr="004B62CF">
              <w:rPr>
                <w:rFonts w:ascii="Calibri" w:hAnsi="Calibri" w:cs="Calibri"/>
                <w:color w:val="000000"/>
                <w:sz w:val="22"/>
                <w:szCs w:val="22"/>
              </w:rPr>
              <w:lastRenderedPageBreak/>
              <w:t>Incentives, motivation</w:t>
            </w:r>
          </w:p>
        </w:tc>
        <w:tc>
          <w:tcPr>
            <w:tcW w:w="236" w:type="dxa"/>
            <w:tcBorders>
              <w:top w:val="nil"/>
              <w:left w:val="nil"/>
              <w:bottom w:val="single" w:sz="4" w:space="0" w:color="auto"/>
              <w:right w:val="single" w:sz="4" w:space="0" w:color="auto"/>
            </w:tcBorders>
          </w:tcPr>
          <w:p w14:paraId="59DB0E8A" w14:textId="5F9F7C29"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3C99D4C" w14:textId="1A2E91A5" w:rsidR="003C6645" w:rsidRPr="009E1F1D" w:rsidRDefault="003C6645" w:rsidP="003C6645">
            <w:pPr>
              <w:rPr>
                <w:rFonts w:ascii="Calibri" w:hAnsi="Calibri" w:cs="Calibri"/>
                <w:color w:val="000000"/>
                <w:sz w:val="22"/>
                <w:szCs w:val="22"/>
              </w:rPr>
            </w:pPr>
          </w:p>
        </w:tc>
      </w:tr>
      <w:tr w:rsidR="002A58DC" w:rsidRPr="009E1F1D" w14:paraId="659EC47A"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20FB15D"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29</w:t>
            </w:r>
          </w:p>
        </w:tc>
        <w:tc>
          <w:tcPr>
            <w:tcW w:w="1260" w:type="dxa"/>
            <w:tcBorders>
              <w:top w:val="nil"/>
              <w:left w:val="nil"/>
              <w:bottom w:val="single" w:sz="4" w:space="0" w:color="auto"/>
              <w:right w:val="single" w:sz="4" w:space="0" w:color="auto"/>
            </w:tcBorders>
            <w:hideMark/>
          </w:tcPr>
          <w:p w14:paraId="6F1407A3"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The Effects of Pay for Performance on Employee Outcomes: A Meta-Analytic Review</w:t>
            </w:r>
          </w:p>
        </w:tc>
        <w:tc>
          <w:tcPr>
            <w:tcW w:w="1530" w:type="dxa"/>
            <w:tcBorders>
              <w:top w:val="nil"/>
              <w:left w:val="nil"/>
              <w:bottom w:val="single" w:sz="4" w:space="0" w:color="auto"/>
              <w:right w:val="single" w:sz="4" w:space="0" w:color="auto"/>
            </w:tcBorders>
            <w:hideMark/>
          </w:tcPr>
          <w:p w14:paraId="6E75E3A9"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Garbers, Y. &amp; Konradt, U.</w:t>
            </w:r>
          </w:p>
        </w:tc>
        <w:tc>
          <w:tcPr>
            <w:tcW w:w="720" w:type="dxa"/>
            <w:tcBorders>
              <w:top w:val="nil"/>
              <w:left w:val="nil"/>
              <w:bottom w:val="single" w:sz="4" w:space="0" w:color="auto"/>
              <w:right w:val="single" w:sz="4" w:space="0" w:color="auto"/>
            </w:tcBorders>
            <w:hideMark/>
          </w:tcPr>
          <w:p w14:paraId="3BABB684"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2014</w:t>
            </w:r>
          </w:p>
        </w:tc>
        <w:tc>
          <w:tcPr>
            <w:tcW w:w="1710" w:type="dxa"/>
            <w:tcBorders>
              <w:top w:val="nil"/>
              <w:left w:val="nil"/>
              <w:bottom w:val="single" w:sz="4" w:space="0" w:color="auto"/>
              <w:right w:val="single" w:sz="4" w:space="0" w:color="auto"/>
            </w:tcBorders>
          </w:tcPr>
          <w:p w14:paraId="4585C3FD" w14:textId="46A076F3"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Agency; motivation theories</w:t>
            </w:r>
          </w:p>
        </w:tc>
        <w:tc>
          <w:tcPr>
            <w:tcW w:w="1710" w:type="dxa"/>
            <w:tcBorders>
              <w:top w:val="nil"/>
              <w:left w:val="nil"/>
              <w:bottom w:val="single" w:sz="4" w:space="0" w:color="auto"/>
              <w:right w:val="single" w:sz="4" w:space="0" w:color="auto"/>
            </w:tcBorders>
            <w:vAlign w:val="center"/>
          </w:tcPr>
          <w:p w14:paraId="37BC992D" w14:textId="2C22E978" w:rsidR="003C6645" w:rsidRPr="009E1F1D" w:rsidRDefault="003C6645" w:rsidP="003C6645">
            <w:pPr>
              <w:rPr>
                <w:rFonts w:ascii="Calibri" w:hAnsi="Calibri" w:cs="Calibri"/>
                <w:color w:val="000000"/>
                <w:sz w:val="22"/>
                <w:szCs w:val="22"/>
              </w:rPr>
            </w:pPr>
            <w:r w:rsidRPr="00D0217E">
              <w:rPr>
                <w:color w:val="000000"/>
              </w:rPr>
              <w:t>Performance improvement</w:t>
            </w:r>
          </w:p>
        </w:tc>
        <w:tc>
          <w:tcPr>
            <w:tcW w:w="1980" w:type="dxa"/>
            <w:tcBorders>
              <w:top w:val="nil"/>
              <w:left w:val="nil"/>
              <w:bottom w:val="single" w:sz="4" w:space="0" w:color="auto"/>
              <w:right w:val="single" w:sz="4" w:space="0" w:color="auto"/>
            </w:tcBorders>
            <w:vAlign w:val="center"/>
          </w:tcPr>
          <w:p w14:paraId="594D2C23" w14:textId="52635A4A" w:rsidR="003C6645" w:rsidRPr="009E1F1D" w:rsidRDefault="003C6645" w:rsidP="003C6645">
            <w:pPr>
              <w:rPr>
                <w:rFonts w:ascii="Calibri" w:hAnsi="Calibri" w:cs="Calibri"/>
                <w:color w:val="000000"/>
                <w:sz w:val="22"/>
                <w:szCs w:val="22"/>
              </w:rPr>
            </w:pPr>
            <w:r w:rsidRPr="00D0217E">
              <w:rPr>
                <w:color w:val="000000"/>
              </w:rPr>
              <w:t>Sorting effects</w:t>
            </w:r>
          </w:p>
        </w:tc>
        <w:tc>
          <w:tcPr>
            <w:tcW w:w="1260" w:type="dxa"/>
            <w:tcBorders>
              <w:top w:val="nil"/>
              <w:left w:val="nil"/>
              <w:bottom w:val="single" w:sz="4" w:space="0" w:color="auto"/>
              <w:right w:val="single" w:sz="4" w:space="0" w:color="auto"/>
            </w:tcBorders>
            <w:vAlign w:val="center"/>
          </w:tcPr>
          <w:p w14:paraId="00A31DED" w14:textId="488B9D7A" w:rsidR="003C6645" w:rsidRPr="009E1F1D" w:rsidRDefault="003C6645" w:rsidP="003C6645">
            <w:pPr>
              <w:rPr>
                <w:rFonts w:ascii="Calibri" w:hAnsi="Calibri" w:cs="Calibri"/>
                <w:color w:val="000000"/>
                <w:sz w:val="22"/>
                <w:szCs w:val="22"/>
              </w:rPr>
            </w:pPr>
            <w:r w:rsidRPr="00D0217E">
              <w:rPr>
                <w:color w:val="000000"/>
              </w:rPr>
              <w:t>Employee outcomes</w:t>
            </w:r>
          </w:p>
        </w:tc>
        <w:tc>
          <w:tcPr>
            <w:tcW w:w="1530" w:type="dxa"/>
            <w:tcBorders>
              <w:top w:val="nil"/>
              <w:left w:val="nil"/>
              <w:bottom w:val="single" w:sz="4" w:space="0" w:color="auto"/>
              <w:right w:val="single" w:sz="4" w:space="0" w:color="auto"/>
            </w:tcBorders>
            <w:hideMark/>
          </w:tcPr>
          <w:p w14:paraId="0CBFAD18" w14:textId="399A2ABF"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w:t>
            </w:r>
            <w:r w:rsidR="000348E6">
              <w:rPr>
                <w:rFonts w:ascii="Calibri" w:hAnsi="Calibri" w:cs="Calibri"/>
                <w:color w:val="000000"/>
                <w:sz w:val="22"/>
                <w:szCs w:val="22"/>
              </w:rPr>
              <w:t>B</w:t>
            </w:r>
            <w:r w:rsidRPr="009E1F1D">
              <w:rPr>
                <w:rFonts w:ascii="Calibri" w:hAnsi="Calibri" w:cs="Calibri"/>
                <w:color w:val="000000"/>
                <w:sz w:val="22"/>
                <w:szCs w:val="22"/>
              </w:rPr>
              <w:t>P effects depend on incentive type and context</w:t>
            </w:r>
          </w:p>
        </w:tc>
        <w:tc>
          <w:tcPr>
            <w:tcW w:w="1440" w:type="dxa"/>
            <w:tcBorders>
              <w:top w:val="nil"/>
              <w:left w:val="nil"/>
              <w:bottom w:val="single" w:sz="4" w:space="0" w:color="auto"/>
              <w:right w:val="single" w:sz="4" w:space="0" w:color="auto"/>
            </w:tcBorders>
          </w:tcPr>
          <w:p w14:paraId="76B8C738" w14:textId="386C37E6" w:rsidR="003C6645" w:rsidRPr="009E1F1D" w:rsidRDefault="001E24C7" w:rsidP="003C6645">
            <w:pPr>
              <w:rPr>
                <w:rFonts w:ascii="Calibri" w:hAnsi="Calibri" w:cs="Calibri"/>
                <w:color w:val="000000"/>
                <w:sz w:val="22"/>
                <w:szCs w:val="22"/>
              </w:rPr>
            </w:pPr>
            <w:r w:rsidRPr="004B62CF">
              <w:rPr>
                <w:rFonts w:ascii="Calibri" w:hAnsi="Calibri" w:cs="Calibri"/>
                <w:color w:val="000000"/>
                <w:sz w:val="22"/>
                <w:szCs w:val="22"/>
              </w:rPr>
              <w:t>P</w:t>
            </w:r>
            <w:r w:rsidR="000348E6">
              <w:rPr>
                <w:rFonts w:ascii="Calibri" w:hAnsi="Calibri" w:cs="Calibri"/>
                <w:color w:val="000000"/>
                <w:sz w:val="22"/>
                <w:szCs w:val="22"/>
              </w:rPr>
              <w:t>B</w:t>
            </w:r>
            <w:r w:rsidRPr="004B62CF">
              <w:rPr>
                <w:rFonts w:ascii="Calibri" w:hAnsi="Calibri" w:cs="Calibri"/>
                <w:color w:val="000000"/>
                <w:sz w:val="22"/>
                <w:szCs w:val="22"/>
              </w:rPr>
              <w:t>P, performance</w:t>
            </w:r>
          </w:p>
        </w:tc>
        <w:tc>
          <w:tcPr>
            <w:tcW w:w="236" w:type="dxa"/>
            <w:tcBorders>
              <w:top w:val="nil"/>
              <w:left w:val="nil"/>
              <w:bottom w:val="single" w:sz="4" w:space="0" w:color="auto"/>
              <w:right w:val="single" w:sz="4" w:space="0" w:color="auto"/>
            </w:tcBorders>
          </w:tcPr>
          <w:p w14:paraId="29BF9DE7" w14:textId="046B0C76"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7196E07" w14:textId="7ABE8F87" w:rsidR="003C6645" w:rsidRPr="009E1F1D" w:rsidRDefault="003C6645" w:rsidP="003C6645">
            <w:pPr>
              <w:rPr>
                <w:rFonts w:ascii="Calibri" w:hAnsi="Calibri" w:cs="Calibri"/>
                <w:color w:val="000000"/>
                <w:sz w:val="22"/>
                <w:szCs w:val="22"/>
              </w:rPr>
            </w:pPr>
          </w:p>
        </w:tc>
      </w:tr>
      <w:tr w:rsidR="002A58DC" w:rsidRPr="009E1F1D" w14:paraId="67BF7ED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6E47688"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30</w:t>
            </w:r>
          </w:p>
        </w:tc>
        <w:tc>
          <w:tcPr>
            <w:tcW w:w="1260" w:type="dxa"/>
            <w:tcBorders>
              <w:top w:val="nil"/>
              <w:left w:val="nil"/>
              <w:bottom w:val="single" w:sz="4" w:space="0" w:color="auto"/>
              <w:right w:val="single" w:sz="4" w:space="0" w:color="auto"/>
            </w:tcBorders>
            <w:hideMark/>
          </w:tcPr>
          <w:p w14:paraId="55A3FCB2"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Intrinsic and Extrinsic Motivation in the Workplace: A Meta-Analysis</w:t>
            </w:r>
          </w:p>
        </w:tc>
        <w:tc>
          <w:tcPr>
            <w:tcW w:w="1530" w:type="dxa"/>
            <w:tcBorders>
              <w:top w:val="nil"/>
              <w:left w:val="nil"/>
              <w:bottom w:val="single" w:sz="4" w:space="0" w:color="auto"/>
              <w:right w:val="single" w:sz="4" w:space="0" w:color="auto"/>
            </w:tcBorders>
            <w:hideMark/>
          </w:tcPr>
          <w:p w14:paraId="0F2228D6"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Cerasoli, C.P., Nicklin, J.M. &amp; Ford, M.T.</w:t>
            </w:r>
          </w:p>
        </w:tc>
        <w:tc>
          <w:tcPr>
            <w:tcW w:w="720" w:type="dxa"/>
            <w:tcBorders>
              <w:top w:val="nil"/>
              <w:left w:val="nil"/>
              <w:bottom w:val="single" w:sz="4" w:space="0" w:color="auto"/>
              <w:right w:val="single" w:sz="4" w:space="0" w:color="auto"/>
            </w:tcBorders>
            <w:hideMark/>
          </w:tcPr>
          <w:p w14:paraId="2C8549FF"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2014</w:t>
            </w:r>
          </w:p>
        </w:tc>
        <w:tc>
          <w:tcPr>
            <w:tcW w:w="1710" w:type="dxa"/>
            <w:tcBorders>
              <w:top w:val="nil"/>
              <w:left w:val="nil"/>
              <w:bottom w:val="single" w:sz="4" w:space="0" w:color="auto"/>
              <w:right w:val="single" w:sz="4" w:space="0" w:color="auto"/>
            </w:tcBorders>
          </w:tcPr>
          <w:p w14:paraId="10749494" w14:textId="54DA6985"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6374BC8B" w14:textId="6C781E66" w:rsidR="003C6645" w:rsidRPr="009E1F1D" w:rsidRDefault="003C6645" w:rsidP="003C6645">
            <w:pPr>
              <w:rPr>
                <w:rFonts w:ascii="Calibri" w:hAnsi="Calibri" w:cs="Calibri"/>
                <w:color w:val="000000"/>
                <w:sz w:val="22"/>
                <w:szCs w:val="22"/>
              </w:rPr>
            </w:pPr>
            <w:r w:rsidRPr="00D0217E">
              <w:rPr>
                <w:color w:val="000000"/>
              </w:rPr>
              <w:t>Motivation enhancement</w:t>
            </w:r>
          </w:p>
        </w:tc>
        <w:tc>
          <w:tcPr>
            <w:tcW w:w="1980" w:type="dxa"/>
            <w:tcBorders>
              <w:top w:val="nil"/>
              <w:left w:val="nil"/>
              <w:bottom w:val="single" w:sz="4" w:space="0" w:color="auto"/>
              <w:right w:val="single" w:sz="4" w:space="0" w:color="auto"/>
            </w:tcBorders>
            <w:vAlign w:val="center"/>
          </w:tcPr>
          <w:p w14:paraId="107204FA" w14:textId="5733110F" w:rsidR="003C6645" w:rsidRPr="009E1F1D" w:rsidRDefault="003C6645" w:rsidP="003C6645">
            <w:pPr>
              <w:rPr>
                <w:rFonts w:ascii="Calibri" w:hAnsi="Calibri" w:cs="Calibri"/>
                <w:color w:val="000000"/>
                <w:sz w:val="22"/>
                <w:szCs w:val="22"/>
              </w:rPr>
            </w:pPr>
            <w:r w:rsidRPr="00D0217E">
              <w:rPr>
                <w:color w:val="000000"/>
              </w:rPr>
              <w:t>Crowding risk</w:t>
            </w:r>
          </w:p>
        </w:tc>
        <w:tc>
          <w:tcPr>
            <w:tcW w:w="1260" w:type="dxa"/>
            <w:tcBorders>
              <w:top w:val="nil"/>
              <w:left w:val="nil"/>
              <w:bottom w:val="single" w:sz="4" w:space="0" w:color="auto"/>
              <w:right w:val="single" w:sz="4" w:space="0" w:color="auto"/>
            </w:tcBorders>
            <w:vAlign w:val="center"/>
          </w:tcPr>
          <w:p w14:paraId="0135B48E" w14:textId="5D225CC4" w:rsidR="003C6645" w:rsidRPr="009E1F1D" w:rsidRDefault="003C6645" w:rsidP="003C6645">
            <w:pPr>
              <w:rPr>
                <w:rFonts w:ascii="Calibri" w:hAnsi="Calibri" w:cs="Calibri"/>
                <w:color w:val="000000"/>
                <w:sz w:val="22"/>
                <w:szCs w:val="22"/>
              </w:rPr>
            </w:pPr>
            <w:r w:rsidRPr="00D0217E">
              <w:rPr>
                <w:color w:val="000000"/>
              </w:rPr>
              <w:t>Performance improvement</w:t>
            </w:r>
          </w:p>
        </w:tc>
        <w:tc>
          <w:tcPr>
            <w:tcW w:w="1530" w:type="dxa"/>
            <w:tcBorders>
              <w:top w:val="nil"/>
              <w:left w:val="nil"/>
              <w:bottom w:val="single" w:sz="4" w:space="0" w:color="auto"/>
              <w:right w:val="single" w:sz="4" w:space="0" w:color="auto"/>
            </w:tcBorders>
            <w:hideMark/>
          </w:tcPr>
          <w:p w14:paraId="045C54E0"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Intrinsic motivation predicts quality; incentives predict quantity and performance when well designed</w:t>
            </w:r>
          </w:p>
        </w:tc>
        <w:tc>
          <w:tcPr>
            <w:tcW w:w="1440" w:type="dxa"/>
            <w:tcBorders>
              <w:top w:val="nil"/>
              <w:left w:val="nil"/>
              <w:bottom w:val="single" w:sz="4" w:space="0" w:color="auto"/>
              <w:right w:val="single" w:sz="4" w:space="0" w:color="auto"/>
            </w:tcBorders>
          </w:tcPr>
          <w:p w14:paraId="1C11CACE" w14:textId="61897219" w:rsidR="003C6645" w:rsidRPr="009E1F1D" w:rsidRDefault="00A3506C" w:rsidP="003C6645">
            <w:pPr>
              <w:rPr>
                <w:rFonts w:ascii="Calibri" w:hAnsi="Calibri" w:cs="Calibri"/>
                <w:color w:val="000000"/>
                <w:sz w:val="22"/>
                <w:szCs w:val="22"/>
              </w:rPr>
            </w:pPr>
            <w:r w:rsidRPr="004B62CF">
              <w:rPr>
                <w:rFonts w:ascii="Calibri" w:hAnsi="Calibri" w:cs="Calibri"/>
                <w:color w:val="000000"/>
                <w:sz w:val="22"/>
                <w:szCs w:val="22"/>
              </w:rPr>
              <w:t>Intrinsic, extrinsic, performance</w:t>
            </w:r>
          </w:p>
        </w:tc>
        <w:tc>
          <w:tcPr>
            <w:tcW w:w="236" w:type="dxa"/>
            <w:tcBorders>
              <w:top w:val="nil"/>
              <w:left w:val="nil"/>
              <w:bottom w:val="single" w:sz="4" w:space="0" w:color="auto"/>
              <w:right w:val="single" w:sz="4" w:space="0" w:color="auto"/>
            </w:tcBorders>
          </w:tcPr>
          <w:p w14:paraId="719E0984" w14:textId="19C9BCFF"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6DFEE22" w14:textId="7B952181" w:rsidR="003C6645" w:rsidRPr="009E1F1D" w:rsidRDefault="003C6645" w:rsidP="003C6645">
            <w:pPr>
              <w:rPr>
                <w:rFonts w:ascii="Calibri" w:hAnsi="Calibri" w:cs="Calibri"/>
                <w:color w:val="000000"/>
                <w:sz w:val="22"/>
                <w:szCs w:val="22"/>
              </w:rPr>
            </w:pPr>
          </w:p>
        </w:tc>
      </w:tr>
      <w:tr w:rsidR="002A58DC" w:rsidRPr="009E1F1D" w14:paraId="1184F28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8710A6B"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t>31</w:t>
            </w:r>
          </w:p>
        </w:tc>
        <w:tc>
          <w:tcPr>
            <w:tcW w:w="1260" w:type="dxa"/>
            <w:tcBorders>
              <w:top w:val="nil"/>
              <w:left w:val="nil"/>
              <w:bottom w:val="single" w:sz="4" w:space="0" w:color="auto"/>
              <w:right w:val="single" w:sz="4" w:space="0" w:color="auto"/>
            </w:tcBorders>
            <w:hideMark/>
          </w:tcPr>
          <w:p w14:paraId="63A97353"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Pay Level, Pay Structure, and Employee Motivation</w:t>
            </w:r>
          </w:p>
        </w:tc>
        <w:tc>
          <w:tcPr>
            <w:tcW w:w="1530" w:type="dxa"/>
            <w:tcBorders>
              <w:top w:val="nil"/>
              <w:left w:val="nil"/>
              <w:bottom w:val="single" w:sz="4" w:space="0" w:color="auto"/>
              <w:right w:val="single" w:sz="4" w:space="0" w:color="auto"/>
            </w:tcBorders>
            <w:hideMark/>
          </w:tcPr>
          <w:p w14:paraId="76BA29CA"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Gupta, N. &amp; Shaw, J.D.</w:t>
            </w:r>
          </w:p>
        </w:tc>
        <w:tc>
          <w:tcPr>
            <w:tcW w:w="720" w:type="dxa"/>
            <w:tcBorders>
              <w:top w:val="nil"/>
              <w:left w:val="nil"/>
              <w:bottom w:val="single" w:sz="4" w:space="0" w:color="auto"/>
              <w:right w:val="single" w:sz="4" w:space="0" w:color="auto"/>
            </w:tcBorders>
            <w:hideMark/>
          </w:tcPr>
          <w:p w14:paraId="5EE22723"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2014</w:t>
            </w:r>
          </w:p>
        </w:tc>
        <w:tc>
          <w:tcPr>
            <w:tcW w:w="1710" w:type="dxa"/>
            <w:tcBorders>
              <w:top w:val="nil"/>
              <w:left w:val="nil"/>
              <w:bottom w:val="single" w:sz="4" w:space="0" w:color="auto"/>
              <w:right w:val="single" w:sz="4" w:space="0" w:color="auto"/>
            </w:tcBorders>
          </w:tcPr>
          <w:p w14:paraId="25045431" w14:textId="69B83610"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Equity Theory; motivation</w:t>
            </w:r>
          </w:p>
        </w:tc>
        <w:tc>
          <w:tcPr>
            <w:tcW w:w="1710" w:type="dxa"/>
            <w:tcBorders>
              <w:top w:val="nil"/>
              <w:left w:val="nil"/>
              <w:bottom w:val="single" w:sz="4" w:space="0" w:color="auto"/>
              <w:right w:val="single" w:sz="4" w:space="0" w:color="auto"/>
            </w:tcBorders>
            <w:vAlign w:val="center"/>
          </w:tcPr>
          <w:p w14:paraId="321E938C" w14:textId="5EC31D51" w:rsidR="003C6645" w:rsidRPr="009E1F1D" w:rsidRDefault="003C6645" w:rsidP="003C6645">
            <w:pPr>
              <w:rPr>
                <w:rFonts w:ascii="Calibri" w:hAnsi="Calibri" w:cs="Calibri"/>
                <w:color w:val="000000"/>
                <w:sz w:val="22"/>
                <w:szCs w:val="22"/>
              </w:rPr>
            </w:pPr>
            <w:r w:rsidRPr="00D0217E">
              <w:rPr>
                <w:color w:val="000000"/>
              </w:rPr>
              <w:t>Reward motivation</w:t>
            </w:r>
          </w:p>
        </w:tc>
        <w:tc>
          <w:tcPr>
            <w:tcW w:w="1980" w:type="dxa"/>
            <w:tcBorders>
              <w:top w:val="nil"/>
              <w:left w:val="nil"/>
              <w:bottom w:val="single" w:sz="4" w:space="0" w:color="auto"/>
              <w:right w:val="single" w:sz="4" w:space="0" w:color="auto"/>
            </w:tcBorders>
            <w:vAlign w:val="center"/>
          </w:tcPr>
          <w:p w14:paraId="5A0F4118" w14:textId="7E48A79B" w:rsidR="003C6645" w:rsidRPr="009E1F1D" w:rsidRDefault="003C6645" w:rsidP="003C6645">
            <w:pPr>
              <w:rPr>
                <w:rFonts w:ascii="Calibri" w:hAnsi="Calibri" w:cs="Calibri"/>
                <w:color w:val="000000"/>
                <w:sz w:val="22"/>
                <w:szCs w:val="22"/>
              </w:rPr>
            </w:pPr>
            <w:r w:rsidRPr="00D0217E">
              <w:rPr>
                <w:color w:val="000000"/>
              </w:rPr>
              <w:t>Pay dissatisfaction</w:t>
            </w:r>
          </w:p>
        </w:tc>
        <w:tc>
          <w:tcPr>
            <w:tcW w:w="1260" w:type="dxa"/>
            <w:tcBorders>
              <w:top w:val="nil"/>
              <w:left w:val="nil"/>
              <w:bottom w:val="single" w:sz="4" w:space="0" w:color="auto"/>
              <w:right w:val="single" w:sz="4" w:space="0" w:color="auto"/>
            </w:tcBorders>
            <w:vAlign w:val="center"/>
          </w:tcPr>
          <w:p w14:paraId="16410A64" w14:textId="4452D6D3" w:rsidR="003C6645" w:rsidRPr="009E1F1D" w:rsidRDefault="003C6645" w:rsidP="003C6645">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58385B8B"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Pay design matters for motivation beyond absolute pay level</w:t>
            </w:r>
          </w:p>
        </w:tc>
        <w:tc>
          <w:tcPr>
            <w:tcW w:w="1440" w:type="dxa"/>
            <w:tcBorders>
              <w:top w:val="nil"/>
              <w:left w:val="nil"/>
              <w:bottom w:val="single" w:sz="4" w:space="0" w:color="auto"/>
              <w:right w:val="single" w:sz="4" w:space="0" w:color="auto"/>
            </w:tcBorders>
          </w:tcPr>
          <w:p w14:paraId="3CE5A367" w14:textId="2402FD3B" w:rsidR="003C6645" w:rsidRPr="009E1F1D" w:rsidRDefault="00D62A9B" w:rsidP="003C6645">
            <w:pPr>
              <w:rPr>
                <w:rFonts w:ascii="Calibri" w:hAnsi="Calibri" w:cs="Calibri"/>
                <w:color w:val="000000"/>
                <w:sz w:val="22"/>
                <w:szCs w:val="22"/>
              </w:rPr>
            </w:pPr>
            <w:r w:rsidRPr="004B62CF">
              <w:rPr>
                <w:rFonts w:ascii="Calibri" w:hAnsi="Calibri" w:cs="Calibri"/>
                <w:color w:val="000000"/>
                <w:sz w:val="22"/>
                <w:szCs w:val="22"/>
              </w:rPr>
              <w:t>Pay structure, motivation</w:t>
            </w:r>
          </w:p>
        </w:tc>
        <w:tc>
          <w:tcPr>
            <w:tcW w:w="236" w:type="dxa"/>
            <w:tcBorders>
              <w:top w:val="nil"/>
              <w:left w:val="nil"/>
              <w:bottom w:val="single" w:sz="4" w:space="0" w:color="auto"/>
              <w:right w:val="single" w:sz="4" w:space="0" w:color="auto"/>
            </w:tcBorders>
          </w:tcPr>
          <w:p w14:paraId="50BA7EFC" w14:textId="6B6449F7"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DA657D9" w14:textId="23334E9F" w:rsidR="003C6645" w:rsidRPr="009E1F1D" w:rsidRDefault="003C6645" w:rsidP="003C6645">
            <w:pPr>
              <w:rPr>
                <w:rFonts w:ascii="Calibri" w:hAnsi="Calibri" w:cs="Calibri"/>
                <w:color w:val="000000"/>
                <w:sz w:val="22"/>
                <w:szCs w:val="22"/>
              </w:rPr>
            </w:pPr>
          </w:p>
        </w:tc>
      </w:tr>
      <w:tr w:rsidR="002A58DC" w:rsidRPr="009E1F1D" w14:paraId="2E75986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459F971" w14:textId="77777777" w:rsidR="003C6645" w:rsidRPr="009E1F1D" w:rsidRDefault="003C6645" w:rsidP="003C6645">
            <w:pPr>
              <w:jc w:val="right"/>
              <w:rPr>
                <w:rFonts w:ascii="Calibri" w:hAnsi="Calibri" w:cs="Calibri"/>
                <w:color w:val="000000"/>
                <w:sz w:val="22"/>
                <w:szCs w:val="22"/>
              </w:rPr>
            </w:pPr>
            <w:r w:rsidRPr="009E1F1D">
              <w:rPr>
                <w:rFonts w:ascii="Calibri" w:hAnsi="Calibri" w:cs="Calibri"/>
                <w:color w:val="000000"/>
                <w:sz w:val="22"/>
                <w:szCs w:val="22"/>
              </w:rPr>
              <w:lastRenderedPageBreak/>
              <w:t>32</w:t>
            </w:r>
          </w:p>
        </w:tc>
        <w:tc>
          <w:tcPr>
            <w:tcW w:w="1260" w:type="dxa"/>
            <w:tcBorders>
              <w:top w:val="nil"/>
              <w:left w:val="nil"/>
              <w:bottom w:val="single" w:sz="4" w:space="0" w:color="auto"/>
              <w:right w:val="single" w:sz="4" w:space="0" w:color="auto"/>
            </w:tcBorders>
            <w:hideMark/>
          </w:tcPr>
          <w:p w14:paraId="7AC3454E"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The Role of Pay and Rewards in Employee Motivation</w:t>
            </w:r>
          </w:p>
        </w:tc>
        <w:tc>
          <w:tcPr>
            <w:tcW w:w="1530" w:type="dxa"/>
            <w:tcBorders>
              <w:top w:val="nil"/>
              <w:left w:val="nil"/>
              <w:bottom w:val="single" w:sz="4" w:space="0" w:color="auto"/>
              <w:right w:val="single" w:sz="4" w:space="0" w:color="auto"/>
            </w:tcBorders>
            <w:hideMark/>
          </w:tcPr>
          <w:p w14:paraId="3046B8B3"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Gerhart, B. &amp; Rynes, S.L.</w:t>
            </w:r>
          </w:p>
        </w:tc>
        <w:tc>
          <w:tcPr>
            <w:tcW w:w="720" w:type="dxa"/>
            <w:tcBorders>
              <w:top w:val="nil"/>
              <w:left w:val="nil"/>
              <w:bottom w:val="single" w:sz="4" w:space="0" w:color="auto"/>
              <w:right w:val="single" w:sz="4" w:space="0" w:color="auto"/>
            </w:tcBorders>
            <w:hideMark/>
          </w:tcPr>
          <w:p w14:paraId="24286C24"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2003</w:t>
            </w:r>
          </w:p>
        </w:tc>
        <w:tc>
          <w:tcPr>
            <w:tcW w:w="1710" w:type="dxa"/>
            <w:tcBorders>
              <w:top w:val="nil"/>
              <w:left w:val="nil"/>
              <w:bottom w:val="single" w:sz="4" w:space="0" w:color="auto"/>
              <w:right w:val="single" w:sz="4" w:space="0" w:color="auto"/>
            </w:tcBorders>
          </w:tcPr>
          <w:p w14:paraId="3DC97500" w14:textId="516AF0A5" w:rsidR="003C6645" w:rsidRPr="009E1F1D" w:rsidRDefault="003C6645" w:rsidP="003C6645">
            <w:pPr>
              <w:rPr>
                <w:rFonts w:ascii="Calibri" w:hAnsi="Calibri" w:cs="Calibri"/>
                <w:color w:val="000000"/>
                <w:sz w:val="22"/>
                <w:szCs w:val="22"/>
              </w:rPr>
            </w:pPr>
            <w:r w:rsidRPr="00F0534D">
              <w:rPr>
                <w:rFonts w:ascii="Calibri" w:hAnsi="Calibri" w:cs="Calibri"/>
                <w:color w:val="000000"/>
                <w:sz w:val="22"/>
                <w:szCs w:val="22"/>
              </w:rPr>
              <w:t>Expectancy; Equity; Agency</w:t>
            </w:r>
          </w:p>
        </w:tc>
        <w:tc>
          <w:tcPr>
            <w:tcW w:w="1710" w:type="dxa"/>
            <w:tcBorders>
              <w:top w:val="nil"/>
              <w:left w:val="nil"/>
              <w:bottom w:val="single" w:sz="4" w:space="0" w:color="auto"/>
              <w:right w:val="single" w:sz="4" w:space="0" w:color="auto"/>
            </w:tcBorders>
            <w:vAlign w:val="center"/>
          </w:tcPr>
          <w:p w14:paraId="749A4542" w14:textId="0720EC54" w:rsidR="003C6645" w:rsidRPr="009E1F1D" w:rsidRDefault="003C6645" w:rsidP="003C6645">
            <w:pPr>
              <w:rPr>
                <w:rFonts w:ascii="Calibri" w:hAnsi="Calibri" w:cs="Calibri"/>
                <w:color w:val="000000"/>
                <w:sz w:val="22"/>
                <w:szCs w:val="22"/>
              </w:rPr>
            </w:pPr>
            <w:r w:rsidRPr="00D0217E">
              <w:rPr>
                <w:color w:val="000000"/>
              </w:rPr>
              <w:t>Strategic rewards</w:t>
            </w:r>
          </w:p>
        </w:tc>
        <w:tc>
          <w:tcPr>
            <w:tcW w:w="1980" w:type="dxa"/>
            <w:tcBorders>
              <w:top w:val="nil"/>
              <w:left w:val="nil"/>
              <w:bottom w:val="single" w:sz="4" w:space="0" w:color="auto"/>
              <w:right w:val="single" w:sz="4" w:space="0" w:color="auto"/>
            </w:tcBorders>
            <w:vAlign w:val="center"/>
          </w:tcPr>
          <w:p w14:paraId="5D5FE106" w14:textId="1516F5E2" w:rsidR="003C6645" w:rsidRPr="009E1F1D" w:rsidRDefault="003C6645" w:rsidP="003C6645">
            <w:pPr>
              <w:rPr>
                <w:rFonts w:ascii="Calibri" w:hAnsi="Calibri" w:cs="Calibri"/>
                <w:color w:val="000000"/>
                <w:sz w:val="22"/>
                <w:szCs w:val="22"/>
              </w:rPr>
            </w:pPr>
            <w:r w:rsidRPr="00D0217E">
              <w:rPr>
                <w:color w:val="000000"/>
              </w:rPr>
              <w:t>Compensation costs</w:t>
            </w:r>
          </w:p>
        </w:tc>
        <w:tc>
          <w:tcPr>
            <w:tcW w:w="1260" w:type="dxa"/>
            <w:tcBorders>
              <w:top w:val="nil"/>
              <w:left w:val="nil"/>
              <w:bottom w:val="single" w:sz="4" w:space="0" w:color="auto"/>
              <w:right w:val="single" w:sz="4" w:space="0" w:color="auto"/>
            </w:tcBorders>
            <w:vAlign w:val="center"/>
          </w:tcPr>
          <w:p w14:paraId="42487A52" w14:textId="2CE3AEC0" w:rsidR="003C6645" w:rsidRPr="009E1F1D" w:rsidRDefault="003C6645" w:rsidP="003C6645">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71897F24" w14:textId="77777777" w:rsidR="003C6645" w:rsidRPr="009E1F1D" w:rsidRDefault="003C6645" w:rsidP="003C6645">
            <w:pPr>
              <w:rPr>
                <w:rFonts w:ascii="Calibri" w:hAnsi="Calibri" w:cs="Calibri"/>
                <w:color w:val="000000"/>
                <w:sz w:val="22"/>
                <w:szCs w:val="22"/>
              </w:rPr>
            </w:pPr>
            <w:r w:rsidRPr="009E1F1D">
              <w:rPr>
                <w:rFonts w:ascii="Calibri" w:hAnsi="Calibri" w:cs="Calibri"/>
                <w:color w:val="000000"/>
                <w:sz w:val="22"/>
                <w:szCs w:val="22"/>
              </w:rPr>
              <w:t>Pay can be a powerful motivator when employees see clear and fair links to outcomes</w:t>
            </w:r>
          </w:p>
        </w:tc>
        <w:tc>
          <w:tcPr>
            <w:tcW w:w="1440" w:type="dxa"/>
            <w:tcBorders>
              <w:top w:val="nil"/>
              <w:left w:val="nil"/>
              <w:bottom w:val="single" w:sz="4" w:space="0" w:color="auto"/>
              <w:right w:val="single" w:sz="4" w:space="0" w:color="auto"/>
            </w:tcBorders>
          </w:tcPr>
          <w:p w14:paraId="13A74D7A" w14:textId="660B4882" w:rsidR="003C6645" w:rsidRPr="009E1F1D" w:rsidRDefault="00F144DC" w:rsidP="003C6645">
            <w:pPr>
              <w:rPr>
                <w:rFonts w:ascii="Calibri" w:hAnsi="Calibri" w:cs="Calibri"/>
                <w:color w:val="000000"/>
                <w:sz w:val="22"/>
                <w:szCs w:val="22"/>
              </w:rPr>
            </w:pPr>
            <w:r w:rsidRPr="004B62CF">
              <w:rPr>
                <w:rFonts w:ascii="Calibri" w:hAnsi="Calibri" w:cs="Calibri"/>
                <w:color w:val="000000"/>
                <w:sz w:val="22"/>
                <w:szCs w:val="22"/>
              </w:rPr>
              <w:t>Pay, rewards, motivation</w:t>
            </w:r>
          </w:p>
        </w:tc>
        <w:tc>
          <w:tcPr>
            <w:tcW w:w="236" w:type="dxa"/>
            <w:tcBorders>
              <w:top w:val="nil"/>
              <w:left w:val="nil"/>
              <w:bottom w:val="single" w:sz="4" w:space="0" w:color="auto"/>
              <w:right w:val="single" w:sz="4" w:space="0" w:color="auto"/>
            </w:tcBorders>
          </w:tcPr>
          <w:p w14:paraId="1453F95F" w14:textId="017685F1" w:rsidR="003C6645" w:rsidRPr="009E1F1D" w:rsidRDefault="003C6645" w:rsidP="003C664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4925FE4" w14:textId="025BEDE0" w:rsidR="003C6645" w:rsidRPr="009E1F1D" w:rsidRDefault="003C6645" w:rsidP="003C6645">
            <w:pPr>
              <w:rPr>
                <w:rFonts w:ascii="Calibri" w:hAnsi="Calibri" w:cs="Calibri"/>
                <w:color w:val="000000"/>
                <w:sz w:val="22"/>
                <w:szCs w:val="22"/>
              </w:rPr>
            </w:pPr>
          </w:p>
        </w:tc>
      </w:tr>
      <w:tr w:rsidR="002A58DC" w:rsidRPr="009E1F1D" w14:paraId="0CA5CA74"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063801A" w14:textId="77777777" w:rsidR="00463754" w:rsidRPr="009E1F1D" w:rsidRDefault="00463754" w:rsidP="00463754">
            <w:pPr>
              <w:jc w:val="right"/>
              <w:rPr>
                <w:rFonts w:ascii="Calibri" w:hAnsi="Calibri" w:cs="Calibri"/>
                <w:color w:val="000000"/>
                <w:sz w:val="22"/>
                <w:szCs w:val="22"/>
              </w:rPr>
            </w:pPr>
            <w:r w:rsidRPr="009E1F1D">
              <w:rPr>
                <w:rFonts w:ascii="Calibri" w:hAnsi="Calibri" w:cs="Calibri"/>
                <w:color w:val="000000"/>
                <w:sz w:val="22"/>
                <w:szCs w:val="22"/>
              </w:rPr>
              <w:t>33</w:t>
            </w:r>
          </w:p>
        </w:tc>
        <w:tc>
          <w:tcPr>
            <w:tcW w:w="1260" w:type="dxa"/>
            <w:tcBorders>
              <w:top w:val="nil"/>
              <w:left w:val="nil"/>
              <w:bottom w:val="single" w:sz="4" w:space="0" w:color="auto"/>
              <w:right w:val="single" w:sz="4" w:space="0" w:color="auto"/>
            </w:tcBorders>
            <w:hideMark/>
          </w:tcPr>
          <w:p w14:paraId="34364E7F" w14:textId="77777777" w:rsidR="00463754" w:rsidRPr="009E1F1D" w:rsidRDefault="00463754" w:rsidP="00463754">
            <w:pPr>
              <w:rPr>
                <w:rFonts w:ascii="Calibri" w:hAnsi="Calibri" w:cs="Calibri"/>
                <w:color w:val="000000"/>
                <w:sz w:val="22"/>
                <w:szCs w:val="22"/>
              </w:rPr>
            </w:pPr>
            <w:r w:rsidRPr="009E1F1D">
              <w:rPr>
                <w:rFonts w:ascii="Calibri" w:hAnsi="Calibri" w:cs="Calibri"/>
                <w:color w:val="000000"/>
                <w:sz w:val="22"/>
                <w:szCs w:val="22"/>
              </w:rPr>
              <w:t>Compensation and Organizational Performance</w:t>
            </w:r>
          </w:p>
        </w:tc>
        <w:tc>
          <w:tcPr>
            <w:tcW w:w="1530" w:type="dxa"/>
            <w:tcBorders>
              <w:top w:val="nil"/>
              <w:left w:val="nil"/>
              <w:bottom w:val="single" w:sz="4" w:space="0" w:color="auto"/>
              <w:right w:val="single" w:sz="4" w:space="0" w:color="auto"/>
            </w:tcBorders>
            <w:hideMark/>
          </w:tcPr>
          <w:p w14:paraId="226E2B17" w14:textId="77777777" w:rsidR="00463754" w:rsidRPr="009E1F1D" w:rsidRDefault="00463754" w:rsidP="00463754">
            <w:pPr>
              <w:rPr>
                <w:rFonts w:ascii="Calibri" w:hAnsi="Calibri" w:cs="Calibri"/>
                <w:color w:val="000000"/>
                <w:sz w:val="22"/>
                <w:szCs w:val="22"/>
              </w:rPr>
            </w:pPr>
            <w:r w:rsidRPr="009E1F1D">
              <w:rPr>
                <w:rFonts w:ascii="Calibri" w:hAnsi="Calibri" w:cs="Calibri"/>
                <w:color w:val="000000"/>
                <w:sz w:val="22"/>
                <w:szCs w:val="22"/>
              </w:rPr>
              <w:t>Gerhart, B. &amp; Milkovich, G.T.</w:t>
            </w:r>
          </w:p>
        </w:tc>
        <w:tc>
          <w:tcPr>
            <w:tcW w:w="720" w:type="dxa"/>
            <w:tcBorders>
              <w:top w:val="nil"/>
              <w:left w:val="nil"/>
              <w:bottom w:val="single" w:sz="4" w:space="0" w:color="auto"/>
              <w:right w:val="single" w:sz="4" w:space="0" w:color="auto"/>
            </w:tcBorders>
            <w:hideMark/>
          </w:tcPr>
          <w:p w14:paraId="7777D9BC" w14:textId="77777777" w:rsidR="00463754" w:rsidRPr="009E1F1D" w:rsidRDefault="00463754" w:rsidP="00463754">
            <w:pPr>
              <w:rPr>
                <w:rFonts w:ascii="Calibri" w:hAnsi="Calibri" w:cs="Calibri"/>
                <w:color w:val="000000"/>
                <w:sz w:val="22"/>
                <w:szCs w:val="22"/>
              </w:rPr>
            </w:pPr>
            <w:r w:rsidRPr="009E1F1D">
              <w:rPr>
                <w:rFonts w:ascii="Calibri" w:hAnsi="Calibri" w:cs="Calibri"/>
                <w:color w:val="000000"/>
                <w:sz w:val="22"/>
                <w:szCs w:val="22"/>
              </w:rPr>
              <w:t>1990</w:t>
            </w:r>
          </w:p>
        </w:tc>
        <w:tc>
          <w:tcPr>
            <w:tcW w:w="1710" w:type="dxa"/>
            <w:tcBorders>
              <w:top w:val="nil"/>
              <w:left w:val="nil"/>
              <w:bottom w:val="single" w:sz="4" w:space="0" w:color="auto"/>
              <w:right w:val="single" w:sz="4" w:space="0" w:color="auto"/>
            </w:tcBorders>
          </w:tcPr>
          <w:p w14:paraId="4BE8ECF8" w14:textId="10B4739B" w:rsidR="00463754" w:rsidRPr="009E1F1D" w:rsidRDefault="00463754" w:rsidP="00463754">
            <w:pPr>
              <w:rPr>
                <w:rFonts w:ascii="Calibri" w:hAnsi="Calibri" w:cs="Calibri"/>
                <w:color w:val="000000"/>
                <w:sz w:val="22"/>
                <w:szCs w:val="22"/>
              </w:rPr>
            </w:pPr>
            <w:r w:rsidRPr="00F0534D">
              <w:rPr>
                <w:rFonts w:ascii="Calibri" w:hAnsi="Calibri" w:cs="Calibri"/>
                <w:color w:val="000000"/>
                <w:sz w:val="22"/>
                <w:szCs w:val="22"/>
              </w:rPr>
              <w:t>Agency; strategic compensation</w:t>
            </w:r>
          </w:p>
        </w:tc>
        <w:tc>
          <w:tcPr>
            <w:tcW w:w="1710" w:type="dxa"/>
            <w:tcBorders>
              <w:top w:val="nil"/>
              <w:left w:val="nil"/>
              <w:bottom w:val="single" w:sz="4" w:space="0" w:color="auto"/>
              <w:right w:val="single" w:sz="4" w:space="0" w:color="auto"/>
            </w:tcBorders>
            <w:vAlign w:val="center"/>
          </w:tcPr>
          <w:p w14:paraId="41D7C0AF" w14:textId="017082E2" w:rsidR="00463754" w:rsidRPr="009E1F1D" w:rsidRDefault="00463754" w:rsidP="00463754">
            <w:pPr>
              <w:rPr>
                <w:rFonts w:ascii="Calibri" w:hAnsi="Calibri" w:cs="Calibri"/>
                <w:color w:val="000000"/>
                <w:sz w:val="22"/>
                <w:szCs w:val="22"/>
              </w:rPr>
            </w:pPr>
            <w:r w:rsidRPr="00D0217E">
              <w:rPr>
                <w:color w:val="000000"/>
              </w:rPr>
              <w:t>Strategic compensation</w:t>
            </w:r>
          </w:p>
        </w:tc>
        <w:tc>
          <w:tcPr>
            <w:tcW w:w="1980" w:type="dxa"/>
            <w:tcBorders>
              <w:top w:val="nil"/>
              <w:left w:val="nil"/>
              <w:bottom w:val="single" w:sz="4" w:space="0" w:color="auto"/>
              <w:right w:val="single" w:sz="4" w:space="0" w:color="auto"/>
            </w:tcBorders>
            <w:vAlign w:val="center"/>
          </w:tcPr>
          <w:p w14:paraId="0D07C435" w14:textId="5459CE46" w:rsidR="00463754" w:rsidRPr="009E1F1D" w:rsidRDefault="00463754" w:rsidP="00463754">
            <w:pPr>
              <w:rPr>
                <w:rFonts w:ascii="Calibri" w:hAnsi="Calibri" w:cs="Calibri"/>
                <w:color w:val="000000"/>
                <w:sz w:val="22"/>
                <w:szCs w:val="22"/>
              </w:rPr>
            </w:pPr>
            <w:r w:rsidRPr="00D0217E">
              <w:rPr>
                <w:color w:val="000000"/>
              </w:rPr>
              <w:t>Cost concerns</w:t>
            </w:r>
          </w:p>
        </w:tc>
        <w:tc>
          <w:tcPr>
            <w:tcW w:w="1260" w:type="dxa"/>
            <w:tcBorders>
              <w:top w:val="nil"/>
              <w:left w:val="nil"/>
              <w:bottom w:val="single" w:sz="4" w:space="0" w:color="auto"/>
              <w:right w:val="single" w:sz="4" w:space="0" w:color="auto"/>
            </w:tcBorders>
            <w:vAlign w:val="center"/>
          </w:tcPr>
          <w:p w14:paraId="7DFED56E" w14:textId="144B39C9" w:rsidR="00463754" w:rsidRPr="009E1F1D" w:rsidRDefault="00463754" w:rsidP="00463754">
            <w:pPr>
              <w:rPr>
                <w:rFonts w:ascii="Calibri" w:hAnsi="Calibri" w:cs="Calibri"/>
                <w:color w:val="000000"/>
                <w:sz w:val="22"/>
                <w:szCs w:val="22"/>
              </w:rPr>
            </w:pPr>
            <w:r w:rsidRPr="00D0217E">
              <w:rPr>
                <w:color w:val="000000"/>
              </w:rPr>
              <w:t>Employee outcomes</w:t>
            </w:r>
          </w:p>
        </w:tc>
        <w:tc>
          <w:tcPr>
            <w:tcW w:w="1530" w:type="dxa"/>
            <w:tcBorders>
              <w:top w:val="nil"/>
              <w:left w:val="nil"/>
              <w:bottom w:val="single" w:sz="4" w:space="0" w:color="auto"/>
              <w:right w:val="single" w:sz="4" w:space="0" w:color="auto"/>
            </w:tcBorders>
            <w:hideMark/>
          </w:tcPr>
          <w:p w14:paraId="344ED54C" w14:textId="77777777" w:rsidR="00463754" w:rsidRPr="009E1F1D" w:rsidRDefault="00463754" w:rsidP="00463754">
            <w:pPr>
              <w:rPr>
                <w:rFonts w:ascii="Calibri" w:hAnsi="Calibri" w:cs="Calibri"/>
                <w:color w:val="000000"/>
                <w:sz w:val="22"/>
                <w:szCs w:val="22"/>
              </w:rPr>
            </w:pPr>
            <w:r w:rsidRPr="009E1F1D">
              <w:rPr>
                <w:rFonts w:ascii="Calibri" w:hAnsi="Calibri" w:cs="Calibri"/>
                <w:color w:val="000000"/>
                <w:sz w:val="22"/>
                <w:szCs w:val="22"/>
              </w:rPr>
              <w:t>Compensation strategy is linked to organizational performance through multiple mechanisms</w:t>
            </w:r>
          </w:p>
        </w:tc>
        <w:tc>
          <w:tcPr>
            <w:tcW w:w="1440" w:type="dxa"/>
            <w:tcBorders>
              <w:top w:val="nil"/>
              <w:left w:val="nil"/>
              <w:bottom w:val="single" w:sz="4" w:space="0" w:color="auto"/>
              <w:right w:val="single" w:sz="4" w:space="0" w:color="auto"/>
            </w:tcBorders>
          </w:tcPr>
          <w:p w14:paraId="3A828613" w14:textId="64734DE6" w:rsidR="00463754" w:rsidRPr="009E1F1D" w:rsidRDefault="00463754" w:rsidP="00463754">
            <w:pPr>
              <w:rPr>
                <w:rFonts w:ascii="Calibri" w:hAnsi="Calibri" w:cs="Calibri"/>
                <w:color w:val="000000"/>
                <w:sz w:val="22"/>
                <w:szCs w:val="22"/>
              </w:rPr>
            </w:pPr>
            <w:r w:rsidRPr="004B62CF">
              <w:rPr>
                <w:rFonts w:ascii="Calibri" w:hAnsi="Calibri" w:cs="Calibri"/>
                <w:color w:val="000000"/>
                <w:sz w:val="22"/>
                <w:szCs w:val="22"/>
              </w:rPr>
              <w:t>Compensation, organizational performance</w:t>
            </w:r>
          </w:p>
        </w:tc>
        <w:tc>
          <w:tcPr>
            <w:tcW w:w="236" w:type="dxa"/>
            <w:tcBorders>
              <w:top w:val="nil"/>
              <w:left w:val="nil"/>
              <w:bottom w:val="single" w:sz="4" w:space="0" w:color="auto"/>
              <w:right w:val="single" w:sz="4" w:space="0" w:color="auto"/>
            </w:tcBorders>
          </w:tcPr>
          <w:p w14:paraId="3C5E4BE9" w14:textId="3AFD0FBF" w:rsidR="00463754" w:rsidRPr="009E1F1D" w:rsidRDefault="00463754" w:rsidP="00463754">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8930EA7" w14:textId="1BC16220" w:rsidR="00463754" w:rsidRPr="009E1F1D" w:rsidRDefault="00463754" w:rsidP="00463754">
            <w:pPr>
              <w:rPr>
                <w:rFonts w:ascii="Calibri" w:hAnsi="Calibri" w:cs="Calibri"/>
                <w:color w:val="000000"/>
                <w:sz w:val="22"/>
                <w:szCs w:val="22"/>
              </w:rPr>
            </w:pPr>
          </w:p>
        </w:tc>
      </w:tr>
      <w:tr w:rsidR="002A58DC" w:rsidRPr="009E1F1D" w14:paraId="67B5F07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F5476F1" w14:textId="77777777" w:rsidR="00664D3A" w:rsidRPr="009E1F1D" w:rsidRDefault="00664D3A" w:rsidP="00664D3A">
            <w:pPr>
              <w:jc w:val="right"/>
              <w:rPr>
                <w:rFonts w:ascii="Calibri" w:hAnsi="Calibri" w:cs="Calibri"/>
                <w:color w:val="000000"/>
                <w:sz w:val="22"/>
                <w:szCs w:val="22"/>
              </w:rPr>
            </w:pPr>
            <w:r w:rsidRPr="009E1F1D">
              <w:rPr>
                <w:rFonts w:ascii="Calibri" w:hAnsi="Calibri" w:cs="Calibri"/>
                <w:color w:val="000000"/>
                <w:sz w:val="22"/>
                <w:szCs w:val="22"/>
              </w:rPr>
              <w:t>34</w:t>
            </w:r>
          </w:p>
        </w:tc>
        <w:tc>
          <w:tcPr>
            <w:tcW w:w="1260" w:type="dxa"/>
            <w:tcBorders>
              <w:top w:val="nil"/>
              <w:left w:val="nil"/>
              <w:bottom w:val="single" w:sz="4" w:space="0" w:color="auto"/>
              <w:right w:val="single" w:sz="4" w:space="0" w:color="auto"/>
            </w:tcBorders>
            <w:hideMark/>
          </w:tcPr>
          <w:p w14:paraId="7663DB3B"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The Effects of Pay and Performance on Employee Attitudes</w:t>
            </w:r>
          </w:p>
        </w:tc>
        <w:tc>
          <w:tcPr>
            <w:tcW w:w="1530" w:type="dxa"/>
            <w:tcBorders>
              <w:top w:val="nil"/>
              <w:left w:val="nil"/>
              <w:bottom w:val="single" w:sz="4" w:space="0" w:color="auto"/>
              <w:right w:val="single" w:sz="4" w:space="0" w:color="auto"/>
            </w:tcBorders>
            <w:hideMark/>
          </w:tcPr>
          <w:p w14:paraId="6FDE64E9"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Heneman, H.G. &amp; Judge, T.A.</w:t>
            </w:r>
          </w:p>
        </w:tc>
        <w:tc>
          <w:tcPr>
            <w:tcW w:w="720" w:type="dxa"/>
            <w:tcBorders>
              <w:top w:val="nil"/>
              <w:left w:val="nil"/>
              <w:bottom w:val="single" w:sz="4" w:space="0" w:color="auto"/>
              <w:right w:val="single" w:sz="4" w:space="0" w:color="auto"/>
            </w:tcBorders>
            <w:hideMark/>
          </w:tcPr>
          <w:p w14:paraId="41D22FDD"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2000</w:t>
            </w:r>
          </w:p>
        </w:tc>
        <w:tc>
          <w:tcPr>
            <w:tcW w:w="1710" w:type="dxa"/>
            <w:tcBorders>
              <w:top w:val="nil"/>
              <w:left w:val="nil"/>
              <w:bottom w:val="single" w:sz="4" w:space="0" w:color="auto"/>
              <w:right w:val="single" w:sz="4" w:space="0" w:color="auto"/>
            </w:tcBorders>
          </w:tcPr>
          <w:p w14:paraId="3782F672" w14:textId="4C041EAB" w:rsidR="00664D3A" w:rsidRPr="009E1F1D" w:rsidRDefault="00664D3A" w:rsidP="00664D3A">
            <w:pPr>
              <w:rPr>
                <w:rFonts w:ascii="Calibri" w:hAnsi="Calibri" w:cs="Calibri"/>
                <w:color w:val="000000"/>
                <w:sz w:val="22"/>
                <w:szCs w:val="22"/>
              </w:rPr>
            </w:pPr>
            <w:r w:rsidRPr="00F0534D">
              <w:rPr>
                <w:rFonts w:ascii="Calibri" w:hAnsi="Calibri" w:cs="Calibri"/>
                <w:color w:val="000000"/>
                <w:sz w:val="22"/>
                <w:szCs w:val="22"/>
              </w:rPr>
              <w:t>Equity; expectancy</w:t>
            </w:r>
          </w:p>
        </w:tc>
        <w:tc>
          <w:tcPr>
            <w:tcW w:w="1710" w:type="dxa"/>
            <w:tcBorders>
              <w:top w:val="nil"/>
              <w:left w:val="nil"/>
              <w:bottom w:val="single" w:sz="4" w:space="0" w:color="auto"/>
              <w:right w:val="single" w:sz="4" w:space="0" w:color="auto"/>
            </w:tcBorders>
            <w:vAlign w:val="center"/>
          </w:tcPr>
          <w:p w14:paraId="36353FFE" w14:textId="163B3D5B" w:rsidR="00664D3A" w:rsidRPr="009E1F1D" w:rsidRDefault="00664D3A" w:rsidP="00664D3A">
            <w:pPr>
              <w:rPr>
                <w:rFonts w:ascii="Calibri" w:hAnsi="Calibri" w:cs="Calibri"/>
                <w:color w:val="000000"/>
                <w:sz w:val="22"/>
                <w:szCs w:val="22"/>
              </w:rPr>
            </w:pPr>
            <w:r w:rsidRPr="00D0217E">
              <w:rPr>
                <w:color w:val="000000"/>
              </w:rPr>
              <w:t>Reward alignment</w:t>
            </w:r>
          </w:p>
        </w:tc>
        <w:tc>
          <w:tcPr>
            <w:tcW w:w="1980" w:type="dxa"/>
            <w:tcBorders>
              <w:top w:val="nil"/>
              <w:left w:val="nil"/>
              <w:bottom w:val="single" w:sz="4" w:space="0" w:color="auto"/>
              <w:right w:val="single" w:sz="4" w:space="0" w:color="auto"/>
            </w:tcBorders>
            <w:vAlign w:val="center"/>
          </w:tcPr>
          <w:p w14:paraId="33E4BF2D" w14:textId="79AD90EA" w:rsidR="00664D3A" w:rsidRPr="009E1F1D" w:rsidRDefault="00664D3A" w:rsidP="00664D3A">
            <w:pPr>
              <w:rPr>
                <w:rFonts w:ascii="Calibri" w:hAnsi="Calibri" w:cs="Calibri"/>
                <w:color w:val="000000"/>
                <w:sz w:val="22"/>
                <w:szCs w:val="22"/>
              </w:rPr>
            </w:pPr>
            <w:r w:rsidRPr="00D0217E">
              <w:rPr>
                <w:color w:val="000000"/>
              </w:rPr>
              <w:t>Compensation complexity</w:t>
            </w:r>
          </w:p>
        </w:tc>
        <w:tc>
          <w:tcPr>
            <w:tcW w:w="1260" w:type="dxa"/>
            <w:tcBorders>
              <w:top w:val="nil"/>
              <w:left w:val="nil"/>
              <w:bottom w:val="single" w:sz="4" w:space="0" w:color="auto"/>
              <w:right w:val="single" w:sz="4" w:space="0" w:color="auto"/>
            </w:tcBorders>
            <w:vAlign w:val="center"/>
          </w:tcPr>
          <w:p w14:paraId="6986FB42" w14:textId="129D5E71" w:rsidR="00664D3A" w:rsidRPr="009E1F1D" w:rsidRDefault="00664D3A" w:rsidP="00664D3A">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7A6211FA"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Perceptions of fairness and performance linkage influence attitudes</w:t>
            </w:r>
          </w:p>
        </w:tc>
        <w:tc>
          <w:tcPr>
            <w:tcW w:w="1440" w:type="dxa"/>
            <w:tcBorders>
              <w:top w:val="nil"/>
              <w:left w:val="nil"/>
              <w:bottom w:val="single" w:sz="4" w:space="0" w:color="auto"/>
              <w:right w:val="single" w:sz="4" w:space="0" w:color="auto"/>
            </w:tcBorders>
          </w:tcPr>
          <w:p w14:paraId="25E9F3E4" w14:textId="750AFEE8" w:rsidR="00664D3A" w:rsidRPr="009E1F1D" w:rsidRDefault="00664D3A" w:rsidP="00664D3A">
            <w:pPr>
              <w:rPr>
                <w:rFonts w:ascii="Calibri" w:hAnsi="Calibri" w:cs="Calibri"/>
                <w:color w:val="000000"/>
                <w:sz w:val="22"/>
                <w:szCs w:val="22"/>
              </w:rPr>
            </w:pPr>
            <w:r w:rsidRPr="004B62CF">
              <w:rPr>
                <w:rFonts w:ascii="Calibri" w:hAnsi="Calibri" w:cs="Calibri"/>
                <w:color w:val="000000"/>
                <w:sz w:val="22"/>
                <w:szCs w:val="22"/>
              </w:rPr>
              <w:t>Pay satisfaction, fairness</w:t>
            </w:r>
          </w:p>
        </w:tc>
        <w:tc>
          <w:tcPr>
            <w:tcW w:w="236" w:type="dxa"/>
            <w:tcBorders>
              <w:top w:val="nil"/>
              <w:left w:val="nil"/>
              <w:bottom w:val="single" w:sz="4" w:space="0" w:color="auto"/>
              <w:right w:val="single" w:sz="4" w:space="0" w:color="auto"/>
            </w:tcBorders>
          </w:tcPr>
          <w:p w14:paraId="1B3E4800" w14:textId="1951D7C6" w:rsidR="00664D3A" w:rsidRPr="009E1F1D" w:rsidRDefault="00664D3A" w:rsidP="00664D3A">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F5CD721" w14:textId="64DE1E7F" w:rsidR="00664D3A" w:rsidRPr="009E1F1D" w:rsidRDefault="00664D3A" w:rsidP="00664D3A">
            <w:pPr>
              <w:rPr>
                <w:rFonts w:ascii="Calibri" w:hAnsi="Calibri" w:cs="Calibri"/>
                <w:color w:val="000000"/>
                <w:sz w:val="22"/>
                <w:szCs w:val="22"/>
              </w:rPr>
            </w:pPr>
          </w:p>
        </w:tc>
      </w:tr>
      <w:tr w:rsidR="002A58DC" w:rsidRPr="009E1F1D" w14:paraId="6501C4D0"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9D7F401" w14:textId="77777777" w:rsidR="00664D3A" w:rsidRPr="009E1F1D" w:rsidRDefault="00664D3A" w:rsidP="00664D3A">
            <w:pPr>
              <w:jc w:val="right"/>
              <w:rPr>
                <w:rFonts w:ascii="Calibri" w:hAnsi="Calibri" w:cs="Calibri"/>
                <w:color w:val="000000"/>
                <w:sz w:val="22"/>
                <w:szCs w:val="22"/>
              </w:rPr>
            </w:pPr>
            <w:r w:rsidRPr="009E1F1D">
              <w:rPr>
                <w:rFonts w:ascii="Calibri" w:hAnsi="Calibri" w:cs="Calibri"/>
                <w:color w:val="000000"/>
                <w:sz w:val="22"/>
                <w:szCs w:val="22"/>
              </w:rPr>
              <w:t>35</w:t>
            </w:r>
          </w:p>
        </w:tc>
        <w:tc>
          <w:tcPr>
            <w:tcW w:w="1260" w:type="dxa"/>
            <w:tcBorders>
              <w:top w:val="nil"/>
              <w:left w:val="nil"/>
              <w:bottom w:val="single" w:sz="4" w:space="0" w:color="auto"/>
              <w:right w:val="single" w:sz="4" w:space="0" w:color="auto"/>
            </w:tcBorders>
            <w:hideMark/>
          </w:tcPr>
          <w:p w14:paraId="7CB8A938"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Compensation and Benefits: The Psychological Effects of Pay</w:t>
            </w:r>
          </w:p>
        </w:tc>
        <w:tc>
          <w:tcPr>
            <w:tcW w:w="1530" w:type="dxa"/>
            <w:tcBorders>
              <w:top w:val="nil"/>
              <w:left w:val="nil"/>
              <w:bottom w:val="single" w:sz="4" w:space="0" w:color="auto"/>
              <w:right w:val="single" w:sz="4" w:space="0" w:color="auto"/>
            </w:tcBorders>
            <w:hideMark/>
          </w:tcPr>
          <w:p w14:paraId="5340C7E6"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Rynes, S.L., Gerhart, B. &amp; Minette, K.A.</w:t>
            </w:r>
          </w:p>
        </w:tc>
        <w:tc>
          <w:tcPr>
            <w:tcW w:w="720" w:type="dxa"/>
            <w:tcBorders>
              <w:top w:val="nil"/>
              <w:left w:val="nil"/>
              <w:bottom w:val="single" w:sz="4" w:space="0" w:color="auto"/>
              <w:right w:val="single" w:sz="4" w:space="0" w:color="auto"/>
            </w:tcBorders>
            <w:hideMark/>
          </w:tcPr>
          <w:p w14:paraId="77419473"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2004</w:t>
            </w:r>
          </w:p>
        </w:tc>
        <w:tc>
          <w:tcPr>
            <w:tcW w:w="1710" w:type="dxa"/>
            <w:tcBorders>
              <w:top w:val="nil"/>
              <w:left w:val="nil"/>
              <w:bottom w:val="single" w:sz="4" w:space="0" w:color="auto"/>
              <w:right w:val="single" w:sz="4" w:space="0" w:color="auto"/>
            </w:tcBorders>
          </w:tcPr>
          <w:p w14:paraId="29E8EE13" w14:textId="638259CB" w:rsidR="00664D3A" w:rsidRPr="009E1F1D" w:rsidRDefault="00664D3A" w:rsidP="00664D3A">
            <w:pPr>
              <w:rPr>
                <w:rFonts w:ascii="Calibri" w:hAnsi="Calibri" w:cs="Calibri"/>
                <w:color w:val="000000"/>
                <w:sz w:val="22"/>
                <w:szCs w:val="22"/>
              </w:rPr>
            </w:pPr>
            <w:r w:rsidRPr="00F0534D">
              <w:rPr>
                <w:rFonts w:ascii="Calibri" w:hAnsi="Calibri" w:cs="Calibri"/>
                <w:color w:val="000000"/>
                <w:sz w:val="22"/>
                <w:szCs w:val="22"/>
              </w:rPr>
              <w:t>Motivation theories</w:t>
            </w:r>
          </w:p>
        </w:tc>
        <w:tc>
          <w:tcPr>
            <w:tcW w:w="1710" w:type="dxa"/>
            <w:tcBorders>
              <w:top w:val="nil"/>
              <w:left w:val="nil"/>
              <w:bottom w:val="single" w:sz="4" w:space="0" w:color="auto"/>
              <w:right w:val="single" w:sz="4" w:space="0" w:color="auto"/>
            </w:tcBorders>
            <w:vAlign w:val="center"/>
          </w:tcPr>
          <w:p w14:paraId="680210C3" w14:textId="355BAF7F" w:rsidR="00664D3A" w:rsidRPr="009E1F1D" w:rsidRDefault="00664D3A" w:rsidP="00664D3A">
            <w:pPr>
              <w:rPr>
                <w:rFonts w:ascii="Calibri" w:hAnsi="Calibri" w:cs="Calibri"/>
                <w:color w:val="000000"/>
                <w:sz w:val="22"/>
                <w:szCs w:val="22"/>
              </w:rPr>
            </w:pPr>
            <w:r w:rsidRPr="00D0217E">
              <w:rPr>
                <w:color w:val="000000"/>
              </w:rPr>
              <w:t>Pay motivation</w:t>
            </w:r>
          </w:p>
        </w:tc>
        <w:tc>
          <w:tcPr>
            <w:tcW w:w="1980" w:type="dxa"/>
            <w:tcBorders>
              <w:top w:val="nil"/>
              <w:left w:val="nil"/>
              <w:bottom w:val="single" w:sz="4" w:space="0" w:color="auto"/>
              <w:right w:val="single" w:sz="4" w:space="0" w:color="auto"/>
            </w:tcBorders>
            <w:vAlign w:val="center"/>
          </w:tcPr>
          <w:p w14:paraId="3249FC15" w14:textId="19685F53" w:rsidR="00664D3A" w:rsidRPr="009E1F1D" w:rsidRDefault="00664D3A" w:rsidP="00664D3A">
            <w:pPr>
              <w:rPr>
                <w:rFonts w:ascii="Calibri" w:hAnsi="Calibri" w:cs="Calibri"/>
                <w:color w:val="000000"/>
                <w:sz w:val="22"/>
                <w:szCs w:val="22"/>
              </w:rPr>
            </w:pPr>
            <w:r w:rsidRPr="00D0217E">
              <w:rPr>
                <w:color w:val="000000"/>
              </w:rPr>
              <w:t>Pay discrepancies</w:t>
            </w:r>
          </w:p>
        </w:tc>
        <w:tc>
          <w:tcPr>
            <w:tcW w:w="1260" w:type="dxa"/>
            <w:tcBorders>
              <w:top w:val="nil"/>
              <w:left w:val="nil"/>
              <w:bottom w:val="single" w:sz="4" w:space="0" w:color="auto"/>
              <w:right w:val="single" w:sz="4" w:space="0" w:color="auto"/>
            </w:tcBorders>
            <w:vAlign w:val="center"/>
          </w:tcPr>
          <w:p w14:paraId="5B58730A" w14:textId="541DB1DE" w:rsidR="00664D3A" w:rsidRPr="009E1F1D" w:rsidRDefault="00664D3A" w:rsidP="00664D3A">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6B42366C" w14:textId="77777777" w:rsidR="00664D3A" w:rsidRPr="009E1F1D" w:rsidRDefault="00664D3A" w:rsidP="00664D3A">
            <w:pPr>
              <w:rPr>
                <w:rFonts w:ascii="Calibri" w:hAnsi="Calibri" w:cs="Calibri"/>
                <w:color w:val="000000"/>
                <w:sz w:val="22"/>
                <w:szCs w:val="22"/>
              </w:rPr>
            </w:pPr>
            <w:r w:rsidRPr="009E1F1D">
              <w:rPr>
                <w:rFonts w:ascii="Calibri" w:hAnsi="Calibri" w:cs="Calibri"/>
                <w:color w:val="000000"/>
                <w:sz w:val="22"/>
                <w:szCs w:val="22"/>
              </w:rPr>
              <w:t>Employees often value pay more than traditional motivation discussions imply</w:t>
            </w:r>
          </w:p>
        </w:tc>
        <w:tc>
          <w:tcPr>
            <w:tcW w:w="1440" w:type="dxa"/>
            <w:tcBorders>
              <w:top w:val="nil"/>
              <w:left w:val="nil"/>
              <w:bottom w:val="single" w:sz="4" w:space="0" w:color="auto"/>
              <w:right w:val="single" w:sz="4" w:space="0" w:color="auto"/>
            </w:tcBorders>
          </w:tcPr>
          <w:p w14:paraId="2C9792EB" w14:textId="60C9A713" w:rsidR="00664D3A" w:rsidRPr="009E1F1D" w:rsidRDefault="00EA2AAC" w:rsidP="00664D3A">
            <w:pPr>
              <w:rPr>
                <w:rFonts w:ascii="Calibri" w:hAnsi="Calibri" w:cs="Calibri"/>
                <w:color w:val="000000"/>
                <w:sz w:val="22"/>
                <w:szCs w:val="22"/>
              </w:rPr>
            </w:pPr>
            <w:r w:rsidRPr="004B62CF">
              <w:rPr>
                <w:rFonts w:ascii="Calibri" w:hAnsi="Calibri" w:cs="Calibri"/>
                <w:color w:val="000000"/>
                <w:sz w:val="22"/>
                <w:szCs w:val="22"/>
              </w:rPr>
              <w:t>Pay importance, motivation</w:t>
            </w:r>
          </w:p>
        </w:tc>
        <w:tc>
          <w:tcPr>
            <w:tcW w:w="236" w:type="dxa"/>
            <w:tcBorders>
              <w:top w:val="nil"/>
              <w:left w:val="nil"/>
              <w:bottom w:val="single" w:sz="4" w:space="0" w:color="auto"/>
              <w:right w:val="single" w:sz="4" w:space="0" w:color="auto"/>
            </w:tcBorders>
          </w:tcPr>
          <w:p w14:paraId="4DEC113E" w14:textId="73CF8D82" w:rsidR="00664D3A" w:rsidRPr="009E1F1D" w:rsidRDefault="00664D3A" w:rsidP="00664D3A">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45E697D" w14:textId="3844D9CF" w:rsidR="00664D3A" w:rsidRPr="009E1F1D" w:rsidRDefault="00664D3A" w:rsidP="00664D3A">
            <w:pPr>
              <w:rPr>
                <w:rFonts w:ascii="Calibri" w:hAnsi="Calibri" w:cs="Calibri"/>
                <w:color w:val="000000"/>
                <w:sz w:val="22"/>
                <w:szCs w:val="22"/>
              </w:rPr>
            </w:pPr>
          </w:p>
        </w:tc>
      </w:tr>
      <w:tr w:rsidR="002A58DC" w:rsidRPr="009E1F1D" w14:paraId="4BBE2B88"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FE848B1"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36</w:t>
            </w:r>
          </w:p>
        </w:tc>
        <w:tc>
          <w:tcPr>
            <w:tcW w:w="1260" w:type="dxa"/>
            <w:tcBorders>
              <w:top w:val="nil"/>
              <w:left w:val="nil"/>
              <w:bottom w:val="single" w:sz="4" w:space="0" w:color="auto"/>
              <w:right w:val="single" w:sz="4" w:space="0" w:color="auto"/>
            </w:tcBorders>
            <w:hideMark/>
          </w:tcPr>
          <w:p w14:paraId="5D395BB5"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The Motivational Impact of a Compensat</w:t>
            </w:r>
            <w:r w:rsidRPr="009E1F1D">
              <w:rPr>
                <w:rFonts w:ascii="Calibri" w:hAnsi="Calibri" w:cs="Calibri"/>
                <w:color w:val="000000"/>
                <w:sz w:val="22"/>
                <w:szCs w:val="22"/>
              </w:rPr>
              <w:lastRenderedPageBreak/>
              <w:t>ion System on Employee Performance</w:t>
            </w:r>
          </w:p>
        </w:tc>
        <w:tc>
          <w:tcPr>
            <w:tcW w:w="1530" w:type="dxa"/>
            <w:tcBorders>
              <w:top w:val="nil"/>
              <w:left w:val="nil"/>
              <w:bottom w:val="single" w:sz="4" w:space="0" w:color="auto"/>
              <w:right w:val="single" w:sz="4" w:space="0" w:color="auto"/>
            </w:tcBorders>
            <w:hideMark/>
          </w:tcPr>
          <w:p w14:paraId="7C800B70"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lastRenderedPageBreak/>
              <w:t>Schwab, D.P. &amp; Dyer, L.D.</w:t>
            </w:r>
          </w:p>
        </w:tc>
        <w:tc>
          <w:tcPr>
            <w:tcW w:w="720" w:type="dxa"/>
            <w:tcBorders>
              <w:top w:val="nil"/>
              <w:left w:val="nil"/>
              <w:bottom w:val="single" w:sz="4" w:space="0" w:color="auto"/>
              <w:right w:val="single" w:sz="4" w:space="0" w:color="auto"/>
            </w:tcBorders>
            <w:hideMark/>
          </w:tcPr>
          <w:p w14:paraId="5743BBFA"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1973</w:t>
            </w:r>
          </w:p>
        </w:tc>
        <w:tc>
          <w:tcPr>
            <w:tcW w:w="1710" w:type="dxa"/>
            <w:tcBorders>
              <w:top w:val="nil"/>
              <w:left w:val="nil"/>
              <w:bottom w:val="single" w:sz="4" w:space="0" w:color="auto"/>
              <w:right w:val="single" w:sz="4" w:space="0" w:color="auto"/>
            </w:tcBorders>
          </w:tcPr>
          <w:p w14:paraId="5C8F3C10" w14:textId="37949D94" w:rsidR="002C65C3" w:rsidRPr="009E1F1D" w:rsidRDefault="002C65C3" w:rsidP="002C65C3">
            <w:pPr>
              <w:rPr>
                <w:rFonts w:ascii="Calibri" w:hAnsi="Calibri" w:cs="Calibri"/>
                <w:color w:val="000000"/>
                <w:sz w:val="22"/>
                <w:szCs w:val="22"/>
              </w:rPr>
            </w:pPr>
            <w:r w:rsidRPr="009D16FB">
              <w:rPr>
                <w:rFonts w:ascii="Calibri" w:hAnsi="Calibri" w:cs="Calibri"/>
                <w:color w:val="000000"/>
                <w:sz w:val="22"/>
                <w:szCs w:val="22"/>
              </w:rPr>
              <w:t>Expectancy Theory</w:t>
            </w:r>
          </w:p>
        </w:tc>
        <w:tc>
          <w:tcPr>
            <w:tcW w:w="1710" w:type="dxa"/>
            <w:tcBorders>
              <w:top w:val="nil"/>
              <w:left w:val="nil"/>
              <w:bottom w:val="single" w:sz="4" w:space="0" w:color="auto"/>
              <w:right w:val="single" w:sz="4" w:space="0" w:color="auto"/>
            </w:tcBorders>
            <w:vAlign w:val="center"/>
          </w:tcPr>
          <w:p w14:paraId="7E000E45" w14:textId="1A9B8B09" w:rsidR="002C65C3" w:rsidRPr="009E1F1D" w:rsidRDefault="002C65C3" w:rsidP="002C65C3">
            <w:pPr>
              <w:rPr>
                <w:rFonts w:ascii="Calibri" w:hAnsi="Calibri" w:cs="Calibri"/>
                <w:color w:val="000000"/>
                <w:sz w:val="22"/>
                <w:szCs w:val="22"/>
              </w:rPr>
            </w:pPr>
            <w:r w:rsidRPr="00D0217E">
              <w:rPr>
                <w:color w:val="000000"/>
              </w:rPr>
              <w:t>Performance motivation</w:t>
            </w:r>
          </w:p>
        </w:tc>
        <w:tc>
          <w:tcPr>
            <w:tcW w:w="1980" w:type="dxa"/>
            <w:tcBorders>
              <w:top w:val="nil"/>
              <w:left w:val="nil"/>
              <w:bottom w:val="single" w:sz="4" w:space="0" w:color="auto"/>
              <w:right w:val="single" w:sz="4" w:space="0" w:color="auto"/>
            </w:tcBorders>
            <w:vAlign w:val="center"/>
          </w:tcPr>
          <w:p w14:paraId="633072D0" w14:textId="5C318573" w:rsidR="002C65C3" w:rsidRPr="009E1F1D" w:rsidRDefault="002C65C3" w:rsidP="002C65C3">
            <w:pPr>
              <w:rPr>
                <w:rFonts w:ascii="Calibri" w:hAnsi="Calibri" w:cs="Calibri"/>
                <w:color w:val="000000"/>
                <w:sz w:val="22"/>
                <w:szCs w:val="22"/>
              </w:rPr>
            </w:pPr>
            <w:r w:rsidRPr="00D0217E">
              <w:rPr>
                <w:color w:val="000000"/>
              </w:rPr>
              <w:t>Reward dependence</w:t>
            </w:r>
          </w:p>
        </w:tc>
        <w:tc>
          <w:tcPr>
            <w:tcW w:w="1260" w:type="dxa"/>
            <w:tcBorders>
              <w:top w:val="nil"/>
              <w:left w:val="nil"/>
              <w:bottom w:val="single" w:sz="4" w:space="0" w:color="auto"/>
              <w:right w:val="single" w:sz="4" w:space="0" w:color="auto"/>
            </w:tcBorders>
            <w:vAlign w:val="center"/>
          </w:tcPr>
          <w:p w14:paraId="54B1783E" w14:textId="72D97AEB" w:rsidR="002C65C3" w:rsidRPr="009E1F1D" w:rsidRDefault="002C65C3" w:rsidP="002C65C3">
            <w:pPr>
              <w:rPr>
                <w:rFonts w:ascii="Calibri" w:hAnsi="Calibri" w:cs="Calibri"/>
                <w:color w:val="000000"/>
                <w:sz w:val="22"/>
                <w:szCs w:val="22"/>
              </w:rPr>
            </w:pPr>
            <w:r w:rsidRPr="00D0217E">
              <w:rPr>
                <w:color w:val="000000"/>
              </w:rPr>
              <w:t>Employee performance</w:t>
            </w:r>
          </w:p>
        </w:tc>
        <w:tc>
          <w:tcPr>
            <w:tcW w:w="1530" w:type="dxa"/>
            <w:tcBorders>
              <w:top w:val="nil"/>
              <w:left w:val="nil"/>
              <w:bottom w:val="single" w:sz="4" w:space="0" w:color="auto"/>
              <w:right w:val="single" w:sz="4" w:space="0" w:color="auto"/>
            </w:tcBorders>
            <w:hideMark/>
          </w:tcPr>
          <w:p w14:paraId="375EC4D5"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 xml:space="preserve">Pay valence and expectancy were related </w:t>
            </w:r>
            <w:r w:rsidRPr="009E1F1D">
              <w:rPr>
                <w:rFonts w:ascii="Calibri" w:hAnsi="Calibri" w:cs="Calibri"/>
                <w:color w:val="000000"/>
                <w:sz w:val="22"/>
                <w:szCs w:val="22"/>
              </w:rPr>
              <w:lastRenderedPageBreak/>
              <w:t>to performance</w:t>
            </w:r>
          </w:p>
        </w:tc>
        <w:tc>
          <w:tcPr>
            <w:tcW w:w="1440" w:type="dxa"/>
            <w:tcBorders>
              <w:top w:val="nil"/>
              <w:left w:val="nil"/>
              <w:bottom w:val="single" w:sz="4" w:space="0" w:color="auto"/>
              <w:right w:val="single" w:sz="4" w:space="0" w:color="auto"/>
            </w:tcBorders>
          </w:tcPr>
          <w:p w14:paraId="47BED88A" w14:textId="37FE1360" w:rsidR="002C65C3" w:rsidRPr="009E1F1D" w:rsidRDefault="002C65C3" w:rsidP="002C65C3">
            <w:pPr>
              <w:rPr>
                <w:rFonts w:ascii="Calibri" w:hAnsi="Calibri" w:cs="Calibri"/>
                <w:color w:val="000000"/>
                <w:sz w:val="22"/>
                <w:szCs w:val="22"/>
              </w:rPr>
            </w:pPr>
            <w:r w:rsidRPr="004B62CF">
              <w:rPr>
                <w:rFonts w:ascii="Calibri" w:hAnsi="Calibri" w:cs="Calibri"/>
                <w:color w:val="000000"/>
                <w:sz w:val="22"/>
                <w:szCs w:val="22"/>
              </w:rPr>
              <w:lastRenderedPageBreak/>
              <w:t>Expectancy, incentive pay</w:t>
            </w:r>
          </w:p>
        </w:tc>
        <w:tc>
          <w:tcPr>
            <w:tcW w:w="236" w:type="dxa"/>
            <w:tcBorders>
              <w:top w:val="nil"/>
              <w:left w:val="nil"/>
              <w:bottom w:val="single" w:sz="4" w:space="0" w:color="auto"/>
              <w:right w:val="single" w:sz="4" w:space="0" w:color="auto"/>
            </w:tcBorders>
          </w:tcPr>
          <w:p w14:paraId="7F85F853" w14:textId="7C74B879"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1949252" w14:textId="4464B4B6" w:rsidR="002C65C3" w:rsidRPr="009E1F1D" w:rsidRDefault="002C65C3" w:rsidP="002C65C3">
            <w:pPr>
              <w:rPr>
                <w:rFonts w:ascii="Calibri" w:hAnsi="Calibri" w:cs="Calibri"/>
                <w:color w:val="000000"/>
                <w:sz w:val="22"/>
                <w:szCs w:val="22"/>
              </w:rPr>
            </w:pPr>
          </w:p>
        </w:tc>
      </w:tr>
      <w:tr w:rsidR="002A58DC" w:rsidRPr="009E1F1D" w14:paraId="2B65011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998CEC8"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37</w:t>
            </w:r>
          </w:p>
        </w:tc>
        <w:tc>
          <w:tcPr>
            <w:tcW w:w="1260" w:type="dxa"/>
            <w:tcBorders>
              <w:top w:val="nil"/>
              <w:left w:val="nil"/>
              <w:bottom w:val="single" w:sz="4" w:space="0" w:color="auto"/>
              <w:right w:val="single" w:sz="4" w:space="0" w:color="auto"/>
            </w:tcBorders>
            <w:hideMark/>
          </w:tcPr>
          <w:p w14:paraId="5641A858"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Work Motivation: History, Theory, Research, and Practice</w:t>
            </w:r>
          </w:p>
        </w:tc>
        <w:tc>
          <w:tcPr>
            <w:tcW w:w="1530" w:type="dxa"/>
            <w:tcBorders>
              <w:top w:val="nil"/>
              <w:left w:val="nil"/>
              <w:bottom w:val="single" w:sz="4" w:space="0" w:color="auto"/>
              <w:right w:val="single" w:sz="4" w:space="0" w:color="auto"/>
            </w:tcBorders>
            <w:hideMark/>
          </w:tcPr>
          <w:p w14:paraId="2FE42212"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Pinder, C.C.</w:t>
            </w:r>
          </w:p>
        </w:tc>
        <w:tc>
          <w:tcPr>
            <w:tcW w:w="720" w:type="dxa"/>
            <w:tcBorders>
              <w:top w:val="nil"/>
              <w:left w:val="nil"/>
              <w:bottom w:val="single" w:sz="4" w:space="0" w:color="auto"/>
              <w:right w:val="single" w:sz="4" w:space="0" w:color="auto"/>
            </w:tcBorders>
            <w:hideMark/>
          </w:tcPr>
          <w:p w14:paraId="5DFBC7CE"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2014</w:t>
            </w:r>
          </w:p>
        </w:tc>
        <w:tc>
          <w:tcPr>
            <w:tcW w:w="1710" w:type="dxa"/>
            <w:tcBorders>
              <w:top w:val="nil"/>
              <w:left w:val="nil"/>
              <w:bottom w:val="single" w:sz="4" w:space="0" w:color="auto"/>
              <w:right w:val="single" w:sz="4" w:space="0" w:color="auto"/>
            </w:tcBorders>
          </w:tcPr>
          <w:p w14:paraId="1F2D1DAD" w14:textId="7201323F"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Work motivation theories</w:t>
            </w:r>
          </w:p>
        </w:tc>
        <w:tc>
          <w:tcPr>
            <w:tcW w:w="1710" w:type="dxa"/>
            <w:tcBorders>
              <w:top w:val="nil"/>
              <w:left w:val="nil"/>
              <w:bottom w:val="single" w:sz="4" w:space="0" w:color="auto"/>
              <w:right w:val="single" w:sz="4" w:space="0" w:color="auto"/>
            </w:tcBorders>
            <w:vAlign w:val="center"/>
          </w:tcPr>
          <w:p w14:paraId="20D848A5" w14:textId="4EBFE525" w:rsidR="002C65C3" w:rsidRPr="009E1F1D" w:rsidRDefault="002C65C3" w:rsidP="002C65C3">
            <w:pPr>
              <w:rPr>
                <w:rFonts w:ascii="Calibri" w:hAnsi="Calibri" w:cs="Calibri"/>
                <w:color w:val="000000"/>
                <w:sz w:val="22"/>
                <w:szCs w:val="22"/>
              </w:rPr>
            </w:pPr>
            <w:r w:rsidRPr="00D0217E">
              <w:rPr>
                <w:color w:val="000000"/>
              </w:rPr>
              <w:t>Motivational insight</w:t>
            </w:r>
          </w:p>
        </w:tc>
        <w:tc>
          <w:tcPr>
            <w:tcW w:w="1980" w:type="dxa"/>
            <w:tcBorders>
              <w:top w:val="nil"/>
              <w:left w:val="nil"/>
              <w:bottom w:val="single" w:sz="4" w:space="0" w:color="auto"/>
              <w:right w:val="single" w:sz="4" w:space="0" w:color="auto"/>
            </w:tcBorders>
            <w:vAlign w:val="center"/>
          </w:tcPr>
          <w:p w14:paraId="2467B0C5" w14:textId="32C69349" w:rsidR="002C65C3" w:rsidRPr="009E1F1D" w:rsidRDefault="002C65C3" w:rsidP="002C65C3">
            <w:pPr>
              <w:rPr>
                <w:rFonts w:ascii="Calibri" w:hAnsi="Calibri" w:cs="Calibri"/>
                <w:color w:val="000000"/>
                <w:sz w:val="22"/>
                <w:szCs w:val="22"/>
              </w:rPr>
            </w:pPr>
            <w:r w:rsidRPr="00D0217E">
              <w:rPr>
                <w:color w:val="000000"/>
              </w:rPr>
              <w:t>Context dependence</w:t>
            </w:r>
          </w:p>
        </w:tc>
        <w:tc>
          <w:tcPr>
            <w:tcW w:w="1260" w:type="dxa"/>
            <w:tcBorders>
              <w:top w:val="nil"/>
              <w:left w:val="nil"/>
              <w:bottom w:val="single" w:sz="4" w:space="0" w:color="auto"/>
              <w:right w:val="single" w:sz="4" w:space="0" w:color="auto"/>
            </w:tcBorders>
            <w:vAlign w:val="center"/>
          </w:tcPr>
          <w:p w14:paraId="38F52C57" w14:textId="070D1F01" w:rsidR="002C65C3" w:rsidRPr="009E1F1D" w:rsidRDefault="002C65C3" w:rsidP="002C65C3">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30B2D6FB"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Work motivation reflects psychological and contextual processes</w:t>
            </w:r>
          </w:p>
        </w:tc>
        <w:tc>
          <w:tcPr>
            <w:tcW w:w="1440" w:type="dxa"/>
            <w:tcBorders>
              <w:top w:val="nil"/>
              <w:left w:val="nil"/>
              <w:bottom w:val="single" w:sz="4" w:space="0" w:color="auto"/>
              <w:right w:val="single" w:sz="4" w:space="0" w:color="auto"/>
            </w:tcBorders>
          </w:tcPr>
          <w:p w14:paraId="643669BC" w14:textId="7F3334DB" w:rsidR="002C65C3" w:rsidRPr="009E1F1D" w:rsidRDefault="00AE7A86" w:rsidP="002C65C3">
            <w:pPr>
              <w:rPr>
                <w:rFonts w:ascii="Calibri" w:hAnsi="Calibri" w:cs="Calibri"/>
                <w:color w:val="000000"/>
                <w:sz w:val="22"/>
                <w:szCs w:val="22"/>
              </w:rPr>
            </w:pPr>
            <w:r w:rsidRPr="004B62CF">
              <w:rPr>
                <w:rFonts w:ascii="Calibri" w:hAnsi="Calibri" w:cs="Calibri"/>
                <w:color w:val="000000"/>
                <w:sz w:val="22"/>
                <w:szCs w:val="22"/>
              </w:rPr>
              <w:t>Work motivation</w:t>
            </w:r>
          </w:p>
        </w:tc>
        <w:tc>
          <w:tcPr>
            <w:tcW w:w="236" w:type="dxa"/>
            <w:tcBorders>
              <w:top w:val="nil"/>
              <w:left w:val="nil"/>
              <w:bottom w:val="single" w:sz="4" w:space="0" w:color="auto"/>
              <w:right w:val="single" w:sz="4" w:space="0" w:color="auto"/>
            </w:tcBorders>
          </w:tcPr>
          <w:p w14:paraId="168341EB" w14:textId="24D5EABA"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4848812" w14:textId="66759424" w:rsidR="002C65C3" w:rsidRPr="009E1F1D" w:rsidRDefault="002C65C3" w:rsidP="002C65C3">
            <w:pPr>
              <w:rPr>
                <w:rFonts w:ascii="Calibri" w:hAnsi="Calibri" w:cs="Calibri"/>
                <w:color w:val="000000"/>
                <w:sz w:val="22"/>
                <w:szCs w:val="22"/>
              </w:rPr>
            </w:pPr>
          </w:p>
        </w:tc>
      </w:tr>
      <w:tr w:rsidR="002A58DC" w:rsidRPr="009E1F1D" w14:paraId="5834F416"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CE8A8EC"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38</w:t>
            </w:r>
          </w:p>
        </w:tc>
        <w:tc>
          <w:tcPr>
            <w:tcW w:w="1260" w:type="dxa"/>
            <w:tcBorders>
              <w:top w:val="nil"/>
              <w:left w:val="nil"/>
              <w:bottom w:val="single" w:sz="4" w:space="0" w:color="auto"/>
              <w:right w:val="single" w:sz="4" w:space="0" w:color="auto"/>
            </w:tcBorders>
            <w:hideMark/>
          </w:tcPr>
          <w:p w14:paraId="64A55B72"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Motivation in Organizations</w:t>
            </w:r>
          </w:p>
        </w:tc>
        <w:tc>
          <w:tcPr>
            <w:tcW w:w="1530" w:type="dxa"/>
            <w:tcBorders>
              <w:top w:val="nil"/>
              <w:left w:val="nil"/>
              <w:bottom w:val="single" w:sz="4" w:space="0" w:color="auto"/>
              <w:right w:val="single" w:sz="4" w:space="0" w:color="auto"/>
            </w:tcBorders>
            <w:hideMark/>
          </w:tcPr>
          <w:p w14:paraId="36B20BF7"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Kanfer, R., Frese, M. &amp; Johnson, R.E.</w:t>
            </w:r>
          </w:p>
        </w:tc>
        <w:tc>
          <w:tcPr>
            <w:tcW w:w="720" w:type="dxa"/>
            <w:tcBorders>
              <w:top w:val="nil"/>
              <w:left w:val="nil"/>
              <w:bottom w:val="single" w:sz="4" w:space="0" w:color="auto"/>
              <w:right w:val="single" w:sz="4" w:space="0" w:color="auto"/>
            </w:tcBorders>
            <w:hideMark/>
          </w:tcPr>
          <w:p w14:paraId="6781DD9E"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2017</w:t>
            </w:r>
          </w:p>
        </w:tc>
        <w:tc>
          <w:tcPr>
            <w:tcW w:w="1710" w:type="dxa"/>
            <w:tcBorders>
              <w:top w:val="nil"/>
              <w:left w:val="nil"/>
              <w:bottom w:val="single" w:sz="4" w:space="0" w:color="auto"/>
              <w:right w:val="single" w:sz="4" w:space="0" w:color="auto"/>
            </w:tcBorders>
          </w:tcPr>
          <w:p w14:paraId="7C1FDCE6" w14:textId="52D631F3"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Motivation theory</w:t>
            </w:r>
          </w:p>
        </w:tc>
        <w:tc>
          <w:tcPr>
            <w:tcW w:w="1710" w:type="dxa"/>
            <w:tcBorders>
              <w:top w:val="nil"/>
              <w:left w:val="nil"/>
              <w:bottom w:val="single" w:sz="4" w:space="0" w:color="auto"/>
              <w:right w:val="single" w:sz="4" w:space="0" w:color="auto"/>
            </w:tcBorders>
            <w:vAlign w:val="center"/>
          </w:tcPr>
          <w:p w14:paraId="6D6A4FF9" w14:textId="07978D5D" w:rsidR="002C65C3" w:rsidRPr="009E1F1D" w:rsidRDefault="002C65C3" w:rsidP="002C65C3">
            <w:pPr>
              <w:rPr>
                <w:rFonts w:ascii="Calibri" w:hAnsi="Calibri" w:cs="Calibri"/>
                <w:color w:val="000000"/>
                <w:sz w:val="22"/>
                <w:szCs w:val="22"/>
              </w:rPr>
            </w:pPr>
            <w:r w:rsidRPr="00D0217E">
              <w:rPr>
                <w:color w:val="000000"/>
              </w:rPr>
              <w:t>Motivation understanding</w:t>
            </w:r>
          </w:p>
        </w:tc>
        <w:tc>
          <w:tcPr>
            <w:tcW w:w="1980" w:type="dxa"/>
            <w:tcBorders>
              <w:top w:val="nil"/>
              <w:left w:val="nil"/>
              <w:bottom w:val="single" w:sz="4" w:space="0" w:color="auto"/>
              <w:right w:val="single" w:sz="4" w:space="0" w:color="auto"/>
            </w:tcBorders>
            <w:vAlign w:val="center"/>
          </w:tcPr>
          <w:p w14:paraId="228AFD5E" w14:textId="5C16DD4F" w:rsidR="002C65C3" w:rsidRPr="009E1F1D" w:rsidRDefault="002C65C3" w:rsidP="002C65C3">
            <w:pPr>
              <w:rPr>
                <w:rFonts w:ascii="Calibri" w:hAnsi="Calibri" w:cs="Calibri"/>
                <w:color w:val="000000"/>
                <w:sz w:val="22"/>
                <w:szCs w:val="22"/>
              </w:rPr>
            </w:pPr>
            <w:r w:rsidRPr="00D0217E">
              <w:rPr>
                <w:color w:val="000000"/>
              </w:rPr>
              <w:t>Individual differences</w:t>
            </w:r>
          </w:p>
        </w:tc>
        <w:tc>
          <w:tcPr>
            <w:tcW w:w="1260" w:type="dxa"/>
            <w:tcBorders>
              <w:top w:val="nil"/>
              <w:left w:val="nil"/>
              <w:bottom w:val="single" w:sz="4" w:space="0" w:color="auto"/>
              <w:right w:val="single" w:sz="4" w:space="0" w:color="auto"/>
            </w:tcBorders>
            <w:vAlign w:val="center"/>
          </w:tcPr>
          <w:p w14:paraId="4926C701" w14:textId="74350633" w:rsidR="002C65C3" w:rsidRPr="009E1F1D" w:rsidRDefault="002C65C3" w:rsidP="002C65C3">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6FAD529E"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Motivation is dynamic and affected by goals, self-regulation and context</w:t>
            </w:r>
          </w:p>
        </w:tc>
        <w:tc>
          <w:tcPr>
            <w:tcW w:w="1440" w:type="dxa"/>
            <w:tcBorders>
              <w:top w:val="nil"/>
              <w:left w:val="nil"/>
              <w:bottom w:val="single" w:sz="4" w:space="0" w:color="auto"/>
              <w:right w:val="single" w:sz="4" w:space="0" w:color="auto"/>
            </w:tcBorders>
          </w:tcPr>
          <w:p w14:paraId="3A70EFF4" w14:textId="6E8CEEE8" w:rsidR="002C65C3" w:rsidRPr="009E1F1D" w:rsidRDefault="00E44E7B" w:rsidP="002C65C3">
            <w:pPr>
              <w:rPr>
                <w:rFonts w:ascii="Calibri" w:hAnsi="Calibri" w:cs="Calibri"/>
                <w:color w:val="000000"/>
                <w:sz w:val="22"/>
                <w:szCs w:val="22"/>
              </w:rPr>
            </w:pPr>
            <w:r w:rsidRPr="004B62CF">
              <w:rPr>
                <w:rFonts w:ascii="Calibri" w:hAnsi="Calibri" w:cs="Calibri"/>
                <w:color w:val="000000"/>
                <w:sz w:val="22"/>
                <w:szCs w:val="22"/>
              </w:rPr>
              <w:t>Motivation, performance</w:t>
            </w:r>
          </w:p>
        </w:tc>
        <w:tc>
          <w:tcPr>
            <w:tcW w:w="236" w:type="dxa"/>
            <w:tcBorders>
              <w:top w:val="nil"/>
              <w:left w:val="nil"/>
              <w:bottom w:val="single" w:sz="4" w:space="0" w:color="auto"/>
              <w:right w:val="single" w:sz="4" w:space="0" w:color="auto"/>
            </w:tcBorders>
          </w:tcPr>
          <w:p w14:paraId="19B23790" w14:textId="3D9AA348"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50A5392" w14:textId="47C103BE" w:rsidR="002C65C3" w:rsidRPr="009E1F1D" w:rsidRDefault="002C65C3" w:rsidP="002C65C3">
            <w:pPr>
              <w:rPr>
                <w:rFonts w:ascii="Calibri" w:hAnsi="Calibri" w:cs="Calibri"/>
                <w:color w:val="000000"/>
                <w:sz w:val="22"/>
                <w:szCs w:val="22"/>
              </w:rPr>
            </w:pPr>
          </w:p>
        </w:tc>
      </w:tr>
      <w:tr w:rsidR="002A58DC" w:rsidRPr="009E1F1D" w14:paraId="426B6212"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284C6FD"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39</w:t>
            </w:r>
          </w:p>
        </w:tc>
        <w:tc>
          <w:tcPr>
            <w:tcW w:w="1260" w:type="dxa"/>
            <w:tcBorders>
              <w:top w:val="nil"/>
              <w:left w:val="nil"/>
              <w:bottom w:val="single" w:sz="4" w:space="0" w:color="auto"/>
              <w:right w:val="single" w:sz="4" w:space="0" w:color="auto"/>
            </w:tcBorders>
            <w:hideMark/>
          </w:tcPr>
          <w:p w14:paraId="3AD286F7"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Motivation Through the Design of Work: Test of a Theory</w:t>
            </w:r>
          </w:p>
        </w:tc>
        <w:tc>
          <w:tcPr>
            <w:tcW w:w="1530" w:type="dxa"/>
            <w:tcBorders>
              <w:top w:val="nil"/>
              <w:left w:val="nil"/>
              <w:bottom w:val="single" w:sz="4" w:space="0" w:color="auto"/>
              <w:right w:val="single" w:sz="4" w:space="0" w:color="auto"/>
            </w:tcBorders>
            <w:hideMark/>
          </w:tcPr>
          <w:p w14:paraId="39908E45"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Hackman, J.R. &amp; Oldham, G.R.</w:t>
            </w:r>
          </w:p>
        </w:tc>
        <w:tc>
          <w:tcPr>
            <w:tcW w:w="720" w:type="dxa"/>
            <w:tcBorders>
              <w:top w:val="nil"/>
              <w:left w:val="nil"/>
              <w:bottom w:val="single" w:sz="4" w:space="0" w:color="auto"/>
              <w:right w:val="single" w:sz="4" w:space="0" w:color="auto"/>
            </w:tcBorders>
            <w:hideMark/>
          </w:tcPr>
          <w:p w14:paraId="79AEC40E"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1976</w:t>
            </w:r>
          </w:p>
        </w:tc>
        <w:tc>
          <w:tcPr>
            <w:tcW w:w="1710" w:type="dxa"/>
            <w:tcBorders>
              <w:top w:val="nil"/>
              <w:left w:val="nil"/>
              <w:bottom w:val="single" w:sz="4" w:space="0" w:color="auto"/>
              <w:right w:val="single" w:sz="4" w:space="0" w:color="auto"/>
            </w:tcBorders>
          </w:tcPr>
          <w:p w14:paraId="40A448DE" w14:textId="1823133E"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Job Characteristics Model</w:t>
            </w:r>
          </w:p>
        </w:tc>
        <w:tc>
          <w:tcPr>
            <w:tcW w:w="1710" w:type="dxa"/>
            <w:tcBorders>
              <w:top w:val="nil"/>
              <w:left w:val="nil"/>
              <w:bottom w:val="single" w:sz="4" w:space="0" w:color="auto"/>
              <w:right w:val="single" w:sz="4" w:space="0" w:color="auto"/>
            </w:tcBorders>
            <w:vAlign w:val="center"/>
          </w:tcPr>
          <w:p w14:paraId="798C492F" w14:textId="44B11CFB" w:rsidR="002C65C3" w:rsidRPr="009E1F1D" w:rsidRDefault="002C65C3" w:rsidP="002C65C3">
            <w:pPr>
              <w:rPr>
                <w:rFonts w:ascii="Calibri" w:hAnsi="Calibri" w:cs="Calibri"/>
                <w:color w:val="000000"/>
                <w:sz w:val="22"/>
                <w:szCs w:val="22"/>
              </w:rPr>
            </w:pPr>
            <w:r w:rsidRPr="00D0217E">
              <w:rPr>
                <w:color w:val="000000"/>
              </w:rPr>
              <w:t>Job enrichment</w:t>
            </w:r>
          </w:p>
        </w:tc>
        <w:tc>
          <w:tcPr>
            <w:tcW w:w="1980" w:type="dxa"/>
            <w:tcBorders>
              <w:top w:val="nil"/>
              <w:left w:val="nil"/>
              <w:bottom w:val="single" w:sz="4" w:space="0" w:color="auto"/>
              <w:right w:val="single" w:sz="4" w:space="0" w:color="auto"/>
            </w:tcBorders>
            <w:vAlign w:val="center"/>
          </w:tcPr>
          <w:p w14:paraId="15E0766E" w14:textId="59B1A040" w:rsidR="002C65C3" w:rsidRPr="009E1F1D" w:rsidRDefault="002C65C3" w:rsidP="002C65C3">
            <w:pPr>
              <w:rPr>
                <w:rFonts w:ascii="Calibri" w:hAnsi="Calibri" w:cs="Calibri"/>
                <w:color w:val="000000"/>
                <w:sz w:val="22"/>
                <w:szCs w:val="22"/>
              </w:rPr>
            </w:pPr>
            <w:r w:rsidRPr="00D0217E">
              <w:rPr>
                <w:color w:val="000000"/>
              </w:rPr>
              <w:t>Limited autonomy</w:t>
            </w:r>
          </w:p>
        </w:tc>
        <w:tc>
          <w:tcPr>
            <w:tcW w:w="1260" w:type="dxa"/>
            <w:tcBorders>
              <w:top w:val="nil"/>
              <w:left w:val="nil"/>
              <w:bottom w:val="single" w:sz="4" w:space="0" w:color="auto"/>
              <w:right w:val="single" w:sz="4" w:space="0" w:color="auto"/>
            </w:tcBorders>
            <w:vAlign w:val="center"/>
          </w:tcPr>
          <w:p w14:paraId="5F2C123B" w14:textId="0E5D93A4" w:rsidR="002C65C3" w:rsidRPr="009E1F1D" w:rsidRDefault="002C65C3" w:rsidP="002C65C3">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38C44B15"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Job characteristics predicted experienced meaningfulness and internal motivation</w:t>
            </w:r>
          </w:p>
        </w:tc>
        <w:tc>
          <w:tcPr>
            <w:tcW w:w="1440" w:type="dxa"/>
            <w:tcBorders>
              <w:top w:val="nil"/>
              <w:left w:val="nil"/>
              <w:bottom w:val="single" w:sz="4" w:space="0" w:color="auto"/>
              <w:right w:val="single" w:sz="4" w:space="0" w:color="auto"/>
            </w:tcBorders>
          </w:tcPr>
          <w:p w14:paraId="42ED0BC4" w14:textId="58C34B9C" w:rsidR="002C65C3" w:rsidRPr="009E1F1D" w:rsidRDefault="004D6A2A" w:rsidP="002C65C3">
            <w:pPr>
              <w:rPr>
                <w:rFonts w:ascii="Calibri" w:hAnsi="Calibri" w:cs="Calibri"/>
                <w:color w:val="000000"/>
                <w:sz w:val="22"/>
                <w:szCs w:val="22"/>
              </w:rPr>
            </w:pPr>
            <w:r w:rsidRPr="004B62CF">
              <w:rPr>
                <w:rFonts w:ascii="Calibri" w:hAnsi="Calibri" w:cs="Calibri"/>
                <w:color w:val="000000"/>
                <w:sz w:val="22"/>
                <w:szCs w:val="22"/>
              </w:rPr>
              <w:t>Job design, motivation</w:t>
            </w:r>
          </w:p>
        </w:tc>
        <w:tc>
          <w:tcPr>
            <w:tcW w:w="236" w:type="dxa"/>
            <w:tcBorders>
              <w:top w:val="nil"/>
              <w:left w:val="nil"/>
              <w:bottom w:val="single" w:sz="4" w:space="0" w:color="auto"/>
              <w:right w:val="single" w:sz="4" w:space="0" w:color="auto"/>
            </w:tcBorders>
          </w:tcPr>
          <w:p w14:paraId="1AE92EC1" w14:textId="7076E675"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EB35FB3" w14:textId="52B9619F" w:rsidR="002C65C3" w:rsidRPr="009E1F1D" w:rsidRDefault="002C65C3" w:rsidP="002C65C3">
            <w:pPr>
              <w:rPr>
                <w:rFonts w:ascii="Calibri" w:hAnsi="Calibri" w:cs="Calibri"/>
                <w:color w:val="000000"/>
                <w:sz w:val="22"/>
                <w:szCs w:val="22"/>
              </w:rPr>
            </w:pPr>
          </w:p>
        </w:tc>
      </w:tr>
      <w:tr w:rsidR="002A58DC" w:rsidRPr="009E1F1D" w14:paraId="4D4267C2"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C9E12C0"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40</w:t>
            </w:r>
          </w:p>
        </w:tc>
        <w:tc>
          <w:tcPr>
            <w:tcW w:w="1260" w:type="dxa"/>
            <w:tcBorders>
              <w:top w:val="nil"/>
              <w:left w:val="nil"/>
              <w:bottom w:val="single" w:sz="4" w:space="0" w:color="auto"/>
              <w:right w:val="single" w:sz="4" w:space="0" w:color="auto"/>
            </w:tcBorders>
            <w:hideMark/>
          </w:tcPr>
          <w:p w14:paraId="47420ACB"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A Theory of Justice</w:t>
            </w:r>
          </w:p>
        </w:tc>
        <w:tc>
          <w:tcPr>
            <w:tcW w:w="1530" w:type="dxa"/>
            <w:tcBorders>
              <w:top w:val="nil"/>
              <w:left w:val="nil"/>
              <w:bottom w:val="single" w:sz="4" w:space="0" w:color="auto"/>
              <w:right w:val="single" w:sz="4" w:space="0" w:color="auto"/>
            </w:tcBorders>
            <w:hideMark/>
          </w:tcPr>
          <w:p w14:paraId="4BA4ECAE"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Rawls, J.</w:t>
            </w:r>
          </w:p>
        </w:tc>
        <w:tc>
          <w:tcPr>
            <w:tcW w:w="720" w:type="dxa"/>
            <w:tcBorders>
              <w:top w:val="nil"/>
              <w:left w:val="nil"/>
              <w:bottom w:val="single" w:sz="4" w:space="0" w:color="auto"/>
              <w:right w:val="single" w:sz="4" w:space="0" w:color="auto"/>
            </w:tcBorders>
            <w:hideMark/>
          </w:tcPr>
          <w:p w14:paraId="1118AE60"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1971</w:t>
            </w:r>
          </w:p>
        </w:tc>
        <w:tc>
          <w:tcPr>
            <w:tcW w:w="1710" w:type="dxa"/>
            <w:tcBorders>
              <w:top w:val="nil"/>
              <w:left w:val="nil"/>
              <w:bottom w:val="single" w:sz="4" w:space="0" w:color="auto"/>
              <w:right w:val="single" w:sz="4" w:space="0" w:color="auto"/>
            </w:tcBorders>
          </w:tcPr>
          <w:p w14:paraId="7AE64036" w14:textId="60C3C38F"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Justice theory</w:t>
            </w:r>
          </w:p>
        </w:tc>
        <w:tc>
          <w:tcPr>
            <w:tcW w:w="1710" w:type="dxa"/>
            <w:tcBorders>
              <w:top w:val="nil"/>
              <w:left w:val="nil"/>
              <w:bottom w:val="single" w:sz="4" w:space="0" w:color="auto"/>
              <w:right w:val="single" w:sz="4" w:space="0" w:color="auto"/>
            </w:tcBorders>
            <w:vAlign w:val="center"/>
          </w:tcPr>
          <w:p w14:paraId="6E3A3F51" w14:textId="7ED7CB58" w:rsidR="002C65C3" w:rsidRPr="009E1F1D" w:rsidRDefault="002C65C3" w:rsidP="002C65C3">
            <w:pPr>
              <w:rPr>
                <w:rFonts w:ascii="Calibri" w:hAnsi="Calibri" w:cs="Calibri"/>
                <w:color w:val="000000"/>
                <w:sz w:val="22"/>
                <w:szCs w:val="22"/>
              </w:rPr>
            </w:pPr>
            <w:r w:rsidRPr="00D0217E">
              <w:rPr>
                <w:color w:val="000000"/>
              </w:rPr>
              <w:t>Fair treatment</w:t>
            </w:r>
          </w:p>
        </w:tc>
        <w:tc>
          <w:tcPr>
            <w:tcW w:w="1980" w:type="dxa"/>
            <w:tcBorders>
              <w:top w:val="nil"/>
              <w:left w:val="nil"/>
              <w:bottom w:val="single" w:sz="4" w:space="0" w:color="auto"/>
              <w:right w:val="single" w:sz="4" w:space="0" w:color="auto"/>
            </w:tcBorders>
            <w:vAlign w:val="center"/>
          </w:tcPr>
          <w:p w14:paraId="4B9BEF40" w14:textId="37A0E641" w:rsidR="002C65C3" w:rsidRPr="009E1F1D" w:rsidRDefault="002C65C3" w:rsidP="002C65C3">
            <w:pPr>
              <w:rPr>
                <w:rFonts w:ascii="Calibri" w:hAnsi="Calibri" w:cs="Calibri"/>
                <w:color w:val="000000"/>
                <w:sz w:val="22"/>
                <w:szCs w:val="22"/>
              </w:rPr>
            </w:pPr>
            <w:r w:rsidRPr="00D0217E">
              <w:rPr>
                <w:color w:val="000000"/>
              </w:rPr>
              <w:t>Distribution concerns</w:t>
            </w:r>
          </w:p>
        </w:tc>
        <w:tc>
          <w:tcPr>
            <w:tcW w:w="1260" w:type="dxa"/>
            <w:tcBorders>
              <w:top w:val="nil"/>
              <w:left w:val="nil"/>
              <w:bottom w:val="single" w:sz="4" w:space="0" w:color="auto"/>
              <w:right w:val="single" w:sz="4" w:space="0" w:color="auto"/>
            </w:tcBorders>
            <w:vAlign w:val="center"/>
          </w:tcPr>
          <w:p w14:paraId="38364896" w14:textId="32AE2C0C" w:rsidR="002C65C3" w:rsidRPr="009E1F1D" w:rsidRDefault="002C65C3" w:rsidP="002C65C3">
            <w:pPr>
              <w:rPr>
                <w:rFonts w:ascii="Calibri" w:hAnsi="Calibri" w:cs="Calibri"/>
                <w:color w:val="000000"/>
                <w:sz w:val="22"/>
                <w:szCs w:val="22"/>
              </w:rPr>
            </w:pPr>
            <w:r w:rsidRPr="00D0217E">
              <w:rPr>
                <w:color w:val="000000"/>
              </w:rPr>
              <w:t>Perceived fairness</w:t>
            </w:r>
          </w:p>
        </w:tc>
        <w:tc>
          <w:tcPr>
            <w:tcW w:w="1530" w:type="dxa"/>
            <w:tcBorders>
              <w:top w:val="nil"/>
              <w:left w:val="nil"/>
              <w:bottom w:val="single" w:sz="4" w:space="0" w:color="auto"/>
              <w:right w:val="single" w:sz="4" w:space="0" w:color="auto"/>
            </w:tcBorders>
            <w:hideMark/>
          </w:tcPr>
          <w:p w14:paraId="158B7045"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Perceived fairness provides a foundation for evaluating distribution</w:t>
            </w:r>
          </w:p>
        </w:tc>
        <w:tc>
          <w:tcPr>
            <w:tcW w:w="1440" w:type="dxa"/>
            <w:tcBorders>
              <w:top w:val="nil"/>
              <w:left w:val="nil"/>
              <w:bottom w:val="single" w:sz="4" w:space="0" w:color="auto"/>
              <w:right w:val="single" w:sz="4" w:space="0" w:color="auto"/>
            </w:tcBorders>
          </w:tcPr>
          <w:p w14:paraId="4D465437" w14:textId="1CCEE207" w:rsidR="002C65C3" w:rsidRPr="009E1F1D" w:rsidRDefault="00294EB3" w:rsidP="002C65C3">
            <w:pPr>
              <w:rPr>
                <w:rFonts w:ascii="Calibri" w:hAnsi="Calibri" w:cs="Calibri"/>
                <w:color w:val="000000"/>
                <w:sz w:val="22"/>
                <w:szCs w:val="22"/>
              </w:rPr>
            </w:pPr>
            <w:r w:rsidRPr="004B62CF">
              <w:rPr>
                <w:rFonts w:ascii="Calibri" w:hAnsi="Calibri" w:cs="Calibri"/>
                <w:color w:val="000000"/>
                <w:sz w:val="22"/>
                <w:szCs w:val="22"/>
              </w:rPr>
              <w:t>Justice, fairness</w:t>
            </w:r>
          </w:p>
        </w:tc>
        <w:tc>
          <w:tcPr>
            <w:tcW w:w="236" w:type="dxa"/>
            <w:tcBorders>
              <w:top w:val="nil"/>
              <w:left w:val="nil"/>
              <w:bottom w:val="single" w:sz="4" w:space="0" w:color="auto"/>
              <w:right w:val="single" w:sz="4" w:space="0" w:color="auto"/>
            </w:tcBorders>
          </w:tcPr>
          <w:p w14:paraId="1E19A09E" w14:textId="1C740686"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83390AF" w14:textId="3A55B964" w:rsidR="002C65C3" w:rsidRPr="009E1F1D" w:rsidRDefault="002C65C3" w:rsidP="002C65C3">
            <w:pPr>
              <w:rPr>
                <w:rFonts w:ascii="Calibri" w:hAnsi="Calibri" w:cs="Calibri"/>
                <w:color w:val="000000"/>
                <w:sz w:val="22"/>
                <w:szCs w:val="22"/>
              </w:rPr>
            </w:pPr>
          </w:p>
        </w:tc>
      </w:tr>
      <w:tr w:rsidR="002A58DC" w:rsidRPr="009E1F1D" w14:paraId="457FC9E4"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79363AF"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lastRenderedPageBreak/>
              <w:t>41</w:t>
            </w:r>
          </w:p>
        </w:tc>
        <w:tc>
          <w:tcPr>
            <w:tcW w:w="1260" w:type="dxa"/>
            <w:tcBorders>
              <w:top w:val="nil"/>
              <w:left w:val="nil"/>
              <w:bottom w:val="single" w:sz="4" w:space="0" w:color="auto"/>
              <w:right w:val="single" w:sz="4" w:space="0" w:color="auto"/>
            </w:tcBorders>
            <w:hideMark/>
          </w:tcPr>
          <w:p w14:paraId="3C63DAC2"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Social Exchange Theory</w:t>
            </w:r>
          </w:p>
        </w:tc>
        <w:tc>
          <w:tcPr>
            <w:tcW w:w="1530" w:type="dxa"/>
            <w:tcBorders>
              <w:top w:val="nil"/>
              <w:left w:val="nil"/>
              <w:bottom w:val="single" w:sz="4" w:space="0" w:color="auto"/>
              <w:right w:val="single" w:sz="4" w:space="0" w:color="auto"/>
            </w:tcBorders>
            <w:hideMark/>
          </w:tcPr>
          <w:p w14:paraId="5DCC286E"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Blau, P.M.</w:t>
            </w:r>
          </w:p>
        </w:tc>
        <w:tc>
          <w:tcPr>
            <w:tcW w:w="720" w:type="dxa"/>
            <w:tcBorders>
              <w:top w:val="nil"/>
              <w:left w:val="nil"/>
              <w:bottom w:val="single" w:sz="4" w:space="0" w:color="auto"/>
              <w:right w:val="single" w:sz="4" w:space="0" w:color="auto"/>
            </w:tcBorders>
            <w:hideMark/>
          </w:tcPr>
          <w:p w14:paraId="7C37E9A3"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1964</w:t>
            </w:r>
          </w:p>
        </w:tc>
        <w:tc>
          <w:tcPr>
            <w:tcW w:w="1710" w:type="dxa"/>
            <w:tcBorders>
              <w:top w:val="nil"/>
              <w:left w:val="nil"/>
              <w:bottom w:val="single" w:sz="4" w:space="0" w:color="auto"/>
              <w:right w:val="single" w:sz="4" w:space="0" w:color="auto"/>
            </w:tcBorders>
          </w:tcPr>
          <w:p w14:paraId="080AFEB7" w14:textId="4ABDFC27"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Social Exchange Theory</w:t>
            </w:r>
          </w:p>
        </w:tc>
        <w:tc>
          <w:tcPr>
            <w:tcW w:w="1710" w:type="dxa"/>
            <w:tcBorders>
              <w:top w:val="nil"/>
              <w:left w:val="nil"/>
              <w:bottom w:val="single" w:sz="4" w:space="0" w:color="auto"/>
              <w:right w:val="single" w:sz="4" w:space="0" w:color="auto"/>
            </w:tcBorders>
            <w:vAlign w:val="center"/>
          </w:tcPr>
          <w:p w14:paraId="28DA668F" w14:textId="4428B631" w:rsidR="002C65C3" w:rsidRPr="009E1F1D" w:rsidRDefault="002C65C3" w:rsidP="002C65C3">
            <w:pPr>
              <w:rPr>
                <w:rFonts w:ascii="Calibri" w:hAnsi="Calibri" w:cs="Calibri"/>
                <w:color w:val="000000"/>
                <w:sz w:val="22"/>
                <w:szCs w:val="22"/>
              </w:rPr>
            </w:pPr>
            <w:r w:rsidRPr="00D0217E">
              <w:rPr>
                <w:color w:val="000000"/>
              </w:rPr>
              <w:t>Social exchange</w:t>
            </w:r>
          </w:p>
        </w:tc>
        <w:tc>
          <w:tcPr>
            <w:tcW w:w="1980" w:type="dxa"/>
            <w:tcBorders>
              <w:top w:val="nil"/>
              <w:left w:val="nil"/>
              <w:bottom w:val="single" w:sz="4" w:space="0" w:color="auto"/>
              <w:right w:val="single" w:sz="4" w:space="0" w:color="auto"/>
            </w:tcBorders>
            <w:vAlign w:val="center"/>
          </w:tcPr>
          <w:p w14:paraId="5D9D38A4" w14:textId="68E25CE6" w:rsidR="002C65C3" w:rsidRPr="009E1F1D" w:rsidRDefault="002C65C3" w:rsidP="002C65C3">
            <w:pPr>
              <w:rPr>
                <w:rFonts w:ascii="Calibri" w:hAnsi="Calibri" w:cs="Calibri"/>
                <w:color w:val="000000"/>
                <w:sz w:val="22"/>
                <w:szCs w:val="22"/>
              </w:rPr>
            </w:pPr>
            <w:r w:rsidRPr="00D0217E">
              <w:rPr>
                <w:color w:val="000000"/>
              </w:rPr>
              <w:t>Reciprocity expectations</w:t>
            </w:r>
          </w:p>
        </w:tc>
        <w:tc>
          <w:tcPr>
            <w:tcW w:w="1260" w:type="dxa"/>
            <w:tcBorders>
              <w:top w:val="nil"/>
              <w:left w:val="nil"/>
              <w:bottom w:val="single" w:sz="4" w:space="0" w:color="auto"/>
              <w:right w:val="single" w:sz="4" w:space="0" w:color="auto"/>
            </w:tcBorders>
            <w:vAlign w:val="center"/>
          </w:tcPr>
          <w:p w14:paraId="7392CA5C" w14:textId="4F12E15C" w:rsidR="002C65C3" w:rsidRPr="009E1F1D" w:rsidRDefault="002C65C3" w:rsidP="002C65C3">
            <w:pPr>
              <w:rPr>
                <w:rFonts w:ascii="Calibri" w:hAnsi="Calibri" w:cs="Calibri"/>
                <w:color w:val="000000"/>
                <w:sz w:val="22"/>
                <w:szCs w:val="22"/>
              </w:rPr>
            </w:pPr>
            <w:r w:rsidRPr="00D0217E">
              <w:rPr>
                <w:color w:val="000000"/>
              </w:rPr>
              <w:t>Employee commitment</w:t>
            </w:r>
          </w:p>
        </w:tc>
        <w:tc>
          <w:tcPr>
            <w:tcW w:w="1530" w:type="dxa"/>
            <w:tcBorders>
              <w:top w:val="nil"/>
              <w:left w:val="nil"/>
              <w:bottom w:val="single" w:sz="4" w:space="0" w:color="auto"/>
              <w:right w:val="single" w:sz="4" w:space="0" w:color="auto"/>
            </w:tcBorders>
            <w:hideMark/>
          </w:tcPr>
          <w:p w14:paraId="616A2301"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Employees reciprocate valued organizational treatment</w:t>
            </w:r>
          </w:p>
        </w:tc>
        <w:tc>
          <w:tcPr>
            <w:tcW w:w="1440" w:type="dxa"/>
            <w:tcBorders>
              <w:top w:val="nil"/>
              <w:left w:val="nil"/>
              <w:bottom w:val="single" w:sz="4" w:space="0" w:color="auto"/>
              <w:right w:val="single" w:sz="4" w:space="0" w:color="auto"/>
            </w:tcBorders>
          </w:tcPr>
          <w:p w14:paraId="57245C12" w14:textId="2E15315D" w:rsidR="002C65C3" w:rsidRPr="009E1F1D" w:rsidRDefault="00CE692B" w:rsidP="002C65C3">
            <w:pPr>
              <w:rPr>
                <w:rFonts w:ascii="Calibri" w:hAnsi="Calibri" w:cs="Calibri"/>
                <w:color w:val="000000"/>
                <w:sz w:val="22"/>
                <w:szCs w:val="22"/>
              </w:rPr>
            </w:pPr>
            <w:r w:rsidRPr="004B62CF">
              <w:rPr>
                <w:rFonts w:ascii="Calibri" w:hAnsi="Calibri" w:cs="Calibri"/>
                <w:color w:val="000000"/>
                <w:sz w:val="22"/>
                <w:szCs w:val="22"/>
              </w:rPr>
              <w:t>Reciprocity, rewards</w:t>
            </w:r>
          </w:p>
        </w:tc>
        <w:tc>
          <w:tcPr>
            <w:tcW w:w="236" w:type="dxa"/>
            <w:tcBorders>
              <w:top w:val="nil"/>
              <w:left w:val="nil"/>
              <w:bottom w:val="single" w:sz="4" w:space="0" w:color="auto"/>
              <w:right w:val="single" w:sz="4" w:space="0" w:color="auto"/>
            </w:tcBorders>
          </w:tcPr>
          <w:p w14:paraId="28ED0E69" w14:textId="2A2B0B70"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94E8CE4" w14:textId="05B60BC5" w:rsidR="002C65C3" w:rsidRPr="009E1F1D" w:rsidRDefault="002C65C3" w:rsidP="002C65C3">
            <w:pPr>
              <w:rPr>
                <w:rFonts w:ascii="Calibri" w:hAnsi="Calibri" w:cs="Calibri"/>
                <w:color w:val="000000"/>
                <w:sz w:val="22"/>
                <w:szCs w:val="22"/>
              </w:rPr>
            </w:pPr>
          </w:p>
        </w:tc>
      </w:tr>
      <w:tr w:rsidR="002A58DC" w:rsidRPr="009E1F1D" w14:paraId="79CC496F"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270F91B"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42</w:t>
            </w:r>
          </w:p>
        </w:tc>
        <w:tc>
          <w:tcPr>
            <w:tcW w:w="1260" w:type="dxa"/>
            <w:tcBorders>
              <w:top w:val="nil"/>
              <w:left w:val="nil"/>
              <w:bottom w:val="single" w:sz="4" w:space="0" w:color="auto"/>
              <w:right w:val="single" w:sz="4" w:space="0" w:color="auto"/>
            </w:tcBorders>
            <w:hideMark/>
          </w:tcPr>
          <w:p w14:paraId="53117360"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The Effects of Incentives on Work Motivation</w:t>
            </w:r>
          </w:p>
        </w:tc>
        <w:tc>
          <w:tcPr>
            <w:tcW w:w="1530" w:type="dxa"/>
            <w:tcBorders>
              <w:top w:val="nil"/>
              <w:left w:val="nil"/>
              <w:bottom w:val="single" w:sz="4" w:space="0" w:color="auto"/>
              <w:right w:val="single" w:sz="4" w:space="0" w:color="auto"/>
            </w:tcBorders>
            <w:hideMark/>
          </w:tcPr>
          <w:p w14:paraId="5F83F94C"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Eisenberger, R., Pierce, W.D. &amp; Cameron, J.</w:t>
            </w:r>
          </w:p>
        </w:tc>
        <w:tc>
          <w:tcPr>
            <w:tcW w:w="720" w:type="dxa"/>
            <w:tcBorders>
              <w:top w:val="nil"/>
              <w:left w:val="nil"/>
              <w:bottom w:val="single" w:sz="4" w:space="0" w:color="auto"/>
              <w:right w:val="single" w:sz="4" w:space="0" w:color="auto"/>
            </w:tcBorders>
            <w:hideMark/>
          </w:tcPr>
          <w:p w14:paraId="64FFC720"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1999</w:t>
            </w:r>
          </w:p>
        </w:tc>
        <w:tc>
          <w:tcPr>
            <w:tcW w:w="1710" w:type="dxa"/>
            <w:tcBorders>
              <w:top w:val="nil"/>
              <w:left w:val="nil"/>
              <w:bottom w:val="single" w:sz="4" w:space="0" w:color="auto"/>
              <w:right w:val="single" w:sz="4" w:space="0" w:color="auto"/>
            </w:tcBorders>
          </w:tcPr>
          <w:p w14:paraId="438713C1" w14:textId="2AB8A166" w:rsidR="002C65C3" w:rsidRPr="009E1F1D" w:rsidRDefault="002C65C3" w:rsidP="002C65C3">
            <w:pPr>
              <w:rPr>
                <w:rFonts w:ascii="Calibri" w:hAnsi="Calibri" w:cs="Calibri"/>
                <w:color w:val="000000"/>
                <w:sz w:val="22"/>
                <w:szCs w:val="22"/>
              </w:rPr>
            </w:pPr>
            <w:r w:rsidRPr="009D16FB">
              <w:rPr>
                <w:rFonts w:ascii="Calibri" w:hAnsi="Calibri" w:cs="Calibri"/>
                <w:color w:val="000000"/>
                <w:sz w:val="22"/>
                <w:szCs w:val="22"/>
              </w:rPr>
              <w:t>Self-Determination/Cognitive Evaluation</w:t>
            </w:r>
          </w:p>
        </w:tc>
        <w:tc>
          <w:tcPr>
            <w:tcW w:w="1710" w:type="dxa"/>
            <w:tcBorders>
              <w:top w:val="nil"/>
              <w:left w:val="nil"/>
              <w:bottom w:val="single" w:sz="4" w:space="0" w:color="auto"/>
              <w:right w:val="single" w:sz="4" w:space="0" w:color="auto"/>
            </w:tcBorders>
            <w:vAlign w:val="center"/>
          </w:tcPr>
          <w:p w14:paraId="300DB9FE" w14:textId="67C6BABD" w:rsidR="002C65C3" w:rsidRPr="009E1F1D" w:rsidRDefault="002C65C3" w:rsidP="002C65C3">
            <w:pPr>
              <w:rPr>
                <w:rFonts w:ascii="Calibri" w:hAnsi="Calibri" w:cs="Calibri"/>
                <w:color w:val="000000"/>
                <w:sz w:val="22"/>
                <w:szCs w:val="22"/>
              </w:rPr>
            </w:pPr>
            <w:r w:rsidRPr="00D0217E">
              <w:rPr>
                <w:color w:val="000000"/>
              </w:rPr>
              <w:t>Positive reinforcement</w:t>
            </w:r>
          </w:p>
        </w:tc>
        <w:tc>
          <w:tcPr>
            <w:tcW w:w="1980" w:type="dxa"/>
            <w:tcBorders>
              <w:top w:val="nil"/>
              <w:left w:val="nil"/>
              <w:bottom w:val="single" w:sz="4" w:space="0" w:color="auto"/>
              <w:right w:val="single" w:sz="4" w:space="0" w:color="auto"/>
            </w:tcBorders>
            <w:vAlign w:val="center"/>
          </w:tcPr>
          <w:p w14:paraId="19A507D0" w14:textId="4DF6C864" w:rsidR="002C65C3" w:rsidRPr="009E1F1D" w:rsidRDefault="002C65C3" w:rsidP="002C65C3">
            <w:pPr>
              <w:rPr>
                <w:rFonts w:ascii="Calibri" w:hAnsi="Calibri" w:cs="Calibri"/>
                <w:color w:val="000000"/>
                <w:sz w:val="22"/>
                <w:szCs w:val="22"/>
              </w:rPr>
            </w:pPr>
            <w:r w:rsidRPr="00D0217E">
              <w:rPr>
                <w:color w:val="000000"/>
              </w:rPr>
              <w:t>Reward dependency</w:t>
            </w:r>
          </w:p>
        </w:tc>
        <w:tc>
          <w:tcPr>
            <w:tcW w:w="1260" w:type="dxa"/>
            <w:tcBorders>
              <w:top w:val="nil"/>
              <w:left w:val="nil"/>
              <w:bottom w:val="single" w:sz="4" w:space="0" w:color="auto"/>
              <w:right w:val="single" w:sz="4" w:space="0" w:color="auto"/>
            </w:tcBorders>
            <w:vAlign w:val="center"/>
          </w:tcPr>
          <w:p w14:paraId="6B29756D" w14:textId="0F72751B" w:rsidR="002C65C3" w:rsidRPr="009E1F1D" w:rsidRDefault="002C65C3" w:rsidP="002C65C3">
            <w:pPr>
              <w:rPr>
                <w:rFonts w:ascii="Calibri" w:hAnsi="Calibri" w:cs="Calibri"/>
                <w:color w:val="000000"/>
                <w:sz w:val="22"/>
                <w:szCs w:val="22"/>
              </w:rPr>
            </w:pPr>
            <w:r w:rsidRPr="00D0217E">
              <w:rPr>
                <w:color w:val="000000"/>
              </w:rPr>
              <w:t>Intrinsic motivation</w:t>
            </w:r>
          </w:p>
        </w:tc>
        <w:tc>
          <w:tcPr>
            <w:tcW w:w="1530" w:type="dxa"/>
            <w:tcBorders>
              <w:top w:val="nil"/>
              <w:left w:val="nil"/>
              <w:bottom w:val="single" w:sz="4" w:space="0" w:color="auto"/>
              <w:right w:val="single" w:sz="4" w:space="0" w:color="auto"/>
            </w:tcBorders>
            <w:hideMark/>
          </w:tcPr>
          <w:p w14:paraId="308ABFA6"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Rewards do not uniformly undermine intrinsic motivation; effects depend on reward contingency and information</w:t>
            </w:r>
          </w:p>
        </w:tc>
        <w:tc>
          <w:tcPr>
            <w:tcW w:w="1440" w:type="dxa"/>
            <w:tcBorders>
              <w:top w:val="nil"/>
              <w:left w:val="nil"/>
              <w:bottom w:val="single" w:sz="4" w:space="0" w:color="auto"/>
              <w:right w:val="single" w:sz="4" w:space="0" w:color="auto"/>
            </w:tcBorders>
          </w:tcPr>
          <w:p w14:paraId="1C677C5C" w14:textId="15C23309" w:rsidR="002C65C3" w:rsidRPr="009E1F1D" w:rsidRDefault="00692FE5" w:rsidP="002C65C3">
            <w:pPr>
              <w:rPr>
                <w:rFonts w:ascii="Calibri" w:hAnsi="Calibri" w:cs="Calibri"/>
                <w:color w:val="000000"/>
                <w:sz w:val="22"/>
                <w:szCs w:val="22"/>
              </w:rPr>
            </w:pPr>
            <w:r w:rsidRPr="004B62CF">
              <w:rPr>
                <w:rFonts w:ascii="Calibri" w:hAnsi="Calibri" w:cs="Calibri"/>
                <w:color w:val="000000"/>
                <w:sz w:val="22"/>
                <w:szCs w:val="22"/>
              </w:rPr>
              <w:t>Rewards, intrinsic motivation</w:t>
            </w:r>
          </w:p>
        </w:tc>
        <w:tc>
          <w:tcPr>
            <w:tcW w:w="236" w:type="dxa"/>
            <w:tcBorders>
              <w:top w:val="nil"/>
              <w:left w:val="nil"/>
              <w:bottom w:val="single" w:sz="4" w:space="0" w:color="auto"/>
              <w:right w:val="single" w:sz="4" w:space="0" w:color="auto"/>
            </w:tcBorders>
          </w:tcPr>
          <w:p w14:paraId="491A9ABB" w14:textId="50628979"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CAED273" w14:textId="33EE4142" w:rsidR="002C65C3" w:rsidRPr="009E1F1D" w:rsidRDefault="002C65C3" w:rsidP="002C65C3">
            <w:pPr>
              <w:rPr>
                <w:rFonts w:ascii="Calibri" w:hAnsi="Calibri" w:cs="Calibri"/>
                <w:color w:val="000000"/>
                <w:sz w:val="22"/>
                <w:szCs w:val="22"/>
              </w:rPr>
            </w:pPr>
          </w:p>
        </w:tc>
      </w:tr>
      <w:tr w:rsidR="002A58DC" w:rsidRPr="009E1F1D" w14:paraId="54A5E137"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D2A285A"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43</w:t>
            </w:r>
          </w:p>
        </w:tc>
        <w:tc>
          <w:tcPr>
            <w:tcW w:w="1260" w:type="dxa"/>
            <w:tcBorders>
              <w:top w:val="nil"/>
              <w:left w:val="nil"/>
              <w:bottom w:val="single" w:sz="4" w:space="0" w:color="auto"/>
              <w:right w:val="single" w:sz="4" w:space="0" w:color="auto"/>
            </w:tcBorders>
            <w:hideMark/>
          </w:tcPr>
          <w:p w14:paraId="455AD671"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The Effects of Reward Contingency on Intrinsic Motivation</w:t>
            </w:r>
          </w:p>
        </w:tc>
        <w:tc>
          <w:tcPr>
            <w:tcW w:w="1530" w:type="dxa"/>
            <w:tcBorders>
              <w:top w:val="nil"/>
              <w:left w:val="nil"/>
              <w:bottom w:val="single" w:sz="4" w:space="0" w:color="auto"/>
              <w:right w:val="single" w:sz="4" w:space="0" w:color="auto"/>
            </w:tcBorders>
            <w:hideMark/>
          </w:tcPr>
          <w:p w14:paraId="48E18D69"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Eisenberger, R. &amp; Cameron, J.</w:t>
            </w:r>
          </w:p>
        </w:tc>
        <w:tc>
          <w:tcPr>
            <w:tcW w:w="720" w:type="dxa"/>
            <w:tcBorders>
              <w:top w:val="nil"/>
              <w:left w:val="nil"/>
              <w:bottom w:val="single" w:sz="4" w:space="0" w:color="auto"/>
              <w:right w:val="single" w:sz="4" w:space="0" w:color="auto"/>
            </w:tcBorders>
            <w:hideMark/>
          </w:tcPr>
          <w:p w14:paraId="0FFABF40"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1996</w:t>
            </w:r>
          </w:p>
        </w:tc>
        <w:tc>
          <w:tcPr>
            <w:tcW w:w="1710" w:type="dxa"/>
            <w:tcBorders>
              <w:top w:val="nil"/>
              <w:left w:val="nil"/>
              <w:bottom w:val="single" w:sz="4" w:space="0" w:color="auto"/>
              <w:right w:val="single" w:sz="4" w:space="0" w:color="auto"/>
            </w:tcBorders>
          </w:tcPr>
          <w:p w14:paraId="2187C661" w14:textId="231CD621" w:rsidR="002C65C3" w:rsidRPr="009E1F1D" w:rsidRDefault="002C65C3" w:rsidP="002C65C3">
            <w:pPr>
              <w:rPr>
                <w:rFonts w:ascii="Calibri" w:hAnsi="Calibri" w:cs="Calibri"/>
                <w:color w:val="000000"/>
                <w:sz w:val="22"/>
                <w:szCs w:val="22"/>
              </w:rPr>
            </w:pPr>
            <w:r w:rsidRPr="009D16FB">
              <w:rPr>
                <w:rFonts w:ascii="Calibri" w:hAnsi="Calibri" w:cs="Calibri"/>
                <w:color w:val="000000"/>
                <w:sz w:val="22"/>
                <w:szCs w:val="22"/>
              </w:rPr>
              <w:t>Cognitive Evaluation Theory</w:t>
            </w:r>
          </w:p>
        </w:tc>
        <w:tc>
          <w:tcPr>
            <w:tcW w:w="1710" w:type="dxa"/>
            <w:tcBorders>
              <w:top w:val="nil"/>
              <w:left w:val="nil"/>
              <w:bottom w:val="single" w:sz="4" w:space="0" w:color="auto"/>
              <w:right w:val="single" w:sz="4" w:space="0" w:color="auto"/>
            </w:tcBorders>
            <w:vAlign w:val="center"/>
          </w:tcPr>
          <w:p w14:paraId="70D23FB1" w14:textId="2DB63D18" w:rsidR="002C65C3" w:rsidRPr="009E1F1D" w:rsidRDefault="002C65C3" w:rsidP="002C65C3">
            <w:pPr>
              <w:rPr>
                <w:rFonts w:ascii="Calibri" w:hAnsi="Calibri" w:cs="Calibri"/>
                <w:color w:val="000000"/>
                <w:sz w:val="22"/>
                <w:szCs w:val="22"/>
              </w:rPr>
            </w:pPr>
            <w:r w:rsidRPr="00D0217E">
              <w:rPr>
                <w:color w:val="000000"/>
              </w:rPr>
              <w:t>Reward motivation</w:t>
            </w:r>
          </w:p>
        </w:tc>
        <w:tc>
          <w:tcPr>
            <w:tcW w:w="1980" w:type="dxa"/>
            <w:tcBorders>
              <w:top w:val="nil"/>
              <w:left w:val="nil"/>
              <w:bottom w:val="single" w:sz="4" w:space="0" w:color="auto"/>
              <w:right w:val="single" w:sz="4" w:space="0" w:color="auto"/>
            </w:tcBorders>
            <w:vAlign w:val="center"/>
          </w:tcPr>
          <w:p w14:paraId="4CE25BF1" w14:textId="435281DC" w:rsidR="002C65C3" w:rsidRPr="009E1F1D" w:rsidRDefault="002C65C3" w:rsidP="002C65C3">
            <w:pPr>
              <w:rPr>
                <w:rFonts w:ascii="Calibri" w:hAnsi="Calibri" w:cs="Calibri"/>
                <w:color w:val="000000"/>
                <w:sz w:val="22"/>
                <w:szCs w:val="22"/>
              </w:rPr>
            </w:pPr>
            <w:r w:rsidRPr="00D0217E">
              <w:rPr>
                <w:color w:val="000000"/>
              </w:rPr>
              <w:t>Reward dependence</w:t>
            </w:r>
          </w:p>
        </w:tc>
        <w:tc>
          <w:tcPr>
            <w:tcW w:w="1260" w:type="dxa"/>
            <w:tcBorders>
              <w:top w:val="nil"/>
              <w:left w:val="nil"/>
              <w:bottom w:val="single" w:sz="4" w:space="0" w:color="auto"/>
              <w:right w:val="single" w:sz="4" w:space="0" w:color="auto"/>
            </w:tcBorders>
            <w:vAlign w:val="center"/>
          </w:tcPr>
          <w:p w14:paraId="22EE0318" w14:textId="4F4C9AFB" w:rsidR="002C65C3" w:rsidRPr="009E1F1D" w:rsidRDefault="002C65C3" w:rsidP="002C65C3">
            <w:pPr>
              <w:rPr>
                <w:rFonts w:ascii="Calibri" w:hAnsi="Calibri" w:cs="Calibri"/>
                <w:color w:val="000000"/>
                <w:sz w:val="22"/>
                <w:szCs w:val="22"/>
              </w:rPr>
            </w:pPr>
            <w:r w:rsidRPr="00D0217E">
              <w:rPr>
                <w:color w:val="000000"/>
              </w:rPr>
              <w:t>Intrinsic motivation</w:t>
            </w:r>
          </w:p>
        </w:tc>
        <w:tc>
          <w:tcPr>
            <w:tcW w:w="1530" w:type="dxa"/>
            <w:tcBorders>
              <w:top w:val="nil"/>
              <w:left w:val="nil"/>
              <w:bottom w:val="single" w:sz="4" w:space="0" w:color="auto"/>
              <w:right w:val="single" w:sz="4" w:space="0" w:color="auto"/>
            </w:tcBorders>
            <w:hideMark/>
          </w:tcPr>
          <w:p w14:paraId="1FF981B1"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Negative crowding-out effects are smaller and more conditional than often claimed</w:t>
            </w:r>
          </w:p>
        </w:tc>
        <w:tc>
          <w:tcPr>
            <w:tcW w:w="1440" w:type="dxa"/>
            <w:tcBorders>
              <w:top w:val="nil"/>
              <w:left w:val="nil"/>
              <w:bottom w:val="single" w:sz="4" w:space="0" w:color="auto"/>
              <w:right w:val="single" w:sz="4" w:space="0" w:color="auto"/>
            </w:tcBorders>
          </w:tcPr>
          <w:p w14:paraId="5D1FB2A1" w14:textId="4E057A81" w:rsidR="002C65C3" w:rsidRPr="009E1F1D" w:rsidRDefault="00314908" w:rsidP="002C65C3">
            <w:pPr>
              <w:rPr>
                <w:rFonts w:ascii="Calibri" w:hAnsi="Calibri" w:cs="Calibri"/>
                <w:color w:val="000000"/>
                <w:sz w:val="22"/>
                <w:szCs w:val="22"/>
              </w:rPr>
            </w:pPr>
            <w:r w:rsidRPr="004B62CF">
              <w:rPr>
                <w:rFonts w:ascii="Calibri" w:hAnsi="Calibri" w:cs="Calibri"/>
                <w:color w:val="000000"/>
                <w:sz w:val="22"/>
                <w:szCs w:val="22"/>
              </w:rPr>
              <w:t>P</w:t>
            </w:r>
            <w:r w:rsidR="00676625">
              <w:rPr>
                <w:rFonts w:ascii="Calibri" w:hAnsi="Calibri" w:cs="Calibri"/>
                <w:color w:val="000000"/>
                <w:sz w:val="22"/>
                <w:szCs w:val="22"/>
              </w:rPr>
              <w:t>B</w:t>
            </w:r>
            <w:r w:rsidRPr="004B62CF">
              <w:rPr>
                <w:rFonts w:ascii="Calibri" w:hAnsi="Calibri" w:cs="Calibri"/>
                <w:color w:val="000000"/>
                <w:sz w:val="22"/>
                <w:szCs w:val="22"/>
              </w:rPr>
              <w:t>P, autonomous motivation</w:t>
            </w:r>
          </w:p>
        </w:tc>
        <w:tc>
          <w:tcPr>
            <w:tcW w:w="236" w:type="dxa"/>
            <w:tcBorders>
              <w:top w:val="nil"/>
              <w:left w:val="nil"/>
              <w:bottom w:val="single" w:sz="4" w:space="0" w:color="auto"/>
              <w:right w:val="single" w:sz="4" w:space="0" w:color="auto"/>
            </w:tcBorders>
          </w:tcPr>
          <w:p w14:paraId="2414BE1B" w14:textId="6F40D33A"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ACDCFB3" w14:textId="564A5FC3" w:rsidR="002C65C3" w:rsidRPr="009E1F1D" w:rsidRDefault="002C65C3" w:rsidP="002C65C3">
            <w:pPr>
              <w:rPr>
                <w:rFonts w:ascii="Calibri" w:hAnsi="Calibri" w:cs="Calibri"/>
                <w:color w:val="000000"/>
                <w:sz w:val="22"/>
                <w:szCs w:val="22"/>
              </w:rPr>
            </w:pPr>
          </w:p>
        </w:tc>
      </w:tr>
      <w:tr w:rsidR="002A58DC" w:rsidRPr="009E1F1D" w14:paraId="43C7CDF5"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ABDD6FD"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44</w:t>
            </w:r>
          </w:p>
        </w:tc>
        <w:tc>
          <w:tcPr>
            <w:tcW w:w="1260" w:type="dxa"/>
            <w:tcBorders>
              <w:top w:val="nil"/>
              <w:left w:val="nil"/>
              <w:bottom w:val="single" w:sz="4" w:space="0" w:color="auto"/>
              <w:right w:val="single" w:sz="4" w:space="0" w:color="auto"/>
            </w:tcBorders>
            <w:hideMark/>
          </w:tcPr>
          <w:p w14:paraId="5FEDAA35"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The Effects of Performance-Based Pay on Employee Attitudes and Behaviors</w:t>
            </w:r>
          </w:p>
        </w:tc>
        <w:tc>
          <w:tcPr>
            <w:tcW w:w="1530" w:type="dxa"/>
            <w:tcBorders>
              <w:top w:val="nil"/>
              <w:left w:val="nil"/>
              <w:bottom w:val="single" w:sz="4" w:space="0" w:color="auto"/>
              <w:right w:val="single" w:sz="4" w:space="0" w:color="auto"/>
            </w:tcBorders>
            <w:hideMark/>
          </w:tcPr>
          <w:p w14:paraId="3BA7AEA9" w14:textId="77777777" w:rsidR="002C65C3" w:rsidRPr="009E1F1D" w:rsidRDefault="002C65C3" w:rsidP="002C65C3">
            <w:pPr>
              <w:rPr>
                <w:rFonts w:ascii="Calibri" w:hAnsi="Calibri" w:cs="Calibri"/>
                <w:color w:val="000000"/>
                <w:sz w:val="22"/>
                <w:szCs w:val="22"/>
              </w:rPr>
            </w:pPr>
            <w:proofErr w:type="spellStart"/>
            <w:r w:rsidRPr="009E1F1D">
              <w:rPr>
                <w:rFonts w:ascii="Calibri" w:hAnsi="Calibri" w:cs="Calibri"/>
                <w:color w:val="000000"/>
                <w:sz w:val="22"/>
                <w:szCs w:val="22"/>
              </w:rPr>
              <w:t>Kuvaas</w:t>
            </w:r>
            <w:proofErr w:type="spellEnd"/>
            <w:r w:rsidRPr="009E1F1D">
              <w:rPr>
                <w:rFonts w:ascii="Calibri" w:hAnsi="Calibri" w:cs="Calibri"/>
                <w:color w:val="000000"/>
                <w:sz w:val="22"/>
                <w:szCs w:val="22"/>
              </w:rPr>
              <w:t xml:space="preserve">, B., Buch, R., </w:t>
            </w:r>
            <w:proofErr w:type="spellStart"/>
            <w:r w:rsidRPr="009E1F1D">
              <w:rPr>
                <w:rFonts w:ascii="Calibri" w:hAnsi="Calibri" w:cs="Calibri"/>
                <w:color w:val="000000"/>
                <w:sz w:val="22"/>
                <w:szCs w:val="22"/>
              </w:rPr>
              <w:t>Dysvik</w:t>
            </w:r>
            <w:proofErr w:type="spellEnd"/>
            <w:r w:rsidRPr="009E1F1D">
              <w:rPr>
                <w:rFonts w:ascii="Calibri" w:hAnsi="Calibri" w:cs="Calibri"/>
                <w:color w:val="000000"/>
                <w:sz w:val="22"/>
                <w:szCs w:val="22"/>
              </w:rPr>
              <w:t xml:space="preserve">, A. &amp; </w:t>
            </w:r>
            <w:proofErr w:type="spellStart"/>
            <w:r w:rsidRPr="009E1F1D">
              <w:rPr>
                <w:rFonts w:ascii="Calibri" w:hAnsi="Calibri" w:cs="Calibri"/>
                <w:color w:val="000000"/>
                <w:sz w:val="22"/>
                <w:szCs w:val="22"/>
              </w:rPr>
              <w:t>Haerem</w:t>
            </w:r>
            <w:proofErr w:type="spellEnd"/>
            <w:r w:rsidRPr="009E1F1D">
              <w:rPr>
                <w:rFonts w:ascii="Calibri" w:hAnsi="Calibri" w:cs="Calibri"/>
                <w:color w:val="000000"/>
                <w:sz w:val="22"/>
                <w:szCs w:val="22"/>
              </w:rPr>
              <w:t>, T.</w:t>
            </w:r>
          </w:p>
        </w:tc>
        <w:tc>
          <w:tcPr>
            <w:tcW w:w="720" w:type="dxa"/>
            <w:tcBorders>
              <w:top w:val="nil"/>
              <w:left w:val="nil"/>
              <w:bottom w:val="single" w:sz="4" w:space="0" w:color="auto"/>
              <w:right w:val="single" w:sz="4" w:space="0" w:color="auto"/>
            </w:tcBorders>
            <w:hideMark/>
          </w:tcPr>
          <w:p w14:paraId="2AE46974"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2016</w:t>
            </w:r>
          </w:p>
        </w:tc>
        <w:tc>
          <w:tcPr>
            <w:tcW w:w="1710" w:type="dxa"/>
            <w:tcBorders>
              <w:top w:val="nil"/>
              <w:left w:val="nil"/>
              <w:bottom w:val="single" w:sz="4" w:space="0" w:color="auto"/>
              <w:right w:val="single" w:sz="4" w:space="0" w:color="auto"/>
            </w:tcBorders>
          </w:tcPr>
          <w:p w14:paraId="17AE5BBD" w14:textId="0B32613C" w:rsidR="002C65C3" w:rsidRPr="009E1F1D" w:rsidRDefault="002C65C3" w:rsidP="002C65C3">
            <w:pPr>
              <w:rPr>
                <w:rFonts w:ascii="Calibri" w:hAnsi="Calibri" w:cs="Calibri"/>
                <w:color w:val="000000"/>
                <w:sz w:val="22"/>
                <w:szCs w:val="22"/>
              </w:rPr>
            </w:pPr>
            <w:r w:rsidRPr="009D16FB">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170217E9" w14:textId="5916AD0F" w:rsidR="002C65C3" w:rsidRPr="009E1F1D" w:rsidRDefault="002C65C3" w:rsidP="002C65C3">
            <w:pPr>
              <w:rPr>
                <w:rFonts w:ascii="Calibri" w:hAnsi="Calibri" w:cs="Calibri"/>
                <w:color w:val="000000"/>
                <w:sz w:val="22"/>
                <w:szCs w:val="22"/>
              </w:rPr>
            </w:pPr>
            <w:r w:rsidRPr="00D0217E">
              <w:rPr>
                <w:color w:val="000000"/>
              </w:rPr>
              <w:t>Performance focus</w:t>
            </w:r>
          </w:p>
        </w:tc>
        <w:tc>
          <w:tcPr>
            <w:tcW w:w="1980" w:type="dxa"/>
            <w:tcBorders>
              <w:top w:val="nil"/>
              <w:left w:val="nil"/>
              <w:bottom w:val="single" w:sz="4" w:space="0" w:color="auto"/>
              <w:right w:val="single" w:sz="4" w:space="0" w:color="auto"/>
            </w:tcBorders>
            <w:vAlign w:val="center"/>
          </w:tcPr>
          <w:p w14:paraId="465C0C9A" w14:textId="55FA046B" w:rsidR="002C65C3" w:rsidRPr="009E1F1D" w:rsidRDefault="002C65C3" w:rsidP="002C65C3">
            <w:pPr>
              <w:rPr>
                <w:rFonts w:ascii="Calibri" w:hAnsi="Calibri" w:cs="Calibri"/>
                <w:color w:val="000000"/>
                <w:sz w:val="22"/>
                <w:szCs w:val="22"/>
              </w:rPr>
            </w:pPr>
            <w:r w:rsidRPr="00D0217E">
              <w:rPr>
                <w:color w:val="000000"/>
              </w:rPr>
              <w:t>Reduced autonomy</w:t>
            </w:r>
          </w:p>
        </w:tc>
        <w:tc>
          <w:tcPr>
            <w:tcW w:w="1260" w:type="dxa"/>
            <w:tcBorders>
              <w:top w:val="nil"/>
              <w:left w:val="nil"/>
              <w:bottom w:val="single" w:sz="4" w:space="0" w:color="auto"/>
              <w:right w:val="single" w:sz="4" w:space="0" w:color="auto"/>
            </w:tcBorders>
            <w:vAlign w:val="center"/>
          </w:tcPr>
          <w:p w14:paraId="545C4A4F" w14:textId="73887341" w:rsidR="002C65C3" w:rsidRPr="009E1F1D" w:rsidRDefault="002C65C3" w:rsidP="002C65C3">
            <w:pPr>
              <w:rPr>
                <w:rFonts w:ascii="Calibri" w:hAnsi="Calibri" w:cs="Calibri"/>
                <w:color w:val="000000"/>
                <w:sz w:val="22"/>
                <w:szCs w:val="22"/>
              </w:rPr>
            </w:pPr>
            <w:r w:rsidRPr="00D0217E">
              <w:rPr>
                <w:color w:val="000000"/>
              </w:rPr>
              <w:t>Employee attitudes</w:t>
            </w:r>
          </w:p>
        </w:tc>
        <w:tc>
          <w:tcPr>
            <w:tcW w:w="1530" w:type="dxa"/>
            <w:tcBorders>
              <w:top w:val="nil"/>
              <w:left w:val="nil"/>
              <w:bottom w:val="single" w:sz="4" w:space="0" w:color="auto"/>
              <w:right w:val="single" w:sz="4" w:space="0" w:color="auto"/>
            </w:tcBorders>
            <w:hideMark/>
          </w:tcPr>
          <w:p w14:paraId="739B94C9"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Performance pay can be associated with controlled motivation and lower autonomous motivation</w:t>
            </w:r>
          </w:p>
        </w:tc>
        <w:tc>
          <w:tcPr>
            <w:tcW w:w="1440" w:type="dxa"/>
            <w:tcBorders>
              <w:top w:val="nil"/>
              <w:left w:val="nil"/>
              <w:bottom w:val="single" w:sz="4" w:space="0" w:color="auto"/>
              <w:right w:val="single" w:sz="4" w:space="0" w:color="auto"/>
            </w:tcBorders>
          </w:tcPr>
          <w:p w14:paraId="6960E5F1" w14:textId="10F140B8" w:rsidR="002C65C3" w:rsidRPr="009E1F1D" w:rsidRDefault="00506874" w:rsidP="002C65C3">
            <w:pPr>
              <w:rPr>
                <w:rFonts w:ascii="Calibri" w:hAnsi="Calibri" w:cs="Calibri"/>
                <w:color w:val="000000"/>
                <w:sz w:val="22"/>
                <w:szCs w:val="22"/>
              </w:rPr>
            </w:pPr>
            <w:r w:rsidRPr="004B62CF">
              <w:rPr>
                <w:rFonts w:ascii="Calibri" w:hAnsi="Calibri" w:cs="Calibri"/>
                <w:color w:val="000000"/>
                <w:sz w:val="22"/>
                <w:szCs w:val="22"/>
              </w:rPr>
              <w:t>P</w:t>
            </w:r>
            <w:r w:rsidR="00676625">
              <w:rPr>
                <w:rFonts w:ascii="Calibri" w:hAnsi="Calibri" w:cs="Calibri"/>
                <w:color w:val="000000"/>
                <w:sz w:val="22"/>
                <w:szCs w:val="22"/>
              </w:rPr>
              <w:t>B</w:t>
            </w:r>
            <w:r w:rsidRPr="004B62CF">
              <w:rPr>
                <w:rFonts w:ascii="Calibri" w:hAnsi="Calibri" w:cs="Calibri"/>
                <w:color w:val="000000"/>
                <w:sz w:val="22"/>
                <w:szCs w:val="22"/>
              </w:rPr>
              <w:t>P, autonomy, anxiety</w:t>
            </w:r>
          </w:p>
        </w:tc>
        <w:tc>
          <w:tcPr>
            <w:tcW w:w="236" w:type="dxa"/>
            <w:tcBorders>
              <w:top w:val="nil"/>
              <w:left w:val="nil"/>
              <w:bottom w:val="single" w:sz="4" w:space="0" w:color="auto"/>
              <w:right w:val="single" w:sz="4" w:space="0" w:color="auto"/>
            </w:tcBorders>
          </w:tcPr>
          <w:p w14:paraId="45624E61" w14:textId="24F443F8"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765B46E" w14:textId="7E488D0F" w:rsidR="002C65C3" w:rsidRPr="009E1F1D" w:rsidRDefault="002C65C3" w:rsidP="002C65C3">
            <w:pPr>
              <w:rPr>
                <w:rFonts w:ascii="Calibri" w:hAnsi="Calibri" w:cs="Calibri"/>
                <w:color w:val="000000"/>
                <w:sz w:val="22"/>
                <w:szCs w:val="22"/>
              </w:rPr>
            </w:pPr>
          </w:p>
        </w:tc>
      </w:tr>
      <w:tr w:rsidR="002A58DC" w:rsidRPr="009E1F1D" w14:paraId="3EA9C67A"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334FC5B"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lastRenderedPageBreak/>
              <w:t>45</w:t>
            </w:r>
          </w:p>
        </w:tc>
        <w:tc>
          <w:tcPr>
            <w:tcW w:w="1260" w:type="dxa"/>
            <w:tcBorders>
              <w:top w:val="nil"/>
              <w:left w:val="nil"/>
              <w:bottom w:val="single" w:sz="4" w:space="0" w:color="auto"/>
              <w:right w:val="single" w:sz="4" w:space="0" w:color="auto"/>
            </w:tcBorders>
            <w:hideMark/>
          </w:tcPr>
          <w:p w14:paraId="02C20C6C"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Performance Pay and Employee Outcomes: The Mediating Roles of Controlling and Informational Perceptions of Pay</w:t>
            </w:r>
          </w:p>
        </w:tc>
        <w:tc>
          <w:tcPr>
            <w:tcW w:w="1530" w:type="dxa"/>
            <w:tcBorders>
              <w:top w:val="nil"/>
              <w:left w:val="nil"/>
              <w:bottom w:val="single" w:sz="4" w:space="0" w:color="auto"/>
              <w:right w:val="single" w:sz="4" w:space="0" w:color="auto"/>
            </w:tcBorders>
            <w:hideMark/>
          </w:tcPr>
          <w:p w14:paraId="69634B25" w14:textId="77777777" w:rsidR="002C65C3" w:rsidRPr="009E1F1D" w:rsidRDefault="002C65C3" w:rsidP="002C65C3">
            <w:pPr>
              <w:rPr>
                <w:rFonts w:ascii="Calibri" w:hAnsi="Calibri" w:cs="Calibri"/>
                <w:color w:val="000000"/>
                <w:sz w:val="22"/>
                <w:szCs w:val="22"/>
              </w:rPr>
            </w:pPr>
            <w:proofErr w:type="spellStart"/>
            <w:r w:rsidRPr="009E1F1D">
              <w:rPr>
                <w:rFonts w:ascii="Calibri" w:hAnsi="Calibri" w:cs="Calibri"/>
                <w:color w:val="000000"/>
                <w:sz w:val="22"/>
                <w:szCs w:val="22"/>
              </w:rPr>
              <w:t>Kuvaas</w:t>
            </w:r>
            <w:proofErr w:type="spellEnd"/>
            <w:r w:rsidRPr="009E1F1D">
              <w:rPr>
                <w:rFonts w:ascii="Calibri" w:hAnsi="Calibri" w:cs="Calibri"/>
                <w:color w:val="000000"/>
                <w:sz w:val="22"/>
                <w:szCs w:val="22"/>
              </w:rPr>
              <w:t xml:space="preserve">, B., Buch, R. &amp; </w:t>
            </w:r>
            <w:proofErr w:type="spellStart"/>
            <w:r w:rsidRPr="009E1F1D">
              <w:rPr>
                <w:rFonts w:ascii="Calibri" w:hAnsi="Calibri" w:cs="Calibri"/>
                <w:color w:val="000000"/>
                <w:sz w:val="22"/>
                <w:szCs w:val="22"/>
              </w:rPr>
              <w:t>Dysvik</w:t>
            </w:r>
            <w:proofErr w:type="spellEnd"/>
            <w:r w:rsidRPr="009E1F1D">
              <w:rPr>
                <w:rFonts w:ascii="Calibri" w:hAnsi="Calibri" w:cs="Calibri"/>
                <w:color w:val="000000"/>
                <w:sz w:val="22"/>
                <w:szCs w:val="22"/>
              </w:rPr>
              <w:t>, A.</w:t>
            </w:r>
          </w:p>
        </w:tc>
        <w:tc>
          <w:tcPr>
            <w:tcW w:w="720" w:type="dxa"/>
            <w:tcBorders>
              <w:top w:val="nil"/>
              <w:left w:val="nil"/>
              <w:bottom w:val="single" w:sz="4" w:space="0" w:color="auto"/>
              <w:right w:val="single" w:sz="4" w:space="0" w:color="auto"/>
            </w:tcBorders>
            <w:hideMark/>
          </w:tcPr>
          <w:p w14:paraId="2146C853"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2025</w:t>
            </w:r>
          </w:p>
        </w:tc>
        <w:tc>
          <w:tcPr>
            <w:tcW w:w="1710" w:type="dxa"/>
            <w:tcBorders>
              <w:top w:val="nil"/>
              <w:left w:val="nil"/>
              <w:bottom w:val="single" w:sz="4" w:space="0" w:color="auto"/>
              <w:right w:val="single" w:sz="4" w:space="0" w:color="auto"/>
            </w:tcBorders>
          </w:tcPr>
          <w:p w14:paraId="337FE8A0" w14:textId="77A77458"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4D0C1F1C" w14:textId="12A9236B" w:rsidR="002C65C3" w:rsidRPr="009E1F1D" w:rsidRDefault="002C65C3" w:rsidP="002C65C3">
            <w:pPr>
              <w:rPr>
                <w:rFonts w:ascii="Calibri" w:hAnsi="Calibri" w:cs="Calibri"/>
                <w:color w:val="000000"/>
                <w:sz w:val="22"/>
                <w:szCs w:val="22"/>
              </w:rPr>
            </w:pPr>
            <w:r w:rsidRPr="00D0217E">
              <w:rPr>
                <w:color w:val="000000"/>
              </w:rPr>
              <w:t>Informational rewards</w:t>
            </w:r>
          </w:p>
        </w:tc>
        <w:tc>
          <w:tcPr>
            <w:tcW w:w="1980" w:type="dxa"/>
            <w:tcBorders>
              <w:top w:val="nil"/>
              <w:left w:val="nil"/>
              <w:bottom w:val="single" w:sz="4" w:space="0" w:color="auto"/>
              <w:right w:val="single" w:sz="4" w:space="0" w:color="auto"/>
            </w:tcBorders>
            <w:vAlign w:val="center"/>
          </w:tcPr>
          <w:p w14:paraId="65125EF8" w14:textId="7DC0840D" w:rsidR="002C65C3" w:rsidRPr="009E1F1D" w:rsidRDefault="002C65C3" w:rsidP="002C65C3">
            <w:pPr>
              <w:rPr>
                <w:rFonts w:ascii="Calibri" w:hAnsi="Calibri" w:cs="Calibri"/>
                <w:color w:val="000000"/>
                <w:sz w:val="22"/>
                <w:szCs w:val="22"/>
              </w:rPr>
            </w:pPr>
            <w:r w:rsidRPr="00D0217E">
              <w:rPr>
                <w:color w:val="000000"/>
              </w:rPr>
              <w:t>Controlling perceptions</w:t>
            </w:r>
          </w:p>
        </w:tc>
        <w:tc>
          <w:tcPr>
            <w:tcW w:w="1260" w:type="dxa"/>
            <w:tcBorders>
              <w:top w:val="nil"/>
              <w:left w:val="nil"/>
              <w:bottom w:val="single" w:sz="4" w:space="0" w:color="auto"/>
              <w:right w:val="single" w:sz="4" w:space="0" w:color="auto"/>
            </w:tcBorders>
            <w:vAlign w:val="center"/>
          </w:tcPr>
          <w:p w14:paraId="0CD23C38" w14:textId="5D96F22A" w:rsidR="002C65C3" w:rsidRPr="009E1F1D" w:rsidRDefault="002C65C3" w:rsidP="002C65C3">
            <w:pPr>
              <w:rPr>
                <w:rFonts w:ascii="Calibri" w:hAnsi="Calibri" w:cs="Calibri"/>
                <w:color w:val="000000"/>
                <w:sz w:val="22"/>
                <w:szCs w:val="22"/>
              </w:rPr>
            </w:pPr>
            <w:r w:rsidRPr="00D0217E">
              <w:rPr>
                <w:color w:val="000000"/>
              </w:rPr>
              <w:t>Employee outcomes</w:t>
            </w:r>
          </w:p>
        </w:tc>
        <w:tc>
          <w:tcPr>
            <w:tcW w:w="1530" w:type="dxa"/>
            <w:tcBorders>
              <w:top w:val="nil"/>
              <w:left w:val="nil"/>
              <w:bottom w:val="single" w:sz="4" w:space="0" w:color="auto"/>
              <w:right w:val="single" w:sz="4" w:space="0" w:color="auto"/>
            </w:tcBorders>
            <w:hideMark/>
          </w:tcPr>
          <w:p w14:paraId="785CE7F0" w14:textId="1F0E6F5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w:t>
            </w:r>
            <w:r w:rsidR="00676625">
              <w:rPr>
                <w:rFonts w:ascii="Calibri" w:hAnsi="Calibri" w:cs="Calibri"/>
                <w:color w:val="000000"/>
                <w:sz w:val="22"/>
                <w:szCs w:val="22"/>
              </w:rPr>
              <w:t>B</w:t>
            </w:r>
            <w:r w:rsidRPr="009E1F1D">
              <w:rPr>
                <w:rFonts w:ascii="Calibri" w:hAnsi="Calibri" w:cs="Calibri"/>
                <w:color w:val="000000"/>
                <w:sz w:val="22"/>
                <w:szCs w:val="22"/>
              </w:rPr>
              <w:t>P effects depend on whether pay is experienced as controlling or informational</w:t>
            </w:r>
          </w:p>
        </w:tc>
        <w:tc>
          <w:tcPr>
            <w:tcW w:w="1440" w:type="dxa"/>
            <w:tcBorders>
              <w:top w:val="nil"/>
              <w:left w:val="nil"/>
              <w:bottom w:val="single" w:sz="4" w:space="0" w:color="auto"/>
              <w:right w:val="single" w:sz="4" w:space="0" w:color="auto"/>
            </w:tcBorders>
          </w:tcPr>
          <w:p w14:paraId="2FC436D2" w14:textId="2269342A" w:rsidR="002C65C3" w:rsidRPr="009E1F1D" w:rsidRDefault="0022710A" w:rsidP="002C65C3">
            <w:pPr>
              <w:rPr>
                <w:rFonts w:ascii="Calibri" w:hAnsi="Calibri" w:cs="Calibri"/>
                <w:color w:val="000000"/>
                <w:sz w:val="22"/>
                <w:szCs w:val="22"/>
              </w:rPr>
            </w:pPr>
            <w:r w:rsidRPr="004B62CF">
              <w:rPr>
                <w:rFonts w:ascii="Calibri" w:hAnsi="Calibri" w:cs="Calibri"/>
                <w:color w:val="000000"/>
                <w:sz w:val="22"/>
                <w:szCs w:val="22"/>
              </w:rPr>
              <w:t>Need satisfaction, P</w:t>
            </w:r>
            <w:r w:rsidR="00676625">
              <w:rPr>
                <w:rFonts w:ascii="Calibri" w:hAnsi="Calibri" w:cs="Calibri"/>
                <w:color w:val="000000"/>
                <w:sz w:val="22"/>
                <w:szCs w:val="22"/>
              </w:rPr>
              <w:t>B</w:t>
            </w:r>
            <w:r w:rsidRPr="004B62CF">
              <w:rPr>
                <w:rFonts w:ascii="Calibri" w:hAnsi="Calibri" w:cs="Calibri"/>
                <w:color w:val="000000"/>
                <w:sz w:val="22"/>
                <w:szCs w:val="22"/>
              </w:rPr>
              <w:t>P</w:t>
            </w:r>
          </w:p>
        </w:tc>
        <w:tc>
          <w:tcPr>
            <w:tcW w:w="236" w:type="dxa"/>
            <w:tcBorders>
              <w:top w:val="nil"/>
              <w:left w:val="nil"/>
              <w:bottom w:val="single" w:sz="4" w:space="0" w:color="auto"/>
              <w:right w:val="single" w:sz="4" w:space="0" w:color="auto"/>
            </w:tcBorders>
          </w:tcPr>
          <w:p w14:paraId="1577D9BA" w14:textId="49E04A26"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1E87A54" w14:textId="405874C1" w:rsidR="002C65C3" w:rsidRPr="009E1F1D" w:rsidRDefault="002C65C3" w:rsidP="002C65C3">
            <w:pPr>
              <w:rPr>
                <w:rFonts w:ascii="Calibri" w:hAnsi="Calibri" w:cs="Calibri"/>
                <w:color w:val="000000"/>
                <w:sz w:val="22"/>
                <w:szCs w:val="22"/>
              </w:rPr>
            </w:pPr>
          </w:p>
        </w:tc>
      </w:tr>
      <w:tr w:rsidR="002A58DC" w:rsidRPr="009E1F1D" w14:paraId="5F52585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230079F"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46</w:t>
            </w:r>
          </w:p>
        </w:tc>
        <w:tc>
          <w:tcPr>
            <w:tcW w:w="1260" w:type="dxa"/>
            <w:tcBorders>
              <w:top w:val="nil"/>
              <w:left w:val="nil"/>
              <w:bottom w:val="single" w:sz="4" w:space="0" w:color="auto"/>
              <w:right w:val="single" w:sz="4" w:space="0" w:color="auto"/>
            </w:tcBorders>
            <w:hideMark/>
          </w:tcPr>
          <w:p w14:paraId="57A1154F"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Pay for Performance and Employee Outcomes: The Mediating Role of Psychological Need Satisfaction</w:t>
            </w:r>
          </w:p>
        </w:tc>
        <w:tc>
          <w:tcPr>
            <w:tcW w:w="1530" w:type="dxa"/>
            <w:tcBorders>
              <w:top w:val="nil"/>
              <w:left w:val="nil"/>
              <w:bottom w:val="single" w:sz="4" w:space="0" w:color="auto"/>
              <w:right w:val="single" w:sz="4" w:space="0" w:color="auto"/>
            </w:tcBorders>
            <w:hideMark/>
          </w:tcPr>
          <w:p w14:paraId="59BB5A87"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 xml:space="preserve">Olafsen, A.H., </w:t>
            </w:r>
            <w:proofErr w:type="spellStart"/>
            <w:r w:rsidRPr="009E1F1D">
              <w:rPr>
                <w:rFonts w:ascii="Calibri" w:hAnsi="Calibri" w:cs="Calibri"/>
                <w:color w:val="000000"/>
                <w:sz w:val="22"/>
                <w:szCs w:val="22"/>
              </w:rPr>
              <w:t>Halvari</w:t>
            </w:r>
            <w:proofErr w:type="spellEnd"/>
            <w:r w:rsidRPr="009E1F1D">
              <w:rPr>
                <w:rFonts w:ascii="Calibri" w:hAnsi="Calibri" w:cs="Calibri"/>
                <w:color w:val="000000"/>
                <w:sz w:val="22"/>
                <w:szCs w:val="22"/>
              </w:rPr>
              <w:t>, H., Forest, J. &amp; Deci, E.L.</w:t>
            </w:r>
          </w:p>
        </w:tc>
        <w:tc>
          <w:tcPr>
            <w:tcW w:w="720" w:type="dxa"/>
            <w:tcBorders>
              <w:top w:val="nil"/>
              <w:left w:val="nil"/>
              <w:bottom w:val="single" w:sz="4" w:space="0" w:color="auto"/>
              <w:right w:val="single" w:sz="4" w:space="0" w:color="auto"/>
            </w:tcBorders>
            <w:hideMark/>
          </w:tcPr>
          <w:p w14:paraId="038CDD4A"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2015</w:t>
            </w:r>
          </w:p>
        </w:tc>
        <w:tc>
          <w:tcPr>
            <w:tcW w:w="1710" w:type="dxa"/>
            <w:tcBorders>
              <w:top w:val="nil"/>
              <w:left w:val="nil"/>
              <w:bottom w:val="single" w:sz="4" w:space="0" w:color="auto"/>
              <w:right w:val="single" w:sz="4" w:space="0" w:color="auto"/>
            </w:tcBorders>
          </w:tcPr>
          <w:p w14:paraId="4E12171B" w14:textId="73639949" w:rsidR="002C65C3" w:rsidRPr="009E1F1D" w:rsidRDefault="002C65C3" w:rsidP="002C65C3">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270D3BA1" w14:textId="5F1E88E5" w:rsidR="002C65C3" w:rsidRPr="009E1F1D" w:rsidRDefault="002C65C3" w:rsidP="002C65C3">
            <w:pPr>
              <w:rPr>
                <w:rFonts w:ascii="Calibri" w:hAnsi="Calibri" w:cs="Calibri"/>
                <w:color w:val="000000"/>
                <w:sz w:val="22"/>
                <w:szCs w:val="22"/>
              </w:rPr>
            </w:pPr>
            <w:r w:rsidRPr="00D0217E">
              <w:rPr>
                <w:color w:val="000000"/>
              </w:rPr>
              <w:t>Autonomy support</w:t>
            </w:r>
          </w:p>
        </w:tc>
        <w:tc>
          <w:tcPr>
            <w:tcW w:w="1980" w:type="dxa"/>
            <w:tcBorders>
              <w:top w:val="nil"/>
              <w:left w:val="nil"/>
              <w:bottom w:val="single" w:sz="4" w:space="0" w:color="auto"/>
              <w:right w:val="single" w:sz="4" w:space="0" w:color="auto"/>
            </w:tcBorders>
            <w:vAlign w:val="center"/>
          </w:tcPr>
          <w:p w14:paraId="41B55AA4" w14:textId="3176A5D7" w:rsidR="002C65C3" w:rsidRPr="009E1F1D" w:rsidRDefault="002C65C3" w:rsidP="002C65C3">
            <w:pPr>
              <w:rPr>
                <w:rFonts w:ascii="Calibri" w:hAnsi="Calibri" w:cs="Calibri"/>
                <w:color w:val="000000"/>
                <w:sz w:val="22"/>
                <w:szCs w:val="22"/>
              </w:rPr>
            </w:pPr>
            <w:r w:rsidRPr="00D0217E">
              <w:rPr>
                <w:color w:val="000000"/>
              </w:rPr>
              <w:t>Controlling pay</w:t>
            </w:r>
          </w:p>
        </w:tc>
        <w:tc>
          <w:tcPr>
            <w:tcW w:w="1260" w:type="dxa"/>
            <w:tcBorders>
              <w:top w:val="nil"/>
              <w:left w:val="nil"/>
              <w:bottom w:val="single" w:sz="4" w:space="0" w:color="auto"/>
              <w:right w:val="single" w:sz="4" w:space="0" w:color="auto"/>
            </w:tcBorders>
            <w:vAlign w:val="center"/>
          </w:tcPr>
          <w:p w14:paraId="65632689" w14:textId="2FC4EB1E" w:rsidR="002C65C3" w:rsidRPr="009E1F1D" w:rsidRDefault="002C65C3" w:rsidP="002C65C3">
            <w:pPr>
              <w:rPr>
                <w:rFonts w:ascii="Calibri" w:hAnsi="Calibri" w:cs="Calibri"/>
                <w:color w:val="000000"/>
                <w:sz w:val="22"/>
                <w:szCs w:val="22"/>
              </w:rPr>
            </w:pPr>
            <w:r w:rsidRPr="00D0217E">
              <w:rPr>
                <w:color w:val="000000"/>
              </w:rPr>
              <w:t>Intrinsic motivation</w:t>
            </w:r>
          </w:p>
        </w:tc>
        <w:tc>
          <w:tcPr>
            <w:tcW w:w="1530" w:type="dxa"/>
            <w:tcBorders>
              <w:top w:val="nil"/>
              <w:left w:val="nil"/>
              <w:bottom w:val="single" w:sz="4" w:space="0" w:color="auto"/>
              <w:right w:val="single" w:sz="4" w:space="0" w:color="auto"/>
            </w:tcBorders>
            <w:hideMark/>
          </w:tcPr>
          <w:p w14:paraId="27CA3142"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Autonomy-supportive and informational contexts can shape effects of pay</w:t>
            </w:r>
          </w:p>
        </w:tc>
        <w:tc>
          <w:tcPr>
            <w:tcW w:w="1440" w:type="dxa"/>
            <w:tcBorders>
              <w:top w:val="nil"/>
              <w:left w:val="nil"/>
              <w:bottom w:val="single" w:sz="4" w:space="0" w:color="auto"/>
              <w:right w:val="single" w:sz="4" w:space="0" w:color="auto"/>
            </w:tcBorders>
          </w:tcPr>
          <w:p w14:paraId="642B33F3" w14:textId="3F455205" w:rsidR="002C65C3" w:rsidRPr="009E1F1D" w:rsidRDefault="009C505A" w:rsidP="002C65C3">
            <w:pPr>
              <w:rPr>
                <w:rFonts w:ascii="Calibri" w:hAnsi="Calibri" w:cs="Calibri"/>
                <w:color w:val="000000"/>
                <w:sz w:val="22"/>
                <w:szCs w:val="22"/>
              </w:rPr>
            </w:pPr>
            <w:r w:rsidRPr="004B62CF">
              <w:rPr>
                <w:rFonts w:ascii="Calibri" w:hAnsi="Calibri" w:cs="Calibri"/>
                <w:color w:val="000000"/>
                <w:sz w:val="22"/>
                <w:szCs w:val="22"/>
              </w:rPr>
              <w:t>P</w:t>
            </w:r>
            <w:r w:rsidR="00676625">
              <w:rPr>
                <w:rFonts w:ascii="Calibri" w:hAnsi="Calibri" w:cs="Calibri"/>
                <w:color w:val="000000"/>
                <w:sz w:val="22"/>
                <w:szCs w:val="22"/>
              </w:rPr>
              <w:t>B</w:t>
            </w:r>
            <w:r w:rsidRPr="004B62CF">
              <w:rPr>
                <w:rFonts w:ascii="Calibri" w:hAnsi="Calibri" w:cs="Calibri"/>
                <w:color w:val="000000"/>
                <w:sz w:val="22"/>
                <w:szCs w:val="22"/>
              </w:rPr>
              <w:t>P, sorting, performance</w:t>
            </w:r>
          </w:p>
        </w:tc>
        <w:tc>
          <w:tcPr>
            <w:tcW w:w="236" w:type="dxa"/>
            <w:tcBorders>
              <w:top w:val="nil"/>
              <w:left w:val="nil"/>
              <w:bottom w:val="single" w:sz="4" w:space="0" w:color="auto"/>
              <w:right w:val="single" w:sz="4" w:space="0" w:color="auto"/>
            </w:tcBorders>
          </w:tcPr>
          <w:p w14:paraId="6874EE1B" w14:textId="3C897177"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8DF732C" w14:textId="1C83F724" w:rsidR="002C65C3" w:rsidRPr="009E1F1D" w:rsidRDefault="002C65C3" w:rsidP="002C65C3">
            <w:pPr>
              <w:rPr>
                <w:rFonts w:ascii="Calibri" w:hAnsi="Calibri" w:cs="Calibri"/>
                <w:color w:val="000000"/>
                <w:sz w:val="22"/>
                <w:szCs w:val="22"/>
              </w:rPr>
            </w:pPr>
          </w:p>
        </w:tc>
      </w:tr>
      <w:tr w:rsidR="002A58DC" w:rsidRPr="009E1F1D" w14:paraId="25E7BAD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514F1E0" w14:textId="77777777" w:rsidR="002C65C3" w:rsidRPr="009E1F1D" w:rsidRDefault="002C65C3" w:rsidP="002C65C3">
            <w:pPr>
              <w:jc w:val="right"/>
              <w:rPr>
                <w:rFonts w:ascii="Calibri" w:hAnsi="Calibri" w:cs="Calibri"/>
                <w:color w:val="000000"/>
                <w:sz w:val="22"/>
                <w:szCs w:val="22"/>
              </w:rPr>
            </w:pPr>
            <w:r w:rsidRPr="009E1F1D">
              <w:rPr>
                <w:rFonts w:ascii="Calibri" w:hAnsi="Calibri" w:cs="Calibri"/>
                <w:color w:val="000000"/>
                <w:sz w:val="22"/>
                <w:szCs w:val="22"/>
              </w:rPr>
              <w:t>47</w:t>
            </w:r>
          </w:p>
        </w:tc>
        <w:tc>
          <w:tcPr>
            <w:tcW w:w="1260" w:type="dxa"/>
            <w:tcBorders>
              <w:top w:val="nil"/>
              <w:left w:val="nil"/>
              <w:bottom w:val="single" w:sz="4" w:space="0" w:color="auto"/>
              <w:right w:val="single" w:sz="4" w:space="0" w:color="auto"/>
            </w:tcBorders>
            <w:hideMark/>
          </w:tcPr>
          <w:p w14:paraId="3F901583"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Pay for Performance and Employee Outcomes: A Review of the Evidence</w:t>
            </w:r>
          </w:p>
        </w:tc>
        <w:tc>
          <w:tcPr>
            <w:tcW w:w="1530" w:type="dxa"/>
            <w:tcBorders>
              <w:top w:val="nil"/>
              <w:left w:val="nil"/>
              <w:bottom w:val="single" w:sz="4" w:space="0" w:color="auto"/>
              <w:right w:val="single" w:sz="4" w:space="0" w:color="auto"/>
            </w:tcBorders>
            <w:hideMark/>
          </w:tcPr>
          <w:p w14:paraId="1596153D"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Nyberg, A.J., Pieper, J.R. &amp; Trevor, C.O.</w:t>
            </w:r>
          </w:p>
        </w:tc>
        <w:tc>
          <w:tcPr>
            <w:tcW w:w="720" w:type="dxa"/>
            <w:tcBorders>
              <w:top w:val="nil"/>
              <w:left w:val="nil"/>
              <w:bottom w:val="single" w:sz="4" w:space="0" w:color="auto"/>
              <w:right w:val="single" w:sz="4" w:space="0" w:color="auto"/>
            </w:tcBorders>
            <w:hideMark/>
          </w:tcPr>
          <w:p w14:paraId="39B9860C" w14:textId="77777777"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2016</w:t>
            </w:r>
          </w:p>
        </w:tc>
        <w:tc>
          <w:tcPr>
            <w:tcW w:w="1710" w:type="dxa"/>
            <w:tcBorders>
              <w:top w:val="nil"/>
              <w:left w:val="nil"/>
              <w:bottom w:val="single" w:sz="4" w:space="0" w:color="auto"/>
              <w:right w:val="single" w:sz="4" w:space="0" w:color="auto"/>
            </w:tcBorders>
          </w:tcPr>
          <w:p w14:paraId="1D585FBD" w14:textId="6BA766E6" w:rsidR="002C65C3" w:rsidRPr="009E1F1D" w:rsidRDefault="002C65C3" w:rsidP="002C65C3">
            <w:pPr>
              <w:rPr>
                <w:rFonts w:ascii="Calibri" w:hAnsi="Calibri" w:cs="Calibri"/>
                <w:color w:val="000000"/>
                <w:sz w:val="22"/>
                <w:szCs w:val="22"/>
              </w:rPr>
            </w:pPr>
            <w:r w:rsidRPr="009D16FB">
              <w:rPr>
                <w:rFonts w:ascii="Calibri" w:hAnsi="Calibri" w:cs="Calibri"/>
                <w:color w:val="000000"/>
                <w:sz w:val="22"/>
                <w:szCs w:val="22"/>
              </w:rPr>
              <w:t>Agency; sorting; motivation</w:t>
            </w:r>
          </w:p>
        </w:tc>
        <w:tc>
          <w:tcPr>
            <w:tcW w:w="1710" w:type="dxa"/>
            <w:tcBorders>
              <w:top w:val="nil"/>
              <w:left w:val="nil"/>
              <w:bottom w:val="single" w:sz="4" w:space="0" w:color="auto"/>
              <w:right w:val="single" w:sz="4" w:space="0" w:color="auto"/>
            </w:tcBorders>
            <w:vAlign w:val="center"/>
          </w:tcPr>
          <w:p w14:paraId="625DA648" w14:textId="417ACEFD" w:rsidR="002C65C3" w:rsidRPr="009E1F1D" w:rsidRDefault="002C65C3" w:rsidP="002C65C3">
            <w:pPr>
              <w:rPr>
                <w:rFonts w:ascii="Calibri" w:hAnsi="Calibri" w:cs="Calibri"/>
                <w:color w:val="000000"/>
                <w:sz w:val="22"/>
                <w:szCs w:val="22"/>
              </w:rPr>
            </w:pPr>
            <w:r w:rsidRPr="00D0217E">
              <w:rPr>
                <w:color w:val="000000"/>
              </w:rPr>
              <w:t>Performance motivation</w:t>
            </w:r>
          </w:p>
        </w:tc>
        <w:tc>
          <w:tcPr>
            <w:tcW w:w="1980" w:type="dxa"/>
            <w:tcBorders>
              <w:top w:val="nil"/>
              <w:left w:val="nil"/>
              <w:bottom w:val="single" w:sz="4" w:space="0" w:color="auto"/>
              <w:right w:val="single" w:sz="4" w:space="0" w:color="auto"/>
            </w:tcBorders>
            <w:vAlign w:val="center"/>
          </w:tcPr>
          <w:p w14:paraId="3DC10314" w14:textId="1F639721" w:rsidR="002C65C3" w:rsidRPr="009E1F1D" w:rsidRDefault="002C65C3" w:rsidP="002C65C3">
            <w:pPr>
              <w:rPr>
                <w:rFonts w:ascii="Calibri" w:hAnsi="Calibri" w:cs="Calibri"/>
                <w:color w:val="000000"/>
                <w:sz w:val="22"/>
                <w:szCs w:val="22"/>
              </w:rPr>
            </w:pPr>
            <w:r w:rsidRPr="00D0217E">
              <w:rPr>
                <w:color w:val="000000"/>
              </w:rPr>
              <w:t>Future uncertainty</w:t>
            </w:r>
          </w:p>
        </w:tc>
        <w:tc>
          <w:tcPr>
            <w:tcW w:w="1260" w:type="dxa"/>
            <w:tcBorders>
              <w:top w:val="nil"/>
              <w:left w:val="nil"/>
              <w:bottom w:val="single" w:sz="4" w:space="0" w:color="auto"/>
              <w:right w:val="single" w:sz="4" w:space="0" w:color="auto"/>
            </w:tcBorders>
            <w:vAlign w:val="center"/>
          </w:tcPr>
          <w:p w14:paraId="309FF7D3" w14:textId="4AA990F3" w:rsidR="002C65C3" w:rsidRPr="009E1F1D" w:rsidRDefault="002C65C3" w:rsidP="002C65C3">
            <w:pPr>
              <w:rPr>
                <w:rFonts w:ascii="Calibri" w:hAnsi="Calibri" w:cs="Calibri"/>
                <w:color w:val="000000"/>
                <w:sz w:val="22"/>
                <w:szCs w:val="22"/>
              </w:rPr>
            </w:pPr>
            <w:r w:rsidRPr="00D0217E">
              <w:rPr>
                <w:color w:val="000000"/>
              </w:rPr>
              <w:t>Employee outcomes</w:t>
            </w:r>
          </w:p>
        </w:tc>
        <w:tc>
          <w:tcPr>
            <w:tcW w:w="1530" w:type="dxa"/>
            <w:tcBorders>
              <w:top w:val="nil"/>
              <w:left w:val="nil"/>
              <w:bottom w:val="single" w:sz="4" w:space="0" w:color="auto"/>
              <w:right w:val="single" w:sz="4" w:space="0" w:color="auto"/>
            </w:tcBorders>
            <w:hideMark/>
          </w:tcPr>
          <w:p w14:paraId="03F3202A" w14:textId="7D08F299" w:rsidR="002C65C3" w:rsidRPr="009E1F1D" w:rsidRDefault="002C65C3" w:rsidP="002C65C3">
            <w:pPr>
              <w:rPr>
                <w:rFonts w:ascii="Calibri" w:hAnsi="Calibri" w:cs="Calibri"/>
                <w:color w:val="000000"/>
                <w:sz w:val="22"/>
                <w:szCs w:val="22"/>
              </w:rPr>
            </w:pPr>
            <w:r w:rsidRPr="009E1F1D">
              <w:rPr>
                <w:rFonts w:ascii="Calibri" w:hAnsi="Calibri" w:cs="Calibri"/>
                <w:color w:val="000000"/>
                <w:sz w:val="22"/>
                <w:szCs w:val="22"/>
              </w:rPr>
              <w:t>P</w:t>
            </w:r>
            <w:r w:rsidR="00676625">
              <w:rPr>
                <w:rFonts w:ascii="Calibri" w:hAnsi="Calibri" w:cs="Calibri"/>
                <w:color w:val="000000"/>
                <w:sz w:val="22"/>
                <w:szCs w:val="22"/>
              </w:rPr>
              <w:t>B</w:t>
            </w:r>
            <w:r w:rsidRPr="009E1F1D">
              <w:rPr>
                <w:rFonts w:ascii="Calibri" w:hAnsi="Calibri" w:cs="Calibri"/>
                <w:color w:val="000000"/>
                <w:sz w:val="22"/>
                <w:szCs w:val="22"/>
              </w:rPr>
              <w:t>P effects vary by design, performance measure and workforce sorting</w:t>
            </w:r>
          </w:p>
        </w:tc>
        <w:tc>
          <w:tcPr>
            <w:tcW w:w="1440" w:type="dxa"/>
            <w:tcBorders>
              <w:top w:val="nil"/>
              <w:left w:val="nil"/>
              <w:bottom w:val="single" w:sz="4" w:space="0" w:color="auto"/>
              <w:right w:val="single" w:sz="4" w:space="0" w:color="auto"/>
            </w:tcBorders>
          </w:tcPr>
          <w:p w14:paraId="3AD74903" w14:textId="1DB1F2D3" w:rsidR="002C65C3" w:rsidRPr="009E1F1D" w:rsidRDefault="004D421D" w:rsidP="002C65C3">
            <w:pPr>
              <w:rPr>
                <w:rFonts w:ascii="Calibri" w:hAnsi="Calibri" w:cs="Calibri"/>
                <w:color w:val="000000"/>
                <w:sz w:val="22"/>
                <w:szCs w:val="22"/>
              </w:rPr>
            </w:pPr>
            <w:r w:rsidRPr="004B62CF">
              <w:rPr>
                <w:rFonts w:ascii="Calibri" w:hAnsi="Calibri" w:cs="Calibri"/>
                <w:color w:val="000000"/>
                <w:sz w:val="22"/>
                <w:szCs w:val="22"/>
              </w:rPr>
              <w:t>P</w:t>
            </w:r>
            <w:r w:rsidR="00676625">
              <w:rPr>
                <w:rFonts w:ascii="Calibri" w:hAnsi="Calibri" w:cs="Calibri"/>
                <w:color w:val="000000"/>
                <w:sz w:val="22"/>
                <w:szCs w:val="22"/>
              </w:rPr>
              <w:t>B</w:t>
            </w:r>
            <w:r w:rsidRPr="004B62CF">
              <w:rPr>
                <w:rFonts w:ascii="Calibri" w:hAnsi="Calibri" w:cs="Calibri"/>
                <w:color w:val="000000"/>
                <w:sz w:val="22"/>
                <w:szCs w:val="22"/>
              </w:rPr>
              <w:t>P, incentives</w:t>
            </w:r>
          </w:p>
        </w:tc>
        <w:tc>
          <w:tcPr>
            <w:tcW w:w="236" w:type="dxa"/>
            <w:tcBorders>
              <w:top w:val="nil"/>
              <w:left w:val="nil"/>
              <w:bottom w:val="single" w:sz="4" w:space="0" w:color="auto"/>
              <w:right w:val="single" w:sz="4" w:space="0" w:color="auto"/>
            </w:tcBorders>
          </w:tcPr>
          <w:p w14:paraId="7018D8BF" w14:textId="7FD2BE04" w:rsidR="002C65C3" w:rsidRPr="009E1F1D" w:rsidRDefault="002C65C3" w:rsidP="002C65C3">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43FFD5E" w14:textId="0DACF08E" w:rsidR="002C65C3" w:rsidRPr="009E1F1D" w:rsidRDefault="002C65C3" w:rsidP="002C65C3">
            <w:pPr>
              <w:rPr>
                <w:rFonts w:ascii="Calibri" w:hAnsi="Calibri" w:cs="Calibri"/>
                <w:color w:val="000000"/>
                <w:sz w:val="22"/>
                <w:szCs w:val="22"/>
              </w:rPr>
            </w:pPr>
          </w:p>
        </w:tc>
      </w:tr>
      <w:tr w:rsidR="002A58DC" w:rsidRPr="009E1F1D" w14:paraId="7A550DF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5F8A792"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lastRenderedPageBreak/>
              <w:t>48</w:t>
            </w:r>
          </w:p>
        </w:tc>
        <w:tc>
          <w:tcPr>
            <w:tcW w:w="1260" w:type="dxa"/>
            <w:tcBorders>
              <w:top w:val="nil"/>
              <w:left w:val="nil"/>
              <w:bottom w:val="single" w:sz="4" w:space="0" w:color="auto"/>
              <w:right w:val="single" w:sz="4" w:space="0" w:color="auto"/>
            </w:tcBorders>
            <w:hideMark/>
          </w:tcPr>
          <w:p w14:paraId="6F416C7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Incentives and Pay for Performance in the Workplace</w:t>
            </w:r>
          </w:p>
        </w:tc>
        <w:tc>
          <w:tcPr>
            <w:tcW w:w="1530" w:type="dxa"/>
            <w:tcBorders>
              <w:top w:val="nil"/>
              <w:left w:val="nil"/>
              <w:bottom w:val="single" w:sz="4" w:space="0" w:color="auto"/>
              <w:right w:val="single" w:sz="4" w:space="0" w:color="auto"/>
            </w:tcBorders>
            <w:hideMark/>
          </w:tcPr>
          <w:p w14:paraId="3BEB2F0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Gerhart, B.</w:t>
            </w:r>
          </w:p>
        </w:tc>
        <w:tc>
          <w:tcPr>
            <w:tcW w:w="720" w:type="dxa"/>
            <w:tcBorders>
              <w:top w:val="nil"/>
              <w:left w:val="nil"/>
              <w:bottom w:val="single" w:sz="4" w:space="0" w:color="auto"/>
              <w:right w:val="single" w:sz="4" w:space="0" w:color="auto"/>
            </w:tcBorders>
            <w:hideMark/>
          </w:tcPr>
          <w:p w14:paraId="48780E10"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2017</w:t>
            </w:r>
          </w:p>
        </w:tc>
        <w:tc>
          <w:tcPr>
            <w:tcW w:w="1710" w:type="dxa"/>
            <w:tcBorders>
              <w:top w:val="nil"/>
              <w:left w:val="nil"/>
              <w:bottom w:val="single" w:sz="4" w:space="0" w:color="auto"/>
              <w:right w:val="single" w:sz="4" w:space="0" w:color="auto"/>
            </w:tcBorders>
          </w:tcPr>
          <w:p w14:paraId="40C05294" w14:textId="782CA169" w:rsidR="00235B1B" w:rsidRPr="009E1F1D" w:rsidRDefault="00235B1B" w:rsidP="00235B1B">
            <w:pPr>
              <w:rPr>
                <w:rFonts w:ascii="Calibri" w:hAnsi="Calibri" w:cs="Calibri"/>
                <w:color w:val="000000"/>
                <w:sz w:val="22"/>
                <w:szCs w:val="22"/>
              </w:rPr>
            </w:pPr>
            <w:r w:rsidRPr="009D16FB">
              <w:rPr>
                <w:rFonts w:ascii="Calibri" w:hAnsi="Calibri" w:cs="Calibri"/>
                <w:color w:val="000000"/>
                <w:sz w:val="22"/>
                <w:szCs w:val="22"/>
              </w:rPr>
              <w:t>Agency; expectancy; motivation</w:t>
            </w:r>
          </w:p>
        </w:tc>
        <w:tc>
          <w:tcPr>
            <w:tcW w:w="1710" w:type="dxa"/>
            <w:tcBorders>
              <w:top w:val="nil"/>
              <w:left w:val="nil"/>
              <w:bottom w:val="single" w:sz="4" w:space="0" w:color="auto"/>
              <w:right w:val="single" w:sz="4" w:space="0" w:color="auto"/>
            </w:tcBorders>
            <w:vAlign w:val="center"/>
          </w:tcPr>
          <w:p w14:paraId="2D2CDEA5" w14:textId="662EC0D0" w:rsidR="00235B1B" w:rsidRPr="009E1F1D" w:rsidRDefault="00235B1B" w:rsidP="00235B1B">
            <w:pPr>
              <w:rPr>
                <w:rFonts w:ascii="Calibri" w:hAnsi="Calibri" w:cs="Calibri"/>
                <w:color w:val="000000"/>
                <w:sz w:val="22"/>
                <w:szCs w:val="22"/>
              </w:rPr>
            </w:pPr>
            <w:r w:rsidRPr="00D0217E">
              <w:rPr>
                <w:color w:val="000000"/>
              </w:rPr>
              <w:t>Performance focus</w:t>
            </w:r>
          </w:p>
        </w:tc>
        <w:tc>
          <w:tcPr>
            <w:tcW w:w="1980" w:type="dxa"/>
            <w:tcBorders>
              <w:top w:val="nil"/>
              <w:left w:val="nil"/>
              <w:bottom w:val="single" w:sz="4" w:space="0" w:color="auto"/>
              <w:right w:val="single" w:sz="4" w:space="0" w:color="auto"/>
            </w:tcBorders>
            <w:vAlign w:val="center"/>
          </w:tcPr>
          <w:p w14:paraId="2D66227B" w14:textId="2AA7D956" w:rsidR="00235B1B" w:rsidRPr="009E1F1D" w:rsidRDefault="00235B1B" w:rsidP="00235B1B">
            <w:pPr>
              <w:rPr>
                <w:rFonts w:ascii="Calibri" w:hAnsi="Calibri" w:cs="Calibri"/>
                <w:color w:val="000000"/>
                <w:sz w:val="22"/>
                <w:szCs w:val="22"/>
              </w:rPr>
            </w:pPr>
            <w:r w:rsidRPr="00D0217E">
              <w:rPr>
                <w:color w:val="000000"/>
              </w:rPr>
              <w:t>Measurement issues</w:t>
            </w:r>
          </w:p>
        </w:tc>
        <w:tc>
          <w:tcPr>
            <w:tcW w:w="1260" w:type="dxa"/>
            <w:tcBorders>
              <w:top w:val="nil"/>
              <w:left w:val="nil"/>
              <w:bottom w:val="single" w:sz="4" w:space="0" w:color="auto"/>
              <w:right w:val="single" w:sz="4" w:space="0" w:color="auto"/>
            </w:tcBorders>
            <w:vAlign w:val="center"/>
          </w:tcPr>
          <w:p w14:paraId="4245878C" w14:textId="04496FB1" w:rsidR="00235B1B" w:rsidRPr="009E1F1D" w:rsidRDefault="00235B1B" w:rsidP="00235B1B">
            <w:pPr>
              <w:rPr>
                <w:rFonts w:ascii="Calibri" w:hAnsi="Calibri" w:cs="Calibri"/>
                <w:color w:val="000000"/>
                <w:sz w:val="22"/>
                <w:szCs w:val="22"/>
              </w:rPr>
            </w:pPr>
            <w:r w:rsidRPr="00D0217E">
              <w:rPr>
                <w:color w:val="000000"/>
              </w:rPr>
              <w:t>Employee performance</w:t>
            </w:r>
          </w:p>
        </w:tc>
        <w:tc>
          <w:tcPr>
            <w:tcW w:w="1530" w:type="dxa"/>
            <w:tcBorders>
              <w:top w:val="nil"/>
              <w:left w:val="nil"/>
              <w:bottom w:val="single" w:sz="4" w:space="0" w:color="auto"/>
              <w:right w:val="single" w:sz="4" w:space="0" w:color="auto"/>
            </w:tcBorders>
            <w:hideMark/>
          </w:tcPr>
          <w:p w14:paraId="006DEEEA"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Workplace PFP differs from laboratory reward manipulations and can affect selection and motivation</w:t>
            </w:r>
          </w:p>
        </w:tc>
        <w:tc>
          <w:tcPr>
            <w:tcW w:w="1440" w:type="dxa"/>
            <w:tcBorders>
              <w:top w:val="nil"/>
              <w:left w:val="nil"/>
              <w:bottom w:val="single" w:sz="4" w:space="0" w:color="auto"/>
              <w:right w:val="single" w:sz="4" w:space="0" w:color="auto"/>
            </w:tcBorders>
          </w:tcPr>
          <w:p w14:paraId="21A34F3A" w14:textId="361E4538" w:rsidR="00235B1B" w:rsidRPr="009E1F1D" w:rsidRDefault="00235B1B" w:rsidP="00235B1B">
            <w:pPr>
              <w:rPr>
                <w:rFonts w:ascii="Calibri" w:hAnsi="Calibri" w:cs="Calibri"/>
                <w:color w:val="000000"/>
                <w:sz w:val="22"/>
                <w:szCs w:val="22"/>
              </w:rPr>
            </w:pPr>
            <w:r w:rsidRPr="004B62CF">
              <w:rPr>
                <w:rFonts w:ascii="Calibri" w:hAnsi="Calibri" w:cs="Calibri"/>
                <w:color w:val="000000"/>
                <w:sz w:val="22"/>
                <w:szCs w:val="22"/>
              </w:rPr>
              <w:t>Incentive contracts, measurement</w:t>
            </w:r>
          </w:p>
        </w:tc>
        <w:tc>
          <w:tcPr>
            <w:tcW w:w="236" w:type="dxa"/>
            <w:tcBorders>
              <w:top w:val="nil"/>
              <w:left w:val="nil"/>
              <w:bottom w:val="single" w:sz="4" w:space="0" w:color="auto"/>
              <w:right w:val="single" w:sz="4" w:space="0" w:color="auto"/>
            </w:tcBorders>
          </w:tcPr>
          <w:p w14:paraId="112316C3" w14:textId="52D08CD9"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A2CF8E5" w14:textId="3E952E36" w:rsidR="00235B1B" w:rsidRPr="009E1F1D" w:rsidRDefault="00235B1B" w:rsidP="00235B1B">
            <w:pPr>
              <w:rPr>
                <w:rFonts w:ascii="Calibri" w:hAnsi="Calibri" w:cs="Calibri"/>
                <w:color w:val="000000"/>
                <w:sz w:val="22"/>
                <w:szCs w:val="22"/>
              </w:rPr>
            </w:pPr>
          </w:p>
        </w:tc>
      </w:tr>
      <w:tr w:rsidR="002A58DC" w:rsidRPr="009E1F1D" w14:paraId="0AAA5D8C"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C04C735"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49</w:t>
            </w:r>
          </w:p>
        </w:tc>
        <w:tc>
          <w:tcPr>
            <w:tcW w:w="1260" w:type="dxa"/>
            <w:tcBorders>
              <w:top w:val="nil"/>
              <w:left w:val="nil"/>
              <w:bottom w:val="single" w:sz="4" w:space="0" w:color="auto"/>
              <w:right w:val="single" w:sz="4" w:space="0" w:color="auto"/>
            </w:tcBorders>
            <w:hideMark/>
          </w:tcPr>
          <w:p w14:paraId="4E5B06A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Compensation and Incentives: Practice vs. Theory</w:t>
            </w:r>
          </w:p>
        </w:tc>
        <w:tc>
          <w:tcPr>
            <w:tcW w:w="1530" w:type="dxa"/>
            <w:tcBorders>
              <w:top w:val="nil"/>
              <w:left w:val="nil"/>
              <w:bottom w:val="single" w:sz="4" w:space="0" w:color="auto"/>
              <w:right w:val="single" w:sz="4" w:space="0" w:color="auto"/>
            </w:tcBorders>
            <w:hideMark/>
          </w:tcPr>
          <w:p w14:paraId="151B4309"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Baker, G.P.</w:t>
            </w:r>
          </w:p>
        </w:tc>
        <w:tc>
          <w:tcPr>
            <w:tcW w:w="720" w:type="dxa"/>
            <w:tcBorders>
              <w:top w:val="nil"/>
              <w:left w:val="nil"/>
              <w:bottom w:val="single" w:sz="4" w:space="0" w:color="auto"/>
              <w:right w:val="single" w:sz="4" w:space="0" w:color="auto"/>
            </w:tcBorders>
            <w:hideMark/>
          </w:tcPr>
          <w:p w14:paraId="51E7683D" w14:textId="4CBDEB9C"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w:t>
            </w:r>
            <w:r>
              <w:rPr>
                <w:rFonts w:ascii="Calibri" w:hAnsi="Calibri" w:cs="Calibri"/>
                <w:color w:val="000000"/>
                <w:sz w:val="22"/>
                <w:szCs w:val="22"/>
              </w:rPr>
              <w:t>88</w:t>
            </w:r>
          </w:p>
        </w:tc>
        <w:tc>
          <w:tcPr>
            <w:tcW w:w="1710" w:type="dxa"/>
            <w:tcBorders>
              <w:top w:val="nil"/>
              <w:left w:val="nil"/>
              <w:bottom w:val="single" w:sz="4" w:space="0" w:color="auto"/>
              <w:right w:val="single" w:sz="4" w:space="0" w:color="auto"/>
            </w:tcBorders>
          </w:tcPr>
          <w:p w14:paraId="3596E04D" w14:textId="5885BF31" w:rsidR="00235B1B" w:rsidRPr="009E1F1D" w:rsidRDefault="00235B1B" w:rsidP="00235B1B">
            <w:pPr>
              <w:rPr>
                <w:rFonts w:ascii="Calibri" w:hAnsi="Calibri" w:cs="Calibri"/>
                <w:color w:val="000000"/>
                <w:sz w:val="22"/>
                <w:szCs w:val="22"/>
              </w:rPr>
            </w:pPr>
            <w:r w:rsidRPr="009D16FB">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7827B246" w14:textId="712F2C58" w:rsidR="00235B1B" w:rsidRPr="009E1F1D" w:rsidRDefault="00235B1B" w:rsidP="00235B1B">
            <w:pPr>
              <w:rPr>
                <w:rFonts w:ascii="Calibri" w:hAnsi="Calibri" w:cs="Calibri"/>
                <w:color w:val="000000"/>
                <w:sz w:val="22"/>
                <w:szCs w:val="22"/>
              </w:rPr>
            </w:pPr>
            <w:r w:rsidRPr="00D0217E">
              <w:rPr>
                <w:color w:val="000000"/>
              </w:rPr>
              <w:t>Incentive alignment</w:t>
            </w:r>
          </w:p>
        </w:tc>
        <w:tc>
          <w:tcPr>
            <w:tcW w:w="1980" w:type="dxa"/>
            <w:tcBorders>
              <w:top w:val="nil"/>
              <w:left w:val="nil"/>
              <w:bottom w:val="single" w:sz="4" w:space="0" w:color="auto"/>
              <w:right w:val="single" w:sz="4" w:space="0" w:color="auto"/>
            </w:tcBorders>
            <w:vAlign w:val="center"/>
          </w:tcPr>
          <w:p w14:paraId="25EF3280" w14:textId="39C5311E" w:rsidR="00235B1B" w:rsidRPr="009E1F1D" w:rsidRDefault="00235B1B" w:rsidP="00235B1B">
            <w:pPr>
              <w:rPr>
                <w:rFonts w:ascii="Calibri" w:hAnsi="Calibri" w:cs="Calibri"/>
                <w:color w:val="000000"/>
                <w:sz w:val="22"/>
                <w:szCs w:val="22"/>
              </w:rPr>
            </w:pPr>
            <w:r w:rsidRPr="00D0217E">
              <w:rPr>
                <w:color w:val="000000"/>
              </w:rPr>
              <w:t>Agency problems</w:t>
            </w:r>
          </w:p>
        </w:tc>
        <w:tc>
          <w:tcPr>
            <w:tcW w:w="1260" w:type="dxa"/>
            <w:tcBorders>
              <w:top w:val="nil"/>
              <w:left w:val="nil"/>
              <w:bottom w:val="single" w:sz="4" w:space="0" w:color="auto"/>
              <w:right w:val="single" w:sz="4" w:space="0" w:color="auto"/>
            </w:tcBorders>
            <w:vAlign w:val="center"/>
          </w:tcPr>
          <w:p w14:paraId="647110C5" w14:textId="5CFA1D32" w:rsidR="00235B1B" w:rsidRPr="009E1F1D" w:rsidRDefault="00235B1B" w:rsidP="00235B1B">
            <w:pPr>
              <w:rPr>
                <w:rFonts w:ascii="Calibri" w:hAnsi="Calibri" w:cs="Calibri"/>
                <w:color w:val="000000"/>
                <w:sz w:val="22"/>
                <w:szCs w:val="22"/>
              </w:rPr>
            </w:pPr>
            <w:r w:rsidRPr="00D0217E">
              <w:rPr>
                <w:color w:val="000000"/>
              </w:rPr>
              <w:t>Employee effort</w:t>
            </w:r>
          </w:p>
        </w:tc>
        <w:tc>
          <w:tcPr>
            <w:tcW w:w="1530" w:type="dxa"/>
            <w:tcBorders>
              <w:top w:val="nil"/>
              <w:left w:val="nil"/>
              <w:bottom w:val="single" w:sz="4" w:space="0" w:color="auto"/>
              <w:right w:val="single" w:sz="4" w:space="0" w:color="auto"/>
            </w:tcBorders>
            <w:hideMark/>
          </w:tcPr>
          <w:p w14:paraId="609D3F37"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Measurement problems can make strong incentives dysfunctional</w:t>
            </w:r>
          </w:p>
        </w:tc>
        <w:tc>
          <w:tcPr>
            <w:tcW w:w="1440" w:type="dxa"/>
            <w:tcBorders>
              <w:top w:val="nil"/>
              <w:left w:val="nil"/>
              <w:bottom w:val="single" w:sz="4" w:space="0" w:color="auto"/>
              <w:right w:val="single" w:sz="4" w:space="0" w:color="auto"/>
            </w:tcBorders>
          </w:tcPr>
          <w:p w14:paraId="07DFD477" w14:textId="26572B00" w:rsidR="00235B1B" w:rsidRPr="009E1F1D" w:rsidRDefault="002D3994" w:rsidP="00235B1B">
            <w:pPr>
              <w:rPr>
                <w:rFonts w:ascii="Calibri" w:hAnsi="Calibri" w:cs="Calibri"/>
                <w:color w:val="000000"/>
                <w:sz w:val="22"/>
                <w:szCs w:val="22"/>
              </w:rPr>
            </w:pPr>
            <w:r w:rsidRPr="004B62CF">
              <w:rPr>
                <w:rFonts w:ascii="Calibri" w:hAnsi="Calibri" w:cs="Calibri"/>
                <w:color w:val="000000"/>
                <w:sz w:val="22"/>
                <w:szCs w:val="22"/>
              </w:rPr>
              <w:t>Performance measurement, incentives</w:t>
            </w:r>
          </w:p>
        </w:tc>
        <w:tc>
          <w:tcPr>
            <w:tcW w:w="236" w:type="dxa"/>
            <w:tcBorders>
              <w:top w:val="nil"/>
              <w:left w:val="nil"/>
              <w:bottom w:val="single" w:sz="4" w:space="0" w:color="auto"/>
              <w:right w:val="single" w:sz="4" w:space="0" w:color="auto"/>
            </w:tcBorders>
          </w:tcPr>
          <w:p w14:paraId="30E6836B" w14:textId="25B8422A"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64C5D77" w14:textId="7C1A910D" w:rsidR="00235B1B" w:rsidRPr="009E1F1D" w:rsidRDefault="00235B1B" w:rsidP="00235B1B">
            <w:pPr>
              <w:rPr>
                <w:rFonts w:ascii="Calibri" w:hAnsi="Calibri" w:cs="Calibri"/>
                <w:color w:val="000000"/>
                <w:sz w:val="22"/>
                <w:szCs w:val="22"/>
              </w:rPr>
            </w:pPr>
          </w:p>
        </w:tc>
      </w:tr>
      <w:tr w:rsidR="002A58DC" w:rsidRPr="009E1F1D" w14:paraId="59552A75"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4D389FE"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50</w:t>
            </w:r>
          </w:p>
        </w:tc>
        <w:tc>
          <w:tcPr>
            <w:tcW w:w="1260" w:type="dxa"/>
            <w:tcBorders>
              <w:top w:val="nil"/>
              <w:left w:val="nil"/>
              <w:bottom w:val="single" w:sz="4" w:space="0" w:color="auto"/>
              <w:right w:val="single" w:sz="4" w:space="0" w:color="auto"/>
            </w:tcBorders>
            <w:hideMark/>
          </w:tcPr>
          <w:p w14:paraId="0261AFB7"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Performance Measurement and Incentive Systems</w:t>
            </w:r>
          </w:p>
        </w:tc>
        <w:tc>
          <w:tcPr>
            <w:tcW w:w="1530" w:type="dxa"/>
            <w:tcBorders>
              <w:top w:val="nil"/>
              <w:left w:val="nil"/>
              <w:bottom w:val="single" w:sz="4" w:space="0" w:color="auto"/>
              <w:right w:val="single" w:sz="4" w:space="0" w:color="auto"/>
            </w:tcBorders>
            <w:hideMark/>
          </w:tcPr>
          <w:p w14:paraId="789EBC2B"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Baker, G., Gibbons, R. &amp; Murphy, K.J.</w:t>
            </w:r>
          </w:p>
        </w:tc>
        <w:tc>
          <w:tcPr>
            <w:tcW w:w="720" w:type="dxa"/>
            <w:tcBorders>
              <w:top w:val="nil"/>
              <w:left w:val="nil"/>
              <w:bottom w:val="single" w:sz="4" w:space="0" w:color="auto"/>
              <w:right w:val="single" w:sz="4" w:space="0" w:color="auto"/>
            </w:tcBorders>
            <w:hideMark/>
          </w:tcPr>
          <w:p w14:paraId="7CA5C2C5"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1994</w:t>
            </w:r>
          </w:p>
        </w:tc>
        <w:tc>
          <w:tcPr>
            <w:tcW w:w="1710" w:type="dxa"/>
            <w:tcBorders>
              <w:top w:val="nil"/>
              <w:left w:val="nil"/>
              <w:bottom w:val="single" w:sz="4" w:space="0" w:color="auto"/>
              <w:right w:val="single" w:sz="4" w:space="0" w:color="auto"/>
            </w:tcBorders>
          </w:tcPr>
          <w:p w14:paraId="7E2DE7CA" w14:textId="1737EF63"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422223B3" w14:textId="71674750" w:rsidR="00235B1B" w:rsidRPr="009E1F1D" w:rsidRDefault="00235B1B" w:rsidP="00235B1B">
            <w:pPr>
              <w:rPr>
                <w:rFonts w:ascii="Calibri" w:hAnsi="Calibri" w:cs="Calibri"/>
                <w:color w:val="000000"/>
                <w:sz w:val="22"/>
                <w:szCs w:val="22"/>
              </w:rPr>
            </w:pPr>
            <w:r w:rsidRPr="00D0217E">
              <w:rPr>
                <w:color w:val="000000"/>
              </w:rPr>
              <w:t>Flexible evaluation</w:t>
            </w:r>
          </w:p>
        </w:tc>
        <w:tc>
          <w:tcPr>
            <w:tcW w:w="1980" w:type="dxa"/>
            <w:tcBorders>
              <w:top w:val="nil"/>
              <w:left w:val="nil"/>
              <w:bottom w:val="single" w:sz="4" w:space="0" w:color="auto"/>
              <w:right w:val="single" w:sz="4" w:space="0" w:color="auto"/>
            </w:tcBorders>
            <w:vAlign w:val="center"/>
          </w:tcPr>
          <w:p w14:paraId="32C0527C" w14:textId="2227C75E" w:rsidR="00235B1B" w:rsidRPr="009E1F1D" w:rsidRDefault="00235B1B" w:rsidP="00235B1B">
            <w:pPr>
              <w:rPr>
                <w:rFonts w:ascii="Calibri" w:hAnsi="Calibri" w:cs="Calibri"/>
                <w:color w:val="000000"/>
                <w:sz w:val="22"/>
                <w:szCs w:val="22"/>
              </w:rPr>
            </w:pPr>
            <w:r w:rsidRPr="00D0217E">
              <w:rPr>
                <w:color w:val="000000"/>
              </w:rPr>
              <w:t>Subjective bias</w:t>
            </w:r>
          </w:p>
        </w:tc>
        <w:tc>
          <w:tcPr>
            <w:tcW w:w="1260" w:type="dxa"/>
            <w:tcBorders>
              <w:top w:val="nil"/>
              <w:left w:val="nil"/>
              <w:bottom w:val="single" w:sz="4" w:space="0" w:color="auto"/>
              <w:right w:val="single" w:sz="4" w:space="0" w:color="auto"/>
            </w:tcBorders>
            <w:vAlign w:val="center"/>
          </w:tcPr>
          <w:p w14:paraId="17292B54" w14:textId="5ABFED71" w:rsidR="00235B1B" w:rsidRPr="009E1F1D" w:rsidRDefault="00235B1B" w:rsidP="00235B1B">
            <w:pPr>
              <w:rPr>
                <w:rFonts w:ascii="Calibri" w:hAnsi="Calibri" w:cs="Calibri"/>
                <w:color w:val="000000"/>
                <w:sz w:val="22"/>
                <w:szCs w:val="22"/>
              </w:rPr>
            </w:pPr>
            <w:proofErr w:type="spellStart"/>
            <w:proofErr w:type="gramStart"/>
            <w:r w:rsidRPr="00D0217E">
              <w:rPr>
                <w:color w:val="000000"/>
              </w:rPr>
              <w:t>Performance</w:t>
            </w:r>
            <w:r>
              <w:rPr>
                <w:color w:val="000000"/>
              </w:rPr>
              <w:t>,incentive</w:t>
            </w:r>
            <w:proofErr w:type="spellEnd"/>
            <w:proofErr w:type="gramEnd"/>
            <w:r>
              <w:rPr>
                <w:color w:val="000000"/>
              </w:rPr>
              <w:t xml:space="preserve"> </w:t>
            </w:r>
            <w:r w:rsidRPr="00D0217E">
              <w:rPr>
                <w:color w:val="000000"/>
              </w:rPr>
              <w:t>improvement</w:t>
            </w:r>
          </w:p>
        </w:tc>
        <w:tc>
          <w:tcPr>
            <w:tcW w:w="1530" w:type="dxa"/>
            <w:tcBorders>
              <w:top w:val="nil"/>
              <w:left w:val="nil"/>
              <w:bottom w:val="single" w:sz="4" w:space="0" w:color="auto"/>
              <w:right w:val="single" w:sz="4" w:space="0" w:color="auto"/>
            </w:tcBorders>
            <w:hideMark/>
          </w:tcPr>
          <w:p w14:paraId="216FE58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Good measures are difficult when performance is multidimensional</w:t>
            </w:r>
          </w:p>
        </w:tc>
        <w:tc>
          <w:tcPr>
            <w:tcW w:w="1440" w:type="dxa"/>
            <w:tcBorders>
              <w:top w:val="nil"/>
              <w:left w:val="nil"/>
              <w:bottom w:val="single" w:sz="4" w:space="0" w:color="auto"/>
              <w:right w:val="single" w:sz="4" w:space="0" w:color="auto"/>
            </w:tcBorders>
          </w:tcPr>
          <w:p w14:paraId="3090FB56" w14:textId="69914624" w:rsidR="00235B1B" w:rsidRPr="009E1F1D" w:rsidRDefault="002D0A3E" w:rsidP="00235B1B">
            <w:pPr>
              <w:rPr>
                <w:rFonts w:ascii="Calibri" w:hAnsi="Calibri" w:cs="Calibri"/>
                <w:color w:val="000000"/>
                <w:sz w:val="22"/>
                <w:szCs w:val="22"/>
              </w:rPr>
            </w:pPr>
            <w:r w:rsidRPr="004B62CF">
              <w:rPr>
                <w:rFonts w:ascii="Calibri" w:hAnsi="Calibri" w:cs="Calibri"/>
                <w:color w:val="000000"/>
                <w:sz w:val="22"/>
                <w:szCs w:val="22"/>
              </w:rPr>
              <w:t>Performance appraisal, incentives</w:t>
            </w:r>
          </w:p>
        </w:tc>
        <w:tc>
          <w:tcPr>
            <w:tcW w:w="236" w:type="dxa"/>
            <w:tcBorders>
              <w:top w:val="nil"/>
              <w:left w:val="nil"/>
              <w:bottom w:val="single" w:sz="4" w:space="0" w:color="auto"/>
              <w:right w:val="single" w:sz="4" w:space="0" w:color="auto"/>
            </w:tcBorders>
          </w:tcPr>
          <w:p w14:paraId="4506CF3C" w14:textId="092E1593"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1490518" w14:textId="223B8BD9" w:rsidR="00235B1B" w:rsidRPr="009E1F1D" w:rsidRDefault="00235B1B" w:rsidP="00235B1B">
            <w:pPr>
              <w:rPr>
                <w:rFonts w:ascii="Calibri" w:hAnsi="Calibri" w:cs="Calibri"/>
                <w:color w:val="000000"/>
                <w:sz w:val="22"/>
                <w:szCs w:val="22"/>
              </w:rPr>
            </w:pPr>
          </w:p>
        </w:tc>
      </w:tr>
      <w:tr w:rsidR="002A58DC" w:rsidRPr="009E1F1D" w14:paraId="70C20DBA"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34AA1F2"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51</w:t>
            </w:r>
          </w:p>
        </w:tc>
        <w:tc>
          <w:tcPr>
            <w:tcW w:w="1260" w:type="dxa"/>
            <w:tcBorders>
              <w:top w:val="nil"/>
              <w:left w:val="nil"/>
              <w:bottom w:val="single" w:sz="4" w:space="0" w:color="auto"/>
              <w:right w:val="single" w:sz="4" w:space="0" w:color="auto"/>
            </w:tcBorders>
            <w:hideMark/>
          </w:tcPr>
          <w:p w14:paraId="513399C7"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Subjective Performance Measures in Optimal Incentive Contracts</w:t>
            </w:r>
          </w:p>
        </w:tc>
        <w:tc>
          <w:tcPr>
            <w:tcW w:w="1530" w:type="dxa"/>
            <w:tcBorders>
              <w:top w:val="nil"/>
              <w:left w:val="nil"/>
              <w:bottom w:val="single" w:sz="4" w:space="0" w:color="auto"/>
              <w:right w:val="single" w:sz="4" w:space="0" w:color="auto"/>
            </w:tcBorders>
            <w:hideMark/>
          </w:tcPr>
          <w:p w14:paraId="439F5177"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Baker, G., Gibbons, R. &amp; Murphy, K.J.</w:t>
            </w:r>
          </w:p>
        </w:tc>
        <w:tc>
          <w:tcPr>
            <w:tcW w:w="720" w:type="dxa"/>
            <w:tcBorders>
              <w:top w:val="nil"/>
              <w:left w:val="nil"/>
              <w:bottom w:val="single" w:sz="4" w:space="0" w:color="auto"/>
              <w:right w:val="single" w:sz="4" w:space="0" w:color="auto"/>
            </w:tcBorders>
            <w:hideMark/>
          </w:tcPr>
          <w:p w14:paraId="52052AD4"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1994</w:t>
            </w:r>
          </w:p>
        </w:tc>
        <w:tc>
          <w:tcPr>
            <w:tcW w:w="1710" w:type="dxa"/>
            <w:tcBorders>
              <w:top w:val="nil"/>
              <w:left w:val="nil"/>
              <w:bottom w:val="single" w:sz="4" w:space="0" w:color="auto"/>
              <w:right w:val="single" w:sz="4" w:space="0" w:color="auto"/>
            </w:tcBorders>
          </w:tcPr>
          <w:p w14:paraId="2B48F6BC" w14:textId="1244309E"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292E5D78" w14:textId="141E09EC" w:rsidR="00235B1B" w:rsidRPr="009E1F1D" w:rsidRDefault="00235B1B" w:rsidP="00235B1B">
            <w:pPr>
              <w:rPr>
                <w:rFonts w:ascii="Calibri" w:hAnsi="Calibri" w:cs="Calibri"/>
                <w:color w:val="000000"/>
                <w:sz w:val="22"/>
                <w:szCs w:val="22"/>
              </w:rPr>
            </w:pPr>
            <w:r w:rsidRPr="00D0217E">
              <w:rPr>
                <w:color w:val="000000"/>
              </w:rPr>
              <w:t>Flexible evaluation</w:t>
            </w:r>
          </w:p>
        </w:tc>
        <w:tc>
          <w:tcPr>
            <w:tcW w:w="1980" w:type="dxa"/>
            <w:tcBorders>
              <w:top w:val="nil"/>
              <w:left w:val="nil"/>
              <w:bottom w:val="single" w:sz="4" w:space="0" w:color="auto"/>
              <w:right w:val="single" w:sz="4" w:space="0" w:color="auto"/>
            </w:tcBorders>
            <w:vAlign w:val="center"/>
          </w:tcPr>
          <w:p w14:paraId="72C48FE5" w14:textId="5F6F6199" w:rsidR="00235B1B" w:rsidRPr="009E1F1D" w:rsidRDefault="00235B1B" w:rsidP="00235B1B">
            <w:pPr>
              <w:rPr>
                <w:rFonts w:ascii="Calibri" w:hAnsi="Calibri" w:cs="Calibri"/>
                <w:color w:val="000000"/>
                <w:sz w:val="22"/>
                <w:szCs w:val="22"/>
              </w:rPr>
            </w:pPr>
            <w:r w:rsidRPr="00D0217E">
              <w:rPr>
                <w:color w:val="000000"/>
              </w:rPr>
              <w:t>Subjective bias</w:t>
            </w:r>
          </w:p>
        </w:tc>
        <w:tc>
          <w:tcPr>
            <w:tcW w:w="1260" w:type="dxa"/>
            <w:tcBorders>
              <w:top w:val="nil"/>
              <w:left w:val="nil"/>
              <w:bottom w:val="single" w:sz="4" w:space="0" w:color="auto"/>
              <w:right w:val="single" w:sz="4" w:space="0" w:color="auto"/>
            </w:tcBorders>
            <w:vAlign w:val="center"/>
          </w:tcPr>
          <w:p w14:paraId="79D13315" w14:textId="4F0013A2" w:rsidR="00235B1B" w:rsidRPr="009E1F1D" w:rsidRDefault="00235B1B" w:rsidP="00235B1B">
            <w:pPr>
              <w:rPr>
                <w:rFonts w:ascii="Calibri" w:hAnsi="Calibri" w:cs="Calibri"/>
                <w:color w:val="000000"/>
                <w:sz w:val="22"/>
                <w:szCs w:val="22"/>
              </w:rPr>
            </w:pPr>
            <w:r w:rsidRPr="00D0217E">
              <w:rPr>
                <w:color w:val="000000"/>
              </w:rPr>
              <w:t>Performance improvement</w:t>
            </w:r>
          </w:p>
        </w:tc>
        <w:tc>
          <w:tcPr>
            <w:tcW w:w="1530" w:type="dxa"/>
            <w:tcBorders>
              <w:top w:val="nil"/>
              <w:left w:val="nil"/>
              <w:bottom w:val="single" w:sz="4" w:space="0" w:color="auto"/>
              <w:right w:val="single" w:sz="4" w:space="0" w:color="auto"/>
            </w:tcBorders>
            <w:hideMark/>
          </w:tcPr>
          <w:p w14:paraId="69A1A63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Subjective measures can be useful but create evaluation risks</w:t>
            </w:r>
          </w:p>
        </w:tc>
        <w:tc>
          <w:tcPr>
            <w:tcW w:w="1440" w:type="dxa"/>
            <w:tcBorders>
              <w:top w:val="nil"/>
              <w:left w:val="nil"/>
              <w:bottom w:val="single" w:sz="4" w:space="0" w:color="auto"/>
              <w:right w:val="single" w:sz="4" w:space="0" w:color="auto"/>
            </w:tcBorders>
          </w:tcPr>
          <w:p w14:paraId="5617FA9A" w14:textId="396A42B4" w:rsidR="00235B1B" w:rsidRPr="009E1F1D" w:rsidRDefault="00D615C2" w:rsidP="00235B1B">
            <w:pPr>
              <w:rPr>
                <w:rFonts w:ascii="Calibri" w:hAnsi="Calibri" w:cs="Calibri"/>
                <w:color w:val="000000"/>
                <w:sz w:val="22"/>
                <w:szCs w:val="22"/>
              </w:rPr>
            </w:pPr>
            <w:r w:rsidRPr="004B62CF">
              <w:rPr>
                <w:rFonts w:ascii="Calibri" w:hAnsi="Calibri" w:cs="Calibri"/>
                <w:color w:val="000000"/>
                <w:sz w:val="22"/>
                <w:szCs w:val="22"/>
              </w:rPr>
              <w:t>Task complexity, incentives</w:t>
            </w:r>
          </w:p>
        </w:tc>
        <w:tc>
          <w:tcPr>
            <w:tcW w:w="236" w:type="dxa"/>
            <w:tcBorders>
              <w:top w:val="nil"/>
              <w:left w:val="nil"/>
              <w:bottom w:val="single" w:sz="4" w:space="0" w:color="auto"/>
              <w:right w:val="single" w:sz="4" w:space="0" w:color="auto"/>
            </w:tcBorders>
          </w:tcPr>
          <w:p w14:paraId="70F5DBF4" w14:textId="47FE6B63"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3042311" w14:textId="6170BB81" w:rsidR="00235B1B" w:rsidRPr="009E1F1D" w:rsidRDefault="00235B1B" w:rsidP="00235B1B">
            <w:pPr>
              <w:rPr>
                <w:rFonts w:ascii="Calibri" w:hAnsi="Calibri" w:cs="Calibri"/>
                <w:color w:val="000000"/>
                <w:sz w:val="22"/>
                <w:szCs w:val="22"/>
              </w:rPr>
            </w:pPr>
          </w:p>
        </w:tc>
      </w:tr>
      <w:tr w:rsidR="002A58DC" w:rsidRPr="009E1F1D" w14:paraId="3E84CE80"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F958E81"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52</w:t>
            </w:r>
          </w:p>
        </w:tc>
        <w:tc>
          <w:tcPr>
            <w:tcW w:w="1260" w:type="dxa"/>
            <w:tcBorders>
              <w:top w:val="nil"/>
              <w:left w:val="nil"/>
              <w:bottom w:val="single" w:sz="4" w:space="0" w:color="auto"/>
              <w:right w:val="single" w:sz="4" w:space="0" w:color="auto"/>
            </w:tcBorders>
            <w:hideMark/>
          </w:tcPr>
          <w:p w14:paraId="0788E779"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The Effects of Incentive Compensation on Informatio</w:t>
            </w:r>
            <w:r w:rsidRPr="009E1F1D">
              <w:rPr>
                <w:rFonts w:ascii="Calibri" w:hAnsi="Calibri" w:cs="Calibri"/>
                <w:color w:val="000000"/>
                <w:sz w:val="22"/>
                <w:szCs w:val="22"/>
              </w:rPr>
              <w:lastRenderedPageBreak/>
              <w:t>n Acquisition and Decision Making</w:t>
            </w:r>
          </w:p>
        </w:tc>
        <w:tc>
          <w:tcPr>
            <w:tcW w:w="1530" w:type="dxa"/>
            <w:tcBorders>
              <w:top w:val="nil"/>
              <w:left w:val="nil"/>
              <w:bottom w:val="single" w:sz="4" w:space="0" w:color="auto"/>
              <w:right w:val="single" w:sz="4" w:space="0" w:color="auto"/>
            </w:tcBorders>
            <w:hideMark/>
          </w:tcPr>
          <w:p w14:paraId="2A24C30F"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lastRenderedPageBreak/>
              <w:t>Bonner, S.E. &amp; Sprinkle, G.B.</w:t>
            </w:r>
          </w:p>
        </w:tc>
        <w:tc>
          <w:tcPr>
            <w:tcW w:w="720" w:type="dxa"/>
            <w:tcBorders>
              <w:top w:val="nil"/>
              <w:left w:val="nil"/>
              <w:bottom w:val="single" w:sz="4" w:space="0" w:color="auto"/>
              <w:right w:val="single" w:sz="4" w:space="0" w:color="auto"/>
            </w:tcBorders>
            <w:hideMark/>
          </w:tcPr>
          <w:p w14:paraId="5F5BCF7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2002</w:t>
            </w:r>
          </w:p>
        </w:tc>
        <w:tc>
          <w:tcPr>
            <w:tcW w:w="1710" w:type="dxa"/>
            <w:tcBorders>
              <w:top w:val="nil"/>
              <w:left w:val="nil"/>
              <w:bottom w:val="single" w:sz="4" w:space="0" w:color="auto"/>
              <w:right w:val="single" w:sz="4" w:space="0" w:color="auto"/>
            </w:tcBorders>
          </w:tcPr>
          <w:p w14:paraId="60331133" w14:textId="0B5C6DC4" w:rsidR="00235B1B" w:rsidRPr="009E1F1D" w:rsidRDefault="00235B1B" w:rsidP="00235B1B">
            <w:pPr>
              <w:rPr>
                <w:rFonts w:ascii="Calibri" w:hAnsi="Calibri" w:cs="Calibri"/>
                <w:color w:val="000000"/>
                <w:sz w:val="22"/>
                <w:szCs w:val="22"/>
              </w:rPr>
            </w:pPr>
            <w:r w:rsidRPr="009D16FB">
              <w:rPr>
                <w:rFonts w:ascii="Calibri" w:hAnsi="Calibri" w:cs="Calibri"/>
                <w:color w:val="000000"/>
                <w:sz w:val="22"/>
                <w:szCs w:val="22"/>
              </w:rPr>
              <w:t>Agency; cognitive theory</w:t>
            </w:r>
          </w:p>
        </w:tc>
        <w:tc>
          <w:tcPr>
            <w:tcW w:w="1710" w:type="dxa"/>
            <w:tcBorders>
              <w:top w:val="nil"/>
              <w:left w:val="nil"/>
              <w:bottom w:val="single" w:sz="4" w:space="0" w:color="auto"/>
              <w:right w:val="single" w:sz="4" w:space="0" w:color="auto"/>
            </w:tcBorders>
            <w:vAlign w:val="center"/>
          </w:tcPr>
          <w:p w14:paraId="2227ACDE" w14:textId="551FDBEB" w:rsidR="00235B1B" w:rsidRPr="009E1F1D" w:rsidRDefault="00235B1B" w:rsidP="00235B1B">
            <w:pPr>
              <w:rPr>
                <w:rFonts w:ascii="Calibri" w:hAnsi="Calibri" w:cs="Calibri"/>
                <w:color w:val="000000"/>
                <w:sz w:val="22"/>
                <w:szCs w:val="22"/>
              </w:rPr>
            </w:pPr>
            <w:r w:rsidRPr="00D0217E">
              <w:rPr>
                <w:color w:val="000000"/>
              </w:rPr>
              <w:t>Greater effort</w:t>
            </w:r>
          </w:p>
        </w:tc>
        <w:tc>
          <w:tcPr>
            <w:tcW w:w="1980" w:type="dxa"/>
            <w:tcBorders>
              <w:top w:val="nil"/>
              <w:left w:val="nil"/>
              <w:bottom w:val="single" w:sz="4" w:space="0" w:color="auto"/>
              <w:right w:val="single" w:sz="4" w:space="0" w:color="auto"/>
            </w:tcBorders>
            <w:vAlign w:val="center"/>
          </w:tcPr>
          <w:p w14:paraId="671F843B" w14:textId="4244B497" w:rsidR="00235B1B" w:rsidRPr="009E1F1D" w:rsidRDefault="00235B1B" w:rsidP="00235B1B">
            <w:pPr>
              <w:rPr>
                <w:rFonts w:ascii="Calibri" w:hAnsi="Calibri" w:cs="Calibri"/>
                <w:color w:val="000000"/>
                <w:sz w:val="22"/>
                <w:szCs w:val="22"/>
              </w:rPr>
            </w:pPr>
            <w:r w:rsidRPr="00D0217E">
              <w:rPr>
                <w:color w:val="000000"/>
              </w:rPr>
              <w:t>Pressure effects</w:t>
            </w:r>
          </w:p>
        </w:tc>
        <w:tc>
          <w:tcPr>
            <w:tcW w:w="1260" w:type="dxa"/>
            <w:tcBorders>
              <w:top w:val="nil"/>
              <w:left w:val="nil"/>
              <w:bottom w:val="single" w:sz="4" w:space="0" w:color="auto"/>
              <w:right w:val="single" w:sz="4" w:space="0" w:color="auto"/>
            </w:tcBorders>
            <w:vAlign w:val="center"/>
          </w:tcPr>
          <w:p w14:paraId="3F20C57E" w14:textId="60D0E61C" w:rsidR="00235B1B" w:rsidRPr="009E1F1D" w:rsidRDefault="00235B1B" w:rsidP="00235B1B">
            <w:pPr>
              <w:rPr>
                <w:rFonts w:ascii="Calibri" w:hAnsi="Calibri" w:cs="Calibri"/>
                <w:color w:val="000000"/>
                <w:sz w:val="22"/>
                <w:szCs w:val="22"/>
              </w:rPr>
            </w:pPr>
            <w:r w:rsidRPr="00D0217E">
              <w:rPr>
                <w:color w:val="000000"/>
              </w:rPr>
              <w:t>Task performance</w:t>
            </w:r>
          </w:p>
        </w:tc>
        <w:tc>
          <w:tcPr>
            <w:tcW w:w="1530" w:type="dxa"/>
            <w:tcBorders>
              <w:top w:val="nil"/>
              <w:left w:val="nil"/>
              <w:bottom w:val="single" w:sz="4" w:space="0" w:color="auto"/>
              <w:right w:val="single" w:sz="4" w:space="0" w:color="auto"/>
            </w:tcBorders>
            <w:hideMark/>
          </w:tcPr>
          <w:p w14:paraId="6745487D"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 xml:space="preserve">Incentives affect effort and information processing depending on </w:t>
            </w:r>
            <w:r w:rsidRPr="009E1F1D">
              <w:rPr>
                <w:rFonts w:ascii="Calibri" w:hAnsi="Calibri" w:cs="Calibri"/>
                <w:color w:val="000000"/>
                <w:sz w:val="22"/>
                <w:szCs w:val="22"/>
              </w:rPr>
              <w:lastRenderedPageBreak/>
              <w:t>task characteristics</w:t>
            </w:r>
          </w:p>
        </w:tc>
        <w:tc>
          <w:tcPr>
            <w:tcW w:w="1440" w:type="dxa"/>
            <w:tcBorders>
              <w:top w:val="nil"/>
              <w:left w:val="nil"/>
              <w:bottom w:val="single" w:sz="4" w:space="0" w:color="auto"/>
              <w:right w:val="single" w:sz="4" w:space="0" w:color="auto"/>
            </w:tcBorders>
          </w:tcPr>
          <w:p w14:paraId="1DCFDD29" w14:textId="41A94957" w:rsidR="00235B1B" w:rsidRPr="009E1F1D" w:rsidRDefault="00227504" w:rsidP="00235B1B">
            <w:pPr>
              <w:rPr>
                <w:rFonts w:ascii="Calibri" w:hAnsi="Calibri" w:cs="Calibri"/>
                <w:color w:val="000000"/>
                <w:sz w:val="22"/>
                <w:szCs w:val="22"/>
              </w:rPr>
            </w:pPr>
            <w:r w:rsidRPr="004B62CF">
              <w:rPr>
                <w:rFonts w:ascii="Calibri" w:hAnsi="Calibri" w:cs="Calibri"/>
                <w:color w:val="000000"/>
                <w:sz w:val="22"/>
                <w:szCs w:val="22"/>
              </w:rPr>
              <w:lastRenderedPageBreak/>
              <w:t>Monetary incentives, performance</w:t>
            </w:r>
          </w:p>
        </w:tc>
        <w:tc>
          <w:tcPr>
            <w:tcW w:w="236" w:type="dxa"/>
            <w:tcBorders>
              <w:top w:val="nil"/>
              <w:left w:val="nil"/>
              <w:bottom w:val="single" w:sz="4" w:space="0" w:color="auto"/>
              <w:right w:val="single" w:sz="4" w:space="0" w:color="auto"/>
            </w:tcBorders>
          </w:tcPr>
          <w:p w14:paraId="4A642784" w14:textId="066A9DA5"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F4CC093" w14:textId="3CD61C21" w:rsidR="00235B1B" w:rsidRPr="009E1F1D" w:rsidRDefault="00235B1B" w:rsidP="00235B1B">
            <w:pPr>
              <w:rPr>
                <w:rFonts w:ascii="Calibri" w:hAnsi="Calibri" w:cs="Calibri"/>
                <w:color w:val="000000"/>
                <w:sz w:val="22"/>
                <w:szCs w:val="22"/>
              </w:rPr>
            </w:pPr>
          </w:p>
        </w:tc>
      </w:tr>
      <w:tr w:rsidR="002A58DC" w:rsidRPr="009E1F1D" w14:paraId="7B58465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7F2CB29"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53</w:t>
            </w:r>
          </w:p>
        </w:tc>
        <w:tc>
          <w:tcPr>
            <w:tcW w:w="1260" w:type="dxa"/>
            <w:tcBorders>
              <w:top w:val="nil"/>
              <w:left w:val="nil"/>
              <w:bottom w:val="single" w:sz="4" w:space="0" w:color="auto"/>
              <w:right w:val="single" w:sz="4" w:space="0" w:color="auto"/>
            </w:tcBorders>
            <w:hideMark/>
          </w:tcPr>
          <w:p w14:paraId="0868A263"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The Effects of Monetary Incentives on Effort and Performance</w:t>
            </w:r>
          </w:p>
        </w:tc>
        <w:tc>
          <w:tcPr>
            <w:tcW w:w="1530" w:type="dxa"/>
            <w:tcBorders>
              <w:top w:val="nil"/>
              <w:left w:val="nil"/>
              <w:bottom w:val="single" w:sz="4" w:space="0" w:color="auto"/>
              <w:right w:val="single" w:sz="4" w:space="0" w:color="auto"/>
            </w:tcBorders>
            <w:hideMark/>
          </w:tcPr>
          <w:p w14:paraId="312A762D"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Jenkins, G.D., Mitra, A., Gupta, N. &amp; Shaw, J.D.</w:t>
            </w:r>
          </w:p>
        </w:tc>
        <w:tc>
          <w:tcPr>
            <w:tcW w:w="720" w:type="dxa"/>
            <w:tcBorders>
              <w:top w:val="nil"/>
              <w:left w:val="nil"/>
              <w:bottom w:val="single" w:sz="4" w:space="0" w:color="auto"/>
              <w:right w:val="single" w:sz="4" w:space="0" w:color="auto"/>
            </w:tcBorders>
            <w:hideMark/>
          </w:tcPr>
          <w:p w14:paraId="45045764"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1998</w:t>
            </w:r>
          </w:p>
        </w:tc>
        <w:tc>
          <w:tcPr>
            <w:tcW w:w="1710" w:type="dxa"/>
            <w:tcBorders>
              <w:top w:val="nil"/>
              <w:left w:val="nil"/>
              <w:bottom w:val="single" w:sz="4" w:space="0" w:color="auto"/>
              <w:right w:val="single" w:sz="4" w:space="0" w:color="auto"/>
            </w:tcBorders>
          </w:tcPr>
          <w:p w14:paraId="52997643" w14:textId="68C1609D" w:rsidR="00235B1B" w:rsidRPr="009E1F1D" w:rsidRDefault="00235B1B" w:rsidP="00235B1B">
            <w:pPr>
              <w:rPr>
                <w:rFonts w:ascii="Calibri" w:hAnsi="Calibri" w:cs="Calibri"/>
                <w:color w:val="000000"/>
                <w:sz w:val="22"/>
                <w:szCs w:val="22"/>
              </w:rPr>
            </w:pPr>
            <w:r w:rsidRPr="009D16FB">
              <w:rPr>
                <w:rFonts w:ascii="Calibri" w:hAnsi="Calibri" w:cs="Calibri"/>
                <w:color w:val="000000"/>
                <w:sz w:val="22"/>
                <w:szCs w:val="22"/>
              </w:rPr>
              <w:t>Expectancy; incentive theory</w:t>
            </w:r>
          </w:p>
        </w:tc>
        <w:tc>
          <w:tcPr>
            <w:tcW w:w="1710" w:type="dxa"/>
            <w:tcBorders>
              <w:top w:val="nil"/>
              <w:left w:val="nil"/>
              <w:bottom w:val="single" w:sz="4" w:space="0" w:color="auto"/>
              <w:right w:val="single" w:sz="4" w:space="0" w:color="auto"/>
            </w:tcBorders>
            <w:vAlign w:val="center"/>
          </w:tcPr>
          <w:p w14:paraId="645AC77F" w14:textId="36E5C7EE" w:rsidR="00235B1B" w:rsidRPr="009E1F1D" w:rsidRDefault="00235B1B" w:rsidP="00235B1B">
            <w:pPr>
              <w:rPr>
                <w:rFonts w:ascii="Calibri" w:hAnsi="Calibri" w:cs="Calibri"/>
                <w:color w:val="000000"/>
                <w:sz w:val="22"/>
                <w:szCs w:val="22"/>
              </w:rPr>
            </w:pPr>
            <w:r w:rsidRPr="00D0217E">
              <w:rPr>
                <w:color w:val="000000"/>
              </w:rPr>
              <w:t>Financial motivation</w:t>
            </w:r>
          </w:p>
        </w:tc>
        <w:tc>
          <w:tcPr>
            <w:tcW w:w="1980" w:type="dxa"/>
            <w:tcBorders>
              <w:top w:val="nil"/>
              <w:left w:val="nil"/>
              <w:bottom w:val="single" w:sz="4" w:space="0" w:color="auto"/>
              <w:right w:val="single" w:sz="4" w:space="0" w:color="auto"/>
            </w:tcBorders>
            <w:vAlign w:val="center"/>
          </w:tcPr>
          <w:p w14:paraId="09A44734" w14:textId="2833BF44" w:rsidR="00235B1B" w:rsidRPr="009E1F1D" w:rsidRDefault="00235B1B" w:rsidP="00235B1B">
            <w:pPr>
              <w:rPr>
                <w:rFonts w:ascii="Calibri" w:hAnsi="Calibri" w:cs="Calibri"/>
                <w:color w:val="000000"/>
                <w:sz w:val="22"/>
                <w:szCs w:val="22"/>
              </w:rPr>
            </w:pPr>
            <w:r w:rsidRPr="00D0217E">
              <w:rPr>
                <w:color w:val="000000"/>
              </w:rPr>
              <w:t>Variable effectiveness</w:t>
            </w:r>
          </w:p>
        </w:tc>
        <w:tc>
          <w:tcPr>
            <w:tcW w:w="1260" w:type="dxa"/>
            <w:tcBorders>
              <w:top w:val="nil"/>
              <w:left w:val="nil"/>
              <w:bottom w:val="single" w:sz="4" w:space="0" w:color="auto"/>
              <w:right w:val="single" w:sz="4" w:space="0" w:color="auto"/>
            </w:tcBorders>
            <w:vAlign w:val="center"/>
          </w:tcPr>
          <w:p w14:paraId="7E4C573A" w14:textId="643D6A51" w:rsidR="00235B1B" w:rsidRPr="009E1F1D" w:rsidRDefault="00235B1B" w:rsidP="00235B1B">
            <w:pPr>
              <w:rPr>
                <w:rFonts w:ascii="Calibri" w:hAnsi="Calibri" w:cs="Calibri"/>
                <w:color w:val="000000"/>
                <w:sz w:val="22"/>
                <w:szCs w:val="22"/>
              </w:rPr>
            </w:pPr>
            <w:r w:rsidRPr="00D0217E">
              <w:rPr>
                <w:color w:val="000000"/>
              </w:rPr>
              <w:t>Performance improvement</w:t>
            </w:r>
          </w:p>
        </w:tc>
        <w:tc>
          <w:tcPr>
            <w:tcW w:w="1530" w:type="dxa"/>
            <w:tcBorders>
              <w:top w:val="nil"/>
              <w:left w:val="nil"/>
              <w:bottom w:val="single" w:sz="4" w:space="0" w:color="auto"/>
              <w:right w:val="single" w:sz="4" w:space="0" w:color="auto"/>
            </w:tcBorders>
            <w:hideMark/>
          </w:tcPr>
          <w:p w14:paraId="51BB34E5"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Monetary incentives generally increase performance, especially quantity</w:t>
            </w:r>
          </w:p>
        </w:tc>
        <w:tc>
          <w:tcPr>
            <w:tcW w:w="1440" w:type="dxa"/>
            <w:tcBorders>
              <w:top w:val="nil"/>
              <w:left w:val="nil"/>
              <w:bottom w:val="single" w:sz="4" w:space="0" w:color="auto"/>
              <w:right w:val="single" w:sz="4" w:space="0" w:color="auto"/>
            </w:tcBorders>
          </w:tcPr>
          <w:p w14:paraId="299EEFD2" w14:textId="0233D578" w:rsidR="00235B1B" w:rsidRPr="009E1F1D" w:rsidRDefault="001B3472" w:rsidP="00235B1B">
            <w:pPr>
              <w:rPr>
                <w:rFonts w:ascii="Calibri" w:hAnsi="Calibri" w:cs="Calibri"/>
                <w:color w:val="000000"/>
                <w:sz w:val="22"/>
                <w:szCs w:val="22"/>
              </w:rPr>
            </w:pPr>
            <w:r w:rsidRPr="004B62CF">
              <w:rPr>
                <w:rFonts w:ascii="Calibri" w:hAnsi="Calibri" w:cs="Calibri"/>
                <w:color w:val="000000"/>
                <w:sz w:val="22"/>
                <w:szCs w:val="22"/>
              </w:rPr>
              <w:t>Incentives, feedback, performance</w:t>
            </w:r>
          </w:p>
        </w:tc>
        <w:tc>
          <w:tcPr>
            <w:tcW w:w="236" w:type="dxa"/>
            <w:tcBorders>
              <w:top w:val="nil"/>
              <w:left w:val="nil"/>
              <w:bottom w:val="single" w:sz="4" w:space="0" w:color="auto"/>
              <w:right w:val="single" w:sz="4" w:space="0" w:color="auto"/>
            </w:tcBorders>
          </w:tcPr>
          <w:p w14:paraId="51631398" w14:textId="432E6CE7"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0F392EC" w14:textId="7D01F6C6" w:rsidR="00235B1B" w:rsidRPr="009E1F1D" w:rsidRDefault="00235B1B" w:rsidP="00235B1B">
            <w:pPr>
              <w:rPr>
                <w:rFonts w:ascii="Calibri" w:hAnsi="Calibri" w:cs="Calibri"/>
                <w:color w:val="000000"/>
                <w:sz w:val="22"/>
                <w:szCs w:val="22"/>
              </w:rPr>
            </w:pPr>
          </w:p>
        </w:tc>
      </w:tr>
      <w:tr w:rsidR="002A58DC" w:rsidRPr="009E1F1D" w14:paraId="165D4C4C"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4906DCD"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54</w:t>
            </w:r>
          </w:p>
        </w:tc>
        <w:tc>
          <w:tcPr>
            <w:tcW w:w="1260" w:type="dxa"/>
            <w:tcBorders>
              <w:top w:val="nil"/>
              <w:left w:val="nil"/>
              <w:bottom w:val="single" w:sz="4" w:space="0" w:color="auto"/>
              <w:right w:val="single" w:sz="4" w:space="0" w:color="auto"/>
            </w:tcBorders>
            <w:hideMark/>
          </w:tcPr>
          <w:p w14:paraId="33D10972"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Effects of Incentive Plans on Performance and Satisfaction</w:t>
            </w:r>
          </w:p>
        </w:tc>
        <w:tc>
          <w:tcPr>
            <w:tcW w:w="1530" w:type="dxa"/>
            <w:tcBorders>
              <w:top w:val="nil"/>
              <w:left w:val="nil"/>
              <w:bottom w:val="single" w:sz="4" w:space="0" w:color="auto"/>
              <w:right w:val="single" w:sz="4" w:space="0" w:color="auto"/>
            </w:tcBorders>
            <w:hideMark/>
          </w:tcPr>
          <w:p w14:paraId="75642830" w14:textId="77777777" w:rsidR="00235B1B" w:rsidRPr="009E1F1D" w:rsidRDefault="00235B1B" w:rsidP="00235B1B">
            <w:pPr>
              <w:rPr>
                <w:rFonts w:ascii="Calibri" w:hAnsi="Calibri" w:cs="Calibri"/>
                <w:color w:val="000000"/>
                <w:sz w:val="22"/>
                <w:szCs w:val="22"/>
              </w:rPr>
            </w:pPr>
            <w:proofErr w:type="spellStart"/>
            <w:r w:rsidRPr="009E1F1D">
              <w:rPr>
                <w:rFonts w:ascii="Calibri" w:hAnsi="Calibri" w:cs="Calibri"/>
                <w:color w:val="000000"/>
                <w:sz w:val="22"/>
                <w:szCs w:val="22"/>
              </w:rPr>
              <w:t>Stajkovic</w:t>
            </w:r>
            <w:proofErr w:type="spellEnd"/>
            <w:r w:rsidRPr="009E1F1D">
              <w:rPr>
                <w:rFonts w:ascii="Calibri" w:hAnsi="Calibri" w:cs="Calibri"/>
                <w:color w:val="000000"/>
                <w:sz w:val="22"/>
                <w:szCs w:val="22"/>
              </w:rPr>
              <w:t>, A.D. &amp; Luthans, F.</w:t>
            </w:r>
          </w:p>
        </w:tc>
        <w:tc>
          <w:tcPr>
            <w:tcW w:w="720" w:type="dxa"/>
            <w:tcBorders>
              <w:top w:val="nil"/>
              <w:left w:val="nil"/>
              <w:bottom w:val="single" w:sz="4" w:space="0" w:color="auto"/>
              <w:right w:val="single" w:sz="4" w:space="0" w:color="auto"/>
            </w:tcBorders>
            <w:hideMark/>
          </w:tcPr>
          <w:p w14:paraId="1E66A81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2003</w:t>
            </w:r>
          </w:p>
        </w:tc>
        <w:tc>
          <w:tcPr>
            <w:tcW w:w="1710" w:type="dxa"/>
            <w:tcBorders>
              <w:top w:val="nil"/>
              <w:left w:val="nil"/>
              <w:bottom w:val="single" w:sz="4" w:space="0" w:color="auto"/>
              <w:right w:val="single" w:sz="4" w:space="0" w:color="auto"/>
            </w:tcBorders>
          </w:tcPr>
          <w:p w14:paraId="634BF896" w14:textId="206E3E86" w:rsidR="00235B1B" w:rsidRPr="009E1F1D" w:rsidRDefault="00235B1B" w:rsidP="00235B1B">
            <w:pPr>
              <w:rPr>
                <w:rFonts w:ascii="Calibri" w:hAnsi="Calibri" w:cs="Calibri"/>
                <w:color w:val="000000"/>
                <w:sz w:val="22"/>
                <w:szCs w:val="22"/>
              </w:rPr>
            </w:pPr>
            <w:r w:rsidRPr="009D16FB">
              <w:rPr>
                <w:rFonts w:ascii="Calibri" w:hAnsi="Calibri" w:cs="Calibri"/>
                <w:color w:val="000000"/>
                <w:sz w:val="22"/>
                <w:szCs w:val="22"/>
              </w:rPr>
              <w:t>Reinforcement Theory</w:t>
            </w:r>
          </w:p>
        </w:tc>
        <w:tc>
          <w:tcPr>
            <w:tcW w:w="1710" w:type="dxa"/>
            <w:tcBorders>
              <w:top w:val="nil"/>
              <w:left w:val="nil"/>
              <w:bottom w:val="single" w:sz="4" w:space="0" w:color="auto"/>
              <w:right w:val="single" w:sz="4" w:space="0" w:color="auto"/>
            </w:tcBorders>
            <w:vAlign w:val="center"/>
          </w:tcPr>
          <w:p w14:paraId="748C7818" w14:textId="208E32C3" w:rsidR="00235B1B" w:rsidRPr="009E1F1D" w:rsidRDefault="00235B1B" w:rsidP="00235B1B">
            <w:pPr>
              <w:rPr>
                <w:rFonts w:ascii="Calibri" w:hAnsi="Calibri" w:cs="Calibri"/>
                <w:color w:val="000000"/>
                <w:sz w:val="22"/>
                <w:szCs w:val="22"/>
              </w:rPr>
            </w:pPr>
            <w:proofErr w:type="spellStart"/>
            <w:r w:rsidRPr="00D0217E">
              <w:rPr>
                <w:color w:val="000000"/>
              </w:rPr>
              <w:t>Behaviour</w:t>
            </w:r>
            <w:proofErr w:type="spellEnd"/>
            <w:r w:rsidRPr="00D0217E">
              <w:rPr>
                <w:color w:val="000000"/>
              </w:rPr>
              <w:t xml:space="preserve"> reinforcement</w:t>
            </w:r>
          </w:p>
        </w:tc>
        <w:tc>
          <w:tcPr>
            <w:tcW w:w="1980" w:type="dxa"/>
            <w:tcBorders>
              <w:top w:val="nil"/>
              <w:left w:val="nil"/>
              <w:bottom w:val="single" w:sz="4" w:space="0" w:color="auto"/>
              <w:right w:val="single" w:sz="4" w:space="0" w:color="auto"/>
            </w:tcBorders>
            <w:vAlign w:val="center"/>
          </w:tcPr>
          <w:p w14:paraId="4BE8163F" w14:textId="0A3E2202" w:rsidR="00235B1B" w:rsidRPr="009E1F1D" w:rsidRDefault="00235B1B" w:rsidP="00235B1B">
            <w:pPr>
              <w:rPr>
                <w:rFonts w:ascii="Calibri" w:hAnsi="Calibri" w:cs="Calibri"/>
                <w:color w:val="000000"/>
                <w:sz w:val="22"/>
                <w:szCs w:val="22"/>
              </w:rPr>
            </w:pPr>
            <w:r w:rsidRPr="00D0217E">
              <w:rPr>
                <w:color w:val="000000"/>
              </w:rPr>
              <w:t>External control</w:t>
            </w:r>
          </w:p>
        </w:tc>
        <w:tc>
          <w:tcPr>
            <w:tcW w:w="1260" w:type="dxa"/>
            <w:tcBorders>
              <w:top w:val="nil"/>
              <w:left w:val="nil"/>
              <w:bottom w:val="single" w:sz="4" w:space="0" w:color="auto"/>
              <w:right w:val="single" w:sz="4" w:space="0" w:color="auto"/>
            </w:tcBorders>
            <w:vAlign w:val="center"/>
          </w:tcPr>
          <w:p w14:paraId="21AA4D86" w14:textId="0CAB5EED" w:rsidR="00235B1B" w:rsidRPr="009E1F1D" w:rsidRDefault="00235B1B" w:rsidP="00235B1B">
            <w:pPr>
              <w:rPr>
                <w:rFonts w:ascii="Calibri" w:hAnsi="Calibri" w:cs="Calibri"/>
                <w:color w:val="000000"/>
                <w:sz w:val="22"/>
                <w:szCs w:val="22"/>
              </w:rPr>
            </w:pPr>
            <w:r w:rsidRPr="00D0217E">
              <w:rPr>
                <w:color w:val="000000"/>
              </w:rPr>
              <w:t>Task performance</w:t>
            </w:r>
          </w:p>
        </w:tc>
        <w:tc>
          <w:tcPr>
            <w:tcW w:w="1530" w:type="dxa"/>
            <w:tcBorders>
              <w:top w:val="nil"/>
              <w:left w:val="nil"/>
              <w:bottom w:val="single" w:sz="4" w:space="0" w:color="auto"/>
              <w:right w:val="single" w:sz="4" w:space="0" w:color="auto"/>
            </w:tcBorders>
            <w:hideMark/>
          </w:tcPr>
          <w:p w14:paraId="1D6CD0F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Financial, social and feedback interventions can improve performance</w:t>
            </w:r>
          </w:p>
        </w:tc>
        <w:tc>
          <w:tcPr>
            <w:tcW w:w="1440" w:type="dxa"/>
            <w:tcBorders>
              <w:top w:val="nil"/>
              <w:left w:val="nil"/>
              <w:bottom w:val="single" w:sz="4" w:space="0" w:color="auto"/>
              <w:right w:val="single" w:sz="4" w:space="0" w:color="auto"/>
            </w:tcBorders>
          </w:tcPr>
          <w:p w14:paraId="03B40437" w14:textId="20406B17" w:rsidR="00235B1B" w:rsidRPr="009E1F1D" w:rsidRDefault="008A3711" w:rsidP="00235B1B">
            <w:pPr>
              <w:rPr>
                <w:rFonts w:ascii="Calibri" w:hAnsi="Calibri" w:cs="Calibri"/>
                <w:color w:val="000000"/>
                <w:sz w:val="22"/>
                <w:szCs w:val="22"/>
              </w:rPr>
            </w:pPr>
            <w:r w:rsidRPr="004B62CF">
              <w:rPr>
                <w:rFonts w:ascii="Calibri" w:hAnsi="Calibri" w:cs="Calibri"/>
                <w:color w:val="000000"/>
                <w:sz w:val="22"/>
                <w:szCs w:val="22"/>
              </w:rPr>
              <w:t>Rewards, behavior</w:t>
            </w:r>
          </w:p>
        </w:tc>
        <w:tc>
          <w:tcPr>
            <w:tcW w:w="236" w:type="dxa"/>
            <w:tcBorders>
              <w:top w:val="nil"/>
              <w:left w:val="nil"/>
              <w:bottom w:val="single" w:sz="4" w:space="0" w:color="auto"/>
              <w:right w:val="single" w:sz="4" w:space="0" w:color="auto"/>
            </w:tcBorders>
          </w:tcPr>
          <w:p w14:paraId="2C125C2B" w14:textId="6714A8F7"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7669B36" w14:textId="4F65137F" w:rsidR="00235B1B" w:rsidRPr="009E1F1D" w:rsidRDefault="00235B1B" w:rsidP="00235B1B">
            <w:pPr>
              <w:rPr>
                <w:rFonts w:ascii="Calibri" w:hAnsi="Calibri" w:cs="Calibri"/>
                <w:color w:val="000000"/>
                <w:sz w:val="22"/>
                <w:szCs w:val="22"/>
              </w:rPr>
            </w:pPr>
          </w:p>
        </w:tc>
      </w:tr>
      <w:tr w:rsidR="002A58DC" w:rsidRPr="009E1F1D" w14:paraId="75BC2A88"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444C5BF"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55</w:t>
            </w:r>
          </w:p>
        </w:tc>
        <w:tc>
          <w:tcPr>
            <w:tcW w:w="1260" w:type="dxa"/>
            <w:tcBorders>
              <w:top w:val="nil"/>
              <w:left w:val="nil"/>
              <w:bottom w:val="single" w:sz="4" w:space="0" w:color="auto"/>
              <w:right w:val="single" w:sz="4" w:space="0" w:color="auto"/>
            </w:tcBorders>
            <w:hideMark/>
          </w:tcPr>
          <w:p w14:paraId="2D62E477"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The Effects of Organizational Incentives on Performance</w:t>
            </w:r>
          </w:p>
        </w:tc>
        <w:tc>
          <w:tcPr>
            <w:tcW w:w="1530" w:type="dxa"/>
            <w:tcBorders>
              <w:top w:val="nil"/>
              <w:left w:val="nil"/>
              <w:bottom w:val="single" w:sz="4" w:space="0" w:color="auto"/>
              <w:right w:val="single" w:sz="4" w:space="0" w:color="auto"/>
            </w:tcBorders>
            <w:hideMark/>
          </w:tcPr>
          <w:p w14:paraId="45E365EC" w14:textId="77777777" w:rsidR="00235B1B" w:rsidRPr="009E1F1D" w:rsidRDefault="00235B1B" w:rsidP="00235B1B">
            <w:pPr>
              <w:rPr>
                <w:rFonts w:ascii="Calibri" w:hAnsi="Calibri" w:cs="Calibri"/>
                <w:color w:val="000000"/>
                <w:sz w:val="22"/>
                <w:szCs w:val="22"/>
              </w:rPr>
            </w:pPr>
            <w:proofErr w:type="spellStart"/>
            <w:r w:rsidRPr="009E1F1D">
              <w:rPr>
                <w:rFonts w:ascii="Calibri" w:hAnsi="Calibri" w:cs="Calibri"/>
                <w:color w:val="000000"/>
                <w:sz w:val="22"/>
                <w:szCs w:val="22"/>
              </w:rPr>
              <w:t>Stajkovic</w:t>
            </w:r>
            <w:proofErr w:type="spellEnd"/>
            <w:r w:rsidRPr="009E1F1D">
              <w:rPr>
                <w:rFonts w:ascii="Calibri" w:hAnsi="Calibri" w:cs="Calibri"/>
                <w:color w:val="000000"/>
                <w:sz w:val="22"/>
                <w:szCs w:val="22"/>
              </w:rPr>
              <w:t>, A.D. &amp; Luthans, F.</w:t>
            </w:r>
          </w:p>
        </w:tc>
        <w:tc>
          <w:tcPr>
            <w:tcW w:w="720" w:type="dxa"/>
            <w:tcBorders>
              <w:top w:val="nil"/>
              <w:left w:val="nil"/>
              <w:bottom w:val="single" w:sz="4" w:space="0" w:color="auto"/>
              <w:right w:val="single" w:sz="4" w:space="0" w:color="auto"/>
            </w:tcBorders>
            <w:hideMark/>
          </w:tcPr>
          <w:p w14:paraId="3FC9ED85"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1997</w:t>
            </w:r>
          </w:p>
        </w:tc>
        <w:tc>
          <w:tcPr>
            <w:tcW w:w="1710" w:type="dxa"/>
            <w:tcBorders>
              <w:top w:val="nil"/>
              <w:left w:val="nil"/>
              <w:bottom w:val="single" w:sz="4" w:space="0" w:color="auto"/>
              <w:right w:val="single" w:sz="4" w:space="0" w:color="auto"/>
            </w:tcBorders>
          </w:tcPr>
          <w:p w14:paraId="40A9D88A" w14:textId="67AE33BC"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Reinforcement Theory</w:t>
            </w:r>
          </w:p>
        </w:tc>
        <w:tc>
          <w:tcPr>
            <w:tcW w:w="1710" w:type="dxa"/>
            <w:tcBorders>
              <w:top w:val="nil"/>
              <w:left w:val="nil"/>
              <w:bottom w:val="single" w:sz="4" w:space="0" w:color="auto"/>
              <w:right w:val="single" w:sz="4" w:space="0" w:color="auto"/>
            </w:tcBorders>
            <w:vAlign w:val="center"/>
          </w:tcPr>
          <w:p w14:paraId="4EE4FC13" w14:textId="2A52A477" w:rsidR="00235B1B" w:rsidRPr="009E1F1D" w:rsidRDefault="00235B1B" w:rsidP="00235B1B">
            <w:pPr>
              <w:rPr>
                <w:rFonts w:ascii="Calibri" w:hAnsi="Calibri" w:cs="Calibri"/>
                <w:color w:val="000000"/>
                <w:sz w:val="22"/>
                <w:szCs w:val="22"/>
              </w:rPr>
            </w:pPr>
            <w:r w:rsidRPr="00D0217E">
              <w:rPr>
                <w:color w:val="000000"/>
              </w:rPr>
              <w:t>Performance improvement</w:t>
            </w:r>
          </w:p>
        </w:tc>
        <w:tc>
          <w:tcPr>
            <w:tcW w:w="1980" w:type="dxa"/>
            <w:tcBorders>
              <w:top w:val="nil"/>
              <w:left w:val="nil"/>
              <w:bottom w:val="single" w:sz="4" w:space="0" w:color="auto"/>
              <w:right w:val="single" w:sz="4" w:space="0" w:color="auto"/>
            </w:tcBorders>
            <w:vAlign w:val="center"/>
          </w:tcPr>
          <w:p w14:paraId="41A74BDB" w14:textId="3F7C2FD1" w:rsidR="00235B1B" w:rsidRPr="009E1F1D" w:rsidRDefault="00235B1B" w:rsidP="00235B1B">
            <w:pPr>
              <w:rPr>
                <w:rFonts w:ascii="Calibri" w:hAnsi="Calibri" w:cs="Calibri"/>
                <w:color w:val="000000"/>
                <w:sz w:val="22"/>
                <w:szCs w:val="22"/>
              </w:rPr>
            </w:pPr>
            <w:proofErr w:type="spellStart"/>
            <w:r w:rsidRPr="00D0217E">
              <w:rPr>
                <w:color w:val="000000"/>
              </w:rPr>
              <w:t>Behavioural</w:t>
            </w:r>
            <w:proofErr w:type="spellEnd"/>
            <w:r w:rsidRPr="00D0217E">
              <w:rPr>
                <w:color w:val="000000"/>
              </w:rPr>
              <w:t xml:space="preserve"> pressure</w:t>
            </w:r>
          </w:p>
        </w:tc>
        <w:tc>
          <w:tcPr>
            <w:tcW w:w="1260" w:type="dxa"/>
            <w:tcBorders>
              <w:top w:val="nil"/>
              <w:left w:val="nil"/>
              <w:bottom w:val="single" w:sz="4" w:space="0" w:color="auto"/>
              <w:right w:val="single" w:sz="4" w:space="0" w:color="auto"/>
            </w:tcBorders>
            <w:vAlign w:val="center"/>
          </w:tcPr>
          <w:p w14:paraId="4A15DA10" w14:textId="1A432A16" w:rsidR="00235B1B" w:rsidRPr="009E1F1D" w:rsidRDefault="00235B1B" w:rsidP="00235B1B">
            <w:pPr>
              <w:rPr>
                <w:rFonts w:ascii="Calibri" w:hAnsi="Calibri" w:cs="Calibri"/>
                <w:color w:val="000000"/>
                <w:sz w:val="22"/>
                <w:szCs w:val="22"/>
              </w:rPr>
            </w:pPr>
            <w:r w:rsidRPr="00D0217E">
              <w:rPr>
                <w:color w:val="000000"/>
              </w:rPr>
              <w:t>Task performance</w:t>
            </w:r>
          </w:p>
        </w:tc>
        <w:tc>
          <w:tcPr>
            <w:tcW w:w="1530" w:type="dxa"/>
            <w:tcBorders>
              <w:top w:val="nil"/>
              <w:left w:val="nil"/>
              <w:bottom w:val="single" w:sz="4" w:space="0" w:color="auto"/>
              <w:right w:val="single" w:sz="4" w:space="0" w:color="auto"/>
            </w:tcBorders>
            <w:hideMark/>
          </w:tcPr>
          <w:p w14:paraId="435B78EB"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Organizational rewards can reinforce desired work behavior</w:t>
            </w:r>
          </w:p>
        </w:tc>
        <w:tc>
          <w:tcPr>
            <w:tcW w:w="1440" w:type="dxa"/>
            <w:tcBorders>
              <w:top w:val="nil"/>
              <w:left w:val="nil"/>
              <w:bottom w:val="single" w:sz="4" w:space="0" w:color="auto"/>
              <w:right w:val="single" w:sz="4" w:space="0" w:color="auto"/>
            </w:tcBorders>
          </w:tcPr>
          <w:p w14:paraId="12D03364" w14:textId="34D9A53B" w:rsidR="00235B1B" w:rsidRPr="009E1F1D" w:rsidRDefault="001C612A" w:rsidP="00235B1B">
            <w:pPr>
              <w:rPr>
                <w:rFonts w:ascii="Calibri" w:hAnsi="Calibri" w:cs="Calibri"/>
                <w:color w:val="000000"/>
                <w:sz w:val="22"/>
                <w:szCs w:val="22"/>
              </w:rPr>
            </w:pPr>
            <w:r w:rsidRPr="004B62CF">
              <w:rPr>
                <w:rFonts w:ascii="Calibri" w:hAnsi="Calibri" w:cs="Calibri"/>
                <w:color w:val="000000"/>
                <w:sz w:val="22"/>
                <w:szCs w:val="22"/>
              </w:rPr>
              <w:t>Financial incentives, task complexity</w:t>
            </w:r>
          </w:p>
        </w:tc>
        <w:tc>
          <w:tcPr>
            <w:tcW w:w="236" w:type="dxa"/>
            <w:tcBorders>
              <w:top w:val="nil"/>
              <w:left w:val="nil"/>
              <w:bottom w:val="single" w:sz="4" w:space="0" w:color="auto"/>
              <w:right w:val="single" w:sz="4" w:space="0" w:color="auto"/>
            </w:tcBorders>
          </w:tcPr>
          <w:p w14:paraId="58504F87" w14:textId="1EA2FDC6"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C07E3D5" w14:textId="73A9DBDB" w:rsidR="00235B1B" w:rsidRPr="009E1F1D" w:rsidRDefault="00235B1B" w:rsidP="00235B1B">
            <w:pPr>
              <w:rPr>
                <w:rFonts w:ascii="Calibri" w:hAnsi="Calibri" w:cs="Calibri"/>
                <w:color w:val="000000"/>
                <w:sz w:val="22"/>
                <w:szCs w:val="22"/>
              </w:rPr>
            </w:pPr>
          </w:p>
        </w:tc>
      </w:tr>
      <w:tr w:rsidR="002A58DC" w:rsidRPr="009E1F1D" w14:paraId="4A28FFD0"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EB8A089"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56</w:t>
            </w:r>
          </w:p>
        </w:tc>
        <w:tc>
          <w:tcPr>
            <w:tcW w:w="1260" w:type="dxa"/>
            <w:tcBorders>
              <w:top w:val="nil"/>
              <w:left w:val="nil"/>
              <w:bottom w:val="single" w:sz="4" w:space="0" w:color="auto"/>
              <w:right w:val="single" w:sz="4" w:space="0" w:color="auto"/>
            </w:tcBorders>
            <w:hideMark/>
          </w:tcPr>
          <w:p w14:paraId="1BF38EC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Financial Incentives and Employee Performance</w:t>
            </w:r>
          </w:p>
        </w:tc>
        <w:tc>
          <w:tcPr>
            <w:tcW w:w="1530" w:type="dxa"/>
            <w:tcBorders>
              <w:top w:val="nil"/>
              <w:left w:val="nil"/>
              <w:bottom w:val="single" w:sz="4" w:space="0" w:color="auto"/>
              <w:right w:val="single" w:sz="4" w:space="0" w:color="auto"/>
            </w:tcBorders>
            <w:hideMark/>
          </w:tcPr>
          <w:p w14:paraId="69B9F895"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Bonner, S.E., Hastie, R., Sprinkle, G.B. &amp; Young, S.M.</w:t>
            </w:r>
          </w:p>
        </w:tc>
        <w:tc>
          <w:tcPr>
            <w:tcW w:w="720" w:type="dxa"/>
            <w:tcBorders>
              <w:top w:val="nil"/>
              <w:left w:val="nil"/>
              <w:bottom w:val="single" w:sz="4" w:space="0" w:color="auto"/>
              <w:right w:val="single" w:sz="4" w:space="0" w:color="auto"/>
            </w:tcBorders>
            <w:hideMark/>
          </w:tcPr>
          <w:p w14:paraId="1E82491E"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2000</w:t>
            </w:r>
          </w:p>
        </w:tc>
        <w:tc>
          <w:tcPr>
            <w:tcW w:w="1710" w:type="dxa"/>
            <w:tcBorders>
              <w:top w:val="nil"/>
              <w:left w:val="nil"/>
              <w:bottom w:val="single" w:sz="4" w:space="0" w:color="auto"/>
              <w:right w:val="single" w:sz="4" w:space="0" w:color="auto"/>
            </w:tcBorders>
          </w:tcPr>
          <w:p w14:paraId="073BC756" w14:textId="7369937D"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Agency; cognitive theory</w:t>
            </w:r>
          </w:p>
        </w:tc>
        <w:tc>
          <w:tcPr>
            <w:tcW w:w="1710" w:type="dxa"/>
            <w:tcBorders>
              <w:top w:val="nil"/>
              <w:left w:val="nil"/>
              <w:bottom w:val="single" w:sz="4" w:space="0" w:color="auto"/>
              <w:right w:val="single" w:sz="4" w:space="0" w:color="auto"/>
            </w:tcBorders>
            <w:vAlign w:val="center"/>
          </w:tcPr>
          <w:p w14:paraId="1B5AF401" w14:textId="0E9E3014" w:rsidR="00235B1B" w:rsidRPr="009E1F1D" w:rsidRDefault="00235B1B" w:rsidP="00235B1B">
            <w:pPr>
              <w:rPr>
                <w:rFonts w:ascii="Calibri" w:hAnsi="Calibri" w:cs="Calibri"/>
                <w:color w:val="000000"/>
                <w:sz w:val="22"/>
                <w:szCs w:val="22"/>
              </w:rPr>
            </w:pPr>
            <w:r w:rsidRPr="00D0217E">
              <w:rPr>
                <w:color w:val="000000"/>
              </w:rPr>
              <w:t>Increased effort</w:t>
            </w:r>
          </w:p>
        </w:tc>
        <w:tc>
          <w:tcPr>
            <w:tcW w:w="1980" w:type="dxa"/>
            <w:tcBorders>
              <w:top w:val="nil"/>
              <w:left w:val="nil"/>
              <w:bottom w:val="single" w:sz="4" w:space="0" w:color="auto"/>
              <w:right w:val="single" w:sz="4" w:space="0" w:color="auto"/>
            </w:tcBorders>
            <w:vAlign w:val="center"/>
          </w:tcPr>
          <w:p w14:paraId="0B4F81F7" w14:textId="65A7315A" w:rsidR="00235B1B" w:rsidRPr="009E1F1D" w:rsidRDefault="00235B1B" w:rsidP="00235B1B">
            <w:pPr>
              <w:rPr>
                <w:rFonts w:ascii="Calibri" w:hAnsi="Calibri" w:cs="Calibri"/>
                <w:color w:val="000000"/>
                <w:sz w:val="22"/>
                <w:szCs w:val="22"/>
              </w:rPr>
            </w:pPr>
            <w:r w:rsidRPr="00D0217E">
              <w:rPr>
                <w:color w:val="000000"/>
              </w:rPr>
              <w:t>Task distortion</w:t>
            </w:r>
          </w:p>
        </w:tc>
        <w:tc>
          <w:tcPr>
            <w:tcW w:w="1260" w:type="dxa"/>
            <w:tcBorders>
              <w:top w:val="nil"/>
              <w:left w:val="nil"/>
              <w:bottom w:val="single" w:sz="4" w:space="0" w:color="auto"/>
              <w:right w:val="single" w:sz="4" w:space="0" w:color="auto"/>
            </w:tcBorders>
            <w:vAlign w:val="center"/>
          </w:tcPr>
          <w:p w14:paraId="04398BAB" w14:textId="5A1D2B7A" w:rsidR="00235B1B" w:rsidRPr="009E1F1D" w:rsidRDefault="00235B1B" w:rsidP="00235B1B">
            <w:pPr>
              <w:rPr>
                <w:rFonts w:ascii="Calibri" w:hAnsi="Calibri" w:cs="Calibri"/>
                <w:color w:val="000000"/>
                <w:sz w:val="22"/>
                <w:szCs w:val="22"/>
              </w:rPr>
            </w:pPr>
            <w:r w:rsidRPr="00D0217E">
              <w:rPr>
                <w:color w:val="000000"/>
              </w:rPr>
              <w:t>Task performance</w:t>
            </w:r>
          </w:p>
        </w:tc>
        <w:tc>
          <w:tcPr>
            <w:tcW w:w="1530" w:type="dxa"/>
            <w:tcBorders>
              <w:top w:val="nil"/>
              <w:left w:val="nil"/>
              <w:bottom w:val="single" w:sz="4" w:space="0" w:color="auto"/>
              <w:right w:val="single" w:sz="4" w:space="0" w:color="auto"/>
            </w:tcBorders>
            <w:hideMark/>
          </w:tcPr>
          <w:p w14:paraId="2EAFD5A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Incentive effects depend on task complexity and measurement</w:t>
            </w:r>
          </w:p>
        </w:tc>
        <w:tc>
          <w:tcPr>
            <w:tcW w:w="1440" w:type="dxa"/>
            <w:tcBorders>
              <w:top w:val="nil"/>
              <w:left w:val="nil"/>
              <w:bottom w:val="single" w:sz="4" w:space="0" w:color="auto"/>
              <w:right w:val="single" w:sz="4" w:space="0" w:color="auto"/>
            </w:tcBorders>
          </w:tcPr>
          <w:p w14:paraId="12C9D186" w14:textId="2BE8AE93" w:rsidR="00235B1B" w:rsidRPr="009E1F1D" w:rsidRDefault="005A61F1" w:rsidP="00235B1B">
            <w:pPr>
              <w:rPr>
                <w:rFonts w:ascii="Calibri" w:hAnsi="Calibri" w:cs="Calibri"/>
                <w:color w:val="000000"/>
                <w:sz w:val="22"/>
                <w:szCs w:val="22"/>
              </w:rPr>
            </w:pPr>
            <w:r w:rsidRPr="004B62CF">
              <w:rPr>
                <w:rFonts w:ascii="Calibri" w:hAnsi="Calibri" w:cs="Calibri"/>
                <w:color w:val="000000"/>
                <w:sz w:val="22"/>
                <w:szCs w:val="22"/>
              </w:rPr>
              <w:t>Team incentives, retail</w:t>
            </w:r>
          </w:p>
        </w:tc>
        <w:tc>
          <w:tcPr>
            <w:tcW w:w="236" w:type="dxa"/>
            <w:tcBorders>
              <w:top w:val="nil"/>
              <w:left w:val="nil"/>
              <w:bottom w:val="single" w:sz="4" w:space="0" w:color="auto"/>
              <w:right w:val="single" w:sz="4" w:space="0" w:color="auto"/>
            </w:tcBorders>
          </w:tcPr>
          <w:p w14:paraId="6377B8E6" w14:textId="6DEE59F0"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2FD4ABE" w14:textId="56644FE7" w:rsidR="00235B1B" w:rsidRPr="009E1F1D" w:rsidRDefault="00235B1B" w:rsidP="00235B1B">
            <w:pPr>
              <w:rPr>
                <w:rFonts w:ascii="Calibri" w:hAnsi="Calibri" w:cs="Calibri"/>
                <w:color w:val="000000"/>
                <w:sz w:val="22"/>
                <w:szCs w:val="22"/>
              </w:rPr>
            </w:pPr>
          </w:p>
        </w:tc>
      </w:tr>
      <w:tr w:rsidR="002A58DC" w:rsidRPr="009E1F1D" w14:paraId="738C04D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1EAAF86"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lastRenderedPageBreak/>
              <w:t>57</w:t>
            </w:r>
          </w:p>
        </w:tc>
        <w:tc>
          <w:tcPr>
            <w:tcW w:w="1260" w:type="dxa"/>
            <w:tcBorders>
              <w:top w:val="nil"/>
              <w:left w:val="nil"/>
              <w:bottom w:val="single" w:sz="4" w:space="0" w:color="auto"/>
              <w:right w:val="single" w:sz="4" w:space="0" w:color="auto"/>
            </w:tcBorders>
            <w:hideMark/>
          </w:tcPr>
          <w:p w14:paraId="435C73CF"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Group Incentives and Performance: Evidence from a Field Experiment</w:t>
            </w:r>
          </w:p>
        </w:tc>
        <w:tc>
          <w:tcPr>
            <w:tcW w:w="1530" w:type="dxa"/>
            <w:tcBorders>
              <w:top w:val="nil"/>
              <w:left w:val="nil"/>
              <w:bottom w:val="single" w:sz="4" w:space="0" w:color="auto"/>
              <w:right w:val="single" w:sz="4" w:space="0" w:color="auto"/>
            </w:tcBorders>
            <w:hideMark/>
          </w:tcPr>
          <w:p w14:paraId="4CD394A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 xml:space="preserve">Knez, M. &amp; </w:t>
            </w:r>
            <w:proofErr w:type="spellStart"/>
            <w:r w:rsidRPr="009E1F1D">
              <w:rPr>
                <w:rFonts w:ascii="Calibri" w:hAnsi="Calibri" w:cs="Calibri"/>
                <w:color w:val="000000"/>
                <w:sz w:val="22"/>
                <w:szCs w:val="22"/>
              </w:rPr>
              <w:t>Simester</w:t>
            </w:r>
            <w:proofErr w:type="spellEnd"/>
            <w:r w:rsidRPr="009E1F1D">
              <w:rPr>
                <w:rFonts w:ascii="Calibri" w:hAnsi="Calibri" w:cs="Calibri"/>
                <w:color w:val="000000"/>
                <w:sz w:val="22"/>
                <w:szCs w:val="22"/>
              </w:rPr>
              <w:t>, D.</w:t>
            </w:r>
          </w:p>
        </w:tc>
        <w:tc>
          <w:tcPr>
            <w:tcW w:w="720" w:type="dxa"/>
            <w:tcBorders>
              <w:top w:val="nil"/>
              <w:left w:val="nil"/>
              <w:bottom w:val="single" w:sz="4" w:space="0" w:color="auto"/>
              <w:right w:val="single" w:sz="4" w:space="0" w:color="auto"/>
            </w:tcBorders>
            <w:hideMark/>
          </w:tcPr>
          <w:p w14:paraId="6BFABD4E"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2001</w:t>
            </w:r>
          </w:p>
        </w:tc>
        <w:tc>
          <w:tcPr>
            <w:tcW w:w="1710" w:type="dxa"/>
            <w:tcBorders>
              <w:top w:val="nil"/>
              <w:left w:val="nil"/>
              <w:bottom w:val="single" w:sz="4" w:space="0" w:color="auto"/>
              <w:right w:val="single" w:sz="4" w:space="0" w:color="auto"/>
            </w:tcBorders>
          </w:tcPr>
          <w:p w14:paraId="0D3D5618" w14:textId="48BA1A9C"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Agency; team incentives</w:t>
            </w:r>
          </w:p>
        </w:tc>
        <w:tc>
          <w:tcPr>
            <w:tcW w:w="1710" w:type="dxa"/>
            <w:tcBorders>
              <w:top w:val="nil"/>
              <w:left w:val="nil"/>
              <w:bottom w:val="single" w:sz="4" w:space="0" w:color="auto"/>
              <w:right w:val="single" w:sz="4" w:space="0" w:color="auto"/>
            </w:tcBorders>
            <w:vAlign w:val="center"/>
          </w:tcPr>
          <w:p w14:paraId="051C9AD5" w14:textId="15676C38" w:rsidR="00235B1B" w:rsidRPr="009E1F1D" w:rsidRDefault="00235B1B" w:rsidP="00235B1B">
            <w:pPr>
              <w:rPr>
                <w:rFonts w:ascii="Calibri" w:hAnsi="Calibri" w:cs="Calibri"/>
                <w:color w:val="000000"/>
                <w:sz w:val="22"/>
                <w:szCs w:val="22"/>
              </w:rPr>
            </w:pPr>
            <w:r w:rsidRPr="00D0217E">
              <w:rPr>
                <w:color w:val="000000"/>
              </w:rPr>
              <w:t>Collective incentives</w:t>
            </w:r>
          </w:p>
        </w:tc>
        <w:tc>
          <w:tcPr>
            <w:tcW w:w="1980" w:type="dxa"/>
            <w:tcBorders>
              <w:top w:val="nil"/>
              <w:left w:val="nil"/>
              <w:bottom w:val="single" w:sz="4" w:space="0" w:color="auto"/>
              <w:right w:val="single" w:sz="4" w:space="0" w:color="auto"/>
            </w:tcBorders>
            <w:vAlign w:val="center"/>
          </w:tcPr>
          <w:p w14:paraId="356C9520" w14:textId="3BAF5A6A" w:rsidR="00235B1B" w:rsidRPr="009E1F1D" w:rsidRDefault="00235B1B" w:rsidP="00235B1B">
            <w:pPr>
              <w:rPr>
                <w:rFonts w:ascii="Calibri" w:hAnsi="Calibri" w:cs="Calibri"/>
                <w:color w:val="000000"/>
                <w:sz w:val="22"/>
                <w:szCs w:val="22"/>
              </w:rPr>
            </w:pPr>
            <w:r w:rsidRPr="00D0217E">
              <w:rPr>
                <w:color w:val="000000"/>
              </w:rPr>
              <w:t>Free-riding risk</w:t>
            </w:r>
          </w:p>
        </w:tc>
        <w:tc>
          <w:tcPr>
            <w:tcW w:w="1260" w:type="dxa"/>
            <w:tcBorders>
              <w:top w:val="nil"/>
              <w:left w:val="nil"/>
              <w:bottom w:val="single" w:sz="4" w:space="0" w:color="auto"/>
              <w:right w:val="single" w:sz="4" w:space="0" w:color="auto"/>
            </w:tcBorders>
            <w:vAlign w:val="center"/>
          </w:tcPr>
          <w:p w14:paraId="21A1CBDC" w14:textId="512C6594" w:rsidR="00235B1B" w:rsidRPr="009E1F1D" w:rsidRDefault="00235B1B" w:rsidP="00235B1B">
            <w:pPr>
              <w:rPr>
                <w:rFonts w:ascii="Calibri" w:hAnsi="Calibri" w:cs="Calibri"/>
                <w:color w:val="000000"/>
                <w:sz w:val="22"/>
                <w:szCs w:val="22"/>
              </w:rPr>
            </w:pPr>
            <w:r w:rsidRPr="00D0217E">
              <w:rPr>
                <w:color w:val="000000"/>
              </w:rPr>
              <w:t>Individual performance</w:t>
            </w:r>
          </w:p>
        </w:tc>
        <w:tc>
          <w:tcPr>
            <w:tcW w:w="1530" w:type="dxa"/>
            <w:tcBorders>
              <w:top w:val="nil"/>
              <w:left w:val="nil"/>
              <w:bottom w:val="single" w:sz="4" w:space="0" w:color="auto"/>
              <w:right w:val="single" w:sz="4" w:space="0" w:color="auto"/>
            </w:tcBorders>
            <w:hideMark/>
          </w:tcPr>
          <w:p w14:paraId="57168B97"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Group incentives improved store performance when goals were shared</w:t>
            </w:r>
          </w:p>
        </w:tc>
        <w:tc>
          <w:tcPr>
            <w:tcW w:w="1440" w:type="dxa"/>
            <w:tcBorders>
              <w:top w:val="nil"/>
              <w:left w:val="nil"/>
              <w:bottom w:val="single" w:sz="4" w:space="0" w:color="auto"/>
              <w:right w:val="single" w:sz="4" w:space="0" w:color="auto"/>
            </w:tcBorders>
          </w:tcPr>
          <w:p w14:paraId="76EEA285" w14:textId="60352A9A" w:rsidR="00235B1B" w:rsidRPr="009E1F1D" w:rsidRDefault="00B62A4D" w:rsidP="00235B1B">
            <w:pPr>
              <w:rPr>
                <w:rFonts w:ascii="Calibri" w:hAnsi="Calibri" w:cs="Calibri"/>
                <w:color w:val="000000"/>
                <w:sz w:val="22"/>
                <w:szCs w:val="22"/>
              </w:rPr>
            </w:pPr>
            <w:r w:rsidRPr="004B62CF">
              <w:rPr>
                <w:rFonts w:ascii="Calibri" w:hAnsi="Calibri" w:cs="Calibri"/>
                <w:color w:val="000000"/>
                <w:sz w:val="22"/>
                <w:szCs w:val="22"/>
              </w:rPr>
              <w:t>Agency, incentives</w:t>
            </w:r>
          </w:p>
        </w:tc>
        <w:tc>
          <w:tcPr>
            <w:tcW w:w="236" w:type="dxa"/>
            <w:tcBorders>
              <w:top w:val="nil"/>
              <w:left w:val="nil"/>
              <w:bottom w:val="single" w:sz="4" w:space="0" w:color="auto"/>
              <w:right w:val="single" w:sz="4" w:space="0" w:color="auto"/>
            </w:tcBorders>
          </w:tcPr>
          <w:p w14:paraId="3BDDC96B" w14:textId="6BFD3130"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684E683" w14:textId="615A27C2" w:rsidR="00235B1B" w:rsidRPr="009E1F1D" w:rsidRDefault="00235B1B" w:rsidP="00235B1B">
            <w:pPr>
              <w:rPr>
                <w:rFonts w:ascii="Calibri" w:hAnsi="Calibri" w:cs="Calibri"/>
                <w:color w:val="000000"/>
                <w:sz w:val="22"/>
                <w:szCs w:val="22"/>
              </w:rPr>
            </w:pPr>
          </w:p>
        </w:tc>
      </w:tr>
      <w:tr w:rsidR="002A58DC" w:rsidRPr="009E1F1D" w14:paraId="03D268DF"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DA33A85"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58</w:t>
            </w:r>
          </w:p>
        </w:tc>
        <w:tc>
          <w:tcPr>
            <w:tcW w:w="1260" w:type="dxa"/>
            <w:tcBorders>
              <w:top w:val="nil"/>
              <w:left w:val="nil"/>
              <w:bottom w:val="single" w:sz="4" w:space="0" w:color="auto"/>
              <w:right w:val="single" w:sz="4" w:space="0" w:color="auto"/>
            </w:tcBorders>
            <w:hideMark/>
          </w:tcPr>
          <w:p w14:paraId="5A08EEF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Theory of the Firm: Managerial Behavior, Agency Costs and Ownership Structure</w:t>
            </w:r>
          </w:p>
        </w:tc>
        <w:tc>
          <w:tcPr>
            <w:tcW w:w="1530" w:type="dxa"/>
            <w:tcBorders>
              <w:top w:val="nil"/>
              <w:left w:val="nil"/>
              <w:bottom w:val="single" w:sz="4" w:space="0" w:color="auto"/>
              <w:right w:val="single" w:sz="4" w:space="0" w:color="auto"/>
            </w:tcBorders>
            <w:hideMark/>
          </w:tcPr>
          <w:p w14:paraId="23C51E41"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Jensen, M.C. &amp; Meckling, W.H.</w:t>
            </w:r>
          </w:p>
        </w:tc>
        <w:tc>
          <w:tcPr>
            <w:tcW w:w="720" w:type="dxa"/>
            <w:tcBorders>
              <w:top w:val="nil"/>
              <w:left w:val="nil"/>
              <w:bottom w:val="single" w:sz="4" w:space="0" w:color="auto"/>
              <w:right w:val="single" w:sz="4" w:space="0" w:color="auto"/>
            </w:tcBorders>
            <w:hideMark/>
          </w:tcPr>
          <w:p w14:paraId="5C265BE2"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1976</w:t>
            </w:r>
          </w:p>
        </w:tc>
        <w:tc>
          <w:tcPr>
            <w:tcW w:w="1710" w:type="dxa"/>
            <w:tcBorders>
              <w:top w:val="nil"/>
              <w:left w:val="nil"/>
              <w:bottom w:val="single" w:sz="4" w:space="0" w:color="auto"/>
              <w:right w:val="single" w:sz="4" w:space="0" w:color="auto"/>
            </w:tcBorders>
          </w:tcPr>
          <w:p w14:paraId="469FD6C0" w14:textId="56087E30"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7CFE61EE" w14:textId="2A12F6FE" w:rsidR="00235B1B" w:rsidRPr="009E1F1D" w:rsidRDefault="00235B1B" w:rsidP="00235B1B">
            <w:pPr>
              <w:rPr>
                <w:rFonts w:ascii="Calibri" w:hAnsi="Calibri" w:cs="Calibri"/>
                <w:color w:val="000000"/>
                <w:sz w:val="22"/>
                <w:szCs w:val="22"/>
              </w:rPr>
            </w:pPr>
            <w:r w:rsidRPr="00D0217E">
              <w:rPr>
                <w:color w:val="000000"/>
              </w:rPr>
              <w:t>Goal alignment</w:t>
            </w:r>
          </w:p>
        </w:tc>
        <w:tc>
          <w:tcPr>
            <w:tcW w:w="1980" w:type="dxa"/>
            <w:tcBorders>
              <w:top w:val="nil"/>
              <w:left w:val="nil"/>
              <w:bottom w:val="single" w:sz="4" w:space="0" w:color="auto"/>
              <w:right w:val="single" w:sz="4" w:space="0" w:color="auto"/>
            </w:tcBorders>
            <w:vAlign w:val="center"/>
          </w:tcPr>
          <w:p w14:paraId="45FFF407" w14:textId="349A2C17" w:rsidR="00235B1B" w:rsidRPr="009E1F1D" w:rsidRDefault="00235B1B" w:rsidP="00235B1B">
            <w:pPr>
              <w:rPr>
                <w:rFonts w:ascii="Calibri" w:hAnsi="Calibri" w:cs="Calibri"/>
                <w:color w:val="000000"/>
                <w:sz w:val="22"/>
                <w:szCs w:val="22"/>
              </w:rPr>
            </w:pPr>
            <w:r w:rsidRPr="00D0217E">
              <w:rPr>
                <w:color w:val="000000"/>
              </w:rPr>
              <w:t>Agency costs</w:t>
            </w:r>
          </w:p>
        </w:tc>
        <w:tc>
          <w:tcPr>
            <w:tcW w:w="1260" w:type="dxa"/>
            <w:tcBorders>
              <w:top w:val="nil"/>
              <w:left w:val="nil"/>
              <w:bottom w:val="single" w:sz="4" w:space="0" w:color="auto"/>
              <w:right w:val="single" w:sz="4" w:space="0" w:color="auto"/>
            </w:tcBorders>
            <w:vAlign w:val="center"/>
          </w:tcPr>
          <w:p w14:paraId="07418118" w14:textId="199A4294" w:rsidR="00235B1B" w:rsidRPr="009E1F1D" w:rsidRDefault="00235B1B" w:rsidP="00235B1B">
            <w:pPr>
              <w:rPr>
                <w:rFonts w:ascii="Calibri" w:hAnsi="Calibri" w:cs="Calibri"/>
                <w:color w:val="000000"/>
                <w:sz w:val="22"/>
                <w:szCs w:val="22"/>
              </w:rPr>
            </w:pPr>
            <w:r w:rsidRPr="00D0217E">
              <w:rPr>
                <w:color w:val="000000"/>
              </w:rPr>
              <w:t>Employee incentives</w:t>
            </w:r>
          </w:p>
        </w:tc>
        <w:tc>
          <w:tcPr>
            <w:tcW w:w="1530" w:type="dxa"/>
            <w:tcBorders>
              <w:top w:val="nil"/>
              <w:left w:val="nil"/>
              <w:bottom w:val="single" w:sz="4" w:space="0" w:color="auto"/>
              <w:right w:val="single" w:sz="4" w:space="0" w:color="auto"/>
            </w:tcBorders>
            <w:hideMark/>
          </w:tcPr>
          <w:p w14:paraId="7702334F"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Incentives can align interests between principals and agents</w:t>
            </w:r>
          </w:p>
        </w:tc>
        <w:tc>
          <w:tcPr>
            <w:tcW w:w="1440" w:type="dxa"/>
            <w:tcBorders>
              <w:top w:val="nil"/>
              <w:left w:val="nil"/>
              <w:bottom w:val="single" w:sz="4" w:space="0" w:color="auto"/>
              <w:right w:val="single" w:sz="4" w:space="0" w:color="auto"/>
            </w:tcBorders>
          </w:tcPr>
          <w:p w14:paraId="3C60A672" w14:textId="68302A96" w:rsidR="00235B1B" w:rsidRPr="009E1F1D" w:rsidRDefault="00F1453B" w:rsidP="00235B1B">
            <w:pPr>
              <w:rPr>
                <w:rFonts w:ascii="Calibri" w:hAnsi="Calibri" w:cs="Calibri"/>
                <w:color w:val="000000"/>
                <w:sz w:val="22"/>
                <w:szCs w:val="22"/>
              </w:rPr>
            </w:pPr>
            <w:r w:rsidRPr="004B62CF">
              <w:rPr>
                <w:rFonts w:ascii="Calibri" w:hAnsi="Calibri" w:cs="Calibri"/>
                <w:color w:val="000000"/>
                <w:sz w:val="22"/>
                <w:szCs w:val="22"/>
              </w:rPr>
              <w:t>HRM, performance</w:t>
            </w:r>
          </w:p>
        </w:tc>
        <w:tc>
          <w:tcPr>
            <w:tcW w:w="236" w:type="dxa"/>
            <w:tcBorders>
              <w:top w:val="nil"/>
              <w:left w:val="nil"/>
              <w:bottom w:val="single" w:sz="4" w:space="0" w:color="auto"/>
              <w:right w:val="single" w:sz="4" w:space="0" w:color="auto"/>
            </w:tcBorders>
          </w:tcPr>
          <w:p w14:paraId="62DE44D2" w14:textId="6B54F8F1"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4030B3A" w14:textId="5AB42B52" w:rsidR="00235B1B" w:rsidRPr="009E1F1D" w:rsidRDefault="00235B1B" w:rsidP="00235B1B">
            <w:pPr>
              <w:rPr>
                <w:rFonts w:ascii="Calibri" w:hAnsi="Calibri" w:cs="Calibri"/>
                <w:color w:val="000000"/>
                <w:sz w:val="22"/>
                <w:szCs w:val="22"/>
              </w:rPr>
            </w:pPr>
          </w:p>
        </w:tc>
      </w:tr>
      <w:tr w:rsidR="002A58DC" w:rsidRPr="009E1F1D" w14:paraId="713FDF68"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A0DDA5A"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59</w:t>
            </w:r>
          </w:p>
        </w:tc>
        <w:tc>
          <w:tcPr>
            <w:tcW w:w="1260" w:type="dxa"/>
            <w:tcBorders>
              <w:top w:val="nil"/>
              <w:left w:val="nil"/>
              <w:bottom w:val="single" w:sz="4" w:space="0" w:color="auto"/>
              <w:right w:val="single" w:sz="4" w:space="0" w:color="auto"/>
            </w:tcBorders>
            <w:hideMark/>
          </w:tcPr>
          <w:p w14:paraId="407E7008"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Human Resource Management and Performance: Still Searching for Some Answers</w:t>
            </w:r>
          </w:p>
        </w:tc>
        <w:tc>
          <w:tcPr>
            <w:tcW w:w="1530" w:type="dxa"/>
            <w:tcBorders>
              <w:top w:val="nil"/>
              <w:left w:val="nil"/>
              <w:bottom w:val="single" w:sz="4" w:space="0" w:color="auto"/>
              <w:right w:val="single" w:sz="4" w:space="0" w:color="auto"/>
            </w:tcBorders>
            <w:hideMark/>
          </w:tcPr>
          <w:p w14:paraId="4D9CCBBB"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Guest, D.E.</w:t>
            </w:r>
          </w:p>
        </w:tc>
        <w:tc>
          <w:tcPr>
            <w:tcW w:w="720" w:type="dxa"/>
            <w:tcBorders>
              <w:top w:val="nil"/>
              <w:left w:val="nil"/>
              <w:bottom w:val="single" w:sz="4" w:space="0" w:color="auto"/>
              <w:right w:val="single" w:sz="4" w:space="0" w:color="auto"/>
            </w:tcBorders>
            <w:hideMark/>
          </w:tcPr>
          <w:p w14:paraId="1340A332"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1997</w:t>
            </w:r>
          </w:p>
        </w:tc>
        <w:tc>
          <w:tcPr>
            <w:tcW w:w="1710" w:type="dxa"/>
            <w:tcBorders>
              <w:top w:val="nil"/>
              <w:left w:val="nil"/>
              <w:bottom w:val="single" w:sz="4" w:space="0" w:color="auto"/>
              <w:right w:val="single" w:sz="4" w:space="0" w:color="auto"/>
            </w:tcBorders>
          </w:tcPr>
          <w:p w14:paraId="31C17BF9" w14:textId="2567218D"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Strategic HRM</w:t>
            </w:r>
          </w:p>
        </w:tc>
        <w:tc>
          <w:tcPr>
            <w:tcW w:w="1710" w:type="dxa"/>
            <w:tcBorders>
              <w:top w:val="nil"/>
              <w:left w:val="nil"/>
              <w:bottom w:val="single" w:sz="4" w:space="0" w:color="auto"/>
              <w:right w:val="single" w:sz="4" w:space="0" w:color="auto"/>
            </w:tcBorders>
            <w:vAlign w:val="center"/>
          </w:tcPr>
          <w:p w14:paraId="66BDCBE2" w14:textId="74F71CAB" w:rsidR="00235B1B" w:rsidRPr="009E1F1D" w:rsidRDefault="00235B1B" w:rsidP="00235B1B">
            <w:pPr>
              <w:rPr>
                <w:rFonts w:ascii="Calibri" w:hAnsi="Calibri" w:cs="Calibri"/>
                <w:color w:val="000000"/>
                <w:sz w:val="22"/>
                <w:szCs w:val="22"/>
              </w:rPr>
            </w:pPr>
            <w:r w:rsidRPr="00D0217E">
              <w:rPr>
                <w:color w:val="000000"/>
              </w:rPr>
              <w:t>HR alignment</w:t>
            </w:r>
          </w:p>
        </w:tc>
        <w:tc>
          <w:tcPr>
            <w:tcW w:w="1980" w:type="dxa"/>
            <w:tcBorders>
              <w:top w:val="nil"/>
              <w:left w:val="nil"/>
              <w:bottom w:val="single" w:sz="4" w:space="0" w:color="auto"/>
              <w:right w:val="single" w:sz="4" w:space="0" w:color="auto"/>
            </w:tcBorders>
            <w:vAlign w:val="center"/>
          </w:tcPr>
          <w:p w14:paraId="1A43816F" w14:textId="4713C43B" w:rsidR="00235B1B" w:rsidRPr="009E1F1D" w:rsidRDefault="00235B1B" w:rsidP="00235B1B">
            <w:pPr>
              <w:rPr>
                <w:rFonts w:ascii="Calibri" w:hAnsi="Calibri" w:cs="Calibri"/>
                <w:color w:val="000000"/>
                <w:sz w:val="22"/>
                <w:szCs w:val="22"/>
              </w:rPr>
            </w:pPr>
            <w:r w:rsidRPr="00D0217E">
              <w:rPr>
                <w:color w:val="000000"/>
              </w:rPr>
              <w:t>Implementation challenges</w:t>
            </w:r>
          </w:p>
        </w:tc>
        <w:tc>
          <w:tcPr>
            <w:tcW w:w="1260" w:type="dxa"/>
            <w:tcBorders>
              <w:top w:val="nil"/>
              <w:left w:val="nil"/>
              <w:bottom w:val="single" w:sz="4" w:space="0" w:color="auto"/>
              <w:right w:val="single" w:sz="4" w:space="0" w:color="auto"/>
            </w:tcBorders>
            <w:vAlign w:val="center"/>
          </w:tcPr>
          <w:p w14:paraId="2AC93B1E" w14:textId="5C5BEBDD" w:rsidR="00235B1B" w:rsidRPr="009E1F1D" w:rsidRDefault="00235B1B" w:rsidP="00235B1B">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performance</w:t>
            </w:r>
          </w:p>
        </w:tc>
        <w:tc>
          <w:tcPr>
            <w:tcW w:w="1530" w:type="dxa"/>
            <w:tcBorders>
              <w:top w:val="nil"/>
              <w:left w:val="nil"/>
              <w:bottom w:val="single" w:sz="4" w:space="0" w:color="auto"/>
              <w:right w:val="single" w:sz="4" w:space="0" w:color="auto"/>
            </w:tcBorders>
            <w:hideMark/>
          </w:tcPr>
          <w:p w14:paraId="04EDC5CB"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HR practices affect outcomes through employee attitudes and behavior</w:t>
            </w:r>
          </w:p>
        </w:tc>
        <w:tc>
          <w:tcPr>
            <w:tcW w:w="1440" w:type="dxa"/>
            <w:tcBorders>
              <w:top w:val="nil"/>
              <w:left w:val="nil"/>
              <w:bottom w:val="single" w:sz="4" w:space="0" w:color="auto"/>
              <w:right w:val="single" w:sz="4" w:space="0" w:color="auto"/>
            </w:tcBorders>
          </w:tcPr>
          <w:p w14:paraId="44D9281C" w14:textId="6B50811F" w:rsidR="00235B1B" w:rsidRPr="009E1F1D" w:rsidRDefault="00563A57" w:rsidP="00235B1B">
            <w:pPr>
              <w:rPr>
                <w:rFonts w:ascii="Calibri" w:hAnsi="Calibri" w:cs="Calibri"/>
                <w:color w:val="000000"/>
                <w:sz w:val="22"/>
                <w:szCs w:val="22"/>
              </w:rPr>
            </w:pPr>
            <w:r w:rsidRPr="004B62CF">
              <w:rPr>
                <w:rFonts w:ascii="Calibri" w:hAnsi="Calibri" w:cs="Calibri"/>
                <w:color w:val="000000"/>
                <w:sz w:val="22"/>
                <w:szCs w:val="22"/>
              </w:rPr>
              <w:t>HR practices, performance</w:t>
            </w:r>
          </w:p>
        </w:tc>
        <w:tc>
          <w:tcPr>
            <w:tcW w:w="236" w:type="dxa"/>
            <w:tcBorders>
              <w:top w:val="nil"/>
              <w:left w:val="nil"/>
              <w:bottom w:val="single" w:sz="4" w:space="0" w:color="auto"/>
              <w:right w:val="single" w:sz="4" w:space="0" w:color="auto"/>
            </w:tcBorders>
          </w:tcPr>
          <w:p w14:paraId="59E4A505" w14:textId="35DF3528"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39B8B68" w14:textId="4CEECD91" w:rsidR="00235B1B" w:rsidRPr="009E1F1D" w:rsidRDefault="00235B1B" w:rsidP="00235B1B">
            <w:pPr>
              <w:rPr>
                <w:rFonts w:ascii="Calibri" w:hAnsi="Calibri" w:cs="Calibri"/>
                <w:color w:val="000000"/>
                <w:sz w:val="22"/>
                <w:szCs w:val="22"/>
              </w:rPr>
            </w:pPr>
          </w:p>
        </w:tc>
      </w:tr>
      <w:tr w:rsidR="002A58DC" w:rsidRPr="009E1F1D" w14:paraId="39CC581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A6A95B0" w14:textId="77777777" w:rsidR="00235B1B" w:rsidRPr="009E1F1D" w:rsidRDefault="00235B1B" w:rsidP="00235B1B">
            <w:pPr>
              <w:jc w:val="right"/>
              <w:rPr>
                <w:rFonts w:ascii="Calibri" w:hAnsi="Calibri" w:cs="Calibri"/>
                <w:color w:val="000000"/>
                <w:sz w:val="22"/>
                <w:szCs w:val="22"/>
              </w:rPr>
            </w:pPr>
            <w:r w:rsidRPr="009E1F1D">
              <w:rPr>
                <w:rFonts w:ascii="Calibri" w:hAnsi="Calibri" w:cs="Calibri"/>
                <w:color w:val="000000"/>
                <w:sz w:val="22"/>
                <w:szCs w:val="22"/>
              </w:rPr>
              <w:t>60</w:t>
            </w:r>
          </w:p>
        </w:tc>
        <w:tc>
          <w:tcPr>
            <w:tcW w:w="1260" w:type="dxa"/>
            <w:tcBorders>
              <w:top w:val="nil"/>
              <w:left w:val="nil"/>
              <w:bottom w:val="single" w:sz="4" w:space="0" w:color="auto"/>
              <w:right w:val="single" w:sz="4" w:space="0" w:color="auto"/>
            </w:tcBorders>
            <w:hideMark/>
          </w:tcPr>
          <w:p w14:paraId="25FD52FC"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 xml:space="preserve">The Impact of Human Resource Management Practices on Performance: </w:t>
            </w:r>
            <w:r w:rsidRPr="009E1F1D">
              <w:rPr>
                <w:rFonts w:ascii="Calibri" w:hAnsi="Calibri" w:cs="Calibri"/>
                <w:color w:val="000000"/>
                <w:sz w:val="22"/>
                <w:szCs w:val="22"/>
              </w:rPr>
              <w:lastRenderedPageBreak/>
              <w:t>Evidence from the US</w:t>
            </w:r>
          </w:p>
        </w:tc>
        <w:tc>
          <w:tcPr>
            <w:tcW w:w="1530" w:type="dxa"/>
            <w:tcBorders>
              <w:top w:val="nil"/>
              <w:left w:val="nil"/>
              <w:bottom w:val="single" w:sz="4" w:space="0" w:color="auto"/>
              <w:right w:val="single" w:sz="4" w:space="0" w:color="auto"/>
            </w:tcBorders>
            <w:hideMark/>
          </w:tcPr>
          <w:p w14:paraId="0265636B" w14:textId="77777777" w:rsidR="00235B1B" w:rsidRPr="009E1F1D" w:rsidRDefault="00235B1B" w:rsidP="00235B1B">
            <w:pPr>
              <w:rPr>
                <w:rFonts w:ascii="Calibri" w:hAnsi="Calibri" w:cs="Calibri"/>
                <w:color w:val="000000"/>
                <w:sz w:val="22"/>
                <w:szCs w:val="22"/>
              </w:rPr>
            </w:pPr>
            <w:proofErr w:type="spellStart"/>
            <w:r w:rsidRPr="009E1F1D">
              <w:rPr>
                <w:rFonts w:ascii="Calibri" w:hAnsi="Calibri" w:cs="Calibri"/>
                <w:color w:val="000000"/>
                <w:sz w:val="22"/>
                <w:szCs w:val="22"/>
              </w:rPr>
              <w:lastRenderedPageBreak/>
              <w:t>Huselid</w:t>
            </w:r>
            <w:proofErr w:type="spellEnd"/>
            <w:r w:rsidRPr="009E1F1D">
              <w:rPr>
                <w:rFonts w:ascii="Calibri" w:hAnsi="Calibri" w:cs="Calibri"/>
                <w:color w:val="000000"/>
                <w:sz w:val="22"/>
                <w:szCs w:val="22"/>
              </w:rPr>
              <w:t>, M.A.</w:t>
            </w:r>
          </w:p>
        </w:tc>
        <w:tc>
          <w:tcPr>
            <w:tcW w:w="720" w:type="dxa"/>
            <w:tcBorders>
              <w:top w:val="nil"/>
              <w:left w:val="nil"/>
              <w:bottom w:val="single" w:sz="4" w:space="0" w:color="auto"/>
              <w:right w:val="single" w:sz="4" w:space="0" w:color="auto"/>
            </w:tcBorders>
            <w:hideMark/>
          </w:tcPr>
          <w:p w14:paraId="06A3B97F"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1995</w:t>
            </w:r>
          </w:p>
        </w:tc>
        <w:tc>
          <w:tcPr>
            <w:tcW w:w="1710" w:type="dxa"/>
            <w:tcBorders>
              <w:top w:val="nil"/>
              <w:left w:val="nil"/>
              <w:bottom w:val="single" w:sz="4" w:space="0" w:color="auto"/>
              <w:right w:val="single" w:sz="4" w:space="0" w:color="auto"/>
            </w:tcBorders>
          </w:tcPr>
          <w:p w14:paraId="520FE467" w14:textId="4A23E0A3" w:rsidR="00235B1B" w:rsidRPr="009E1F1D" w:rsidRDefault="00235B1B" w:rsidP="00235B1B">
            <w:pPr>
              <w:rPr>
                <w:rFonts w:ascii="Calibri" w:hAnsi="Calibri" w:cs="Calibri"/>
                <w:color w:val="000000"/>
                <w:sz w:val="22"/>
                <w:szCs w:val="22"/>
              </w:rPr>
            </w:pPr>
            <w:r w:rsidRPr="00F0534D">
              <w:rPr>
                <w:rFonts w:ascii="Calibri" w:hAnsi="Calibri" w:cs="Calibri"/>
                <w:color w:val="000000"/>
                <w:sz w:val="22"/>
                <w:szCs w:val="22"/>
              </w:rPr>
              <w:t>High-Performance Work Systems</w:t>
            </w:r>
          </w:p>
        </w:tc>
        <w:tc>
          <w:tcPr>
            <w:tcW w:w="1710" w:type="dxa"/>
            <w:tcBorders>
              <w:top w:val="nil"/>
              <w:left w:val="nil"/>
              <w:bottom w:val="single" w:sz="4" w:space="0" w:color="auto"/>
              <w:right w:val="single" w:sz="4" w:space="0" w:color="auto"/>
            </w:tcBorders>
            <w:vAlign w:val="center"/>
          </w:tcPr>
          <w:p w14:paraId="46BA14C8" w14:textId="471A2A07" w:rsidR="00235B1B" w:rsidRPr="009E1F1D" w:rsidRDefault="00235B1B" w:rsidP="00235B1B">
            <w:pPr>
              <w:rPr>
                <w:rFonts w:ascii="Calibri" w:hAnsi="Calibri" w:cs="Calibri"/>
                <w:color w:val="000000"/>
                <w:sz w:val="22"/>
                <w:szCs w:val="22"/>
              </w:rPr>
            </w:pPr>
            <w:r w:rsidRPr="00D0217E">
              <w:rPr>
                <w:color w:val="000000"/>
              </w:rPr>
              <w:t>Employee productivity</w:t>
            </w:r>
          </w:p>
        </w:tc>
        <w:tc>
          <w:tcPr>
            <w:tcW w:w="1980" w:type="dxa"/>
            <w:tcBorders>
              <w:top w:val="nil"/>
              <w:left w:val="nil"/>
              <w:bottom w:val="single" w:sz="4" w:space="0" w:color="auto"/>
              <w:right w:val="single" w:sz="4" w:space="0" w:color="auto"/>
            </w:tcBorders>
            <w:vAlign w:val="center"/>
          </w:tcPr>
          <w:p w14:paraId="6BBC113F" w14:textId="51CB399D" w:rsidR="00235B1B" w:rsidRPr="009E1F1D" w:rsidRDefault="00235B1B" w:rsidP="00235B1B">
            <w:pPr>
              <w:rPr>
                <w:rFonts w:ascii="Calibri" w:hAnsi="Calibri" w:cs="Calibri"/>
                <w:color w:val="000000"/>
                <w:sz w:val="22"/>
                <w:szCs w:val="22"/>
              </w:rPr>
            </w:pPr>
            <w:r w:rsidRPr="00D0217E">
              <w:rPr>
                <w:color w:val="000000"/>
              </w:rPr>
              <w:t>Implementation costs</w:t>
            </w:r>
          </w:p>
        </w:tc>
        <w:tc>
          <w:tcPr>
            <w:tcW w:w="1260" w:type="dxa"/>
            <w:tcBorders>
              <w:top w:val="nil"/>
              <w:left w:val="nil"/>
              <w:bottom w:val="single" w:sz="4" w:space="0" w:color="auto"/>
              <w:right w:val="single" w:sz="4" w:space="0" w:color="auto"/>
            </w:tcBorders>
            <w:vAlign w:val="center"/>
          </w:tcPr>
          <w:p w14:paraId="28EEA0DD" w14:textId="7C6E2B86" w:rsidR="00235B1B" w:rsidRPr="009E1F1D" w:rsidRDefault="00235B1B" w:rsidP="00235B1B">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performance</w:t>
            </w:r>
          </w:p>
        </w:tc>
        <w:tc>
          <w:tcPr>
            <w:tcW w:w="1530" w:type="dxa"/>
            <w:tcBorders>
              <w:top w:val="nil"/>
              <w:left w:val="nil"/>
              <w:bottom w:val="single" w:sz="4" w:space="0" w:color="auto"/>
              <w:right w:val="single" w:sz="4" w:space="0" w:color="auto"/>
            </w:tcBorders>
            <w:hideMark/>
          </w:tcPr>
          <w:p w14:paraId="659E053E" w14:textId="77777777" w:rsidR="00235B1B" w:rsidRPr="009E1F1D" w:rsidRDefault="00235B1B" w:rsidP="00235B1B">
            <w:pPr>
              <w:rPr>
                <w:rFonts w:ascii="Calibri" w:hAnsi="Calibri" w:cs="Calibri"/>
                <w:color w:val="000000"/>
                <w:sz w:val="22"/>
                <w:szCs w:val="22"/>
              </w:rPr>
            </w:pPr>
            <w:r w:rsidRPr="009E1F1D">
              <w:rPr>
                <w:rFonts w:ascii="Calibri" w:hAnsi="Calibri" w:cs="Calibri"/>
                <w:color w:val="000000"/>
                <w:sz w:val="22"/>
                <w:szCs w:val="22"/>
              </w:rPr>
              <w:t xml:space="preserve">High-performance HR practices were associated with lower turnover and </w:t>
            </w:r>
            <w:r w:rsidRPr="009E1F1D">
              <w:rPr>
                <w:rFonts w:ascii="Calibri" w:hAnsi="Calibri" w:cs="Calibri"/>
                <w:color w:val="000000"/>
                <w:sz w:val="22"/>
                <w:szCs w:val="22"/>
              </w:rPr>
              <w:lastRenderedPageBreak/>
              <w:t>higher productivity</w:t>
            </w:r>
          </w:p>
        </w:tc>
        <w:tc>
          <w:tcPr>
            <w:tcW w:w="1440" w:type="dxa"/>
            <w:tcBorders>
              <w:top w:val="nil"/>
              <w:left w:val="nil"/>
              <w:bottom w:val="single" w:sz="4" w:space="0" w:color="auto"/>
              <w:right w:val="single" w:sz="4" w:space="0" w:color="auto"/>
            </w:tcBorders>
          </w:tcPr>
          <w:p w14:paraId="6954E18D" w14:textId="36069408" w:rsidR="00235B1B" w:rsidRPr="009E1F1D" w:rsidRDefault="00687D84" w:rsidP="00235B1B">
            <w:pPr>
              <w:rPr>
                <w:rFonts w:ascii="Calibri" w:hAnsi="Calibri" w:cs="Calibri"/>
                <w:color w:val="000000"/>
                <w:sz w:val="22"/>
                <w:szCs w:val="22"/>
              </w:rPr>
            </w:pPr>
            <w:r w:rsidRPr="004B62CF">
              <w:rPr>
                <w:rFonts w:ascii="Calibri" w:hAnsi="Calibri" w:cs="Calibri"/>
                <w:color w:val="000000"/>
                <w:sz w:val="22"/>
                <w:szCs w:val="22"/>
              </w:rPr>
              <w:lastRenderedPageBreak/>
              <w:t>HRM, performance</w:t>
            </w:r>
          </w:p>
        </w:tc>
        <w:tc>
          <w:tcPr>
            <w:tcW w:w="236" w:type="dxa"/>
            <w:tcBorders>
              <w:top w:val="nil"/>
              <w:left w:val="nil"/>
              <w:bottom w:val="single" w:sz="4" w:space="0" w:color="auto"/>
              <w:right w:val="single" w:sz="4" w:space="0" w:color="auto"/>
            </w:tcBorders>
          </w:tcPr>
          <w:p w14:paraId="785DC133" w14:textId="4F06FFE5" w:rsidR="00235B1B" w:rsidRPr="009E1F1D" w:rsidRDefault="00235B1B" w:rsidP="00235B1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FC9BFB5" w14:textId="00EF8278" w:rsidR="00235B1B" w:rsidRPr="009E1F1D" w:rsidRDefault="00235B1B" w:rsidP="00235B1B">
            <w:pPr>
              <w:rPr>
                <w:rFonts w:ascii="Calibri" w:hAnsi="Calibri" w:cs="Calibri"/>
                <w:color w:val="000000"/>
                <w:sz w:val="22"/>
                <w:szCs w:val="22"/>
              </w:rPr>
            </w:pPr>
          </w:p>
        </w:tc>
      </w:tr>
      <w:tr w:rsidR="002A58DC" w:rsidRPr="009E1F1D" w14:paraId="1FC1A684"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F5C8CA6" w14:textId="77777777" w:rsidR="00D81AA6" w:rsidRPr="009E1F1D" w:rsidRDefault="00D81AA6" w:rsidP="00D81AA6">
            <w:pPr>
              <w:jc w:val="right"/>
              <w:rPr>
                <w:rFonts w:ascii="Calibri" w:hAnsi="Calibri" w:cs="Calibri"/>
                <w:color w:val="000000"/>
                <w:sz w:val="22"/>
                <w:szCs w:val="22"/>
              </w:rPr>
            </w:pPr>
            <w:r w:rsidRPr="009E1F1D">
              <w:rPr>
                <w:rFonts w:ascii="Calibri" w:hAnsi="Calibri" w:cs="Calibri"/>
                <w:color w:val="000000"/>
                <w:sz w:val="22"/>
                <w:szCs w:val="22"/>
              </w:rPr>
              <w:t>61</w:t>
            </w:r>
          </w:p>
        </w:tc>
        <w:tc>
          <w:tcPr>
            <w:tcW w:w="1260" w:type="dxa"/>
            <w:tcBorders>
              <w:top w:val="nil"/>
              <w:left w:val="nil"/>
              <w:bottom w:val="single" w:sz="4" w:space="0" w:color="auto"/>
              <w:right w:val="single" w:sz="4" w:space="0" w:color="auto"/>
            </w:tcBorders>
            <w:hideMark/>
          </w:tcPr>
          <w:p w14:paraId="4C8CA6C7" w14:textId="77777777" w:rsidR="00D81AA6" w:rsidRPr="009E1F1D" w:rsidRDefault="00D81AA6" w:rsidP="00D81AA6">
            <w:pPr>
              <w:rPr>
                <w:rFonts w:ascii="Calibri" w:hAnsi="Calibri" w:cs="Calibri"/>
                <w:color w:val="000000"/>
                <w:sz w:val="22"/>
                <w:szCs w:val="22"/>
              </w:rPr>
            </w:pPr>
            <w:r w:rsidRPr="009E1F1D">
              <w:rPr>
                <w:rFonts w:ascii="Calibri" w:hAnsi="Calibri" w:cs="Calibri"/>
                <w:color w:val="000000"/>
                <w:sz w:val="22"/>
                <w:szCs w:val="22"/>
              </w:rPr>
              <w:t>Human Resource Management and Firm Performance: What Do We Know and Where Do We Need to Go?</w:t>
            </w:r>
          </w:p>
        </w:tc>
        <w:tc>
          <w:tcPr>
            <w:tcW w:w="1530" w:type="dxa"/>
            <w:tcBorders>
              <w:top w:val="nil"/>
              <w:left w:val="nil"/>
              <w:bottom w:val="single" w:sz="4" w:space="0" w:color="auto"/>
              <w:right w:val="single" w:sz="4" w:space="0" w:color="auto"/>
            </w:tcBorders>
            <w:hideMark/>
          </w:tcPr>
          <w:p w14:paraId="4AE6FE7A" w14:textId="77777777" w:rsidR="00D81AA6" w:rsidRPr="009E1F1D" w:rsidRDefault="00D81AA6" w:rsidP="00D81AA6">
            <w:pPr>
              <w:rPr>
                <w:rFonts w:ascii="Calibri" w:hAnsi="Calibri" w:cs="Calibri"/>
                <w:color w:val="000000"/>
                <w:sz w:val="22"/>
                <w:szCs w:val="22"/>
              </w:rPr>
            </w:pPr>
            <w:r w:rsidRPr="009E1F1D">
              <w:rPr>
                <w:rFonts w:ascii="Calibri" w:hAnsi="Calibri" w:cs="Calibri"/>
                <w:color w:val="000000"/>
                <w:sz w:val="22"/>
                <w:szCs w:val="22"/>
              </w:rPr>
              <w:t>Becker, B.E. &amp; Gerhart, B.</w:t>
            </w:r>
          </w:p>
        </w:tc>
        <w:tc>
          <w:tcPr>
            <w:tcW w:w="720" w:type="dxa"/>
            <w:tcBorders>
              <w:top w:val="nil"/>
              <w:left w:val="nil"/>
              <w:bottom w:val="single" w:sz="4" w:space="0" w:color="auto"/>
              <w:right w:val="single" w:sz="4" w:space="0" w:color="auto"/>
            </w:tcBorders>
            <w:hideMark/>
          </w:tcPr>
          <w:p w14:paraId="1ABD7486" w14:textId="77777777" w:rsidR="00D81AA6" w:rsidRPr="009E1F1D" w:rsidRDefault="00D81AA6" w:rsidP="00D81AA6">
            <w:pPr>
              <w:rPr>
                <w:rFonts w:ascii="Calibri" w:hAnsi="Calibri" w:cs="Calibri"/>
                <w:color w:val="000000"/>
                <w:sz w:val="22"/>
                <w:szCs w:val="22"/>
              </w:rPr>
            </w:pPr>
            <w:r w:rsidRPr="009E1F1D">
              <w:rPr>
                <w:rFonts w:ascii="Calibri" w:hAnsi="Calibri" w:cs="Calibri"/>
                <w:color w:val="000000"/>
                <w:sz w:val="22"/>
                <w:szCs w:val="22"/>
              </w:rPr>
              <w:t>1996</w:t>
            </w:r>
          </w:p>
        </w:tc>
        <w:tc>
          <w:tcPr>
            <w:tcW w:w="1710" w:type="dxa"/>
            <w:tcBorders>
              <w:top w:val="nil"/>
              <w:left w:val="nil"/>
              <w:bottom w:val="single" w:sz="4" w:space="0" w:color="auto"/>
              <w:right w:val="single" w:sz="4" w:space="0" w:color="auto"/>
            </w:tcBorders>
          </w:tcPr>
          <w:p w14:paraId="712C093A" w14:textId="7078DA07" w:rsidR="00D81AA6" w:rsidRPr="009E1F1D" w:rsidRDefault="00D81AA6" w:rsidP="00D81AA6">
            <w:pPr>
              <w:rPr>
                <w:rFonts w:ascii="Calibri" w:hAnsi="Calibri" w:cs="Calibri"/>
                <w:color w:val="000000"/>
                <w:sz w:val="22"/>
                <w:szCs w:val="22"/>
              </w:rPr>
            </w:pPr>
            <w:r w:rsidRPr="00F0534D">
              <w:rPr>
                <w:rFonts w:ascii="Calibri" w:hAnsi="Calibri" w:cs="Calibri"/>
                <w:color w:val="000000"/>
                <w:sz w:val="22"/>
                <w:szCs w:val="22"/>
              </w:rPr>
              <w:t>Strategic HRM</w:t>
            </w:r>
          </w:p>
        </w:tc>
        <w:tc>
          <w:tcPr>
            <w:tcW w:w="1710" w:type="dxa"/>
            <w:tcBorders>
              <w:top w:val="nil"/>
              <w:left w:val="nil"/>
              <w:bottom w:val="single" w:sz="4" w:space="0" w:color="auto"/>
              <w:right w:val="single" w:sz="4" w:space="0" w:color="auto"/>
            </w:tcBorders>
            <w:vAlign w:val="center"/>
          </w:tcPr>
          <w:p w14:paraId="416ADA06" w14:textId="158E9DA8" w:rsidR="00D81AA6" w:rsidRPr="009E1F1D" w:rsidRDefault="00D81AA6" w:rsidP="00D81AA6">
            <w:pPr>
              <w:rPr>
                <w:rFonts w:ascii="Calibri" w:hAnsi="Calibri" w:cs="Calibri"/>
                <w:color w:val="000000"/>
                <w:sz w:val="22"/>
                <w:szCs w:val="22"/>
              </w:rPr>
            </w:pPr>
            <w:r w:rsidRPr="00D0217E">
              <w:rPr>
                <w:color w:val="000000"/>
              </w:rPr>
              <w:t>Strategic alignment</w:t>
            </w:r>
          </w:p>
        </w:tc>
        <w:tc>
          <w:tcPr>
            <w:tcW w:w="1980" w:type="dxa"/>
            <w:tcBorders>
              <w:top w:val="nil"/>
              <w:left w:val="nil"/>
              <w:bottom w:val="single" w:sz="4" w:space="0" w:color="auto"/>
              <w:right w:val="single" w:sz="4" w:space="0" w:color="auto"/>
            </w:tcBorders>
            <w:vAlign w:val="center"/>
          </w:tcPr>
          <w:p w14:paraId="3B3AFE02" w14:textId="1B42F3C6" w:rsidR="00D81AA6" w:rsidRPr="009E1F1D" w:rsidRDefault="00D81AA6" w:rsidP="00D81AA6">
            <w:pPr>
              <w:rPr>
                <w:rFonts w:ascii="Calibri" w:hAnsi="Calibri" w:cs="Calibri"/>
                <w:color w:val="000000"/>
                <w:sz w:val="22"/>
                <w:szCs w:val="22"/>
              </w:rPr>
            </w:pPr>
            <w:r w:rsidRPr="00D0217E">
              <w:rPr>
                <w:color w:val="000000"/>
              </w:rPr>
              <w:t>Implementation costs</w:t>
            </w:r>
          </w:p>
        </w:tc>
        <w:tc>
          <w:tcPr>
            <w:tcW w:w="1260" w:type="dxa"/>
            <w:tcBorders>
              <w:top w:val="nil"/>
              <w:left w:val="nil"/>
              <w:bottom w:val="single" w:sz="4" w:space="0" w:color="auto"/>
              <w:right w:val="single" w:sz="4" w:space="0" w:color="auto"/>
            </w:tcBorders>
            <w:vAlign w:val="center"/>
          </w:tcPr>
          <w:p w14:paraId="612F66CB" w14:textId="728EC02E" w:rsidR="00D81AA6" w:rsidRPr="009E1F1D" w:rsidRDefault="00D81AA6" w:rsidP="00D81AA6">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performance</w:t>
            </w:r>
          </w:p>
        </w:tc>
        <w:tc>
          <w:tcPr>
            <w:tcW w:w="1530" w:type="dxa"/>
            <w:tcBorders>
              <w:top w:val="nil"/>
              <w:left w:val="nil"/>
              <w:bottom w:val="single" w:sz="4" w:space="0" w:color="auto"/>
              <w:right w:val="single" w:sz="4" w:space="0" w:color="auto"/>
            </w:tcBorders>
            <w:hideMark/>
          </w:tcPr>
          <w:p w14:paraId="7287724E" w14:textId="77777777" w:rsidR="00D81AA6" w:rsidRPr="009E1F1D" w:rsidRDefault="00D81AA6" w:rsidP="00D81AA6">
            <w:pPr>
              <w:rPr>
                <w:rFonts w:ascii="Calibri" w:hAnsi="Calibri" w:cs="Calibri"/>
                <w:color w:val="000000"/>
                <w:sz w:val="22"/>
                <w:szCs w:val="22"/>
              </w:rPr>
            </w:pPr>
            <w:r w:rsidRPr="009E1F1D">
              <w:rPr>
                <w:rFonts w:ascii="Calibri" w:hAnsi="Calibri" w:cs="Calibri"/>
                <w:color w:val="000000"/>
                <w:sz w:val="22"/>
                <w:szCs w:val="22"/>
              </w:rPr>
              <w:t>HR systems can contribute to competitive advantage through employee capabilities and motivation</w:t>
            </w:r>
          </w:p>
        </w:tc>
        <w:tc>
          <w:tcPr>
            <w:tcW w:w="1440" w:type="dxa"/>
            <w:tcBorders>
              <w:top w:val="nil"/>
              <w:left w:val="nil"/>
              <w:bottom w:val="single" w:sz="4" w:space="0" w:color="auto"/>
              <w:right w:val="single" w:sz="4" w:space="0" w:color="auto"/>
            </w:tcBorders>
          </w:tcPr>
          <w:p w14:paraId="127A82D2" w14:textId="4505AC8C" w:rsidR="00D81AA6" w:rsidRPr="009E1F1D" w:rsidRDefault="00D81AA6" w:rsidP="00D81AA6">
            <w:pPr>
              <w:rPr>
                <w:rFonts w:ascii="Calibri" w:hAnsi="Calibri" w:cs="Calibri"/>
                <w:color w:val="000000"/>
                <w:sz w:val="22"/>
                <w:szCs w:val="22"/>
              </w:rPr>
            </w:pPr>
            <w:r w:rsidRPr="004B62CF">
              <w:rPr>
                <w:rFonts w:ascii="Calibri" w:hAnsi="Calibri" w:cs="Calibri"/>
                <w:color w:val="000000"/>
                <w:sz w:val="22"/>
                <w:szCs w:val="22"/>
              </w:rPr>
              <w:t>HR architecture, rewards</w:t>
            </w:r>
          </w:p>
        </w:tc>
        <w:tc>
          <w:tcPr>
            <w:tcW w:w="236" w:type="dxa"/>
            <w:tcBorders>
              <w:top w:val="nil"/>
              <w:left w:val="nil"/>
              <w:bottom w:val="single" w:sz="4" w:space="0" w:color="auto"/>
              <w:right w:val="single" w:sz="4" w:space="0" w:color="auto"/>
            </w:tcBorders>
          </w:tcPr>
          <w:p w14:paraId="00F980AB" w14:textId="5A93CF27" w:rsidR="00D81AA6" w:rsidRPr="009E1F1D" w:rsidRDefault="00D81AA6" w:rsidP="00D81AA6">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EC9D372" w14:textId="7F6CE745" w:rsidR="00D81AA6" w:rsidRPr="009E1F1D" w:rsidRDefault="00D81AA6" w:rsidP="00D81AA6">
            <w:pPr>
              <w:rPr>
                <w:rFonts w:ascii="Calibri" w:hAnsi="Calibri" w:cs="Calibri"/>
                <w:color w:val="000000"/>
                <w:sz w:val="22"/>
                <w:szCs w:val="22"/>
              </w:rPr>
            </w:pPr>
          </w:p>
        </w:tc>
      </w:tr>
      <w:tr w:rsidR="002A58DC" w:rsidRPr="009E1F1D" w14:paraId="03B6D3D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31DDCC2" w14:textId="77777777" w:rsidR="000758B5" w:rsidRPr="009E1F1D" w:rsidRDefault="000758B5" w:rsidP="000758B5">
            <w:pPr>
              <w:jc w:val="right"/>
              <w:rPr>
                <w:rFonts w:ascii="Calibri" w:hAnsi="Calibri" w:cs="Calibri"/>
                <w:color w:val="000000"/>
                <w:sz w:val="22"/>
                <w:szCs w:val="22"/>
              </w:rPr>
            </w:pPr>
            <w:r w:rsidRPr="009E1F1D">
              <w:rPr>
                <w:rFonts w:ascii="Calibri" w:hAnsi="Calibri" w:cs="Calibri"/>
                <w:color w:val="000000"/>
                <w:sz w:val="22"/>
                <w:szCs w:val="22"/>
              </w:rPr>
              <w:t>62</w:t>
            </w:r>
          </w:p>
        </w:tc>
        <w:tc>
          <w:tcPr>
            <w:tcW w:w="1260" w:type="dxa"/>
            <w:tcBorders>
              <w:top w:val="nil"/>
              <w:left w:val="nil"/>
              <w:bottom w:val="single" w:sz="4" w:space="0" w:color="auto"/>
              <w:right w:val="single" w:sz="4" w:space="0" w:color="auto"/>
            </w:tcBorders>
            <w:hideMark/>
          </w:tcPr>
          <w:p w14:paraId="0BAAF145" w14:textId="77777777" w:rsidR="000758B5" w:rsidRPr="009E1F1D" w:rsidRDefault="000758B5" w:rsidP="000758B5">
            <w:pPr>
              <w:rPr>
                <w:rFonts w:ascii="Calibri" w:hAnsi="Calibri" w:cs="Calibri"/>
                <w:color w:val="000000"/>
                <w:sz w:val="22"/>
                <w:szCs w:val="22"/>
              </w:rPr>
            </w:pPr>
            <w:r w:rsidRPr="009E1F1D">
              <w:rPr>
                <w:rFonts w:ascii="Calibri" w:hAnsi="Calibri" w:cs="Calibri"/>
                <w:color w:val="000000"/>
                <w:sz w:val="22"/>
                <w:szCs w:val="22"/>
              </w:rPr>
              <w:t>The Human Resource Architecture</w:t>
            </w:r>
          </w:p>
        </w:tc>
        <w:tc>
          <w:tcPr>
            <w:tcW w:w="1530" w:type="dxa"/>
            <w:tcBorders>
              <w:top w:val="nil"/>
              <w:left w:val="nil"/>
              <w:bottom w:val="single" w:sz="4" w:space="0" w:color="auto"/>
              <w:right w:val="single" w:sz="4" w:space="0" w:color="auto"/>
            </w:tcBorders>
            <w:hideMark/>
          </w:tcPr>
          <w:p w14:paraId="37F6A208" w14:textId="77777777" w:rsidR="000758B5" w:rsidRPr="009E1F1D" w:rsidRDefault="000758B5" w:rsidP="000758B5">
            <w:pPr>
              <w:rPr>
                <w:rFonts w:ascii="Calibri" w:hAnsi="Calibri" w:cs="Calibri"/>
                <w:color w:val="000000"/>
                <w:sz w:val="22"/>
                <w:szCs w:val="22"/>
              </w:rPr>
            </w:pPr>
            <w:r w:rsidRPr="009E1F1D">
              <w:rPr>
                <w:rFonts w:ascii="Calibri" w:hAnsi="Calibri" w:cs="Calibri"/>
                <w:color w:val="000000"/>
                <w:sz w:val="22"/>
                <w:szCs w:val="22"/>
              </w:rPr>
              <w:t>Lepak, D.P. &amp; Snell, S.A.</w:t>
            </w:r>
          </w:p>
        </w:tc>
        <w:tc>
          <w:tcPr>
            <w:tcW w:w="720" w:type="dxa"/>
            <w:tcBorders>
              <w:top w:val="nil"/>
              <w:left w:val="nil"/>
              <w:bottom w:val="single" w:sz="4" w:space="0" w:color="auto"/>
              <w:right w:val="single" w:sz="4" w:space="0" w:color="auto"/>
            </w:tcBorders>
            <w:hideMark/>
          </w:tcPr>
          <w:p w14:paraId="0BB2EF11" w14:textId="77777777" w:rsidR="000758B5" w:rsidRPr="009E1F1D" w:rsidRDefault="000758B5" w:rsidP="000758B5">
            <w:pPr>
              <w:rPr>
                <w:rFonts w:ascii="Calibri" w:hAnsi="Calibri" w:cs="Calibri"/>
                <w:color w:val="000000"/>
                <w:sz w:val="22"/>
                <w:szCs w:val="22"/>
              </w:rPr>
            </w:pPr>
            <w:r w:rsidRPr="009E1F1D">
              <w:rPr>
                <w:rFonts w:ascii="Calibri" w:hAnsi="Calibri" w:cs="Calibri"/>
                <w:color w:val="000000"/>
                <w:sz w:val="22"/>
                <w:szCs w:val="22"/>
              </w:rPr>
              <w:t>1999</w:t>
            </w:r>
          </w:p>
        </w:tc>
        <w:tc>
          <w:tcPr>
            <w:tcW w:w="1710" w:type="dxa"/>
            <w:tcBorders>
              <w:top w:val="nil"/>
              <w:left w:val="nil"/>
              <w:bottom w:val="single" w:sz="4" w:space="0" w:color="auto"/>
              <w:right w:val="single" w:sz="4" w:space="0" w:color="auto"/>
            </w:tcBorders>
          </w:tcPr>
          <w:p w14:paraId="6A8A10B3" w14:textId="4A0BAD07" w:rsidR="000758B5" w:rsidRPr="009E1F1D" w:rsidRDefault="000758B5" w:rsidP="000758B5">
            <w:pPr>
              <w:rPr>
                <w:rFonts w:ascii="Calibri" w:hAnsi="Calibri" w:cs="Calibri"/>
                <w:color w:val="000000"/>
                <w:sz w:val="22"/>
                <w:szCs w:val="22"/>
              </w:rPr>
            </w:pPr>
            <w:r w:rsidRPr="00F0534D">
              <w:rPr>
                <w:rFonts w:ascii="Calibri" w:hAnsi="Calibri" w:cs="Calibri"/>
                <w:color w:val="000000"/>
                <w:sz w:val="22"/>
                <w:szCs w:val="22"/>
              </w:rPr>
              <w:t>Strategic HRM</w:t>
            </w:r>
          </w:p>
        </w:tc>
        <w:tc>
          <w:tcPr>
            <w:tcW w:w="1710" w:type="dxa"/>
            <w:tcBorders>
              <w:top w:val="nil"/>
              <w:left w:val="nil"/>
              <w:bottom w:val="single" w:sz="4" w:space="0" w:color="auto"/>
              <w:right w:val="single" w:sz="4" w:space="0" w:color="auto"/>
            </w:tcBorders>
            <w:vAlign w:val="center"/>
          </w:tcPr>
          <w:p w14:paraId="4DAFA5B4" w14:textId="4041AE6F" w:rsidR="000758B5" w:rsidRPr="009E1F1D" w:rsidRDefault="000758B5" w:rsidP="000758B5">
            <w:pPr>
              <w:rPr>
                <w:rFonts w:ascii="Calibri" w:hAnsi="Calibri" w:cs="Calibri"/>
                <w:color w:val="000000"/>
                <w:sz w:val="22"/>
                <w:szCs w:val="22"/>
              </w:rPr>
            </w:pPr>
            <w:r w:rsidRPr="00D0217E">
              <w:rPr>
                <w:color w:val="000000"/>
              </w:rPr>
              <w:t>Strategic alignment</w:t>
            </w:r>
          </w:p>
        </w:tc>
        <w:tc>
          <w:tcPr>
            <w:tcW w:w="1980" w:type="dxa"/>
            <w:tcBorders>
              <w:top w:val="nil"/>
              <w:left w:val="nil"/>
              <w:bottom w:val="single" w:sz="4" w:space="0" w:color="auto"/>
              <w:right w:val="single" w:sz="4" w:space="0" w:color="auto"/>
            </w:tcBorders>
            <w:vAlign w:val="center"/>
          </w:tcPr>
          <w:p w14:paraId="6674BBD6" w14:textId="32CDC1D3" w:rsidR="000758B5" w:rsidRPr="009E1F1D" w:rsidRDefault="000758B5" w:rsidP="000758B5">
            <w:pPr>
              <w:rPr>
                <w:rFonts w:ascii="Calibri" w:hAnsi="Calibri" w:cs="Calibri"/>
                <w:color w:val="000000"/>
                <w:sz w:val="22"/>
                <w:szCs w:val="22"/>
              </w:rPr>
            </w:pPr>
            <w:r w:rsidRPr="00D0217E">
              <w:rPr>
                <w:color w:val="000000"/>
              </w:rPr>
              <w:t>HR complexity</w:t>
            </w:r>
          </w:p>
        </w:tc>
        <w:tc>
          <w:tcPr>
            <w:tcW w:w="1260" w:type="dxa"/>
            <w:tcBorders>
              <w:top w:val="nil"/>
              <w:left w:val="nil"/>
              <w:bottom w:val="single" w:sz="4" w:space="0" w:color="auto"/>
              <w:right w:val="single" w:sz="4" w:space="0" w:color="auto"/>
            </w:tcBorders>
            <w:vAlign w:val="center"/>
          </w:tcPr>
          <w:p w14:paraId="2756EB97" w14:textId="1A918BE7" w:rsidR="000758B5" w:rsidRPr="009E1F1D" w:rsidRDefault="000758B5" w:rsidP="000758B5">
            <w:pPr>
              <w:rPr>
                <w:rFonts w:ascii="Calibri" w:hAnsi="Calibri" w:cs="Calibri"/>
                <w:color w:val="000000"/>
                <w:sz w:val="22"/>
                <w:szCs w:val="22"/>
              </w:rPr>
            </w:pPr>
            <w:r w:rsidRPr="00D0217E">
              <w:rPr>
                <w:color w:val="000000"/>
              </w:rPr>
              <w:t>Workforce performance</w:t>
            </w:r>
          </w:p>
        </w:tc>
        <w:tc>
          <w:tcPr>
            <w:tcW w:w="1530" w:type="dxa"/>
            <w:tcBorders>
              <w:top w:val="nil"/>
              <w:left w:val="nil"/>
              <w:bottom w:val="single" w:sz="4" w:space="0" w:color="auto"/>
              <w:right w:val="single" w:sz="4" w:space="0" w:color="auto"/>
            </w:tcBorders>
            <w:hideMark/>
          </w:tcPr>
          <w:p w14:paraId="4C98DA71" w14:textId="77777777" w:rsidR="000758B5" w:rsidRPr="009E1F1D" w:rsidRDefault="000758B5" w:rsidP="000758B5">
            <w:pPr>
              <w:rPr>
                <w:rFonts w:ascii="Calibri" w:hAnsi="Calibri" w:cs="Calibri"/>
                <w:color w:val="000000"/>
                <w:sz w:val="22"/>
                <w:szCs w:val="22"/>
              </w:rPr>
            </w:pPr>
            <w:r w:rsidRPr="009E1F1D">
              <w:rPr>
                <w:rFonts w:ascii="Calibri" w:hAnsi="Calibri" w:cs="Calibri"/>
                <w:color w:val="000000"/>
                <w:sz w:val="22"/>
                <w:szCs w:val="22"/>
              </w:rPr>
              <w:t>Different employee groups require different HR and reward systems</w:t>
            </w:r>
          </w:p>
        </w:tc>
        <w:tc>
          <w:tcPr>
            <w:tcW w:w="1440" w:type="dxa"/>
            <w:tcBorders>
              <w:top w:val="nil"/>
              <w:left w:val="nil"/>
              <w:bottom w:val="single" w:sz="4" w:space="0" w:color="auto"/>
              <w:right w:val="single" w:sz="4" w:space="0" w:color="auto"/>
            </w:tcBorders>
          </w:tcPr>
          <w:p w14:paraId="071E068B" w14:textId="4EBC9281" w:rsidR="000758B5" w:rsidRPr="009E1F1D" w:rsidRDefault="000758B5" w:rsidP="000758B5">
            <w:pPr>
              <w:rPr>
                <w:rFonts w:ascii="Calibri" w:hAnsi="Calibri" w:cs="Calibri"/>
                <w:color w:val="000000"/>
                <w:sz w:val="22"/>
                <w:szCs w:val="22"/>
              </w:rPr>
            </w:pPr>
            <w:r w:rsidRPr="004B62CF">
              <w:rPr>
                <w:rFonts w:ascii="Calibri" w:hAnsi="Calibri" w:cs="Calibri"/>
                <w:color w:val="000000"/>
                <w:sz w:val="22"/>
                <w:szCs w:val="22"/>
              </w:rPr>
              <w:t>Strategic HRM</w:t>
            </w:r>
          </w:p>
        </w:tc>
        <w:tc>
          <w:tcPr>
            <w:tcW w:w="236" w:type="dxa"/>
            <w:tcBorders>
              <w:top w:val="nil"/>
              <w:left w:val="nil"/>
              <w:bottom w:val="single" w:sz="4" w:space="0" w:color="auto"/>
              <w:right w:val="single" w:sz="4" w:space="0" w:color="auto"/>
            </w:tcBorders>
          </w:tcPr>
          <w:p w14:paraId="25EDAE1B" w14:textId="737EF8A3" w:rsidR="000758B5" w:rsidRPr="009E1F1D" w:rsidRDefault="000758B5" w:rsidP="000758B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A3D10B6" w14:textId="0FF12C52" w:rsidR="000758B5" w:rsidRPr="009E1F1D" w:rsidRDefault="000758B5" w:rsidP="000758B5">
            <w:pPr>
              <w:rPr>
                <w:rFonts w:ascii="Calibri" w:hAnsi="Calibri" w:cs="Calibri"/>
                <w:color w:val="000000"/>
                <w:sz w:val="22"/>
                <w:szCs w:val="22"/>
              </w:rPr>
            </w:pPr>
          </w:p>
        </w:tc>
      </w:tr>
      <w:tr w:rsidR="002A58DC" w:rsidRPr="009E1F1D" w14:paraId="1CA52F1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7EA6C2D" w14:textId="77777777" w:rsidR="008F170D" w:rsidRPr="009E1F1D" w:rsidRDefault="008F170D" w:rsidP="008F170D">
            <w:pPr>
              <w:jc w:val="right"/>
              <w:rPr>
                <w:rFonts w:ascii="Calibri" w:hAnsi="Calibri" w:cs="Calibri"/>
                <w:color w:val="000000"/>
                <w:sz w:val="22"/>
                <w:szCs w:val="22"/>
              </w:rPr>
            </w:pPr>
            <w:r w:rsidRPr="009E1F1D">
              <w:rPr>
                <w:rFonts w:ascii="Calibri" w:hAnsi="Calibri" w:cs="Calibri"/>
                <w:color w:val="000000"/>
                <w:sz w:val="22"/>
                <w:szCs w:val="22"/>
              </w:rPr>
              <w:t>63</w:t>
            </w:r>
          </w:p>
        </w:tc>
        <w:tc>
          <w:tcPr>
            <w:tcW w:w="1260" w:type="dxa"/>
            <w:tcBorders>
              <w:top w:val="nil"/>
              <w:left w:val="nil"/>
              <w:bottom w:val="single" w:sz="4" w:space="0" w:color="auto"/>
              <w:right w:val="single" w:sz="4" w:space="0" w:color="auto"/>
            </w:tcBorders>
            <w:hideMark/>
          </w:tcPr>
          <w:p w14:paraId="1744B83E"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 xml:space="preserve">Strategic Human Resource Management: Where Do We Go </w:t>
            </w:r>
            <w:proofErr w:type="gramStart"/>
            <w:r w:rsidRPr="009E1F1D">
              <w:rPr>
                <w:rFonts w:ascii="Calibri" w:hAnsi="Calibri" w:cs="Calibri"/>
                <w:color w:val="000000"/>
                <w:sz w:val="22"/>
                <w:szCs w:val="22"/>
              </w:rPr>
              <w:t>From</w:t>
            </w:r>
            <w:proofErr w:type="gramEnd"/>
            <w:r w:rsidRPr="009E1F1D">
              <w:rPr>
                <w:rFonts w:ascii="Calibri" w:hAnsi="Calibri" w:cs="Calibri"/>
                <w:color w:val="000000"/>
                <w:sz w:val="22"/>
                <w:szCs w:val="22"/>
              </w:rPr>
              <w:t xml:space="preserve"> Here?</w:t>
            </w:r>
          </w:p>
        </w:tc>
        <w:tc>
          <w:tcPr>
            <w:tcW w:w="1530" w:type="dxa"/>
            <w:tcBorders>
              <w:top w:val="nil"/>
              <w:left w:val="nil"/>
              <w:bottom w:val="single" w:sz="4" w:space="0" w:color="auto"/>
              <w:right w:val="single" w:sz="4" w:space="0" w:color="auto"/>
            </w:tcBorders>
            <w:hideMark/>
          </w:tcPr>
          <w:p w14:paraId="425CD759"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Wright, P.M. &amp; McMahan, G.C.</w:t>
            </w:r>
          </w:p>
        </w:tc>
        <w:tc>
          <w:tcPr>
            <w:tcW w:w="720" w:type="dxa"/>
            <w:tcBorders>
              <w:top w:val="nil"/>
              <w:left w:val="nil"/>
              <w:bottom w:val="single" w:sz="4" w:space="0" w:color="auto"/>
              <w:right w:val="single" w:sz="4" w:space="0" w:color="auto"/>
            </w:tcBorders>
            <w:hideMark/>
          </w:tcPr>
          <w:p w14:paraId="7EBE4D57"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1992</w:t>
            </w:r>
          </w:p>
        </w:tc>
        <w:tc>
          <w:tcPr>
            <w:tcW w:w="1710" w:type="dxa"/>
            <w:tcBorders>
              <w:top w:val="nil"/>
              <w:left w:val="nil"/>
              <w:bottom w:val="single" w:sz="4" w:space="0" w:color="auto"/>
              <w:right w:val="single" w:sz="4" w:space="0" w:color="auto"/>
            </w:tcBorders>
          </w:tcPr>
          <w:p w14:paraId="65AA04E7" w14:textId="35B17D62" w:rsidR="008F170D" w:rsidRPr="009E1F1D" w:rsidRDefault="008F170D" w:rsidP="008F170D">
            <w:pPr>
              <w:rPr>
                <w:rFonts w:ascii="Calibri" w:hAnsi="Calibri" w:cs="Calibri"/>
                <w:color w:val="000000"/>
                <w:sz w:val="22"/>
                <w:szCs w:val="22"/>
              </w:rPr>
            </w:pPr>
            <w:r w:rsidRPr="00F0534D">
              <w:rPr>
                <w:rFonts w:ascii="Calibri" w:hAnsi="Calibri" w:cs="Calibri"/>
                <w:color w:val="000000"/>
                <w:sz w:val="22"/>
                <w:szCs w:val="22"/>
              </w:rPr>
              <w:t>Strategic HRM</w:t>
            </w:r>
          </w:p>
        </w:tc>
        <w:tc>
          <w:tcPr>
            <w:tcW w:w="1710" w:type="dxa"/>
            <w:tcBorders>
              <w:top w:val="nil"/>
              <w:left w:val="nil"/>
              <w:bottom w:val="single" w:sz="4" w:space="0" w:color="auto"/>
              <w:right w:val="single" w:sz="4" w:space="0" w:color="auto"/>
            </w:tcBorders>
            <w:vAlign w:val="center"/>
          </w:tcPr>
          <w:p w14:paraId="468B0D53" w14:textId="70C9A5BA" w:rsidR="008F170D" w:rsidRPr="009E1F1D" w:rsidRDefault="008F170D" w:rsidP="008F170D">
            <w:pPr>
              <w:rPr>
                <w:rFonts w:ascii="Calibri" w:hAnsi="Calibri" w:cs="Calibri"/>
                <w:color w:val="000000"/>
                <w:sz w:val="22"/>
                <w:szCs w:val="22"/>
              </w:rPr>
            </w:pPr>
            <w:r w:rsidRPr="00D0217E">
              <w:rPr>
                <w:color w:val="000000"/>
              </w:rPr>
              <w:t>Strategic alignment</w:t>
            </w:r>
          </w:p>
        </w:tc>
        <w:tc>
          <w:tcPr>
            <w:tcW w:w="1980" w:type="dxa"/>
            <w:tcBorders>
              <w:top w:val="nil"/>
              <w:left w:val="nil"/>
              <w:bottom w:val="single" w:sz="4" w:space="0" w:color="auto"/>
              <w:right w:val="single" w:sz="4" w:space="0" w:color="auto"/>
            </w:tcBorders>
            <w:vAlign w:val="center"/>
          </w:tcPr>
          <w:p w14:paraId="5F8B0935" w14:textId="02E7C131" w:rsidR="008F170D" w:rsidRPr="009E1F1D" w:rsidRDefault="008F170D" w:rsidP="008F170D">
            <w:pPr>
              <w:rPr>
                <w:rFonts w:ascii="Calibri" w:hAnsi="Calibri" w:cs="Calibri"/>
                <w:color w:val="000000"/>
                <w:sz w:val="22"/>
                <w:szCs w:val="22"/>
              </w:rPr>
            </w:pPr>
            <w:r w:rsidRPr="00D0217E">
              <w:rPr>
                <w:color w:val="000000"/>
              </w:rPr>
              <w:t>Implementation complexity</w:t>
            </w:r>
          </w:p>
        </w:tc>
        <w:tc>
          <w:tcPr>
            <w:tcW w:w="1260" w:type="dxa"/>
            <w:tcBorders>
              <w:top w:val="nil"/>
              <w:left w:val="nil"/>
              <w:bottom w:val="single" w:sz="4" w:space="0" w:color="auto"/>
              <w:right w:val="single" w:sz="4" w:space="0" w:color="auto"/>
            </w:tcBorders>
            <w:vAlign w:val="center"/>
          </w:tcPr>
          <w:p w14:paraId="73ED3135" w14:textId="0FEB2894" w:rsidR="008F170D" w:rsidRPr="009E1F1D" w:rsidRDefault="008F170D" w:rsidP="008F170D">
            <w:pPr>
              <w:rPr>
                <w:rFonts w:ascii="Calibri" w:hAnsi="Calibri" w:cs="Calibri"/>
                <w:color w:val="000000"/>
                <w:sz w:val="22"/>
                <w:szCs w:val="22"/>
              </w:rPr>
            </w:pPr>
            <w:r w:rsidRPr="00D0217E">
              <w:rPr>
                <w:color w:val="000000"/>
              </w:rPr>
              <w:t>HR performance</w:t>
            </w:r>
          </w:p>
        </w:tc>
        <w:tc>
          <w:tcPr>
            <w:tcW w:w="1530" w:type="dxa"/>
            <w:tcBorders>
              <w:top w:val="nil"/>
              <w:left w:val="nil"/>
              <w:bottom w:val="single" w:sz="4" w:space="0" w:color="auto"/>
              <w:right w:val="single" w:sz="4" w:space="0" w:color="auto"/>
            </w:tcBorders>
            <w:hideMark/>
          </w:tcPr>
          <w:p w14:paraId="6D85C13A"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HR practices should align with strategy and organizational context</w:t>
            </w:r>
          </w:p>
        </w:tc>
        <w:tc>
          <w:tcPr>
            <w:tcW w:w="1440" w:type="dxa"/>
            <w:tcBorders>
              <w:top w:val="nil"/>
              <w:left w:val="nil"/>
              <w:bottom w:val="single" w:sz="4" w:space="0" w:color="auto"/>
              <w:right w:val="single" w:sz="4" w:space="0" w:color="auto"/>
            </w:tcBorders>
          </w:tcPr>
          <w:p w14:paraId="63EBC5C4" w14:textId="6C48BBF7" w:rsidR="008F170D" w:rsidRPr="009E1F1D" w:rsidRDefault="008F170D" w:rsidP="008F170D">
            <w:pPr>
              <w:rPr>
                <w:rFonts w:ascii="Calibri" w:hAnsi="Calibri" w:cs="Calibri"/>
                <w:color w:val="000000"/>
                <w:sz w:val="22"/>
                <w:szCs w:val="22"/>
              </w:rPr>
            </w:pPr>
            <w:r w:rsidRPr="004B62CF">
              <w:rPr>
                <w:rFonts w:ascii="Calibri" w:hAnsi="Calibri" w:cs="Calibri"/>
                <w:color w:val="000000"/>
                <w:sz w:val="22"/>
                <w:szCs w:val="22"/>
              </w:rPr>
              <w:t>HR practices, attitudes</w:t>
            </w:r>
          </w:p>
        </w:tc>
        <w:tc>
          <w:tcPr>
            <w:tcW w:w="236" w:type="dxa"/>
            <w:tcBorders>
              <w:top w:val="nil"/>
              <w:left w:val="nil"/>
              <w:bottom w:val="single" w:sz="4" w:space="0" w:color="auto"/>
              <w:right w:val="single" w:sz="4" w:space="0" w:color="auto"/>
            </w:tcBorders>
          </w:tcPr>
          <w:p w14:paraId="670ED342" w14:textId="69156D83" w:rsidR="008F170D" w:rsidRPr="009E1F1D" w:rsidRDefault="008F170D" w:rsidP="008F170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ECB69C3" w14:textId="323DF42C" w:rsidR="008F170D" w:rsidRPr="009E1F1D" w:rsidRDefault="008F170D" w:rsidP="008F170D">
            <w:pPr>
              <w:rPr>
                <w:rFonts w:ascii="Calibri" w:hAnsi="Calibri" w:cs="Calibri"/>
                <w:color w:val="000000"/>
                <w:sz w:val="22"/>
                <w:szCs w:val="22"/>
              </w:rPr>
            </w:pPr>
          </w:p>
        </w:tc>
      </w:tr>
      <w:tr w:rsidR="002A58DC" w:rsidRPr="009E1F1D" w14:paraId="078025C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80B4EC2" w14:textId="77777777" w:rsidR="008F170D" w:rsidRPr="009E1F1D" w:rsidRDefault="008F170D" w:rsidP="008F170D">
            <w:pPr>
              <w:jc w:val="right"/>
              <w:rPr>
                <w:rFonts w:ascii="Calibri" w:hAnsi="Calibri" w:cs="Calibri"/>
                <w:color w:val="000000"/>
                <w:sz w:val="22"/>
                <w:szCs w:val="22"/>
              </w:rPr>
            </w:pPr>
            <w:r w:rsidRPr="009E1F1D">
              <w:rPr>
                <w:rFonts w:ascii="Calibri" w:hAnsi="Calibri" w:cs="Calibri"/>
                <w:color w:val="000000"/>
                <w:sz w:val="22"/>
                <w:szCs w:val="22"/>
              </w:rPr>
              <w:lastRenderedPageBreak/>
              <w:t>64</w:t>
            </w:r>
          </w:p>
        </w:tc>
        <w:tc>
          <w:tcPr>
            <w:tcW w:w="1260" w:type="dxa"/>
            <w:tcBorders>
              <w:top w:val="nil"/>
              <w:left w:val="nil"/>
              <w:bottom w:val="single" w:sz="4" w:space="0" w:color="auto"/>
              <w:right w:val="single" w:sz="4" w:space="0" w:color="auto"/>
            </w:tcBorders>
            <w:hideMark/>
          </w:tcPr>
          <w:p w14:paraId="34D92911"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The Impact of Human Resource Management Practices on Employee Attitudes and Behavior</w:t>
            </w:r>
          </w:p>
        </w:tc>
        <w:tc>
          <w:tcPr>
            <w:tcW w:w="1530" w:type="dxa"/>
            <w:tcBorders>
              <w:top w:val="nil"/>
              <w:left w:val="nil"/>
              <w:bottom w:val="single" w:sz="4" w:space="0" w:color="auto"/>
              <w:right w:val="single" w:sz="4" w:space="0" w:color="auto"/>
            </w:tcBorders>
            <w:hideMark/>
          </w:tcPr>
          <w:p w14:paraId="0A093AAF"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Takeuchi, R., Lepak, D.P., Wang, H. &amp; Takeuchi, K.</w:t>
            </w:r>
          </w:p>
        </w:tc>
        <w:tc>
          <w:tcPr>
            <w:tcW w:w="720" w:type="dxa"/>
            <w:tcBorders>
              <w:top w:val="nil"/>
              <w:left w:val="nil"/>
              <w:bottom w:val="single" w:sz="4" w:space="0" w:color="auto"/>
              <w:right w:val="single" w:sz="4" w:space="0" w:color="auto"/>
            </w:tcBorders>
            <w:hideMark/>
          </w:tcPr>
          <w:p w14:paraId="1F1D0652"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2007</w:t>
            </w:r>
          </w:p>
        </w:tc>
        <w:tc>
          <w:tcPr>
            <w:tcW w:w="1710" w:type="dxa"/>
            <w:tcBorders>
              <w:top w:val="nil"/>
              <w:left w:val="nil"/>
              <w:bottom w:val="single" w:sz="4" w:space="0" w:color="auto"/>
              <w:right w:val="single" w:sz="4" w:space="0" w:color="auto"/>
            </w:tcBorders>
          </w:tcPr>
          <w:p w14:paraId="37883ADA" w14:textId="65B77336" w:rsidR="008F170D" w:rsidRPr="009E1F1D" w:rsidRDefault="008F170D" w:rsidP="008F170D">
            <w:pPr>
              <w:rPr>
                <w:rFonts w:ascii="Calibri" w:hAnsi="Calibri" w:cs="Calibri"/>
                <w:color w:val="000000"/>
                <w:sz w:val="22"/>
                <w:szCs w:val="22"/>
              </w:rPr>
            </w:pPr>
            <w:r w:rsidRPr="00F0534D">
              <w:rPr>
                <w:rFonts w:ascii="Calibri" w:hAnsi="Calibri" w:cs="Calibri"/>
                <w:color w:val="000000"/>
                <w:sz w:val="22"/>
                <w:szCs w:val="22"/>
              </w:rPr>
              <w:t>Social Exchange Theory</w:t>
            </w:r>
          </w:p>
        </w:tc>
        <w:tc>
          <w:tcPr>
            <w:tcW w:w="1710" w:type="dxa"/>
            <w:tcBorders>
              <w:top w:val="nil"/>
              <w:left w:val="nil"/>
              <w:bottom w:val="single" w:sz="4" w:space="0" w:color="auto"/>
              <w:right w:val="single" w:sz="4" w:space="0" w:color="auto"/>
            </w:tcBorders>
            <w:vAlign w:val="center"/>
          </w:tcPr>
          <w:p w14:paraId="0046867B" w14:textId="14358FEE" w:rsidR="008F170D" w:rsidRPr="009E1F1D" w:rsidRDefault="008F170D" w:rsidP="008F170D">
            <w:pPr>
              <w:rPr>
                <w:rFonts w:ascii="Calibri" w:hAnsi="Calibri" w:cs="Calibri"/>
                <w:color w:val="000000"/>
                <w:sz w:val="22"/>
                <w:szCs w:val="22"/>
              </w:rPr>
            </w:pPr>
            <w:r w:rsidRPr="00D0217E">
              <w:rPr>
                <w:color w:val="000000"/>
              </w:rPr>
              <w:t>Employee development</w:t>
            </w:r>
          </w:p>
        </w:tc>
        <w:tc>
          <w:tcPr>
            <w:tcW w:w="1980" w:type="dxa"/>
            <w:tcBorders>
              <w:top w:val="nil"/>
              <w:left w:val="nil"/>
              <w:bottom w:val="single" w:sz="4" w:space="0" w:color="auto"/>
              <w:right w:val="single" w:sz="4" w:space="0" w:color="auto"/>
            </w:tcBorders>
            <w:vAlign w:val="center"/>
          </w:tcPr>
          <w:p w14:paraId="2CA1C286" w14:textId="65DF48D8" w:rsidR="008F170D" w:rsidRPr="009E1F1D" w:rsidRDefault="008F170D" w:rsidP="008F170D">
            <w:pPr>
              <w:rPr>
                <w:rFonts w:ascii="Calibri" w:hAnsi="Calibri" w:cs="Calibri"/>
                <w:color w:val="000000"/>
                <w:sz w:val="22"/>
                <w:szCs w:val="22"/>
              </w:rPr>
            </w:pPr>
            <w:r w:rsidRPr="00D0217E">
              <w:rPr>
                <w:color w:val="000000"/>
              </w:rPr>
              <w:t>Implementation demands</w:t>
            </w:r>
          </w:p>
        </w:tc>
        <w:tc>
          <w:tcPr>
            <w:tcW w:w="1260" w:type="dxa"/>
            <w:tcBorders>
              <w:top w:val="nil"/>
              <w:left w:val="nil"/>
              <w:bottom w:val="single" w:sz="4" w:space="0" w:color="auto"/>
              <w:right w:val="single" w:sz="4" w:space="0" w:color="auto"/>
            </w:tcBorders>
            <w:vAlign w:val="center"/>
          </w:tcPr>
          <w:p w14:paraId="54B05E1B" w14:textId="41FA66D4" w:rsidR="008F170D" w:rsidRPr="009E1F1D" w:rsidRDefault="008F170D" w:rsidP="008F170D">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performance</w:t>
            </w:r>
          </w:p>
        </w:tc>
        <w:tc>
          <w:tcPr>
            <w:tcW w:w="1530" w:type="dxa"/>
            <w:tcBorders>
              <w:top w:val="nil"/>
              <w:left w:val="nil"/>
              <w:bottom w:val="single" w:sz="4" w:space="0" w:color="auto"/>
              <w:right w:val="single" w:sz="4" w:space="0" w:color="auto"/>
            </w:tcBorders>
            <w:hideMark/>
          </w:tcPr>
          <w:p w14:paraId="0D17085B"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HR systems can affect attitudes and performance through employee perceptions</w:t>
            </w:r>
          </w:p>
        </w:tc>
        <w:tc>
          <w:tcPr>
            <w:tcW w:w="1440" w:type="dxa"/>
            <w:tcBorders>
              <w:top w:val="nil"/>
              <w:left w:val="nil"/>
              <w:bottom w:val="single" w:sz="4" w:space="0" w:color="auto"/>
              <w:right w:val="single" w:sz="4" w:space="0" w:color="auto"/>
            </w:tcBorders>
          </w:tcPr>
          <w:p w14:paraId="1B460D06" w14:textId="64514023" w:rsidR="008F170D" w:rsidRPr="009E1F1D" w:rsidRDefault="00BB6B2F" w:rsidP="008F170D">
            <w:pPr>
              <w:rPr>
                <w:rFonts w:ascii="Calibri" w:hAnsi="Calibri" w:cs="Calibri"/>
                <w:color w:val="000000"/>
                <w:sz w:val="22"/>
                <w:szCs w:val="22"/>
              </w:rPr>
            </w:pPr>
            <w:r w:rsidRPr="004B62CF">
              <w:rPr>
                <w:rFonts w:ascii="Calibri" w:hAnsi="Calibri" w:cs="Calibri"/>
                <w:color w:val="000000"/>
                <w:sz w:val="22"/>
                <w:szCs w:val="22"/>
              </w:rPr>
              <w:t>HPWS, performance</w:t>
            </w:r>
          </w:p>
        </w:tc>
        <w:tc>
          <w:tcPr>
            <w:tcW w:w="236" w:type="dxa"/>
            <w:tcBorders>
              <w:top w:val="nil"/>
              <w:left w:val="nil"/>
              <w:bottom w:val="single" w:sz="4" w:space="0" w:color="auto"/>
              <w:right w:val="single" w:sz="4" w:space="0" w:color="auto"/>
            </w:tcBorders>
          </w:tcPr>
          <w:p w14:paraId="696E5CEB" w14:textId="761734CB" w:rsidR="008F170D" w:rsidRPr="009E1F1D" w:rsidRDefault="008F170D" w:rsidP="008F170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9EF96FC" w14:textId="0DCD002C" w:rsidR="008F170D" w:rsidRPr="009E1F1D" w:rsidRDefault="008F170D" w:rsidP="008F170D">
            <w:pPr>
              <w:rPr>
                <w:rFonts w:ascii="Calibri" w:hAnsi="Calibri" w:cs="Calibri"/>
                <w:color w:val="000000"/>
                <w:sz w:val="22"/>
                <w:szCs w:val="22"/>
              </w:rPr>
            </w:pPr>
          </w:p>
        </w:tc>
      </w:tr>
      <w:tr w:rsidR="002A58DC" w:rsidRPr="009E1F1D" w14:paraId="558E301C"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A3704A9" w14:textId="77777777" w:rsidR="008F170D" w:rsidRPr="009E1F1D" w:rsidRDefault="008F170D" w:rsidP="008F170D">
            <w:pPr>
              <w:jc w:val="right"/>
              <w:rPr>
                <w:rFonts w:ascii="Calibri" w:hAnsi="Calibri" w:cs="Calibri"/>
                <w:color w:val="000000"/>
                <w:sz w:val="22"/>
                <w:szCs w:val="22"/>
              </w:rPr>
            </w:pPr>
            <w:r w:rsidRPr="009E1F1D">
              <w:rPr>
                <w:rFonts w:ascii="Calibri" w:hAnsi="Calibri" w:cs="Calibri"/>
                <w:color w:val="000000"/>
                <w:sz w:val="22"/>
                <w:szCs w:val="22"/>
              </w:rPr>
              <w:t>65</w:t>
            </w:r>
          </w:p>
        </w:tc>
        <w:tc>
          <w:tcPr>
            <w:tcW w:w="1260" w:type="dxa"/>
            <w:tcBorders>
              <w:top w:val="nil"/>
              <w:left w:val="nil"/>
              <w:bottom w:val="single" w:sz="4" w:space="0" w:color="auto"/>
              <w:right w:val="single" w:sz="4" w:space="0" w:color="auto"/>
            </w:tcBorders>
            <w:hideMark/>
          </w:tcPr>
          <w:p w14:paraId="0BBAA369"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High-Performance Work Practices and Firm Performance</w:t>
            </w:r>
          </w:p>
        </w:tc>
        <w:tc>
          <w:tcPr>
            <w:tcW w:w="1530" w:type="dxa"/>
            <w:tcBorders>
              <w:top w:val="nil"/>
              <w:left w:val="nil"/>
              <w:bottom w:val="single" w:sz="4" w:space="0" w:color="auto"/>
              <w:right w:val="single" w:sz="4" w:space="0" w:color="auto"/>
            </w:tcBorders>
            <w:hideMark/>
          </w:tcPr>
          <w:p w14:paraId="121BA8B9"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Combs, J., Liu, Y., Hall, A. &amp; Ketchen, D.</w:t>
            </w:r>
          </w:p>
        </w:tc>
        <w:tc>
          <w:tcPr>
            <w:tcW w:w="720" w:type="dxa"/>
            <w:tcBorders>
              <w:top w:val="nil"/>
              <w:left w:val="nil"/>
              <w:bottom w:val="single" w:sz="4" w:space="0" w:color="auto"/>
              <w:right w:val="single" w:sz="4" w:space="0" w:color="auto"/>
            </w:tcBorders>
            <w:hideMark/>
          </w:tcPr>
          <w:p w14:paraId="4A246FD0"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2006</w:t>
            </w:r>
          </w:p>
        </w:tc>
        <w:tc>
          <w:tcPr>
            <w:tcW w:w="1710" w:type="dxa"/>
            <w:tcBorders>
              <w:top w:val="nil"/>
              <w:left w:val="nil"/>
              <w:bottom w:val="single" w:sz="4" w:space="0" w:color="auto"/>
              <w:right w:val="single" w:sz="4" w:space="0" w:color="auto"/>
            </w:tcBorders>
          </w:tcPr>
          <w:p w14:paraId="72E257A6" w14:textId="146ACEDB" w:rsidR="008F170D" w:rsidRPr="009E1F1D" w:rsidRDefault="008F170D" w:rsidP="008F170D">
            <w:pPr>
              <w:rPr>
                <w:rFonts w:ascii="Calibri" w:hAnsi="Calibri" w:cs="Calibri"/>
                <w:color w:val="000000"/>
                <w:sz w:val="22"/>
                <w:szCs w:val="22"/>
              </w:rPr>
            </w:pPr>
            <w:r w:rsidRPr="00F0534D">
              <w:rPr>
                <w:rFonts w:ascii="Calibri" w:hAnsi="Calibri" w:cs="Calibri"/>
                <w:color w:val="000000"/>
                <w:sz w:val="22"/>
                <w:szCs w:val="22"/>
              </w:rPr>
              <w:t>Strategic HRM</w:t>
            </w:r>
          </w:p>
        </w:tc>
        <w:tc>
          <w:tcPr>
            <w:tcW w:w="1710" w:type="dxa"/>
            <w:tcBorders>
              <w:top w:val="nil"/>
              <w:left w:val="nil"/>
              <w:bottom w:val="single" w:sz="4" w:space="0" w:color="auto"/>
              <w:right w:val="single" w:sz="4" w:space="0" w:color="auto"/>
            </w:tcBorders>
            <w:vAlign w:val="center"/>
          </w:tcPr>
          <w:p w14:paraId="70497A61" w14:textId="675BAA5C" w:rsidR="008F170D" w:rsidRPr="009E1F1D" w:rsidRDefault="008F170D" w:rsidP="008F170D">
            <w:pPr>
              <w:rPr>
                <w:rFonts w:ascii="Calibri" w:hAnsi="Calibri" w:cs="Calibri"/>
                <w:color w:val="000000"/>
                <w:sz w:val="22"/>
                <w:szCs w:val="22"/>
              </w:rPr>
            </w:pPr>
            <w:r w:rsidRPr="00D0217E">
              <w:rPr>
                <w:color w:val="000000"/>
              </w:rPr>
              <w:t>Better practices</w:t>
            </w:r>
          </w:p>
        </w:tc>
        <w:tc>
          <w:tcPr>
            <w:tcW w:w="1980" w:type="dxa"/>
            <w:tcBorders>
              <w:top w:val="nil"/>
              <w:left w:val="nil"/>
              <w:bottom w:val="single" w:sz="4" w:space="0" w:color="auto"/>
              <w:right w:val="single" w:sz="4" w:space="0" w:color="auto"/>
            </w:tcBorders>
            <w:vAlign w:val="center"/>
          </w:tcPr>
          <w:p w14:paraId="4DE8DDD6" w14:textId="42A380D6" w:rsidR="008F170D" w:rsidRPr="009E1F1D" w:rsidRDefault="008F170D" w:rsidP="008F170D">
            <w:pPr>
              <w:rPr>
                <w:rFonts w:ascii="Calibri" w:hAnsi="Calibri" w:cs="Calibri"/>
                <w:color w:val="000000"/>
                <w:sz w:val="22"/>
                <w:szCs w:val="22"/>
              </w:rPr>
            </w:pPr>
            <w:r w:rsidRPr="00D0217E">
              <w:rPr>
                <w:color w:val="000000"/>
              </w:rPr>
              <w:t>Implementation complexity</w:t>
            </w:r>
          </w:p>
        </w:tc>
        <w:tc>
          <w:tcPr>
            <w:tcW w:w="1260" w:type="dxa"/>
            <w:tcBorders>
              <w:top w:val="nil"/>
              <w:left w:val="nil"/>
              <w:bottom w:val="single" w:sz="4" w:space="0" w:color="auto"/>
              <w:right w:val="single" w:sz="4" w:space="0" w:color="auto"/>
            </w:tcBorders>
            <w:vAlign w:val="center"/>
          </w:tcPr>
          <w:p w14:paraId="79934BA8" w14:textId="15925D6C" w:rsidR="008F170D" w:rsidRPr="009E1F1D" w:rsidRDefault="008F170D" w:rsidP="008F170D">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performance</w:t>
            </w:r>
          </w:p>
        </w:tc>
        <w:tc>
          <w:tcPr>
            <w:tcW w:w="1530" w:type="dxa"/>
            <w:tcBorders>
              <w:top w:val="nil"/>
              <w:left w:val="nil"/>
              <w:bottom w:val="single" w:sz="4" w:space="0" w:color="auto"/>
              <w:right w:val="single" w:sz="4" w:space="0" w:color="auto"/>
            </w:tcBorders>
            <w:hideMark/>
          </w:tcPr>
          <w:p w14:paraId="22CA61F8" w14:textId="77777777" w:rsidR="008F170D" w:rsidRPr="009E1F1D" w:rsidRDefault="008F170D" w:rsidP="008F170D">
            <w:pPr>
              <w:rPr>
                <w:rFonts w:ascii="Calibri" w:hAnsi="Calibri" w:cs="Calibri"/>
                <w:color w:val="000000"/>
                <w:sz w:val="22"/>
                <w:szCs w:val="22"/>
              </w:rPr>
            </w:pPr>
            <w:r w:rsidRPr="009E1F1D">
              <w:rPr>
                <w:rFonts w:ascii="Calibri" w:hAnsi="Calibri" w:cs="Calibri"/>
                <w:color w:val="000000"/>
                <w:sz w:val="22"/>
                <w:szCs w:val="22"/>
              </w:rPr>
              <w:t>High-performance practices are positively associated with organizational performance</w:t>
            </w:r>
          </w:p>
        </w:tc>
        <w:tc>
          <w:tcPr>
            <w:tcW w:w="1440" w:type="dxa"/>
            <w:tcBorders>
              <w:top w:val="nil"/>
              <w:left w:val="nil"/>
              <w:bottom w:val="single" w:sz="4" w:space="0" w:color="auto"/>
              <w:right w:val="single" w:sz="4" w:space="0" w:color="auto"/>
            </w:tcBorders>
          </w:tcPr>
          <w:p w14:paraId="01C6E8B5" w14:textId="5ACAF4EA" w:rsidR="008F170D" w:rsidRPr="009E1F1D" w:rsidRDefault="00084B01" w:rsidP="008F170D">
            <w:pPr>
              <w:rPr>
                <w:rFonts w:ascii="Calibri" w:hAnsi="Calibri" w:cs="Calibri"/>
                <w:color w:val="000000"/>
                <w:sz w:val="22"/>
                <w:szCs w:val="22"/>
              </w:rPr>
            </w:pPr>
            <w:r w:rsidRPr="004B62CF">
              <w:rPr>
                <w:rFonts w:ascii="Calibri" w:hAnsi="Calibri" w:cs="Calibri"/>
                <w:color w:val="000000"/>
                <w:sz w:val="22"/>
                <w:szCs w:val="22"/>
              </w:rPr>
              <w:t>Job enrichment, motivation</w:t>
            </w:r>
          </w:p>
        </w:tc>
        <w:tc>
          <w:tcPr>
            <w:tcW w:w="236" w:type="dxa"/>
            <w:tcBorders>
              <w:top w:val="nil"/>
              <w:left w:val="nil"/>
              <w:bottom w:val="single" w:sz="4" w:space="0" w:color="auto"/>
              <w:right w:val="single" w:sz="4" w:space="0" w:color="auto"/>
            </w:tcBorders>
          </w:tcPr>
          <w:p w14:paraId="46DA20C6" w14:textId="735159C3" w:rsidR="008F170D" w:rsidRPr="009E1F1D" w:rsidRDefault="008F170D" w:rsidP="008F170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9282E8A" w14:textId="0C8C56B4" w:rsidR="008F170D" w:rsidRPr="009E1F1D" w:rsidRDefault="008F170D" w:rsidP="008F170D">
            <w:pPr>
              <w:rPr>
                <w:rFonts w:ascii="Calibri" w:hAnsi="Calibri" w:cs="Calibri"/>
                <w:color w:val="000000"/>
                <w:sz w:val="22"/>
                <w:szCs w:val="22"/>
              </w:rPr>
            </w:pPr>
          </w:p>
        </w:tc>
      </w:tr>
      <w:tr w:rsidR="002A58DC" w:rsidRPr="009E1F1D" w14:paraId="39623EF3"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AD8830E" w14:textId="77777777" w:rsidR="006563FD" w:rsidRPr="009E1F1D" w:rsidRDefault="006563FD" w:rsidP="006563FD">
            <w:pPr>
              <w:jc w:val="right"/>
              <w:rPr>
                <w:rFonts w:ascii="Calibri" w:hAnsi="Calibri" w:cs="Calibri"/>
                <w:color w:val="000000"/>
                <w:sz w:val="22"/>
                <w:szCs w:val="22"/>
              </w:rPr>
            </w:pPr>
            <w:r w:rsidRPr="009E1F1D">
              <w:rPr>
                <w:rFonts w:ascii="Calibri" w:hAnsi="Calibri" w:cs="Calibri"/>
                <w:color w:val="000000"/>
                <w:sz w:val="22"/>
                <w:szCs w:val="22"/>
              </w:rPr>
              <w:t>66</w:t>
            </w:r>
          </w:p>
        </w:tc>
        <w:tc>
          <w:tcPr>
            <w:tcW w:w="1260" w:type="dxa"/>
            <w:tcBorders>
              <w:top w:val="nil"/>
              <w:left w:val="nil"/>
              <w:bottom w:val="single" w:sz="4" w:space="0" w:color="auto"/>
              <w:right w:val="single" w:sz="4" w:space="0" w:color="auto"/>
            </w:tcBorders>
            <w:hideMark/>
          </w:tcPr>
          <w:p w14:paraId="6F28849A" w14:textId="77777777" w:rsidR="006563FD" w:rsidRPr="009E1F1D" w:rsidRDefault="006563FD" w:rsidP="006563FD">
            <w:pPr>
              <w:rPr>
                <w:rFonts w:ascii="Calibri" w:hAnsi="Calibri" w:cs="Calibri"/>
                <w:color w:val="000000"/>
                <w:sz w:val="22"/>
                <w:szCs w:val="22"/>
              </w:rPr>
            </w:pPr>
            <w:r w:rsidRPr="009E1F1D">
              <w:rPr>
                <w:rFonts w:ascii="Calibri" w:hAnsi="Calibri" w:cs="Calibri"/>
                <w:color w:val="000000"/>
                <w:sz w:val="22"/>
                <w:szCs w:val="22"/>
              </w:rPr>
              <w:t>One More Time: How Do You Motivate Employees?</w:t>
            </w:r>
          </w:p>
        </w:tc>
        <w:tc>
          <w:tcPr>
            <w:tcW w:w="1530" w:type="dxa"/>
            <w:tcBorders>
              <w:top w:val="nil"/>
              <w:left w:val="nil"/>
              <w:bottom w:val="single" w:sz="4" w:space="0" w:color="auto"/>
              <w:right w:val="single" w:sz="4" w:space="0" w:color="auto"/>
            </w:tcBorders>
            <w:hideMark/>
          </w:tcPr>
          <w:p w14:paraId="007403F5" w14:textId="77777777" w:rsidR="006563FD" w:rsidRPr="009E1F1D" w:rsidRDefault="006563FD" w:rsidP="006563FD">
            <w:pPr>
              <w:rPr>
                <w:rFonts w:ascii="Calibri" w:hAnsi="Calibri" w:cs="Calibri"/>
                <w:color w:val="000000"/>
                <w:sz w:val="22"/>
                <w:szCs w:val="22"/>
              </w:rPr>
            </w:pPr>
            <w:r w:rsidRPr="009E1F1D">
              <w:rPr>
                <w:rFonts w:ascii="Calibri" w:hAnsi="Calibri" w:cs="Calibri"/>
                <w:color w:val="000000"/>
                <w:sz w:val="22"/>
                <w:szCs w:val="22"/>
              </w:rPr>
              <w:t>Herzberg, F.</w:t>
            </w:r>
          </w:p>
        </w:tc>
        <w:tc>
          <w:tcPr>
            <w:tcW w:w="720" w:type="dxa"/>
            <w:tcBorders>
              <w:top w:val="nil"/>
              <w:left w:val="nil"/>
              <w:bottom w:val="single" w:sz="4" w:space="0" w:color="auto"/>
              <w:right w:val="single" w:sz="4" w:space="0" w:color="auto"/>
            </w:tcBorders>
            <w:hideMark/>
          </w:tcPr>
          <w:p w14:paraId="7DC872CA" w14:textId="77777777" w:rsidR="006563FD" w:rsidRPr="009E1F1D" w:rsidRDefault="006563FD" w:rsidP="006563FD">
            <w:pPr>
              <w:rPr>
                <w:rFonts w:ascii="Calibri" w:hAnsi="Calibri" w:cs="Calibri"/>
                <w:color w:val="000000"/>
                <w:sz w:val="22"/>
                <w:szCs w:val="22"/>
              </w:rPr>
            </w:pPr>
            <w:r w:rsidRPr="009E1F1D">
              <w:rPr>
                <w:rFonts w:ascii="Calibri" w:hAnsi="Calibri" w:cs="Calibri"/>
                <w:color w:val="000000"/>
                <w:sz w:val="22"/>
                <w:szCs w:val="22"/>
              </w:rPr>
              <w:t>1968</w:t>
            </w:r>
          </w:p>
        </w:tc>
        <w:tc>
          <w:tcPr>
            <w:tcW w:w="1710" w:type="dxa"/>
            <w:tcBorders>
              <w:top w:val="nil"/>
              <w:left w:val="nil"/>
              <w:bottom w:val="single" w:sz="4" w:space="0" w:color="auto"/>
              <w:right w:val="single" w:sz="4" w:space="0" w:color="auto"/>
            </w:tcBorders>
          </w:tcPr>
          <w:p w14:paraId="0DE8B6B5" w14:textId="23ED9CF5" w:rsidR="006563FD" w:rsidRPr="009E1F1D" w:rsidRDefault="006563FD" w:rsidP="006563FD">
            <w:pPr>
              <w:rPr>
                <w:rFonts w:ascii="Calibri" w:hAnsi="Calibri" w:cs="Calibri"/>
                <w:color w:val="000000"/>
                <w:sz w:val="22"/>
                <w:szCs w:val="22"/>
              </w:rPr>
            </w:pPr>
            <w:r w:rsidRPr="00F0534D">
              <w:rPr>
                <w:rFonts w:ascii="Calibri" w:hAnsi="Calibri" w:cs="Calibri"/>
                <w:color w:val="000000"/>
                <w:sz w:val="22"/>
                <w:szCs w:val="22"/>
              </w:rPr>
              <w:t>Two-Factor Theory</w:t>
            </w:r>
          </w:p>
        </w:tc>
        <w:tc>
          <w:tcPr>
            <w:tcW w:w="1710" w:type="dxa"/>
            <w:tcBorders>
              <w:top w:val="nil"/>
              <w:left w:val="nil"/>
              <w:bottom w:val="single" w:sz="4" w:space="0" w:color="auto"/>
              <w:right w:val="single" w:sz="4" w:space="0" w:color="auto"/>
            </w:tcBorders>
            <w:vAlign w:val="center"/>
          </w:tcPr>
          <w:p w14:paraId="33B5FE6B" w14:textId="040FA4F7" w:rsidR="006563FD" w:rsidRPr="009E1F1D" w:rsidRDefault="006563FD" w:rsidP="006563FD">
            <w:pPr>
              <w:rPr>
                <w:rFonts w:ascii="Calibri" w:hAnsi="Calibri" w:cs="Calibri"/>
                <w:color w:val="000000"/>
                <w:sz w:val="22"/>
                <w:szCs w:val="22"/>
              </w:rPr>
            </w:pPr>
            <w:r w:rsidRPr="00D0217E">
              <w:rPr>
                <w:color w:val="000000"/>
              </w:rPr>
              <w:t>Job enrichment</w:t>
            </w:r>
          </w:p>
        </w:tc>
        <w:tc>
          <w:tcPr>
            <w:tcW w:w="1980" w:type="dxa"/>
            <w:tcBorders>
              <w:top w:val="nil"/>
              <w:left w:val="nil"/>
              <w:bottom w:val="single" w:sz="4" w:space="0" w:color="auto"/>
              <w:right w:val="single" w:sz="4" w:space="0" w:color="auto"/>
            </w:tcBorders>
            <w:vAlign w:val="center"/>
          </w:tcPr>
          <w:p w14:paraId="67EE1F58" w14:textId="67384DC0" w:rsidR="006563FD" w:rsidRPr="009E1F1D" w:rsidRDefault="006563FD" w:rsidP="006563FD">
            <w:pPr>
              <w:rPr>
                <w:rFonts w:ascii="Calibri" w:hAnsi="Calibri" w:cs="Calibri"/>
                <w:color w:val="000000"/>
                <w:sz w:val="22"/>
                <w:szCs w:val="22"/>
              </w:rPr>
            </w:pPr>
            <w:r w:rsidRPr="00D0217E">
              <w:rPr>
                <w:color w:val="000000"/>
              </w:rPr>
              <w:t>Pay limitations</w:t>
            </w:r>
          </w:p>
        </w:tc>
        <w:tc>
          <w:tcPr>
            <w:tcW w:w="1260" w:type="dxa"/>
            <w:tcBorders>
              <w:top w:val="nil"/>
              <w:left w:val="nil"/>
              <w:bottom w:val="single" w:sz="4" w:space="0" w:color="auto"/>
              <w:right w:val="single" w:sz="4" w:space="0" w:color="auto"/>
            </w:tcBorders>
            <w:vAlign w:val="center"/>
          </w:tcPr>
          <w:p w14:paraId="35354FF5" w14:textId="760BBD87" w:rsidR="006563FD" w:rsidRPr="009E1F1D" w:rsidRDefault="006563FD" w:rsidP="006563FD">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59492D70" w14:textId="77777777" w:rsidR="006563FD" w:rsidRPr="009E1F1D" w:rsidRDefault="006563FD" w:rsidP="006563FD">
            <w:pPr>
              <w:rPr>
                <w:rFonts w:ascii="Calibri" w:hAnsi="Calibri" w:cs="Calibri"/>
                <w:color w:val="000000"/>
                <w:sz w:val="22"/>
                <w:szCs w:val="22"/>
              </w:rPr>
            </w:pPr>
            <w:r w:rsidRPr="009E1F1D">
              <w:rPr>
                <w:rFonts w:ascii="Calibri" w:hAnsi="Calibri" w:cs="Calibri"/>
                <w:color w:val="000000"/>
                <w:sz w:val="22"/>
                <w:szCs w:val="22"/>
              </w:rPr>
              <w:t>Job enrichment can address intrinsic motivational needs beyond pay</w:t>
            </w:r>
          </w:p>
        </w:tc>
        <w:tc>
          <w:tcPr>
            <w:tcW w:w="1440" w:type="dxa"/>
            <w:tcBorders>
              <w:top w:val="nil"/>
              <w:left w:val="nil"/>
              <w:bottom w:val="single" w:sz="4" w:space="0" w:color="auto"/>
              <w:right w:val="single" w:sz="4" w:space="0" w:color="auto"/>
            </w:tcBorders>
          </w:tcPr>
          <w:p w14:paraId="115B9C2A" w14:textId="13EBB777" w:rsidR="006563FD" w:rsidRPr="009E1F1D" w:rsidRDefault="006563FD" w:rsidP="006563FD">
            <w:pPr>
              <w:rPr>
                <w:rFonts w:ascii="Calibri" w:hAnsi="Calibri" w:cs="Calibri"/>
                <w:color w:val="000000"/>
                <w:sz w:val="22"/>
                <w:szCs w:val="22"/>
              </w:rPr>
            </w:pPr>
            <w:r w:rsidRPr="004B62CF">
              <w:rPr>
                <w:rFonts w:ascii="Calibri" w:hAnsi="Calibri" w:cs="Calibri"/>
                <w:color w:val="000000"/>
                <w:sz w:val="22"/>
                <w:szCs w:val="22"/>
              </w:rPr>
              <w:t>Work meaning, motivation</w:t>
            </w:r>
          </w:p>
        </w:tc>
        <w:tc>
          <w:tcPr>
            <w:tcW w:w="236" w:type="dxa"/>
            <w:tcBorders>
              <w:top w:val="nil"/>
              <w:left w:val="nil"/>
              <w:bottom w:val="single" w:sz="4" w:space="0" w:color="auto"/>
              <w:right w:val="single" w:sz="4" w:space="0" w:color="auto"/>
            </w:tcBorders>
          </w:tcPr>
          <w:p w14:paraId="0282A232" w14:textId="12ED7E29" w:rsidR="006563FD" w:rsidRPr="009E1F1D" w:rsidRDefault="006563FD" w:rsidP="006563F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8950EB6" w14:textId="7EE6EC23" w:rsidR="006563FD" w:rsidRPr="009E1F1D" w:rsidRDefault="006563FD" w:rsidP="006563FD">
            <w:pPr>
              <w:rPr>
                <w:rFonts w:ascii="Calibri" w:hAnsi="Calibri" w:cs="Calibri"/>
                <w:color w:val="000000"/>
                <w:sz w:val="22"/>
                <w:szCs w:val="22"/>
              </w:rPr>
            </w:pPr>
          </w:p>
        </w:tc>
      </w:tr>
      <w:tr w:rsidR="002A58DC" w:rsidRPr="009E1F1D" w14:paraId="49B80CC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915D12A" w14:textId="77777777" w:rsidR="008E0288" w:rsidRPr="009E1F1D" w:rsidRDefault="008E0288" w:rsidP="008E0288">
            <w:pPr>
              <w:jc w:val="right"/>
              <w:rPr>
                <w:rFonts w:ascii="Calibri" w:hAnsi="Calibri" w:cs="Calibri"/>
                <w:color w:val="000000"/>
                <w:sz w:val="22"/>
                <w:szCs w:val="22"/>
              </w:rPr>
            </w:pPr>
            <w:r w:rsidRPr="009E1F1D">
              <w:rPr>
                <w:rFonts w:ascii="Calibri" w:hAnsi="Calibri" w:cs="Calibri"/>
                <w:color w:val="000000"/>
                <w:sz w:val="22"/>
                <w:szCs w:val="22"/>
              </w:rPr>
              <w:t>67</w:t>
            </w:r>
          </w:p>
        </w:tc>
        <w:tc>
          <w:tcPr>
            <w:tcW w:w="1260" w:type="dxa"/>
            <w:tcBorders>
              <w:top w:val="nil"/>
              <w:left w:val="nil"/>
              <w:bottom w:val="single" w:sz="4" w:space="0" w:color="auto"/>
              <w:right w:val="single" w:sz="4" w:space="0" w:color="auto"/>
            </w:tcBorders>
            <w:hideMark/>
          </w:tcPr>
          <w:p w14:paraId="2505E66A"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The Meaning of Working</w:t>
            </w:r>
          </w:p>
        </w:tc>
        <w:tc>
          <w:tcPr>
            <w:tcW w:w="1530" w:type="dxa"/>
            <w:tcBorders>
              <w:top w:val="nil"/>
              <w:left w:val="nil"/>
              <w:bottom w:val="single" w:sz="4" w:space="0" w:color="auto"/>
              <w:right w:val="single" w:sz="4" w:space="0" w:color="auto"/>
            </w:tcBorders>
            <w:hideMark/>
          </w:tcPr>
          <w:p w14:paraId="6E654626"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Morse, N.C. &amp; Weiss, R.S.</w:t>
            </w:r>
          </w:p>
        </w:tc>
        <w:tc>
          <w:tcPr>
            <w:tcW w:w="720" w:type="dxa"/>
            <w:tcBorders>
              <w:top w:val="nil"/>
              <w:left w:val="nil"/>
              <w:bottom w:val="single" w:sz="4" w:space="0" w:color="auto"/>
              <w:right w:val="single" w:sz="4" w:space="0" w:color="auto"/>
            </w:tcBorders>
            <w:hideMark/>
          </w:tcPr>
          <w:p w14:paraId="3E41113F"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1955</w:t>
            </w:r>
          </w:p>
        </w:tc>
        <w:tc>
          <w:tcPr>
            <w:tcW w:w="1710" w:type="dxa"/>
            <w:tcBorders>
              <w:top w:val="nil"/>
              <w:left w:val="nil"/>
              <w:bottom w:val="single" w:sz="4" w:space="0" w:color="auto"/>
              <w:right w:val="single" w:sz="4" w:space="0" w:color="auto"/>
            </w:tcBorders>
          </w:tcPr>
          <w:p w14:paraId="613F7806" w14:textId="15DE5FAF" w:rsidR="008E0288" w:rsidRPr="009E1F1D" w:rsidRDefault="008E0288" w:rsidP="008E0288">
            <w:pPr>
              <w:rPr>
                <w:rFonts w:ascii="Calibri" w:hAnsi="Calibri" w:cs="Calibri"/>
                <w:color w:val="000000"/>
                <w:sz w:val="22"/>
                <w:szCs w:val="22"/>
              </w:rPr>
            </w:pPr>
            <w:r w:rsidRPr="00F0534D">
              <w:rPr>
                <w:rFonts w:ascii="Calibri" w:hAnsi="Calibri" w:cs="Calibri"/>
                <w:color w:val="000000"/>
                <w:sz w:val="22"/>
                <w:szCs w:val="22"/>
              </w:rPr>
              <w:t>Work motivation</w:t>
            </w:r>
          </w:p>
        </w:tc>
        <w:tc>
          <w:tcPr>
            <w:tcW w:w="1710" w:type="dxa"/>
            <w:tcBorders>
              <w:top w:val="nil"/>
              <w:left w:val="nil"/>
              <w:bottom w:val="single" w:sz="4" w:space="0" w:color="auto"/>
              <w:right w:val="single" w:sz="4" w:space="0" w:color="auto"/>
            </w:tcBorders>
            <w:vAlign w:val="center"/>
          </w:tcPr>
          <w:p w14:paraId="5AEC6BB9" w14:textId="307BBA6C" w:rsidR="008E0288" w:rsidRPr="009E1F1D" w:rsidRDefault="008E0288" w:rsidP="008E0288">
            <w:pPr>
              <w:rPr>
                <w:rFonts w:ascii="Calibri" w:hAnsi="Calibri" w:cs="Calibri"/>
                <w:color w:val="000000"/>
                <w:sz w:val="22"/>
                <w:szCs w:val="22"/>
              </w:rPr>
            </w:pPr>
            <w:r w:rsidRPr="00D0217E">
              <w:rPr>
                <w:color w:val="000000"/>
              </w:rPr>
              <w:t>Work meaning</w:t>
            </w:r>
          </w:p>
        </w:tc>
        <w:tc>
          <w:tcPr>
            <w:tcW w:w="1980" w:type="dxa"/>
            <w:tcBorders>
              <w:top w:val="nil"/>
              <w:left w:val="nil"/>
              <w:bottom w:val="single" w:sz="4" w:space="0" w:color="auto"/>
              <w:right w:val="single" w:sz="4" w:space="0" w:color="auto"/>
            </w:tcBorders>
            <w:vAlign w:val="center"/>
          </w:tcPr>
          <w:p w14:paraId="3AED877A" w14:textId="15AB857F" w:rsidR="008E0288" w:rsidRPr="009E1F1D" w:rsidRDefault="008E0288" w:rsidP="008E0288">
            <w:pPr>
              <w:rPr>
                <w:rFonts w:ascii="Calibri" w:hAnsi="Calibri" w:cs="Calibri"/>
                <w:color w:val="000000"/>
                <w:sz w:val="22"/>
                <w:szCs w:val="22"/>
              </w:rPr>
            </w:pPr>
            <w:r w:rsidRPr="00D0217E">
              <w:rPr>
                <w:color w:val="000000"/>
              </w:rPr>
              <w:t>Work dissatisfaction</w:t>
            </w:r>
          </w:p>
        </w:tc>
        <w:tc>
          <w:tcPr>
            <w:tcW w:w="1260" w:type="dxa"/>
            <w:tcBorders>
              <w:top w:val="nil"/>
              <w:left w:val="nil"/>
              <w:bottom w:val="single" w:sz="4" w:space="0" w:color="auto"/>
              <w:right w:val="single" w:sz="4" w:space="0" w:color="auto"/>
            </w:tcBorders>
            <w:vAlign w:val="center"/>
          </w:tcPr>
          <w:p w14:paraId="4573230B" w14:textId="702D1ED1" w:rsidR="008E0288" w:rsidRPr="009E1F1D" w:rsidRDefault="008E0288" w:rsidP="008E0288">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6D144106"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Work provides economic and psychological functions beyond pay</w:t>
            </w:r>
          </w:p>
        </w:tc>
        <w:tc>
          <w:tcPr>
            <w:tcW w:w="1440" w:type="dxa"/>
            <w:tcBorders>
              <w:top w:val="nil"/>
              <w:left w:val="nil"/>
              <w:bottom w:val="single" w:sz="4" w:space="0" w:color="auto"/>
              <w:right w:val="single" w:sz="4" w:space="0" w:color="auto"/>
            </w:tcBorders>
          </w:tcPr>
          <w:p w14:paraId="1441DA2E" w14:textId="586DD5F2" w:rsidR="008E0288" w:rsidRPr="009E1F1D" w:rsidRDefault="008E0288" w:rsidP="008E0288">
            <w:pPr>
              <w:rPr>
                <w:rFonts w:ascii="Calibri" w:hAnsi="Calibri" w:cs="Calibri"/>
                <w:color w:val="000000"/>
                <w:sz w:val="22"/>
                <w:szCs w:val="22"/>
              </w:rPr>
            </w:pPr>
            <w:r w:rsidRPr="004B62CF">
              <w:rPr>
                <w:rFonts w:ascii="Calibri" w:hAnsi="Calibri" w:cs="Calibri"/>
                <w:color w:val="000000"/>
                <w:sz w:val="22"/>
                <w:szCs w:val="22"/>
              </w:rPr>
              <w:t>Job design, motivation</w:t>
            </w:r>
          </w:p>
        </w:tc>
        <w:tc>
          <w:tcPr>
            <w:tcW w:w="236" w:type="dxa"/>
            <w:tcBorders>
              <w:top w:val="nil"/>
              <w:left w:val="nil"/>
              <w:bottom w:val="single" w:sz="4" w:space="0" w:color="auto"/>
              <w:right w:val="single" w:sz="4" w:space="0" w:color="auto"/>
            </w:tcBorders>
          </w:tcPr>
          <w:p w14:paraId="3D5BD919" w14:textId="3C0DA929" w:rsidR="008E0288" w:rsidRPr="009E1F1D" w:rsidRDefault="008E0288" w:rsidP="008E0288">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7A46B61" w14:textId="7BFDF61E" w:rsidR="008E0288" w:rsidRPr="009E1F1D" w:rsidRDefault="008E0288" w:rsidP="008E0288">
            <w:pPr>
              <w:rPr>
                <w:rFonts w:ascii="Calibri" w:hAnsi="Calibri" w:cs="Calibri"/>
                <w:color w:val="000000"/>
                <w:sz w:val="22"/>
                <w:szCs w:val="22"/>
              </w:rPr>
            </w:pPr>
          </w:p>
        </w:tc>
      </w:tr>
      <w:tr w:rsidR="002A58DC" w:rsidRPr="009E1F1D" w14:paraId="77FBE00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4D006E4" w14:textId="77777777" w:rsidR="008E0288" w:rsidRPr="009E1F1D" w:rsidRDefault="008E0288" w:rsidP="008E0288">
            <w:pPr>
              <w:jc w:val="right"/>
              <w:rPr>
                <w:rFonts w:ascii="Calibri" w:hAnsi="Calibri" w:cs="Calibri"/>
                <w:color w:val="000000"/>
                <w:sz w:val="22"/>
                <w:szCs w:val="22"/>
              </w:rPr>
            </w:pPr>
            <w:r w:rsidRPr="009E1F1D">
              <w:rPr>
                <w:rFonts w:ascii="Calibri" w:hAnsi="Calibri" w:cs="Calibri"/>
                <w:color w:val="000000"/>
                <w:sz w:val="22"/>
                <w:szCs w:val="22"/>
              </w:rPr>
              <w:lastRenderedPageBreak/>
              <w:t>68</w:t>
            </w:r>
          </w:p>
        </w:tc>
        <w:tc>
          <w:tcPr>
            <w:tcW w:w="1260" w:type="dxa"/>
            <w:tcBorders>
              <w:top w:val="nil"/>
              <w:left w:val="nil"/>
              <w:bottom w:val="single" w:sz="4" w:space="0" w:color="auto"/>
              <w:right w:val="single" w:sz="4" w:space="0" w:color="auto"/>
            </w:tcBorders>
            <w:hideMark/>
          </w:tcPr>
          <w:p w14:paraId="2BA51A51"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The Changing Nature of Work</w:t>
            </w:r>
          </w:p>
        </w:tc>
        <w:tc>
          <w:tcPr>
            <w:tcW w:w="1530" w:type="dxa"/>
            <w:tcBorders>
              <w:top w:val="nil"/>
              <w:left w:val="nil"/>
              <w:bottom w:val="single" w:sz="4" w:space="0" w:color="auto"/>
              <w:right w:val="single" w:sz="4" w:space="0" w:color="auto"/>
            </w:tcBorders>
            <w:hideMark/>
          </w:tcPr>
          <w:p w14:paraId="77EF65D2"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Parker, S.K., Morgeson, F.P. &amp; Johns, G.</w:t>
            </w:r>
          </w:p>
        </w:tc>
        <w:tc>
          <w:tcPr>
            <w:tcW w:w="720" w:type="dxa"/>
            <w:tcBorders>
              <w:top w:val="nil"/>
              <w:left w:val="nil"/>
              <w:bottom w:val="single" w:sz="4" w:space="0" w:color="auto"/>
              <w:right w:val="single" w:sz="4" w:space="0" w:color="auto"/>
            </w:tcBorders>
            <w:hideMark/>
          </w:tcPr>
          <w:p w14:paraId="362225AC"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2017</w:t>
            </w:r>
          </w:p>
        </w:tc>
        <w:tc>
          <w:tcPr>
            <w:tcW w:w="1710" w:type="dxa"/>
            <w:tcBorders>
              <w:top w:val="nil"/>
              <w:left w:val="nil"/>
              <w:bottom w:val="single" w:sz="4" w:space="0" w:color="auto"/>
              <w:right w:val="single" w:sz="4" w:space="0" w:color="auto"/>
            </w:tcBorders>
          </w:tcPr>
          <w:p w14:paraId="570BFF0A" w14:textId="70E63D50" w:rsidR="008E0288" w:rsidRPr="009E1F1D" w:rsidRDefault="008E0288" w:rsidP="008E0288">
            <w:pPr>
              <w:rPr>
                <w:rFonts w:ascii="Calibri" w:hAnsi="Calibri" w:cs="Calibri"/>
                <w:color w:val="000000"/>
                <w:sz w:val="22"/>
                <w:szCs w:val="22"/>
              </w:rPr>
            </w:pPr>
            <w:r w:rsidRPr="00F0534D">
              <w:rPr>
                <w:rFonts w:ascii="Calibri" w:hAnsi="Calibri" w:cs="Calibri"/>
                <w:color w:val="000000"/>
                <w:sz w:val="22"/>
                <w:szCs w:val="22"/>
              </w:rPr>
              <w:t>Job design theory</w:t>
            </w:r>
          </w:p>
        </w:tc>
        <w:tc>
          <w:tcPr>
            <w:tcW w:w="1710" w:type="dxa"/>
            <w:tcBorders>
              <w:top w:val="nil"/>
              <w:left w:val="nil"/>
              <w:bottom w:val="single" w:sz="4" w:space="0" w:color="auto"/>
              <w:right w:val="single" w:sz="4" w:space="0" w:color="auto"/>
            </w:tcBorders>
            <w:vAlign w:val="center"/>
          </w:tcPr>
          <w:p w14:paraId="02440E62" w14:textId="0D786565" w:rsidR="008E0288" w:rsidRPr="009E1F1D" w:rsidRDefault="008E0288" w:rsidP="008E0288">
            <w:pPr>
              <w:rPr>
                <w:rFonts w:ascii="Calibri" w:hAnsi="Calibri" w:cs="Calibri"/>
                <w:color w:val="000000"/>
                <w:sz w:val="22"/>
                <w:szCs w:val="22"/>
              </w:rPr>
            </w:pPr>
            <w:r w:rsidRPr="00D0217E">
              <w:rPr>
                <w:color w:val="000000"/>
              </w:rPr>
              <w:t>Job flexibility</w:t>
            </w:r>
          </w:p>
        </w:tc>
        <w:tc>
          <w:tcPr>
            <w:tcW w:w="1980" w:type="dxa"/>
            <w:tcBorders>
              <w:top w:val="nil"/>
              <w:left w:val="nil"/>
              <w:bottom w:val="single" w:sz="4" w:space="0" w:color="auto"/>
              <w:right w:val="single" w:sz="4" w:space="0" w:color="auto"/>
            </w:tcBorders>
            <w:vAlign w:val="center"/>
          </w:tcPr>
          <w:p w14:paraId="07E880B9" w14:textId="5ED68D03" w:rsidR="008E0288" w:rsidRPr="009E1F1D" w:rsidRDefault="008E0288" w:rsidP="008E0288">
            <w:pPr>
              <w:rPr>
                <w:rFonts w:ascii="Calibri" w:hAnsi="Calibri" w:cs="Calibri"/>
                <w:color w:val="000000"/>
                <w:sz w:val="22"/>
                <w:szCs w:val="22"/>
              </w:rPr>
            </w:pPr>
            <w:r w:rsidRPr="00D0217E">
              <w:rPr>
                <w:color w:val="000000"/>
              </w:rPr>
              <w:t>Design complexity</w:t>
            </w:r>
          </w:p>
        </w:tc>
        <w:tc>
          <w:tcPr>
            <w:tcW w:w="1260" w:type="dxa"/>
            <w:tcBorders>
              <w:top w:val="nil"/>
              <w:left w:val="nil"/>
              <w:bottom w:val="single" w:sz="4" w:space="0" w:color="auto"/>
              <w:right w:val="single" w:sz="4" w:space="0" w:color="auto"/>
            </w:tcBorders>
            <w:vAlign w:val="center"/>
          </w:tcPr>
          <w:p w14:paraId="7D9EF8BF" w14:textId="67EC8434" w:rsidR="008E0288" w:rsidRPr="009E1F1D" w:rsidRDefault="008E0288" w:rsidP="008E0288">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56B9A96B"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Modern work design changes how autonomy, complexity and motivation operate</w:t>
            </w:r>
          </w:p>
        </w:tc>
        <w:tc>
          <w:tcPr>
            <w:tcW w:w="1440" w:type="dxa"/>
            <w:tcBorders>
              <w:top w:val="nil"/>
              <w:left w:val="nil"/>
              <w:bottom w:val="single" w:sz="4" w:space="0" w:color="auto"/>
              <w:right w:val="single" w:sz="4" w:space="0" w:color="auto"/>
            </w:tcBorders>
          </w:tcPr>
          <w:p w14:paraId="7F18DEA6" w14:textId="5279A1D5" w:rsidR="008E0288" w:rsidRPr="009E1F1D" w:rsidRDefault="00152EF4" w:rsidP="008E0288">
            <w:pPr>
              <w:rPr>
                <w:rFonts w:ascii="Calibri" w:hAnsi="Calibri" w:cs="Calibri"/>
                <w:color w:val="000000"/>
                <w:sz w:val="22"/>
                <w:szCs w:val="22"/>
              </w:rPr>
            </w:pPr>
            <w:r w:rsidRPr="004B62CF">
              <w:rPr>
                <w:rFonts w:ascii="Calibri" w:hAnsi="Calibri" w:cs="Calibri"/>
                <w:color w:val="000000"/>
                <w:sz w:val="22"/>
                <w:szCs w:val="22"/>
              </w:rPr>
              <w:t>Engagement, resources</w:t>
            </w:r>
          </w:p>
        </w:tc>
        <w:tc>
          <w:tcPr>
            <w:tcW w:w="236" w:type="dxa"/>
            <w:tcBorders>
              <w:top w:val="nil"/>
              <w:left w:val="nil"/>
              <w:bottom w:val="single" w:sz="4" w:space="0" w:color="auto"/>
              <w:right w:val="single" w:sz="4" w:space="0" w:color="auto"/>
            </w:tcBorders>
          </w:tcPr>
          <w:p w14:paraId="78227545" w14:textId="731F618F" w:rsidR="008E0288" w:rsidRPr="009E1F1D" w:rsidRDefault="008E0288" w:rsidP="008E0288">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CF9D8B8" w14:textId="58D7E365" w:rsidR="008E0288" w:rsidRPr="009E1F1D" w:rsidRDefault="008E0288" w:rsidP="008E0288">
            <w:pPr>
              <w:rPr>
                <w:rFonts w:ascii="Calibri" w:hAnsi="Calibri" w:cs="Calibri"/>
                <w:color w:val="000000"/>
                <w:sz w:val="22"/>
                <w:szCs w:val="22"/>
              </w:rPr>
            </w:pPr>
          </w:p>
        </w:tc>
      </w:tr>
      <w:tr w:rsidR="002A58DC" w:rsidRPr="009E1F1D" w14:paraId="476ADF73"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4CEA744" w14:textId="77777777" w:rsidR="008E0288" w:rsidRPr="009E1F1D" w:rsidRDefault="008E0288" w:rsidP="008E0288">
            <w:pPr>
              <w:jc w:val="right"/>
              <w:rPr>
                <w:rFonts w:ascii="Calibri" w:hAnsi="Calibri" w:cs="Calibri"/>
                <w:color w:val="000000"/>
                <w:sz w:val="22"/>
                <w:szCs w:val="22"/>
              </w:rPr>
            </w:pPr>
            <w:r w:rsidRPr="009E1F1D">
              <w:rPr>
                <w:rFonts w:ascii="Calibri" w:hAnsi="Calibri" w:cs="Calibri"/>
                <w:color w:val="000000"/>
                <w:sz w:val="22"/>
                <w:szCs w:val="22"/>
              </w:rPr>
              <w:t>69</w:t>
            </w:r>
          </w:p>
        </w:tc>
        <w:tc>
          <w:tcPr>
            <w:tcW w:w="1260" w:type="dxa"/>
            <w:tcBorders>
              <w:top w:val="nil"/>
              <w:left w:val="nil"/>
              <w:bottom w:val="single" w:sz="4" w:space="0" w:color="auto"/>
              <w:right w:val="single" w:sz="4" w:space="0" w:color="auto"/>
            </w:tcBorders>
            <w:hideMark/>
          </w:tcPr>
          <w:p w14:paraId="56F3A80E"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Job Demands-Resources Theory: Ten Years Later</w:t>
            </w:r>
          </w:p>
        </w:tc>
        <w:tc>
          <w:tcPr>
            <w:tcW w:w="1530" w:type="dxa"/>
            <w:tcBorders>
              <w:top w:val="nil"/>
              <w:left w:val="nil"/>
              <w:bottom w:val="single" w:sz="4" w:space="0" w:color="auto"/>
              <w:right w:val="single" w:sz="4" w:space="0" w:color="auto"/>
            </w:tcBorders>
            <w:hideMark/>
          </w:tcPr>
          <w:p w14:paraId="5C82FE72"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Bakker, A.B. &amp; Demerouti, E.</w:t>
            </w:r>
          </w:p>
        </w:tc>
        <w:tc>
          <w:tcPr>
            <w:tcW w:w="720" w:type="dxa"/>
            <w:tcBorders>
              <w:top w:val="nil"/>
              <w:left w:val="nil"/>
              <w:bottom w:val="single" w:sz="4" w:space="0" w:color="auto"/>
              <w:right w:val="single" w:sz="4" w:space="0" w:color="auto"/>
            </w:tcBorders>
            <w:hideMark/>
          </w:tcPr>
          <w:p w14:paraId="286841B1"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2017</w:t>
            </w:r>
          </w:p>
        </w:tc>
        <w:tc>
          <w:tcPr>
            <w:tcW w:w="1710" w:type="dxa"/>
            <w:tcBorders>
              <w:top w:val="nil"/>
              <w:left w:val="nil"/>
              <w:bottom w:val="single" w:sz="4" w:space="0" w:color="auto"/>
              <w:right w:val="single" w:sz="4" w:space="0" w:color="auto"/>
            </w:tcBorders>
          </w:tcPr>
          <w:p w14:paraId="42ACFAD1" w14:textId="56AD5F26" w:rsidR="008E0288" w:rsidRPr="009E1F1D" w:rsidRDefault="008E0288" w:rsidP="008E0288">
            <w:pPr>
              <w:rPr>
                <w:rFonts w:ascii="Calibri" w:hAnsi="Calibri" w:cs="Calibri"/>
                <w:color w:val="000000"/>
                <w:sz w:val="22"/>
                <w:szCs w:val="22"/>
              </w:rPr>
            </w:pPr>
            <w:r w:rsidRPr="00F0534D">
              <w:rPr>
                <w:rFonts w:ascii="Calibri" w:hAnsi="Calibri" w:cs="Calibri"/>
                <w:color w:val="000000"/>
                <w:sz w:val="22"/>
                <w:szCs w:val="22"/>
              </w:rPr>
              <w:t>JD-R Theory</w:t>
            </w:r>
          </w:p>
        </w:tc>
        <w:tc>
          <w:tcPr>
            <w:tcW w:w="1710" w:type="dxa"/>
            <w:tcBorders>
              <w:top w:val="nil"/>
              <w:left w:val="nil"/>
              <w:bottom w:val="single" w:sz="4" w:space="0" w:color="auto"/>
              <w:right w:val="single" w:sz="4" w:space="0" w:color="auto"/>
            </w:tcBorders>
            <w:vAlign w:val="center"/>
          </w:tcPr>
          <w:p w14:paraId="011F03C3" w14:textId="64DE5127" w:rsidR="008E0288" w:rsidRPr="009E1F1D" w:rsidRDefault="008E0288" w:rsidP="008E0288">
            <w:pPr>
              <w:rPr>
                <w:rFonts w:ascii="Calibri" w:hAnsi="Calibri" w:cs="Calibri"/>
                <w:color w:val="000000"/>
                <w:sz w:val="22"/>
                <w:szCs w:val="22"/>
              </w:rPr>
            </w:pPr>
            <w:r w:rsidRPr="00D0217E">
              <w:rPr>
                <w:color w:val="000000"/>
              </w:rPr>
              <w:t>Employee engagement</w:t>
            </w:r>
          </w:p>
        </w:tc>
        <w:tc>
          <w:tcPr>
            <w:tcW w:w="1980" w:type="dxa"/>
            <w:tcBorders>
              <w:top w:val="nil"/>
              <w:left w:val="nil"/>
              <w:bottom w:val="single" w:sz="4" w:space="0" w:color="auto"/>
              <w:right w:val="single" w:sz="4" w:space="0" w:color="auto"/>
            </w:tcBorders>
            <w:vAlign w:val="center"/>
          </w:tcPr>
          <w:p w14:paraId="1DE00F88" w14:textId="3FDC4213" w:rsidR="008E0288" w:rsidRPr="009E1F1D" w:rsidRDefault="008E0288" w:rsidP="008E0288">
            <w:pPr>
              <w:rPr>
                <w:rFonts w:ascii="Calibri" w:hAnsi="Calibri" w:cs="Calibri"/>
                <w:color w:val="000000"/>
                <w:sz w:val="22"/>
                <w:szCs w:val="22"/>
              </w:rPr>
            </w:pPr>
            <w:r w:rsidRPr="00D0217E">
              <w:rPr>
                <w:color w:val="000000"/>
              </w:rPr>
              <w:t>Work demands</w:t>
            </w:r>
          </w:p>
        </w:tc>
        <w:tc>
          <w:tcPr>
            <w:tcW w:w="1260" w:type="dxa"/>
            <w:tcBorders>
              <w:top w:val="nil"/>
              <w:left w:val="nil"/>
              <w:bottom w:val="single" w:sz="4" w:space="0" w:color="auto"/>
              <w:right w:val="single" w:sz="4" w:space="0" w:color="auto"/>
            </w:tcBorders>
            <w:vAlign w:val="center"/>
          </w:tcPr>
          <w:p w14:paraId="37C09705" w14:textId="7FDFA4DF" w:rsidR="008E0288" w:rsidRPr="009E1F1D" w:rsidRDefault="008E0288" w:rsidP="008E0288">
            <w:pPr>
              <w:rPr>
                <w:rFonts w:ascii="Calibri" w:hAnsi="Calibri" w:cs="Calibri"/>
                <w:color w:val="000000"/>
                <w:sz w:val="22"/>
                <w:szCs w:val="22"/>
              </w:rPr>
            </w:pPr>
            <w:r w:rsidRPr="00D0217E">
              <w:rPr>
                <w:color w:val="000000"/>
              </w:rPr>
              <w:t>Motivation and wellbeing</w:t>
            </w:r>
          </w:p>
        </w:tc>
        <w:tc>
          <w:tcPr>
            <w:tcW w:w="1530" w:type="dxa"/>
            <w:tcBorders>
              <w:top w:val="nil"/>
              <w:left w:val="nil"/>
              <w:bottom w:val="single" w:sz="4" w:space="0" w:color="auto"/>
              <w:right w:val="single" w:sz="4" w:space="0" w:color="auto"/>
            </w:tcBorders>
            <w:hideMark/>
          </w:tcPr>
          <w:p w14:paraId="726E6C26" w14:textId="77777777" w:rsidR="008E0288" w:rsidRPr="009E1F1D" w:rsidRDefault="008E0288" w:rsidP="008E0288">
            <w:pPr>
              <w:rPr>
                <w:rFonts w:ascii="Calibri" w:hAnsi="Calibri" w:cs="Calibri"/>
                <w:color w:val="000000"/>
                <w:sz w:val="22"/>
                <w:szCs w:val="22"/>
              </w:rPr>
            </w:pPr>
            <w:r w:rsidRPr="009E1F1D">
              <w:rPr>
                <w:rFonts w:ascii="Calibri" w:hAnsi="Calibri" w:cs="Calibri"/>
                <w:color w:val="000000"/>
                <w:sz w:val="22"/>
                <w:szCs w:val="22"/>
              </w:rPr>
              <w:t>Job resources support engagement and buffer demands</w:t>
            </w:r>
          </w:p>
        </w:tc>
        <w:tc>
          <w:tcPr>
            <w:tcW w:w="1440" w:type="dxa"/>
            <w:tcBorders>
              <w:top w:val="nil"/>
              <w:left w:val="nil"/>
              <w:bottom w:val="single" w:sz="4" w:space="0" w:color="auto"/>
              <w:right w:val="single" w:sz="4" w:space="0" w:color="auto"/>
            </w:tcBorders>
          </w:tcPr>
          <w:p w14:paraId="27CCCA68" w14:textId="35D1CABD" w:rsidR="008E0288" w:rsidRPr="009E1F1D" w:rsidRDefault="00FD0833" w:rsidP="008E0288">
            <w:pPr>
              <w:rPr>
                <w:rFonts w:ascii="Calibri" w:hAnsi="Calibri" w:cs="Calibri"/>
                <w:color w:val="000000"/>
                <w:sz w:val="22"/>
                <w:szCs w:val="22"/>
              </w:rPr>
            </w:pPr>
            <w:r w:rsidRPr="004B62CF">
              <w:rPr>
                <w:rFonts w:ascii="Calibri" w:hAnsi="Calibri" w:cs="Calibri"/>
                <w:color w:val="000000"/>
                <w:sz w:val="22"/>
                <w:szCs w:val="22"/>
              </w:rPr>
              <w:t>Job resources, engagement</w:t>
            </w:r>
          </w:p>
        </w:tc>
        <w:tc>
          <w:tcPr>
            <w:tcW w:w="236" w:type="dxa"/>
            <w:tcBorders>
              <w:top w:val="nil"/>
              <w:left w:val="nil"/>
              <w:bottom w:val="single" w:sz="4" w:space="0" w:color="auto"/>
              <w:right w:val="single" w:sz="4" w:space="0" w:color="auto"/>
            </w:tcBorders>
          </w:tcPr>
          <w:p w14:paraId="767DBEA9" w14:textId="15EE98B9" w:rsidR="008E0288" w:rsidRPr="009E1F1D" w:rsidRDefault="008E0288" w:rsidP="008E0288">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1085327" w14:textId="6D3B7554" w:rsidR="008E0288" w:rsidRPr="009E1F1D" w:rsidRDefault="008E0288" w:rsidP="008E0288">
            <w:pPr>
              <w:rPr>
                <w:rFonts w:ascii="Calibri" w:hAnsi="Calibri" w:cs="Calibri"/>
                <w:color w:val="000000"/>
                <w:sz w:val="22"/>
                <w:szCs w:val="22"/>
              </w:rPr>
            </w:pPr>
          </w:p>
        </w:tc>
      </w:tr>
      <w:tr w:rsidR="002A58DC" w:rsidRPr="009E1F1D" w14:paraId="437D62F5"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A0B2846" w14:textId="77777777" w:rsidR="009C6F66" w:rsidRPr="009E1F1D" w:rsidRDefault="009C6F66" w:rsidP="009C6F66">
            <w:pPr>
              <w:jc w:val="right"/>
              <w:rPr>
                <w:rFonts w:ascii="Calibri" w:hAnsi="Calibri" w:cs="Calibri"/>
                <w:color w:val="000000"/>
                <w:sz w:val="22"/>
                <w:szCs w:val="22"/>
              </w:rPr>
            </w:pPr>
            <w:r w:rsidRPr="009E1F1D">
              <w:rPr>
                <w:rFonts w:ascii="Calibri" w:hAnsi="Calibri" w:cs="Calibri"/>
                <w:color w:val="000000"/>
                <w:sz w:val="22"/>
                <w:szCs w:val="22"/>
              </w:rPr>
              <w:t>70</w:t>
            </w:r>
          </w:p>
        </w:tc>
        <w:tc>
          <w:tcPr>
            <w:tcW w:w="1260" w:type="dxa"/>
            <w:tcBorders>
              <w:top w:val="nil"/>
              <w:left w:val="nil"/>
              <w:bottom w:val="single" w:sz="4" w:space="0" w:color="auto"/>
              <w:right w:val="single" w:sz="4" w:space="0" w:color="auto"/>
            </w:tcBorders>
            <w:hideMark/>
          </w:tcPr>
          <w:p w14:paraId="4914FC0A"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The Job Demands-Resources Model: State of the Art</w:t>
            </w:r>
          </w:p>
        </w:tc>
        <w:tc>
          <w:tcPr>
            <w:tcW w:w="1530" w:type="dxa"/>
            <w:tcBorders>
              <w:top w:val="nil"/>
              <w:left w:val="nil"/>
              <w:bottom w:val="single" w:sz="4" w:space="0" w:color="auto"/>
              <w:right w:val="single" w:sz="4" w:space="0" w:color="auto"/>
            </w:tcBorders>
            <w:hideMark/>
          </w:tcPr>
          <w:p w14:paraId="4515FA14"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Bakker, A.B., Demerouti, E. &amp; Verbeke, W.</w:t>
            </w:r>
          </w:p>
        </w:tc>
        <w:tc>
          <w:tcPr>
            <w:tcW w:w="720" w:type="dxa"/>
            <w:tcBorders>
              <w:top w:val="nil"/>
              <w:left w:val="nil"/>
              <w:bottom w:val="single" w:sz="4" w:space="0" w:color="auto"/>
              <w:right w:val="single" w:sz="4" w:space="0" w:color="auto"/>
            </w:tcBorders>
            <w:hideMark/>
          </w:tcPr>
          <w:p w14:paraId="7727A110"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2004</w:t>
            </w:r>
          </w:p>
        </w:tc>
        <w:tc>
          <w:tcPr>
            <w:tcW w:w="1710" w:type="dxa"/>
            <w:tcBorders>
              <w:top w:val="nil"/>
              <w:left w:val="nil"/>
              <w:bottom w:val="single" w:sz="4" w:space="0" w:color="auto"/>
              <w:right w:val="single" w:sz="4" w:space="0" w:color="auto"/>
            </w:tcBorders>
          </w:tcPr>
          <w:p w14:paraId="465ACDCF" w14:textId="1551A66C" w:rsidR="009C6F66" w:rsidRPr="009E1F1D" w:rsidRDefault="009C6F66" w:rsidP="009C6F66">
            <w:pPr>
              <w:rPr>
                <w:rFonts w:ascii="Calibri" w:hAnsi="Calibri" w:cs="Calibri"/>
                <w:color w:val="000000"/>
                <w:sz w:val="22"/>
                <w:szCs w:val="22"/>
              </w:rPr>
            </w:pPr>
            <w:r w:rsidRPr="00F0534D">
              <w:rPr>
                <w:rFonts w:ascii="Calibri" w:hAnsi="Calibri" w:cs="Calibri"/>
                <w:color w:val="000000"/>
                <w:sz w:val="22"/>
                <w:szCs w:val="22"/>
              </w:rPr>
              <w:t>JD-R Theory</w:t>
            </w:r>
          </w:p>
        </w:tc>
        <w:tc>
          <w:tcPr>
            <w:tcW w:w="1710" w:type="dxa"/>
            <w:tcBorders>
              <w:top w:val="nil"/>
              <w:left w:val="nil"/>
              <w:bottom w:val="single" w:sz="4" w:space="0" w:color="auto"/>
              <w:right w:val="single" w:sz="4" w:space="0" w:color="auto"/>
            </w:tcBorders>
            <w:vAlign w:val="center"/>
          </w:tcPr>
          <w:p w14:paraId="249666BA" w14:textId="2E210565" w:rsidR="009C6F66" w:rsidRPr="009E1F1D" w:rsidRDefault="009C6F66" w:rsidP="009C6F66">
            <w:pPr>
              <w:rPr>
                <w:rFonts w:ascii="Calibri" w:hAnsi="Calibri" w:cs="Calibri"/>
                <w:color w:val="000000"/>
                <w:sz w:val="22"/>
                <w:szCs w:val="22"/>
              </w:rPr>
            </w:pPr>
            <w:r w:rsidRPr="00D0217E">
              <w:rPr>
                <w:color w:val="000000"/>
              </w:rPr>
              <w:t>Resource support</w:t>
            </w:r>
          </w:p>
        </w:tc>
        <w:tc>
          <w:tcPr>
            <w:tcW w:w="1980" w:type="dxa"/>
            <w:tcBorders>
              <w:top w:val="nil"/>
              <w:left w:val="nil"/>
              <w:bottom w:val="single" w:sz="4" w:space="0" w:color="auto"/>
              <w:right w:val="single" w:sz="4" w:space="0" w:color="auto"/>
            </w:tcBorders>
            <w:vAlign w:val="center"/>
          </w:tcPr>
          <w:p w14:paraId="38EFAFF5" w14:textId="43D8D0C1" w:rsidR="009C6F66" w:rsidRPr="009E1F1D" w:rsidRDefault="009C6F66" w:rsidP="009C6F66">
            <w:pPr>
              <w:rPr>
                <w:rFonts w:ascii="Calibri" w:hAnsi="Calibri" w:cs="Calibri"/>
                <w:color w:val="000000"/>
                <w:sz w:val="22"/>
                <w:szCs w:val="22"/>
              </w:rPr>
            </w:pPr>
            <w:r w:rsidRPr="00D0217E">
              <w:rPr>
                <w:color w:val="000000"/>
              </w:rPr>
              <w:t>Burnout risk</w:t>
            </w:r>
          </w:p>
        </w:tc>
        <w:tc>
          <w:tcPr>
            <w:tcW w:w="1260" w:type="dxa"/>
            <w:tcBorders>
              <w:top w:val="nil"/>
              <w:left w:val="nil"/>
              <w:bottom w:val="single" w:sz="4" w:space="0" w:color="auto"/>
              <w:right w:val="single" w:sz="4" w:space="0" w:color="auto"/>
            </w:tcBorders>
            <w:vAlign w:val="center"/>
          </w:tcPr>
          <w:p w14:paraId="5E3E214B" w14:textId="6FCD4684" w:rsidR="009C6F66" w:rsidRPr="009E1F1D" w:rsidRDefault="009C6F66" w:rsidP="009C6F66">
            <w:pPr>
              <w:rPr>
                <w:rFonts w:ascii="Calibri" w:hAnsi="Calibri" w:cs="Calibri"/>
                <w:color w:val="000000"/>
                <w:sz w:val="22"/>
                <w:szCs w:val="22"/>
              </w:rPr>
            </w:pPr>
            <w:r w:rsidRPr="00D0217E">
              <w:rPr>
                <w:color w:val="000000"/>
              </w:rPr>
              <w:t>Job performance</w:t>
            </w:r>
          </w:p>
        </w:tc>
        <w:tc>
          <w:tcPr>
            <w:tcW w:w="1530" w:type="dxa"/>
            <w:tcBorders>
              <w:top w:val="nil"/>
              <w:left w:val="nil"/>
              <w:bottom w:val="single" w:sz="4" w:space="0" w:color="auto"/>
              <w:right w:val="single" w:sz="4" w:space="0" w:color="auto"/>
            </w:tcBorders>
            <w:hideMark/>
          </w:tcPr>
          <w:p w14:paraId="10902B8A"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Resources can promote motivation and engagement</w:t>
            </w:r>
          </w:p>
        </w:tc>
        <w:tc>
          <w:tcPr>
            <w:tcW w:w="1440" w:type="dxa"/>
            <w:tcBorders>
              <w:top w:val="nil"/>
              <w:left w:val="nil"/>
              <w:bottom w:val="single" w:sz="4" w:space="0" w:color="auto"/>
              <w:right w:val="single" w:sz="4" w:space="0" w:color="auto"/>
            </w:tcBorders>
          </w:tcPr>
          <w:p w14:paraId="744A07EC" w14:textId="72E8E3EC" w:rsidR="009C6F66" w:rsidRPr="009E1F1D" w:rsidRDefault="009C6F66" w:rsidP="009C6F66">
            <w:pPr>
              <w:rPr>
                <w:rFonts w:ascii="Calibri" w:hAnsi="Calibri" w:cs="Calibri"/>
                <w:color w:val="000000"/>
                <w:sz w:val="22"/>
                <w:szCs w:val="22"/>
              </w:rPr>
            </w:pPr>
            <w:r w:rsidRPr="004B62CF">
              <w:rPr>
                <w:rFonts w:ascii="Calibri" w:hAnsi="Calibri" w:cs="Calibri"/>
                <w:color w:val="000000"/>
                <w:sz w:val="22"/>
                <w:szCs w:val="22"/>
              </w:rPr>
              <w:t>Motivation, performance</w:t>
            </w:r>
          </w:p>
        </w:tc>
        <w:tc>
          <w:tcPr>
            <w:tcW w:w="236" w:type="dxa"/>
            <w:tcBorders>
              <w:top w:val="nil"/>
              <w:left w:val="nil"/>
              <w:bottom w:val="single" w:sz="4" w:space="0" w:color="auto"/>
              <w:right w:val="single" w:sz="4" w:space="0" w:color="auto"/>
            </w:tcBorders>
          </w:tcPr>
          <w:p w14:paraId="571EDF7F" w14:textId="32F16017" w:rsidR="009C6F66" w:rsidRPr="009E1F1D" w:rsidRDefault="009C6F66" w:rsidP="009C6F66">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670E13A" w14:textId="1D10F6FA" w:rsidR="009C6F66" w:rsidRPr="009E1F1D" w:rsidRDefault="009C6F66" w:rsidP="009C6F66">
            <w:pPr>
              <w:rPr>
                <w:rFonts w:ascii="Calibri" w:hAnsi="Calibri" w:cs="Calibri"/>
                <w:color w:val="000000"/>
                <w:sz w:val="22"/>
                <w:szCs w:val="22"/>
              </w:rPr>
            </w:pPr>
          </w:p>
        </w:tc>
      </w:tr>
      <w:tr w:rsidR="002A58DC" w:rsidRPr="009E1F1D" w14:paraId="2D6A754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C4A38A1" w14:textId="77777777" w:rsidR="009C6F66" w:rsidRPr="009E1F1D" w:rsidRDefault="009C6F66" w:rsidP="009C6F66">
            <w:pPr>
              <w:jc w:val="right"/>
              <w:rPr>
                <w:rFonts w:ascii="Calibri" w:hAnsi="Calibri" w:cs="Calibri"/>
                <w:color w:val="000000"/>
                <w:sz w:val="22"/>
                <w:szCs w:val="22"/>
              </w:rPr>
            </w:pPr>
            <w:r w:rsidRPr="009E1F1D">
              <w:rPr>
                <w:rFonts w:ascii="Calibri" w:hAnsi="Calibri" w:cs="Calibri"/>
                <w:color w:val="000000"/>
                <w:sz w:val="22"/>
                <w:szCs w:val="22"/>
              </w:rPr>
              <w:t>71</w:t>
            </w:r>
          </w:p>
        </w:tc>
        <w:tc>
          <w:tcPr>
            <w:tcW w:w="1260" w:type="dxa"/>
            <w:tcBorders>
              <w:top w:val="nil"/>
              <w:left w:val="nil"/>
              <w:bottom w:val="single" w:sz="4" w:space="0" w:color="auto"/>
              <w:right w:val="single" w:sz="4" w:space="0" w:color="auto"/>
            </w:tcBorders>
            <w:hideMark/>
          </w:tcPr>
          <w:p w14:paraId="066B5A59"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Employee Motivation and Performance: A Review</w:t>
            </w:r>
          </w:p>
        </w:tc>
        <w:tc>
          <w:tcPr>
            <w:tcW w:w="1530" w:type="dxa"/>
            <w:tcBorders>
              <w:top w:val="nil"/>
              <w:left w:val="nil"/>
              <w:bottom w:val="single" w:sz="4" w:space="0" w:color="auto"/>
              <w:right w:val="single" w:sz="4" w:space="0" w:color="auto"/>
            </w:tcBorders>
            <w:hideMark/>
          </w:tcPr>
          <w:p w14:paraId="5F75C459"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Pinder, C.C.</w:t>
            </w:r>
          </w:p>
        </w:tc>
        <w:tc>
          <w:tcPr>
            <w:tcW w:w="720" w:type="dxa"/>
            <w:tcBorders>
              <w:top w:val="nil"/>
              <w:left w:val="nil"/>
              <w:bottom w:val="single" w:sz="4" w:space="0" w:color="auto"/>
              <w:right w:val="single" w:sz="4" w:space="0" w:color="auto"/>
            </w:tcBorders>
            <w:hideMark/>
          </w:tcPr>
          <w:p w14:paraId="43FA7721"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1998</w:t>
            </w:r>
          </w:p>
        </w:tc>
        <w:tc>
          <w:tcPr>
            <w:tcW w:w="1710" w:type="dxa"/>
            <w:tcBorders>
              <w:top w:val="nil"/>
              <w:left w:val="nil"/>
              <w:bottom w:val="single" w:sz="4" w:space="0" w:color="auto"/>
              <w:right w:val="single" w:sz="4" w:space="0" w:color="auto"/>
            </w:tcBorders>
          </w:tcPr>
          <w:p w14:paraId="7AB8FCEF" w14:textId="565F2839" w:rsidR="009C6F66" w:rsidRPr="009E1F1D" w:rsidRDefault="009C6F66" w:rsidP="009C6F66">
            <w:pPr>
              <w:rPr>
                <w:rFonts w:ascii="Calibri" w:hAnsi="Calibri" w:cs="Calibri"/>
                <w:color w:val="000000"/>
                <w:sz w:val="22"/>
                <w:szCs w:val="22"/>
              </w:rPr>
            </w:pPr>
            <w:r w:rsidRPr="00F0534D">
              <w:rPr>
                <w:rFonts w:ascii="Calibri" w:hAnsi="Calibri" w:cs="Calibri"/>
                <w:color w:val="000000"/>
                <w:sz w:val="22"/>
                <w:szCs w:val="22"/>
              </w:rPr>
              <w:t>Work motivation</w:t>
            </w:r>
          </w:p>
        </w:tc>
        <w:tc>
          <w:tcPr>
            <w:tcW w:w="1710" w:type="dxa"/>
            <w:tcBorders>
              <w:top w:val="nil"/>
              <w:left w:val="nil"/>
              <w:bottom w:val="single" w:sz="4" w:space="0" w:color="auto"/>
              <w:right w:val="single" w:sz="4" w:space="0" w:color="auto"/>
            </w:tcBorders>
            <w:vAlign w:val="center"/>
          </w:tcPr>
          <w:p w14:paraId="25CC55C3" w14:textId="1E1FF18E" w:rsidR="009C6F66" w:rsidRPr="009E1F1D" w:rsidRDefault="009C6F66" w:rsidP="009C6F66">
            <w:pPr>
              <w:rPr>
                <w:rFonts w:ascii="Calibri" w:hAnsi="Calibri" w:cs="Calibri"/>
                <w:color w:val="000000"/>
                <w:sz w:val="22"/>
                <w:szCs w:val="22"/>
              </w:rPr>
            </w:pPr>
            <w:r w:rsidRPr="00D0217E">
              <w:rPr>
                <w:color w:val="000000"/>
              </w:rPr>
              <w:t>Motivation understanding</w:t>
            </w:r>
          </w:p>
        </w:tc>
        <w:tc>
          <w:tcPr>
            <w:tcW w:w="1980" w:type="dxa"/>
            <w:tcBorders>
              <w:top w:val="nil"/>
              <w:left w:val="nil"/>
              <w:bottom w:val="single" w:sz="4" w:space="0" w:color="auto"/>
              <w:right w:val="single" w:sz="4" w:space="0" w:color="auto"/>
            </w:tcBorders>
            <w:vAlign w:val="center"/>
          </w:tcPr>
          <w:p w14:paraId="2B02D3E9" w14:textId="4A8284B1" w:rsidR="009C6F66" w:rsidRPr="009E1F1D" w:rsidRDefault="009C6F66" w:rsidP="009C6F66">
            <w:pPr>
              <w:rPr>
                <w:rFonts w:ascii="Calibri" w:hAnsi="Calibri" w:cs="Calibri"/>
                <w:color w:val="000000"/>
                <w:sz w:val="22"/>
                <w:szCs w:val="22"/>
              </w:rPr>
            </w:pPr>
            <w:r w:rsidRPr="00D0217E">
              <w:rPr>
                <w:color w:val="000000"/>
              </w:rPr>
              <w:t>Individual variation</w:t>
            </w:r>
          </w:p>
        </w:tc>
        <w:tc>
          <w:tcPr>
            <w:tcW w:w="1260" w:type="dxa"/>
            <w:tcBorders>
              <w:top w:val="nil"/>
              <w:left w:val="nil"/>
              <w:bottom w:val="single" w:sz="4" w:space="0" w:color="auto"/>
              <w:right w:val="single" w:sz="4" w:space="0" w:color="auto"/>
            </w:tcBorders>
            <w:vAlign w:val="center"/>
          </w:tcPr>
          <w:p w14:paraId="268862B8" w14:textId="0C29454F" w:rsidR="009C6F66" w:rsidRPr="009E1F1D" w:rsidRDefault="009C6F66" w:rsidP="009C6F66">
            <w:pPr>
              <w:rPr>
                <w:rFonts w:ascii="Calibri" w:hAnsi="Calibri" w:cs="Calibri"/>
                <w:color w:val="000000"/>
                <w:sz w:val="22"/>
                <w:szCs w:val="22"/>
              </w:rPr>
            </w:pPr>
            <w:r w:rsidRPr="00D0217E">
              <w:rPr>
                <w:color w:val="000000"/>
              </w:rPr>
              <w:t>Work motivation</w:t>
            </w:r>
          </w:p>
        </w:tc>
        <w:tc>
          <w:tcPr>
            <w:tcW w:w="1530" w:type="dxa"/>
            <w:tcBorders>
              <w:top w:val="nil"/>
              <w:left w:val="nil"/>
              <w:bottom w:val="single" w:sz="4" w:space="0" w:color="auto"/>
              <w:right w:val="single" w:sz="4" w:space="0" w:color="auto"/>
            </w:tcBorders>
            <w:hideMark/>
          </w:tcPr>
          <w:p w14:paraId="593FF4D9"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Motivation is shaped by both individual and situational variables</w:t>
            </w:r>
          </w:p>
        </w:tc>
        <w:tc>
          <w:tcPr>
            <w:tcW w:w="1440" w:type="dxa"/>
            <w:tcBorders>
              <w:top w:val="nil"/>
              <w:left w:val="nil"/>
              <w:bottom w:val="single" w:sz="4" w:space="0" w:color="auto"/>
              <w:right w:val="single" w:sz="4" w:space="0" w:color="auto"/>
            </w:tcBorders>
          </w:tcPr>
          <w:p w14:paraId="10238D4D" w14:textId="53181FB3" w:rsidR="009C6F66" w:rsidRPr="009E1F1D" w:rsidRDefault="00F568D4" w:rsidP="009C6F66">
            <w:pPr>
              <w:rPr>
                <w:rFonts w:ascii="Calibri" w:hAnsi="Calibri" w:cs="Calibri"/>
                <w:color w:val="000000"/>
                <w:sz w:val="22"/>
                <w:szCs w:val="22"/>
              </w:rPr>
            </w:pPr>
            <w:r w:rsidRPr="004B62CF">
              <w:rPr>
                <w:rFonts w:ascii="Calibri" w:hAnsi="Calibri" w:cs="Calibri"/>
                <w:color w:val="000000"/>
                <w:sz w:val="22"/>
                <w:szCs w:val="22"/>
              </w:rPr>
              <w:t>Performance rewards, intrinsic motivation</w:t>
            </w:r>
          </w:p>
        </w:tc>
        <w:tc>
          <w:tcPr>
            <w:tcW w:w="236" w:type="dxa"/>
            <w:tcBorders>
              <w:top w:val="nil"/>
              <w:left w:val="nil"/>
              <w:bottom w:val="single" w:sz="4" w:space="0" w:color="auto"/>
              <w:right w:val="single" w:sz="4" w:space="0" w:color="auto"/>
            </w:tcBorders>
          </w:tcPr>
          <w:p w14:paraId="3EF084C3" w14:textId="71001005" w:rsidR="009C6F66" w:rsidRPr="009E1F1D" w:rsidRDefault="009C6F66" w:rsidP="009C6F66">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C21F2C0" w14:textId="2EDF982F" w:rsidR="009C6F66" w:rsidRPr="009E1F1D" w:rsidRDefault="009C6F66" w:rsidP="009C6F66">
            <w:pPr>
              <w:rPr>
                <w:rFonts w:ascii="Calibri" w:hAnsi="Calibri" w:cs="Calibri"/>
                <w:color w:val="000000"/>
                <w:sz w:val="22"/>
                <w:szCs w:val="22"/>
              </w:rPr>
            </w:pPr>
          </w:p>
        </w:tc>
      </w:tr>
      <w:tr w:rsidR="002A58DC" w:rsidRPr="009E1F1D" w14:paraId="0DA4C4B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8223A93" w14:textId="77777777" w:rsidR="009C6F66" w:rsidRPr="009E1F1D" w:rsidRDefault="009C6F66" w:rsidP="009C6F66">
            <w:pPr>
              <w:jc w:val="right"/>
              <w:rPr>
                <w:rFonts w:ascii="Calibri" w:hAnsi="Calibri" w:cs="Calibri"/>
                <w:color w:val="000000"/>
                <w:sz w:val="22"/>
                <w:szCs w:val="22"/>
              </w:rPr>
            </w:pPr>
            <w:r w:rsidRPr="009E1F1D">
              <w:rPr>
                <w:rFonts w:ascii="Calibri" w:hAnsi="Calibri" w:cs="Calibri"/>
                <w:color w:val="000000"/>
                <w:sz w:val="22"/>
                <w:szCs w:val="22"/>
              </w:rPr>
              <w:t>72</w:t>
            </w:r>
          </w:p>
        </w:tc>
        <w:tc>
          <w:tcPr>
            <w:tcW w:w="1260" w:type="dxa"/>
            <w:tcBorders>
              <w:top w:val="nil"/>
              <w:left w:val="nil"/>
              <w:bottom w:val="single" w:sz="4" w:space="0" w:color="auto"/>
              <w:right w:val="single" w:sz="4" w:space="0" w:color="auto"/>
            </w:tcBorders>
            <w:hideMark/>
          </w:tcPr>
          <w:p w14:paraId="042DF711"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The Effects of Performance-Contingent Rewards on Intrinsic Motivation</w:t>
            </w:r>
          </w:p>
        </w:tc>
        <w:tc>
          <w:tcPr>
            <w:tcW w:w="1530" w:type="dxa"/>
            <w:tcBorders>
              <w:top w:val="nil"/>
              <w:left w:val="nil"/>
              <w:bottom w:val="single" w:sz="4" w:space="0" w:color="auto"/>
              <w:right w:val="single" w:sz="4" w:space="0" w:color="auto"/>
            </w:tcBorders>
            <w:hideMark/>
          </w:tcPr>
          <w:p w14:paraId="726BFC99"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Deci, E.L., Koestner, R. &amp; Ryan, R.M.</w:t>
            </w:r>
          </w:p>
        </w:tc>
        <w:tc>
          <w:tcPr>
            <w:tcW w:w="720" w:type="dxa"/>
            <w:tcBorders>
              <w:top w:val="nil"/>
              <w:left w:val="nil"/>
              <w:bottom w:val="single" w:sz="4" w:space="0" w:color="auto"/>
              <w:right w:val="single" w:sz="4" w:space="0" w:color="auto"/>
            </w:tcBorders>
            <w:hideMark/>
          </w:tcPr>
          <w:p w14:paraId="33C666FA"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2001</w:t>
            </w:r>
          </w:p>
        </w:tc>
        <w:tc>
          <w:tcPr>
            <w:tcW w:w="1710" w:type="dxa"/>
            <w:tcBorders>
              <w:top w:val="nil"/>
              <w:left w:val="nil"/>
              <w:bottom w:val="single" w:sz="4" w:space="0" w:color="auto"/>
              <w:right w:val="single" w:sz="4" w:space="0" w:color="auto"/>
            </w:tcBorders>
          </w:tcPr>
          <w:p w14:paraId="5D696627" w14:textId="2D8F8A25" w:rsidR="009C6F66" w:rsidRPr="009E1F1D" w:rsidRDefault="009C6F66" w:rsidP="009C6F66">
            <w:pPr>
              <w:rPr>
                <w:rFonts w:ascii="Calibri" w:hAnsi="Calibri" w:cs="Calibri"/>
                <w:color w:val="000000"/>
                <w:sz w:val="22"/>
                <w:szCs w:val="22"/>
              </w:rPr>
            </w:pPr>
            <w:r w:rsidRPr="00F0534D">
              <w:rPr>
                <w:rFonts w:ascii="Calibri" w:hAnsi="Calibri" w:cs="Calibri"/>
                <w:color w:val="000000"/>
                <w:sz w:val="22"/>
                <w:szCs w:val="22"/>
              </w:rPr>
              <w:t>Self-Determination Theory</w:t>
            </w:r>
          </w:p>
        </w:tc>
        <w:tc>
          <w:tcPr>
            <w:tcW w:w="1710" w:type="dxa"/>
            <w:tcBorders>
              <w:top w:val="nil"/>
              <w:left w:val="nil"/>
              <w:bottom w:val="single" w:sz="4" w:space="0" w:color="auto"/>
              <w:right w:val="single" w:sz="4" w:space="0" w:color="auto"/>
            </w:tcBorders>
            <w:vAlign w:val="center"/>
          </w:tcPr>
          <w:p w14:paraId="2F80BE23" w14:textId="5CF5E1B2" w:rsidR="009C6F66" w:rsidRPr="009E1F1D" w:rsidRDefault="009C6F66" w:rsidP="009C6F66">
            <w:pPr>
              <w:rPr>
                <w:rFonts w:ascii="Calibri" w:hAnsi="Calibri" w:cs="Calibri"/>
                <w:color w:val="000000"/>
                <w:sz w:val="22"/>
                <w:szCs w:val="22"/>
              </w:rPr>
            </w:pPr>
            <w:r w:rsidRPr="00D0217E">
              <w:rPr>
                <w:color w:val="000000"/>
              </w:rPr>
              <w:t>Controlled motivation</w:t>
            </w:r>
          </w:p>
        </w:tc>
        <w:tc>
          <w:tcPr>
            <w:tcW w:w="1980" w:type="dxa"/>
            <w:tcBorders>
              <w:top w:val="nil"/>
              <w:left w:val="nil"/>
              <w:bottom w:val="single" w:sz="4" w:space="0" w:color="auto"/>
              <w:right w:val="single" w:sz="4" w:space="0" w:color="auto"/>
            </w:tcBorders>
            <w:vAlign w:val="center"/>
          </w:tcPr>
          <w:p w14:paraId="790B01A1" w14:textId="5FE05F4D" w:rsidR="009C6F66" w:rsidRPr="009E1F1D" w:rsidRDefault="009C6F66" w:rsidP="009C6F66">
            <w:pPr>
              <w:rPr>
                <w:rFonts w:ascii="Calibri" w:hAnsi="Calibri" w:cs="Calibri"/>
                <w:color w:val="000000"/>
                <w:sz w:val="22"/>
                <w:szCs w:val="22"/>
              </w:rPr>
            </w:pPr>
            <w:r w:rsidRPr="00D0217E">
              <w:rPr>
                <w:color w:val="000000"/>
              </w:rPr>
              <w:t>Autonomy reduction</w:t>
            </w:r>
          </w:p>
        </w:tc>
        <w:tc>
          <w:tcPr>
            <w:tcW w:w="1260" w:type="dxa"/>
            <w:tcBorders>
              <w:top w:val="nil"/>
              <w:left w:val="nil"/>
              <w:bottom w:val="single" w:sz="4" w:space="0" w:color="auto"/>
              <w:right w:val="single" w:sz="4" w:space="0" w:color="auto"/>
            </w:tcBorders>
            <w:vAlign w:val="center"/>
          </w:tcPr>
          <w:p w14:paraId="364A712E" w14:textId="3DB4ED8E" w:rsidR="009C6F66" w:rsidRPr="009E1F1D" w:rsidRDefault="009C6F66" w:rsidP="009C6F66">
            <w:pPr>
              <w:rPr>
                <w:rFonts w:ascii="Calibri" w:hAnsi="Calibri" w:cs="Calibri"/>
                <w:color w:val="000000"/>
                <w:sz w:val="22"/>
                <w:szCs w:val="22"/>
              </w:rPr>
            </w:pPr>
            <w:r w:rsidRPr="00D0217E">
              <w:rPr>
                <w:color w:val="000000"/>
              </w:rPr>
              <w:t>Motivation quality</w:t>
            </w:r>
          </w:p>
        </w:tc>
        <w:tc>
          <w:tcPr>
            <w:tcW w:w="1530" w:type="dxa"/>
            <w:tcBorders>
              <w:top w:val="nil"/>
              <w:left w:val="nil"/>
              <w:bottom w:val="single" w:sz="4" w:space="0" w:color="auto"/>
              <w:right w:val="single" w:sz="4" w:space="0" w:color="auto"/>
            </w:tcBorders>
            <w:hideMark/>
          </w:tcPr>
          <w:p w14:paraId="60E4B691" w14:textId="77777777" w:rsidR="009C6F66" w:rsidRPr="009E1F1D" w:rsidRDefault="009C6F66" w:rsidP="009C6F66">
            <w:pPr>
              <w:rPr>
                <w:rFonts w:ascii="Calibri" w:hAnsi="Calibri" w:cs="Calibri"/>
                <w:color w:val="000000"/>
                <w:sz w:val="22"/>
                <w:szCs w:val="22"/>
              </w:rPr>
            </w:pPr>
            <w:r w:rsidRPr="009E1F1D">
              <w:rPr>
                <w:rFonts w:ascii="Calibri" w:hAnsi="Calibri" w:cs="Calibri"/>
                <w:color w:val="000000"/>
                <w:sz w:val="22"/>
                <w:szCs w:val="22"/>
              </w:rPr>
              <w:t>Effects on intrinsic motivation depend on reward type and context</w:t>
            </w:r>
          </w:p>
        </w:tc>
        <w:tc>
          <w:tcPr>
            <w:tcW w:w="1440" w:type="dxa"/>
            <w:tcBorders>
              <w:top w:val="nil"/>
              <w:left w:val="nil"/>
              <w:bottom w:val="single" w:sz="4" w:space="0" w:color="auto"/>
              <w:right w:val="single" w:sz="4" w:space="0" w:color="auto"/>
            </w:tcBorders>
          </w:tcPr>
          <w:p w14:paraId="55EEA632" w14:textId="33F318A9" w:rsidR="009C6F66" w:rsidRPr="009E1F1D" w:rsidRDefault="00B004CD" w:rsidP="009C6F66">
            <w:pPr>
              <w:rPr>
                <w:rFonts w:ascii="Calibri" w:hAnsi="Calibri" w:cs="Calibri"/>
                <w:color w:val="000000"/>
                <w:sz w:val="22"/>
                <w:szCs w:val="22"/>
              </w:rPr>
            </w:pPr>
            <w:r w:rsidRPr="004B62CF">
              <w:rPr>
                <w:rFonts w:ascii="Calibri" w:hAnsi="Calibri" w:cs="Calibri"/>
                <w:color w:val="000000"/>
                <w:sz w:val="22"/>
                <w:szCs w:val="22"/>
              </w:rPr>
              <w:t>Money, motivation</w:t>
            </w:r>
          </w:p>
        </w:tc>
        <w:tc>
          <w:tcPr>
            <w:tcW w:w="236" w:type="dxa"/>
            <w:tcBorders>
              <w:top w:val="nil"/>
              <w:left w:val="nil"/>
              <w:bottom w:val="single" w:sz="4" w:space="0" w:color="auto"/>
              <w:right w:val="single" w:sz="4" w:space="0" w:color="auto"/>
            </w:tcBorders>
          </w:tcPr>
          <w:p w14:paraId="3F6AA494" w14:textId="2A737C77" w:rsidR="009C6F66" w:rsidRPr="009E1F1D" w:rsidRDefault="009C6F66" w:rsidP="009C6F66">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938A87D" w14:textId="52DE01DD" w:rsidR="009C6F66" w:rsidRPr="009E1F1D" w:rsidRDefault="009C6F66" w:rsidP="009C6F66">
            <w:pPr>
              <w:rPr>
                <w:rFonts w:ascii="Calibri" w:hAnsi="Calibri" w:cs="Calibri"/>
                <w:color w:val="000000"/>
                <w:sz w:val="22"/>
                <w:szCs w:val="22"/>
              </w:rPr>
            </w:pPr>
          </w:p>
        </w:tc>
      </w:tr>
      <w:tr w:rsidR="002A58DC" w:rsidRPr="009E1F1D" w14:paraId="745BB99E"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51C4DEC" w14:textId="77777777" w:rsidR="00756E91" w:rsidRPr="009E1F1D" w:rsidRDefault="00756E91" w:rsidP="00756E91">
            <w:pPr>
              <w:jc w:val="right"/>
              <w:rPr>
                <w:rFonts w:ascii="Calibri" w:hAnsi="Calibri" w:cs="Calibri"/>
                <w:color w:val="000000"/>
                <w:sz w:val="22"/>
                <w:szCs w:val="22"/>
              </w:rPr>
            </w:pPr>
            <w:r w:rsidRPr="009E1F1D">
              <w:rPr>
                <w:rFonts w:ascii="Calibri" w:hAnsi="Calibri" w:cs="Calibri"/>
                <w:color w:val="000000"/>
                <w:sz w:val="22"/>
                <w:szCs w:val="22"/>
              </w:rPr>
              <w:lastRenderedPageBreak/>
              <w:t>73</w:t>
            </w:r>
          </w:p>
        </w:tc>
        <w:tc>
          <w:tcPr>
            <w:tcW w:w="1260" w:type="dxa"/>
            <w:tcBorders>
              <w:top w:val="nil"/>
              <w:left w:val="nil"/>
              <w:bottom w:val="single" w:sz="4" w:space="0" w:color="auto"/>
              <w:right w:val="single" w:sz="4" w:space="0" w:color="auto"/>
            </w:tcBorders>
            <w:hideMark/>
          </w:tcPr>
          <w:p w14:paraId="29E6003F" w14:textId="66FE178E" w:rsidR="00756E91" w:rsidRPr="009E2674" w:rsidRDefault="00756E91" w:rsidP="00756E91">
            <w:pPr>
              <w:rPr>
                <w:rFonts w:ascii="Calibri" w:hAnsi="Calibri" w:cs="Calibri"/>
                <w:i/>
                <w:iCs/>
                <w:color w:val="000000"/>
                <w:sz w:val="22"/>
                <w:szCs w:val="22"/>
              </w:rPr>
            </w:pPr>
            <w:r w:rsidRPr="009E2674">
              <w:rPr>
                <w:rStyle w:val="Emphasis"/>
                <w:i w:val="0"/>
                <w:iCs w:val="0"/>
                <w:color w:val="000000"/>
                <w:sz w:val="22"/>
                <w:szCs w:val="22"/>
              </w:rPr>
              <w:t>Compensation: Theory, Evidence, and Strategic Implications</w:t>
            </w:r>
          </w:p>
        </w:tc>
        <w:tc>
          <w:tcPr>
            <w:tcW w:w="1530" w:type="dxa"/>
            <w:tcBorders>
              <w:top w:val="nil"/>
              <w:left w:val="nil"/>
              <w:bottom w:val="single" w:sz="4" w:space="0" w:color="auto"/>
              <w:right w:val="single" w:sz="4" w:space="0" w:color="auto"/>
            </w:tcBorders>
            <w:hideMark/>
          </w:tcPr>
          <w:p w14:paraId="77A43C7C" w14:textId="77777777" w:rsidR="00756E91" w:rsidRPr="009E1F1D" w:rsidRDefault="00756E91" w:rsidP="00756E91">
            <w:pPr>
              <w:rPr>
                <w:rFonts w:ascii="Calibri" w:hAnsi="Calibri" w:cs="Calibri"/>
                <w:color w:val="000000"/>
                <w:sz w:val="22"/>
                <w:szCs w:val="22"/>
              </w:rPr>
            </w:pPr>
            <w:r w:rsidRPr="009E1F1D">
              <w:rPr>
                <w:rFonts w:ascii="Calibri" w:hAnsi="Calibri" w:cs="Calibri"/>
                <w:color w:val="000000"/>
                <w:sz w:val="22"/>
                <w:szCs w:val="22"/>
              </w:rPr>
              <w:t>Rynes, S.L., Gerhart, B. &amp; Parks, L.</w:t>
            </w:r>
          </w:p>
        </w:tc>
        <w:tc>
          <w:tcPr>
            <w:tcW w:w="720" w:type="dxa"/>
            <w:tcBorders>
              <w:top w:val="nil"/>
              <w:left w:val="nil"/>
              <w:bottom w:val="single" w:sz="4" w:space="0" w:color="auto"/>
              <w:right w:val="single" w:sz="4" w:space="0" w:color="auto"/>
            </w:tcBorders>
            <w:hideMark/>
          </w:tcPr>
          <w:p w14:paraId="72B16BD0" w14:textId="45E376D2" w:rsidR="00756E91" w:rsidRPr="009E1F1D" w:rsidRDefault="00756E91" w:rsidP="00756E91">
            <w:pPr>
              <w:rPr>
                <w:rFonts w:ascii="Calibri" w:hAnsi="Calibri" w:cs="Calibri"/>
                <w:color w:val="000000"/>
                <w:sz w:val="22"/>
                <w:szCs w:val="22"/>
              </w:rPr>
            </w:pPr>
            <w:r w:rsidRPr="009E1F1D">
              <w:rPr>
                <w:rFonts w:ascii="Calibri" w:hAnsi="Calibri" w:cs="Calibri"/>
                <w:color w:val="000000"/>
                <w:sz w:val="22"/>
                <w:szCs w:val="22"/>
              </w:rPr>
              <w:t>200</w:t>
            </w:r>
            <w:r>
              <w:rPr>
                <w:rFonts w:ascii="Calibri" w:hAnsi="Calibri" w:cs="Calibri"/>
                <w:color w:val="000000"/>
                <w:sz w:val="22"/>
                <w:szCs w:val="22"/>
              </w:rPr>
              <w:t>3</w:t>
            </w:r>
          </w:p>
        </w:tc>
        <w:tc>
          <w:tcPr>
            <w:tcW w:w="1710" w:type="dxa"/>
            <w:tcBorders>
              <w:top w:val="nil"/>
              <w:left w:val="nil"/>
              <w:bottom w:val="single" w:sz="4" w:space="0" w:color="auto"/>
              <w:right w:val="single" w:sz="4" w:space="0" w:color="auto"/>
            </w:tcBorders>
          </w:tcPr>
          <w:p w14:paraId="1B81F3B0" w14:textId="282DA52E" w:rsidR="00756E91" w:rsidRPr="009E1F1D" w:rsidRDefault="00756E91" w:rsidP="00756E91">
            <w:pPr>
              <w:rPr>
                <w:rFonts w:ascii="Calibri" w:hAnsi="Calibri" w:cs="Calibri"/>
                <w:color w:val="000000"/>
                <w:sz w:val="22"/>
                <w:szCs w:val="22"/>
              </w:rPr>
            </w:pPr>
            <w:r w:rsidRPr="00F0534D">
              <w:rPr>
                <w:rFonts w:ascii="Calibri" w:hAnsi="Calibri" w:cs="Calibri"/>
                <w:color w:val="000000"/>
                <w:sz w:val="22"/>
                <w:szCs w:val="22"/>
              </w:rPr>
              <w:t>Expectancy; Equity</w:t>
            </w:r>
          </w:p>
        </w:tc>
        <w:tc>
          <w:tcPr>
            <w:tcW w:w="1710" w:type="dxa"/>
            <w:tcBorders>
              <w:top w:val="nil"/>
              <w:left w:val="nil"/>
              <w:bottom w:val="single" w:sz="4" w:space="0" w:color="auto"/>
              <w:right w:val="single" w:sz="4" w:space="0" w:color="auto"/>
            </w:tcBorders>
            <w:vAlign w:val="center"/>
          </w:tcPr>
          <w:p w14:paraId="636E7AC8" w14:textId="514FE431" w:rsidR="00756E91" w:rsidRPr="009E1F1D" w:rsidRDefault="00756E91" w:rsidP="00756E91">
            <w:pPr>
              <w:rPr>
                <w:rFonts w:ascii="Calibri" w:hAnsi="Calibri" w:cs="Calibri"/>
                <w:color w:val="000000"/>
                <w:sz w:val="22"/>
                <w:szCs w:val="22"/>
              </w:rPr>
            </w:pPr>
            <w:r w:rsidRPr="00D0217E">
              <w:rPr>
                <w:color w:val="000000"/>
              </w:rPr>
              <w:t>Strategic rewards</w:t>
            </w:r>
          </w:p>
        </w:tc>
        <w:tc>
          <w:tcPr>
            <w:tcW w:w="1980" w:type="dxa"/>
            <w:tcBorders>
              <w:top w:val="nil"/>
              <w:left w:val="nil"/>
              <w:bottom w:val="single" w:sz="4" w:space="0" w:color="auto"/>
              <w:right w:val="single" w:sz="4" w:space="0" w:color="auto"/>
            </w:tcBorders>
            <w:vAlign w:val="center"/>
          </w:tcPr>
          <w:p w14:paraId="20692E50" w14:textId="00F207AB" w:rsidR="00756E91" w:rsidRPr="009E1F1D" w:rsidRDefault="00756E91" w:rsidP="00756E91">
            <w:pPr>
              <w:rPr>
                <w:rFonts w:ascii="Calibri" w:hAnsi="Calibri" w:cs="Calibri"/>
                <w:color w:val="000000"/>
                <w:sz w:val="22"/>
                <w:szCs w:val="22"/>
              </w:rPr>
            </w:pPr>
            <w:r w:rsidRPr="00D0217E">
              <w:rPr>
                <w:color w:val="000000"/>
              </w:rPr>
              <w:t>Compensation costs</w:t>
            </w:r>
          </w:p>
        </w:tc>
        <w:tc>
          <w:tcPr>
            <w:tcW w:w="1260" w:type="dxa"/>
            <w:tcBorders>
              <w:top w:val="nil"/>
              <w:left w:val="nil"/>
              <w:bottom w:val="single" w:sz="4" w:space="0" w:color="auto"/>
              <w:right w:val="single" w:sz="4" w:space="0" w:color="auto"/>
            </w:tcBorders>
            <w:vAlign w:val="center"/>
          </w:tcPr>
          <w:p w14:paraId="7E227CDD" w14:textId="601CD2C2" w:rsidR="00756E91" w:rsidRPr="009E1F1D" w:rsidRDefault="00756E91" w:rsidP="00756E91">
            <w:pPr>
              <w:rPr>
                <w:rFonts w:ascii="Calibri" w:hAnsi="Calibri" w:cs="Calibri"/>
                <w:color w:val="000000"/>
                <w:sz w:val="22"/>
                <w:szCs w:val="22"/>
              </w:rPr>
            </w:pPr>
            <w:r w:rsidRPr="00D0217E">
              <w:rPr>
                <w:color w:val="000000"/>
              </w:rPr>
              <w:t>Employee motivation</w:t>
            </w:r>
          </w:p>
        </w:tc>
        <w:tc>
          <w:tcPr>
            <w:tcW w:w="1530" w:type="dxa"/>
            <w:tcBorders>
              <w:top w:val="nil"/>
              <w:left w:val="nil"/>
              <w:bottom w:val="single" w:sz="4" w:space="0" w:color="auto"/>
              <w:right w:val="single" w:sz="4" w:space="0" w:color="auto"/>
            </w:tcBorders>
            <w:hideMark/>
          </w:tcPr>
          <w:p w14:paraId="0C1D2745" w14:textId="77777777" w:rsidR="00756E91" w:rsidRPr="009E1F1D" w:rsidRDefault="00756E91" w:rsidP="00756E91">
            <w:pPr>
              <w:rPr>
                <w:rFonts w:ascii="Calibri" w:hAnsi="Calibri" w:cs="Calibri"/>
                <w:color w:val="000000"/>
                <w:sz w:val="22"/>
                <w:szCs w:val="22"/>
              </w:rPr>
            </w:pPr>
            <w:r w:rsidRPr="009E1F1D">
              <w:rPr>
                <w:rFonts w:ascii="Calibri" w:hAnsi="Calibri" w:cs="Calibri"/>
                <w:color w:val="000000"/>
                <w:sz w:val="22"/>
                <w:szCs w:val="22"/>
              </w:rPr>
              <w:t>Money can be highly important, but its effects depend on context and individual differences</w:t>
            </w:r>
          </w:p>
        </w:tc>
        <w:tc>
          <w:tcPr>
            <w:tcW w:w="1440" w:type="dxa"/>
            <w:tcBorders>
              <w:top w:val="nil"/>
              <w:left w:val="nil"/>
              <w:bottom w:val="single" w:sz="4" w:space="0" w:color="auto"/>
              <w:right w:val="single" w:sz="4" w:space="0" w:color="auto"/>
            </w:tcBorders>
          </w:tcPr>
          <w:p w14:paraId="7F8868B7" w14:textId="19DC8D77" w:rsidR="00756E91" w:rsidRPr="009E1F1D" w:rsidRDefault="00756E91" w:rsidP="00756E91">
            <w:pPr>
              <w:rPr>
                <w:rFonts w:ascii="Calibri" w:hAnsi="Calibri" w:cs="Calibri"/>
                <w:color w:val="000000"/>
                <w:sz w:val="22"/>
                <w:szCs w:val="22"/>
              </w:rPr>
            </w:pPr>
            <w:r w:rsidRPr="004B62CF">
              <w:rPr>
                <w:rFonts w:ascii="Calibri" w:hAnsi="Calibri" w:cs="Calibri"/>
                <w:color w:val="000000"/>
                <w:sz w:val="22"/>
                <w:szCs w:val="22"/>
              </w:rPr>
              <w:t>Pay, employee experience</w:t>
            </w:r>
          </w:p>
        </w:tc>
        <w:tc>
          <w:tcPr>
            <w:tcW w:w="236" w:type="dxa"/>
            <w:tcBorders>
              <w:top w:val="nil"/>
              <w:left w:val="nil"/>
              <w:bottom w:val="single" w:sz="4" w:space="0" w:color="auto"/>
              <w:right w:val="single" w:sz="4" w:space="0" w:color="auto"/>
            </w:tcBorders>
          </w:tcPr>
          <w:p w14:paraId="2F263F53" w14:textId="2B7AA365" w:rsidR="00756E91" w:rsidRPr="009E1F1D" w:rsidRDefault="00756E91" w:rsidP="00756E91">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9581CF4" w14:textId="29FA5D5E" w:rsidR="00756E91" w:rsidRPr="009E1F1D" w:rsidRDefault="00756E91" w:rsidP="00756E91">
            <w:pPr>
              <w:rPr>
                <w:rFonts w:ascii="Calibri" w:hAnsi="Calibri" w:cs="Calibri"/>
                <w:color w:val="000000"/>
                <w:sz w:val="22"/>
                <w:szCs w:val="22"/>
              </w:rPr>
            </w:pPr>
          </w:p>
        </w:tc>
      </w:tr>
      <w:tr w:rsidR="002A58DC" w:rsidRPr="009E1F1D" w14:paraId="1E24068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DECE1B3" w14:textId="77777777" w:rsidR="006F089D" w:rsidRPr="009E1F1D" w:rsidRDefault="006F089D" w:rsidP="006F089D">
            <w:pPr>
              <w:jc w:val="right"/>
              <w:rPr>
                <w:rFonts w:ascii="Calibri" w:hAnsi="Calibri" w:cs="Calibri"/>
                <w:color w:val="000000"/>
                <w:sz w:val="22"/>
                <w:szCs w:val="22"/>
              </w:rPr>
            </w:pPr>
            <w:r w:rsidRPr="009E1F1D">
              <w:rPr>
                <w:rFonts w:ascii="Calibri" w:hAnsi="Calibri" w:cs="Calibri"/>
                <w:color w:val="000000"/>
                <w:sz w:val="22"/>
                <w:szCs w:val="22"/>
              </w:rPr>
              <w:t>74</w:t>
            </w:r>
          </w:p>
        </w:tc>
        <w:tc>
          <w:tcPr>
            <w:tcW w:w="1260" w:type="dxa"/>
            <w:tcBorders>
              <w:top w:val="nil"/>
              <w:left w:val="nil"/>
              <w:bottom w:val="single" w:sz="4" w:space="0" w:color="auto"/>
              <w:right w:val="single" w:sz="4" w:space="0" w:color="auto"/>
            </w:tcBorders>
            <w:hideMark/>
          </w:tcPr>
          <w:p w14:paraId="039B813F" w14:textId="77777777" w:rsidR="006F089D" w:rsidRPr="009E1F1D" w:rsidRDefault="006F089D" w:rsidP="006F089D">
            <w:pPr>
              <w:rPr>
                <w:rFonts w:ascii="Calibri" w:hAnsi="Calibri" w:cs="Calibri"/>
                <w:color w:val="000000"/>
                <w:sz w:val="22"/>
                <w:szCs w:val="22"/>
              </w:rPr>
            </w:pPr>
            <w:r w:rsidRPr="009E1F1D">
              <w:rPr>
                <w:rFonts w:ascii="Calibri" w:hAnsi="Calibri" w:cs="Calibri"/>
                <w:color w:val="000000"/>
                <w:sz w:val="22"/>
                <w:szCs w:val="22"/>
              </w:rPr>
              <w:t>Pay for Performance and the Employee Experience</w:t>
            </w:r>
          </w:p>
        </w:tc>
        <w:tc>
          <w:tcPr>
            <w:tcW w:w="1530" w:type="dxa"/>
            <w:tcBorders>
              <w:top w:val="nil"/>
              <w:left w:val="nil"/>
              <w:bottom w:val="single" w:sz="4" w:space="0" w:color="auto"/>
              <w:right w:val="single" w:sz="4" w:space="0" w:color="auto"/>
            </w:tcBorders>
            <w:hideMark/>
          </w:tcPr>
          <w:p w14:paraId="7FBA130B" w14:textId="77777777" w:rsidR="006F089D" w:rsidRPr="009E1F1D" w:rsidRDefault="006F089D" w:rsidP="006F089D">
            <w:pPr>
              <w:rPr>
                <w:rFonts w:ascii="Calibri" w:hAnsi="Calibri" w:cs="Calibri"/>
                <w:color w:val="000000"/>
                <w:sz w:val="22"/>
                <w:szCs w:val="22"/>
              </w:rPr>
            </w:pPr>
            <w:r w:rsidRPr="009E1F1D">
              <w:rPr>
                <w:rFonts w:ascii="Calibri" w:hAnsi="Calibri" w:cs="Calibri"/>
                <w:color w:val="000000"/>
                <w:sz w:val="22"/>
                <w:szCs w:val="22"/>
              </w:rPr>
              <w:t>Fulmer, I.S. &amp; Shaw, J.D.</w:t>
            </w:r>
          </w:p>
        </w:tc>
        <w:tc>
          <w:tcPr>
            <w:tcW w:w="720" w:type="dxa"/>
            <w:tcBorders>
              <w:top w:val="nil"/>
              <w:left w:val="nil"/>
              <w:bottom w:val="single" w:sz="4" w:space="0" w:color="auto"/>
              <w:right w:val="single" w:sz="4" w:space="0" w:color="auto"/>
            </w:tcBorders>
            <w:hideMark/>
          </w:tcPr>
          <w:p w14:paraId="20797FF0" w14:textId="77777777" w:rsidR="006F089D" w:rsidRPr="009E1F1D" w:rsidRDefault="006F089D" w:rsidP="006F089D">
            <w:pPr>
              <w:rPr>
                <w:rFonts w:ascii="Calibri" w:hAnsi="Calibri" w:cs="Calibri"/>
                <w:color w:val="000000"/>
                <w:sz w:val="22"/>
                <w:szCs w:val="22"/>
              </w:rPr>
            </w:pPr>
            <w:r w:rsidRPr="009E1F1D">
              <w:rPr>
                <w:rFonts w:ascii="Calibri" w:hAnsi="Calibri" w:cs="Calibri"/>
                <w:color w:val="000000"/>
                <w:sz w:val="22"/>
                <w:szCs w:val="22"/>
              </w:rPr>
              <w:t>2018</w:t>
            </w:r>
          </w:p>
        </w:tc>
        <w:tc>
          <w:tcPr>
            <w:tcW w:w="1710" w:type="dxa"/>
            <w:tcBorders>
              <w:top w:val="nil"/>
              <w:left w:val="nil"/>
              <w:bottom w:val="single" w:sz="4" w:space="0" w:color="auto"/>
              <w:right w:val="single" w:sz="4" w:space="0" w:color="auto"/>
            </w:tcBorders>
          </w:tcPr>
          <w:p w14:paraId="702DE63D" w14:textId="342E3FD5" w:rsidR="006F089D" w:rsidRPr="009E1F1D" w:rsidRDefault="006F089D" w:rsidP="006F089D">
            <w:pPr>
              <w:rPr>
                <w:rFonts w:ascii="Calibri" w:hAnsi="Calibri" w:cs="Calibri"/>
                <w:color w:val="000000"/>
                <w:sz w:val="22"/>
                <w:szCs w:val="22"/>
              </w:rPr>
            </w:pPr>
            <w:r w:rsidRPr="00F0534D">
              <w:rPr>
                <w:rFonts w:ascii="Calibri" w:hAnsi="Calibri" w:cs="Calibri"/>
                <w:color w:val="000000"/>
                <w:sz w:val="22"/>
                <w:szCs w:val="22"/>
              </w:rPr>
              <w:t>Social exchange; motivation</w:t>
            </w:r>
          </w:p>
        </w:tc>
        <w:tc>
          <w:tcPr>
            <w:tcW w:w="1710" w:type="dxa"/>
            <w:tcBorders>
              <w:top w:val="nil"/>
              <w:left w:val="nil"/>
              <w:bottom w:val="single" w:sz="4" w:space="0" w:color="auto"/>
              <w:right w:val="single" w:sz="4" w:space="0" w:color="auto"/>
            </w:tcBorders>
            <w:vAlign w:val="center"/>
          </w:tcPr>
          <w:p w14:paraId="2BE69A03" w14:textId="306793AF" w:rsidR="006F089D" w:rsidRPr="009E1F1D" w:rsidRDefault="006F089D" w:rsidP="006F089D">
            <w:pPr>
              <w:rPr>
                <w:rFonts w:ascii="Calibri" w:hAnsi="Calibri" w:cs="Calibri"/>
                <w:color w:val="000000"/>
                <w:sz w:val="22"/>
                <w:szCs w:val="22"/>
              </w:rPr>
            </w:pPr>
            <w:r w:rsidRPr="00D0217E">
              <w:rPr>
                <w:color w:val="000000"/>
              </w:rPr>
              <w:t>Individual recognition</w:t>
            </w:r>
          </w:p>
        </w:tc>
        <w:tc>
          <w:tcPr>
            <w:tcW w:w="1980" w:type="dxa"/>
            <w:tcBorders>
              <w:top w:val="nil"/>
              <w:left w:val="nil"/>
              <w:bottom w:val="single" w:sz="4" w:space="0" w:color="auto"/>
              <w:right w:val="single" w:sz="4" w:space="0" w:color="auto"/>
            </w:tcBorders>
            <w:vAlign w:val="center"/>
          </w:tcPr>
          <w:p w14:paraId="48AF35A3" w14:textId="10997BC4" w:rsidR="006F089D" w:rsidRPr="009E1F1D" w:rsidRDefault="006F089D" w:rsidP="006F089D">
            <w:pPr>
              <w:rPr>
                <w:rFonts w:ascii="Calibri" w:hAnsi="Calibri" w:cs="Calibri"/>
                <w:color w:val="000000"/>
                <w:sz w:val="22"/>
                <w:szCs w:val="22"/>
              </w:rPr>
            </w:pPr>
            <w:r w:rsidRPr="00D0217E">
              <w:rPr>
                <w:color w:val="000000"/>
              </w:rPr>
              <w:t>Pay dissatisfaction</w:t>
            </w:r>
          </w:p>
        </w:tc>
        <w:tc>
          <w:tcPr>
            <w:tcW w:w="1260" w:type="dxa"/>
            <w:tcBorders>
              <w:top w:val="nil"/>
              <w:left w:val="nil"/>
              <w:bottom w:val="single" w:sz="4" w:space="0" w:color="auto"/>
              <w:right w:val="single" w:sz="4" w:space="0" w:color="auto"/>
            </w:tcBorders>
            <w:vAlign w:val="center"/>
          </w:tcPr>
          <w:p w14:paraId="04A9922C" w14:textId="6B2DC3D9" w:rsidR="006F089D" w:rsidRPr="009E1F1D" w:rsidRDefault="006F089D" w:rsidP="006F089D">
            <w:pPr>
              <w:rPr>
                <w:rFonts w:ascii="Calibri" w:hAnsi="Calibri" w:cs="Calibri"/>
                <w:color w:val="000000"/>
                <w:sz w:val="22"/>
                <w:szCs w:val="22"/>
              </w:rPr>
            </w:pPr>
            <w:r w:rsidRPr="00D0217E">
              <w:rPr>
                <w:color w:val="000000"/>
              </w:rPr>
              <w:t>Pay reactions</w:t>
            </w:r>
          </w:p>
        </w:tc>
        <w:tc>
          <w:tcPr>
            <w:tcW w:w="1530" w:type="dxa"/>
            <w:tcBorders>
              <w:top w:val="nil"/>
              <w:left w:val="nil"/>
              <w:bottom w:val="single" w:sz="4" w:space="0" w:color="auto"/>
              <w:right w:val="single" w:sz="4" w:space="0" w:color="auto"/>
            </w:tcBorders>
            <w:hideMark/>
          </w:tcPr>
          <w:p w14:paraId="7859614C" w14:textId="77777777" w:rsidR="006F089D" w:rsidRPr="009E1F1D" w:rsidRDefault="006F089D" w:rsidP="006F089D">
            <w:pPr>
              <w:rPr>
                <w:rFonts w:ascii="Calibri" w:hAnsi="Calibri" w:cs="Calibri"/>
                <w:color w:val="000000"/>
                <w:sz w:val="22"/>
                <w:szCs w:val="22"/>
              </w:rPr>
            </w:pPr>
            <w:r w:rsidRPr="009E1F1D">
              <w:rPr>
                <w:rFonts w:ascii="Calibri" w:hAnsi="Calibri" w:cs="Calibri"/>
                <w:color w:val="000000"/>
                <w:sz w:val="22"/>
                <w:szCs w:val="22"/>
              </w:rPr>
              <w:t>Compensation communicates organizational value and affects employee attitudes</w:t>
            </w:r>
          </w:p>
        </w:tc>
        <w:tc>
          <w:tcPr>
            <w:tcW w:w="1440" w:type="dxa"/>
            <w:tcBorders>
              <w:top w:val="nil"/>
              <w:left w:val="nil"/>
              <w:bottom w:val="single" w:sz="4" w:space="0" w:color="auto"/>
              <w:right w:val="single" w:sz="4" w:space="0" w:color="auto"/>
            </w:tcBorders>
          </w:tcPr>
          <w:p w14:paraId="68901F3F" w14:textId="2CAA66AD" w:rsidR="006F089D" w:rsidRPr="009E1F1D" w:rsidRDefault="006F089D" w:rsidP="006F089D">
            <w:pPr>
              <w:rPr>
                <w:rFonts w:ascii="Calibri" w:hAnsi="Calibri" w:cs="Calibri"/>
                <w:color w:val="000000"/>
                <w:sz w:val="22"/>
                <w:szCs w:val="22"/>
              </w:rPr>
            </w:pPr>
            <w:r w:rsidRPr="004B62CF">
              <w:rPr>
                <w:rFonts w:ascii="Calibri" w:hAnsi="Calibri" w:cs="Calibri"/>
                <w:color w:val="000000"/>
                <w:sz w:val="22"/>
                <w:szCs w:val="22"/>
              </w:rPr>
              <w:t>Pay dispersion, performance</w:t>
            </w:r>
          </w:p>
        </w:tc>
        <w:tc>
          <w:tcPr>
            <w:tcW w:w="236" w:type="dxa"/>
            <w:tcBorders>
              <w:top w:val="nil"/>
              <w:left w:val="nil"/>
              <w:bottom w:val="single" w:sz="4" w:space="0" w:color="auto"/>
              <w:right w:val="single" w:sz="4" w:space="0" w:color="auto"/>
            </w:tcBorders>
          </w:tcPr>
          <w:p w14:paraId="7C0B96F0" w14:textId="1ADB1C15" w:rsidR="006F089D" w:rsidRPr="009E1F1D" w:rsidRDefault="006F089D" w:rsidP="006F089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3AA7A55" w14:textId="04DCB013" w:rsidR="006F089D" w:rsidRPr="009E1F1D" w:rsidRDefault="006F089D" w:rsidP="006F089D">
            <w:pPr>
              <w:rPr>
                <w:rFonts w:ascii="Calibri" w:hAnsi="Calibri" w:cs="Calibri"/>
                <w:color w:val="000000"/>
                <w:sz w:val="22"/>
                <w:szCs w:val="22"/>
              </w:rPr>
            </w:pPr>
          </w:p>
        </w:tc>
      </w:tr>
      <w:tr w:rsidR="002A58DC" w:rsidRPr="009E1F1D" w14:paraId="38868B39"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71BB90B" w14:textId="77777777" w:rsidR="00D513B0" w:rsidRPr="009E1F1D" w:rsidRDefault="00D513B0" w:rsidP="00D513B0">
            <w:pPr>
              <w:jc w:val="right"/>
              <w:rPr>
                <w:rFonts w:ascii="Calibri" w:hAnsi="Calibri" w:cs="Calibri"/>
                <w:color w:val="000000"/>
                <w:sz w:val="22"/>
                <w:szCs w:val="22"/>
              </w:rPr>
            </w:pPr>
            <w:r w:rsidRPr="009E1F1D">
              <w:rPr>
                <w:rFonts w:ascii="Calibri" w:hAnsi="Calibri" w:cs="Calibri"/>
                <w:color w:val="000000"/>
                <w:sz w:val="22"/>
                <w:szCs w:val="22"/>
              </w:rPr>
              <w:t>75</w:t>
            </w:r>
          </w:p>
        </w:tc>
        <w:tc>
          <w:tcPr>
            <w:tcW w:w="1260" w:type="dxa"/>
            <w:tcBorders>
              <w:top w:val="nil"/>
              <w:left w:val="nil"/>
              <w:bottom w:val="single" w:sz="4" w:space="0" w:color="auto"/>
              <w:right w:val="single" w:sz="4" w:space="0" w:color="auto"/>
            </w:tcBorders>
            <w:hideMark/>
          </w:tcPr>
          <w:p w14:paraId="2D96BDD4" w14:textId="77777777" w:rsidR="00D513B0" w:rsidRPr="009E1F1D" w:rsidRDefault="00D513B0" w:rsidP="00D513B0">
            <w:pPr>
              <w:rPr>
                <w:rFonts w:ascii="Calibri" w:hAnsi="Calibri" w:cs="Calibri"/>
                <w:color w:val="000000"/>
                <w:sz w:val="22"/>
                <w:szCs w:val="22"/>
              </w:rPr>
            </w:pPr>
            <w:r w:rsidRPr="009E1F1D">
              <w:rPr>
                <w:rFonts w:ascii="Calibri" w:hAnsi="Calibri" w:cs="Calibri"/>
                <w:color w:val="000000"/>
                <w:sz w:val="22"/>
                <w:szCs w:val="22"/>
              </w:rPr>
              <w:t>Pay Dispersion and Organizational Performance</w:t>
            </w:r>
          </w:p>
        </w:tc>
        <w:tc>
          <w:tcPr>
            <w:tcW w:w="1530" w:type="dxa"/>
            <w:tcBorders>
              <w:top w:val="nil"/>
              <w:left w:val="nil"/>
              <w:bottom w:val="single" w:sz="4" w:space="0" w:color="auto"/>
              <w:right w:val="single" w:sz="4" w:space="0" w:color="auto"/>
            </w:tcBorders>
            <w:hideMark/>
          </w:tcPr>
          <w:p w14:paraId="0AFD37E6" w14:textId="77777777" w:rsidR="00D513B0" w:rsidRPr="009E1F1D" w:rsidRDefault="00D513B0" w:rsidP="00D513B0">
            <w:pPr>
              <w:rPr>
                <w:rFonts w:ascii="Calibri" w:hAnsi="Calibri" w:cs="Calibri"/>
                <w:color w:val="000000"/>
                <w:sz w:val="22"/>
                <w:szCs w:val="22"/>
              </w:rPr>
            </w:pPr>
            <w:r w:rsidRPr="009E1F1D">
              <w:rPr>
                <w:rFonts w:ascii="Calibri" w:hAnsi="Calibri" w:cs="Calibri"/>
                <w:color w:val="000000"/>
                <w:sz w:val="22"/>
                <w:szCs w:val="22"/>
              </w:rPr>
              <w:t>Bloom, M.</w:t>
            </w:r>
          </w:p>
        </w:tc>
        <w:tc>
          <w:tcPr>
            <w:tcW w:w="720" w:type="dxa"/>
            <w:tcBorders>
              <w:top w:val="nil"/>
              <w:left w:val="nil"/>
              <w:bottom w:val="single" w:sz="4" w:space="0" w:color="auto"/>
              <w:right w:val="single" w:sz="4" w:space="0" w:color="auto"/>
            </w:tcBorders>
            <w:hideMark/>
          </w:tcPr>
          <w:p w14:paraId="2F5629C7" w14:textId="77777777" w:rsidR="00D513B0" w:rsidRPr="009E1F1D" w:rsidRDefault="00D513B0" w:rsidP="00D513B0">
            <w:pPr>
              <w:rPr>
                <w:rFonts w:ascii="Calibri" w:hAnsi="Calibri" w:cs="Calibri"/>
                <w:color w:val="000000"/>
                <w:sz w:val="22"/>
                <w:szCs w:val="22"/>
              </w:rPr>
            </w:pPr>
            <w:r w:rsidRPr="009E1F1D">
              <w:rPr>
                <w:rFonts w:ascii="Calibri" w:hAnsi="Calibri" w:cs="Calibri"/>
                <w:color w:val="000000"/>
                <w:sz w:val="22"/>
                <w:szCs w:val="22"/>
              </w:rPr>
              <w:t>1999</w:t>
            </w:r>
          </w:p>
        </w:tc>
        <w:tc>
          <w:tcPr>
            <w:tcW w:w="1710" w:type="dxa"/>
            <w:tcBorders>
              <w:top w:val="nil"/>
              <w:left w:val="nil"/>
              <w:bottom w:val="single" w:sz="4" w:space="0" w:color="auto"/>
              <w:right w:val="single" w:sz="4" w:space="0" w:color="auto"/>
            </w:tcBorders>
          </w:tcPr>
          <w:p w14:paraId="178D8C1D" w14:textId="667B00A6" w:rsidR="00D513B0" w:rsidRPr="009E1F1D" w:rsidRDefault="00D513B0" w:rsidP="00D513B0">
            <w:pPr>
              <w:rPr>
                <w:rFonts w:ascii="Calibri" w:hAnsi="Calibri" w:cs="Calibri"/>
                <w:color w:val="000000"/>
                <w:sz w:val="22"/>
                <w:szCs w:val="22"/>
              </w:rPr>
            </w:pPr>
            <w:r w:rsidRPr="00F0534D">
              <w:rPr>
                <w:rFonts w:ascii="Calibri" w:hAnsi="Calibri" w:cs="Calibri"/>
                <w:color w:val="000000"/>
                <w:sz w:val="22"/>
                <w:szCs w:val="22"/>
              </w:rPr>
              <w:t>Equity Theory</w:t>
            </w:r>
          </w:p>
        </w:tc>
        <w:tc>
          <w:tcPr>
            <w:tcW w:w="1710" w:type="dxa"/>
            <w:tcBorders>
              <w:top w:val="nil"/>
              <w:left w:val="nil"/>
              <w:bottom w:val="single" w:sz="4" w:space="0" w:color="auto"/>
              <w:right w:val="single" w:sz="4" w:space="0" w:color="auto"/>
            </w:tcBorders>
            <w:vAlign w:val="center"/>
          </w:tcPr>
          <w:p w14:paraId="2C44FFB1" w14:textId="670A3F7C" w:rsidR="00D513B0" w:rsidRPr="009E1F1D" w:rsidRDefault="00D513B0" w:rsidP="00D513B0">
            <w:pPr>
              <w:rPr>
                <w:rFonts w:ascii="Calibri" w:hAnsi="Calibri" w:cs="Calibri"/>
                <w:color w:val="000000"/>
                <w:sz w:val="22"/>
                <w:szCs w:val="22"/>
              </w:rPr>
            </w:pPr>
            <w:r w:rsidRPr="00D0217E">
              <w:rPr>
                <w:color w:val="000000"/>
              </w:rPr>
              <w:t>Performance differentiation</w:t>
            </w:r>
          </w:p>
        </w:tc>
        <w:tc>
          <w:tcPr>
            <w:tcW w:w="1980" w:type="dxa"/>
            <w:tcBorders>
              <w:top w:val="nil"/>
              <w:left w:val="nil"/>
              <w:bottom w:val="single" w:sz="4" w:space="0" w:color="auto"/>
              <w:right w:val="single" w:sz="4" w:space="0" w:color="auto"/>
            </w:tcBorders>
            <w:vAlign w:val="center"/>
          </w:tcPr>
          <w:p w14:paraId="6E11E3E4" w14:textId="0F32690B" w:rsidR="00D513B0" w:rsidRPr="009E1F1D" w:rsidRDefault="00D513B0" w:rsidP="00D513B0">
            <w:pPr>
              <w:rPr>
                <w:rFonts w:ascii="Calibri" w:hAnsi="Calibri" w:cs="Calibri"/>
                <w:color w:val="000000"/>
                <w:sz w:val="22"/>
                <w:szCs w:val="22"/>
              </w:rPr>
            </w:pPr>
            <w:r w:rsidRPr="00D0217E">
              <w:rPr>
                <w:color w:val="000000"/>
              </w:rPr>
              <w:t>Pay inequality</w:t>
            </w:r>
          </w:p>
        </w:tc>
        <w:tc>
          <w:tcPr>
            <w:tcW w:w="1260" w:type="dxa"/>
            <w:tcBorders>
              <w:top w:val="nil"/>
              <w:left w:val="nil"/>
              <w:bottom w:val="single" w:sz="4" w:space="0" w:color="auto"/>
              <w:right w:val="single" w:sz="4" w:space="0" w:color="auto"/>
            </w:tcBorders>
            <w:vAlign w:val="center"/>
          </w:tcPr>
          <w:p w14:paraId="3F60A3AE" w14:textId="1BF47B2D" w:rsidR="00D513B0" w:rsidRPr="009E1F1D" w:rsidRDefault="00D513B0" w:rsidP="00D513B0">
            <w:pPr>
              <w:rPr>
                <w:rFonts w:ascii="Calibri" w:hAnsi="Calibri" w:cs="Calibri"/>
                <w:color w:val="000000"/>
                <w:sz w:val="22"/>
                <w:szCs w:val="22"/>
              </w:rPr>
            </w:pPr>
            <w:r w:rsidRPr="00D0217E">
              <w:rPr>
                <w:color w:val="000000"/>
              </w:rPr>
              <w:t>Individual performance</w:t>
            </w:r>
          </w:p>
        </w:tc>
        <w:tc>
          <w:tcPr>
            <w:tcW w:w="1530" w:type="dxa"/>
            <w:tcBorders>
              <w:top w:val="nil"/>
              <w:left w:val="nil"/>
              <w:bottom w:val="single" w:sz="4" w:space="0" w:color="auto"/>
              <w:right w:val="single" w:sz="4" w:space="0" w:color="auto"/>
            </w:tcBorders>
            <w:hideMark/>
          </w:tcPr>
          <w:p w14:paraId="79741BCE" w14:textId="77777777" w:rsidR="00D513B0" w:rsidRPr="009E1F1D" w:rsidRDefault="00D513B0" w:rsidP="00D513B0">
            <w:pPr>
              <w:rPr>
                <w:rFonts w:ascii="Calibri" w:hAnsi="Calibri" w:cs="Calibri"/>
                <w:color w:val="000000"/>
                <w:sz w:val="22"/>
                <w:szCs w:val="22"/>
              </w:rPr>
            </w:pPr>
            <w:r w:rsidRPr="009E1F1D">
              <w:rPr>
                <w:rFonts w:ascii="Calibri" w:hAnsi="Calibri" w:cs="Calibri"/>
                <w:color w:val="000000"/>
                <w:sz w:val="22"/>
                <w:szCs w:val="22"/>
              </w:rPr>
              <w:t>Pay dispersion can have positive or negative consequences depending on context</w:t>
            </w:r>
          </w:p>
        </w:tc>
        <w:tc>
          <w:tcPr>
            <w:tcW w:w="1440" w:type="dxa"/>
            <w:tcBorders>
              <w:top w:val="nil"/>
              <w:left w:val="nil"/>
              <w:bottom w:val="single" w:sz="4" w:space="0" w:color="auto"/>
              <w:right w:val="single" w:sz="4" w:space="0" w:color="auto"/>
            </w:tcBorders>
          </w:tcPr>
          <w:p w14:paraId="3513F41C" w14:textId="3BAE5A21" w:rsidR="00D513B0" w:rsidRPr="009E1F1D" w:rsidRDefault="00D513B0" w:rsidP="00D513B0">
            <w:pPr>
              <w:rPr>
                <w:rFonts w:ascii="Calibri" w:hAnsi="Calibri" w:cs="Calibri"/>
                <w:color w:val="000000"/>
                <w:sz w:val="22"/>
                <w:szCs w:val="22"/>
              </w:rPr>
            </w:pPr>
            <w:r w:rsidRPr="004B62CF">
              <w:rPr>
                <w:rFonts w:ascii="Calibri" w:hAnsi="Calibri" w:cs="Calibri"/>
                <w:color w:val="000000"/>
                <w:sz w:val="22"/>
                <w:szCs w:val="22"/>
              </w:rPr>
              <w:t>Pay dispersion, fairness</w:t>
            </w:r>
          </w:p>
        </w:tc>
        <w:tc>
          <w:tcPr>
            <w:tcW w:w="236" w:type="dxa"/>
            <w:tcBorders>
              <w:top w:val="nil"/>
              <w:left w:val="nil"/>
              <w:bottom w:val="single" w:sz="4" w:space="0" w:color="auto"/>
              <w:right w:val="single" w:sz="4" w:space="0" w:color="auto"/>
            </w:tcBorders>
          </w:tcPr>
          <w:p w14:paraId="5988A1A0" w14:textId="62D1028E" w:rsidR="00D513B0" w:rsidRPr="009E1F1D" w:rsidRDefault="00D513B0" w:rsidP="00D513B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9AD4D97" w14:textId="215B82F9" w:rsidR="00D513B0" w:rsidRPr="009E1F1D" w:rsidRDefault="00D513B0" w:rsidP="00D513B0">
            <w:pPr>
              <w:rPr>
                <w:rFonts w:ascii="Calibri" w:hAnsi="Calibri" w:cs="Calibri"/>
                <w:color w:val="000000"/>
                <w:sz w:val="22"/>
                <w:szCs w:val="22"/>
              </w:rPr>
            </w:pPr>
          </w:p>
        </w:tc>
      </w:tr>
      <w:tr w:rsidR="002A58DC" w:rsidRPr="009E1F1D" w14:paraId="1235903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C97DCBB" w14:textId="77777777" w:rsidR="00A709D4" w:rsidRPr="009E1F1D" w:rsidRDefault="00A709D4" w:rsidP="00A709D4">
            <w:pPr>
              <w:jc w:val="right"/>
              <w:rPr>
                <w:rFonts w:ascii="Calibri" w:hAnsi="Calibri" w:cs="Calibri"/>
                <w:color w:val="000000"/>
                <w:sz w:val="22"/>
                <w:szCs w:val="22"/>
              </w:rPr>
            </w:pPr>
            <w:r w:rsidRPr="009E1F1D">
              <w:rPr>
                <w:rFonts w:ascii="Calibri" w:hAnsi="Calibri" w:cs="Calibri"/>
                <w:color w:val="000000"/>
                <w:sz w:val="22"/>
                <w:szCs w:val="22"/>
              </w:rPr>
              <w:t>76</w:t>
            </w:r>
          </w:p>
        </w:tc>
        <w:tc>
          <w:tcPr>
            <w:tcW w:w="1260" w:type="dxa"/>
            <w:tcBorders>
              <w:top w:val="nil"/>
              <w:left w:val="nil"/>
              <w:bottom w:val="single" w:sz="4" w:space="0" w:color="auto"/>
              <w:right w:val="single" w:sz="4" w:space="0" w:color="auto"/>
            </w:tcBorders>
            <w:hideMark/>
          </w:tcPr>
          <w:p w14:paraId="08FBAF4E" w14:textId="77777777" w:rsidR="00A709D4" w:rsidRPr="009E1F1D" w:rsidRDefault="00A709D4" w:rsidP="00A709D4">
            <w:pPr>
              <w:rPr>
                <w:rFonts w:ascii="Calibri" w:hAnsi="Calibri" w:cs="Calibri"/>
                <w:color w:val="000000"/>
                <w:sz w:val="22"/>
                <w:szCs w:val="22"/>
              </w:rPr>
            </w:pPr>
            <w:r w:rsidRPr="009E1F1D">
              <w:rPr>
                <w:rFonts w:ascii="Calibri" w:hAnsi="Calibri" w:cs="Calibri"/>
                <w:color w:val="000000"/>
                <w:sz w:val="22"/>
                <w:szCs w:val="22"/>
              </w:rPr>
              <w:t>Pay Dispersion and Employee Outcomes</w:t>
            </w:r>
          </w:p>
        </w:tc>
        <w:tc>
          <w:tcPr>
            <w:tcW w:w="1530" w:type="dxa"/>
            <w:tcBorders>
              <w:top w:val="nil"/>
              <w:left w:val="nil"/>
              <w:bottom w:val="single" w:sz="4" w:space="0" w:color="auto"/>
              <w:right w:val="single" w:sz="4" w:space="0" w:color="auto"/>
            </w:tcBorders>
            <w:hideMark/>
          </w:tcPr>
          <w:p w14:paraId="3A80EDBF" w14:textId="77777777" w:rsidR="00A709D4" w:rsidRPr="009E1F1D" w:rsidRDefault="00A709D4" w:rsidP="00A709D4">
            <w:pPr>
              <w:rPr>
                <w:rFonts w:ascii="Calibri" w:hAnsi="Calibri" w:cs="Calibri"/>
                <w:color w:val="000000"/>
                <w:sz w:val="22"/>
                <w:szCs w:val="22"/>
              </w:rPr>
            </w:pPr>
            <w:r w:rsidRPr="009E1F1D">
              <w:rPr>
                <w:rFonts w:ascii="Calibri" w:hAnsi="Calibri" w:cs="Calibri"/>
                <w:color w:val="000000"/>
                <w:sz w:val="22"/>
                <w:szCs w:val="22"/>
              </w:rPr>
              <w:t>Gupta, N., Conroy, S.A. &amp; Delery, J.E.</w:t>
            </w:r>
          </w:p>
        </w:tc>
        <w:tc>
          <w:tcPr>
            <w:tcW w:w="720" w:type="dxa"/>
            <w:tcBorders>
              <w:top w:val="nil"/>
              <w:left w:val="nil"/>
              <w:bottom w:val="single" w:sz="4" w:space="0" w:color="auto"/>
              <w:right w:val="single" w:sz="4" w:space="0" w:color="auto"/>
            </w:tcBorders>
            <w:hideMark/>
          </w:tcPr>
          <w:p w14:paraId="7F2D8AE1" w14:textId="77777777" w:rsidR="00A709D4" w:rsidRPr="009E1F1D" w:rsidRDefault="00A709D4" w:rsidP="00A709D4">
            <w:pPr>
              <w:rPr>
                <w:rFonts w:ascii="Calibri" w:hAnsi="Calibri" w:cs="Calibri"/>
                <w:color w:val="000000"/>
                <w:sz w:val="22"/>
                <w:szCs w:val="22"/>
              </w:rPr>
            </w:pPr>
            <w:r w:rsidRPr="009E1F1D">
              <w:rPr>
                <w:rFonts w:ascii="Calibri" w:hAnsi="Calibri" w:cs="Calibri"/>
                <w:color w:val="000000"/>
                <w:sz w:val="22"/>
                <w:szCs w:val="22"/>
              </w:rPr>
              <w:t>2012</w:t>
            </w:r>
          </w:p>
        </w:tc>
        <w:tc>
          <w:tcPr>
            <w:tcW w:w="1710" w:type="dxa"/>
            <w:tcBorders>
              <w:top w:val="nil"/>
              <w:left w:val="nil"/>
              <w:bottom w:val="single" w:sz="4" w:space="0" w:color="auto"/>
              <w:right w:val="single" w:sz="4" w:space="0" w:color="auto"/>
            </w:tcBorders>
          </w:tcPr>
          <w:p w14:paraId="1135D96B" w14:textId="7D2CBE52" w:rsidR="00A709D4" w:rsidRPr="009E1F1D" w:rsidRDefault="00A709D4" w:rsidP="00A709D4">
            <w:pPr>
              <w:rPr>
                <w:rFonts w:ascii="Calibri" w:hAnsi="Calibri" w:cs="Calibri"/>
                <w:color w:val="000000"/>
                <w:sz w:val="22"/>
                <w:szCs w:val="22"/>
              </w:rPr>
            </w:pPr>
            <w:r w:rsidRPr="00F0534D">
              <w:rPr>
                <w:rFonts w:ascii="Calibri" w:hAnsi="Calibri" w:cs="Calibri"/>
                <w:color w:val="000000"/>
                <w:sz w:val="22"/>
                <w:szCs w:val="22"/>
              </w:rPr>
              <w:t>Equity Theory</w:t>
            </w:r>
          </w:p>
        </w:tc>
        <w:tc>
          <w:tcPr>
            <w:tcW w:w="1710" w:type="dxa"/>
            <w:tcBorders>
              <w:top w:val="nil"/>
              <w:left w:val="nil"/>
              <w:bottom w:val="single" w:sz="4" w:space="0" w:color="auto"/>
              <w:right w:val="single" w:sz="4" w:space="0" w:color="auto"/>
            </w:tcBorders>
            <w:vAlign w:val="center"/>
          </w:tcPr>
          <w:p w14:paraId="59E2A520" w14:textId="5F58E5DA" w:rsidR="00A709D4" w:rsidRPr="009E1F1D" w:rsidRDefault="00A709D4" w:rsidP="00A709D4">
            <w:pPr>
              <w:rPr>
                <w:rFonts w:ascii="Calibri" w:hAnsi="Calibri" w:cs="Calibri"/>
                <w:color w:val="000000"/>
                <w:sz w:val="22"/>
                <w:szCs w:val="22"/>
              </w:rPr>
            </w:pPr>
            <w:r w:rsidRPr="00D0217E">
              <w:rPr>
                <w:color w:val="000000"/>
              </w:rPr>
              <w:t>Pay differentiation</w:t>
            </w:r>
          </w:p>
        </w:tc>
        <w:tc>
          <w:tcPr>
            <w:tcW w:w="1980" w:type="dxa"/>
            <w:tcBorders>
              <w:top w:val="nil"/>
              <w:left w:val="nil"/>
              <w:bottom w:val="single" w:sz="4" w:space="0" w:color="auto"/>
              <w:right w:val="single" w:sz="4" w:space="0" w:color="auto"/>
            </w:tcBorders>
            <w:vAlign w:val="center"/>
          </w:tcPr>
          <w:p w14:paraId="66E5B2DC" w14:textId="7076B788" w:rsidR="00A709D4" w:rsidRPr="009E1F1D" w:rsidRDefault="00A709D4" w:rsidP="00A709D4">
            <w:pPr>
              <w:rPr>
                <w:rFonts w:ascii="Calibri" w:hAnsi="Calibri" w:cs="Calibri"/>
                <w:color w:val="000000"/>
                <w:sz w:val="22"/>
                <w:szCs w:val="22"/>
              </w:rPr>
            </w:pPr>
            <w:r w:rsidRPr="00D0217E">
              <w:rPr>
                <w:color w:val="000000"/>
              </w:rPr>
              <w:t>Pay inequality</w:t>
            </w:r>
          </w:p>
        </w:tc>
        <w:tc>
          <w:tcPr>
            <w:tcW w:w="1260" w:type="dxa"/>
            <w:tcBorders>
              <w:top w:val="nil"/>
              <w:left w:val="nil"/>
              <w:bottom w:val="single" w:sz="4" w:space="0" w:color="auto"/>
              <w:right w:val="single" w:sz="4" w:space="0" w:color="auto"/>
            </w:tcBorders>
            <w:vAlign w:val="center"/>
          </w:tcPr>
          <w:p w14:paraId="150B93E4" w14:textId="156BC65C" w:rsidR="00A709D4" w:rsidRPr="009E1F1D" w:rsidRDefault="00A709D4" w:rsidP="00A709D4">
            <w:pPr>
              <w:rPr>
                <w:rFonts w:ascii="Calibri" w:hAnsi="Calibri" w:cs="Calibri"/>
                <w:color w:val="000000"/>
                <w:sz w:val="22"/>
                <w:szCs w:val="22"/>
              </w:rPr>
            </w:pPr>
            <w:r w:rsidRPr="00D0217E">
              <w:rPr>
                <w:color w:val="000000"/>
              </w:rPr>
              <w:t>Workforce outcomes</w:t>
            </w:r>
          </w:p>
        </w:tc>
        <w:tc>
          <w:tcPr>
            <w:tcW w:w="1530" w:type="dxa"/>
            <w:tcBorders>
              <w:top w:val="nil"/>
              <w:left w:val="nil"/>
              <w:bottom w:val="single" w:sz="4" w:space="0" w:color="auto"/>
              <w:right w:val="single" w:sz="4" w:space="0" w:color="auto"/>
            </w:tcBorders>
            <w:hideMark/>
          </w:tcPr>
          <w:p w14:paraId="78354FDE" w14:textId="77777777" w:rsidR="00A709D4" w:rsidRPr="009E1F1D" w:rsidRDefault="00A709D4" w:rsidP="00A709D4">
            <w:pPr>
              <w:rPr>
                <w:rFonts w:ascii="Calibri" w:hAnsi="Calibri" w:cs="Calibri"/>
                <w:color w:val="000000"/>
                <w:sz w:val="22"/>
                <w:szCs w:val="22"/>
              </w:rPr>
            </w:pPr>
            <w:r w:rsidRPr="009E1F1D">
              <w:rPr>
                <w:rFonts w:ascii="Calibri" w:hAnsi="Calibri" w:cs="Calibri"/>
                <w:color w:val="000000"/>
                <w:sz w:val="22"/>
                <w:szCs w:val="22"/>
              </w:rPr>
              <w:t>Perceived fairness mediates reactions to pay differences</w:t>
            </w:r>
          </w:p>
        </w:tc>
        <w:tc>
          <w:tcPr>
            <w:tcW w:w="1440" w:type="dxa"/>
            <w:tcBorders>
              <w:top w:val="nil"/>
              <w:left w:val="nil"/>
              <w:bottom w:val="single" w:sz="4" w:space="0" w:color="auto"/>
              <w:right w:val="single" w:sz="4" w:space="0" w:color="auto"/>
            </w:tcBorders>
          </w:tcPr>
          <w:p w14:paraId="03CCDFC7" w14:textId="62BFA7C5" w:rsidR="00A709D4" w:rsidRPr="009E1F1D" w:rsidRDefault="00A709D4" w:rsidP="00A709D4">
            <w:pPr>
              <w:rPr>
                <w:rFonts w:ascii="Calibri" w:hAnsi="Calibri" w:cs="Calibri"/>
                <w:color w:val="000000"/>
                <w:sz w:val="22"/>
                <w:szCs w:val="22"/>
              </w:rPr>
            </w:pPr>
            <w:r w:rsidRPr="004B62CF">
              <w:rPr>
                <w:rFonts w:ascii="Calibri" w:hAnsi="Calibri" w:cs="Calibri"/>
                <w:color w:val="000000"/>
                <w:sz w:val="22"/>
                <w:szCs w:val="22"/>
              </w:rPr>
              <w:t>Pay inequality, fairness</w:t>
            </w:r>
          </w:p>
        </w:tc>
        <w:tc>
          <w:tcPr>
            <w:tcW w:w="236" w:type="dxa"/>
            <w:tcBorders>
              <w:top w:val="nil"/>
              <w:left w:val="nil"/>
              <w:bottom w:val="single" w:sz="4" w:space="0" w:color="auto"/>
              <w:right w:val="single" w:sz="4" w:space="0" w:color="auto"/>
            </w:tcBorders>
          </w:tcPr>
          <w:p w14:paraId="65B19295" w14:textId="075BF2E2" w:rsidR="00A709D4" w:rsidRPr="009E1F1D" w:rsidRDefault="00A709D4" w:rsidP="00A709D4">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8514E4B" w14:textId="4EBC5B87" w:rsidR="00A709D4" w:rsidRPr="009E1F1D" w:rsidRDefault="00A709D4" w:rsidP="00A709D4">
            <w:pPr>
              <w:rPr>
                <w:rFonts w:ascii="Calibri" w:hAnsi="Calibri" w:cs="Calibri"/>
                <w:color w:val="000000"/>
                <w:sz w:val="22"/>
                <w:szCs w:val="22"/>
              </w:rPr>
            </w:pPr>
          </w:p>
        </w:tc>
      </w:tr>
      <w:tr w:rsidR="002A58DC" w:rsidRPr="009E1F1D" w14:paraId="269D68C4"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BEADA03" w14:textId="77777777" w:rsidR="00BF4205" w:rsidRPr="009E1F1D" w:rsidRDefault="00BF4205" w:rsidP="00BF4205">
            <w:pPr>
              <w:jc w:val="right"/>
              <w:rPr>
                <w:rFonts w:ascii="Calibri" w:hAnsi="Calibri" w:cs="Calibri"/>
                <w:color w:val="000000"/>
                <w:sz w:val="22"/>
                <w:szCs w:val="22"/>
              </w:rPr>
            </w:pPr>
            <w:r w:rsidRPr="009E1F1D">
              <w:rPr>
                <w:rFonts w:ascii="Calibri" w:hAnsi="Calibri" w:cs="Calibri"/>
                <w:color w:val="000000"/>
                <w:sz w:val="22"/>
                <w:szCs w:val="22"/>
              </w:rPr>
              <w:t>77</w:t>
            </w:r>
          </w:p>
        </w:tc>
        <w:tc>
          <w:tcPr>
            <w:tcW w:w="1260" w:type="dxa"/>
            <w:tcBorders>
              <w:top w:val="nil"/>
              <w:left w:val="nil"/>
              <w:bottom w:val="single" w:sz="4" w:space="0" w:color="auto"/>
              <w:right w:val="single" w:sz="4" w:space="0" w:color="auto"/>
            </w:tcBorders>
            <w:hideMark/>
          </w:tcPr>
          <w:p w14:paraId="6BBA6FDE"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 xml:space="preserve">The Effects of Pay Inequality on Employee Attitudes </w:t>
            </w:r>
            <w:r w:rsidRPr="009E1F1D">
              <w:rPr>
                <w:rFonts w:ascii="Calibri" w:hAnsi="Calibri" w:cs="Calibri"/>
                <w:color w:val="000000"/>
                <w:sz w:val="22"/>
                <w:szCs w:val="22"/>
              </w:rPr>
              <w:lastRenderedPageBreak/>
              <w:t>and Behavior</w:t>
            </w:r>
          </w:p>
        </w:tc>
        <w:tc>
          <w:tcPr>
            <w:tcW w:w="1530" w:type="dxa"/>
            <w:tcBorders>
              <w:top w:val="nil"/>
              <w:left w:val="nil"/>
              <w:bottom w:val="single" w:sz="4" w:space="0" w:color="auto"/>
              <w:right w:val="single" w:sz="4" w:space="0" w:color="auto"/>
            </w:tcBorders>
            <w:hideMark/>
          </w:tcPr>
          <w:p w14:paraId="6A627C20"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lastRenderedPageBreak/>
              <w:t>Shaw, J.D., Gupta, N. &amp; Delery, J.E.</w:t>
            </w:r>
          </w:p>
        </w:tc>
        <w:tc>
          <w:tcPr>
            <w:tcW w:w="720" w:type="dxa"/>
            <w:tcBorders>
              <w:top w:val="nil"/>
              <w:left w:val="nil"/>
              <w:bottom w:val="single" w:sz="4" w:space="0" w:color="auto"/>
              <w:right w:val="single" w:sz="4" w:space="0" w:color="auto"/>
            </w:tcBorders>
            <w:hideMark/>
          </w:tcPr>
          <w:p w14:paraId="5F40C7CB"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2002</w:t>
            </w:r>
          </w:p>
        </w:tc>
        <w:tc>
          <w:tcPr>
            <w:tcW w:w="1710" w:type="dxa"/>
            <w:tcBorders>
              <w:top w:val="nil"/>
              <w:left w:val="nil"/>
              <w:bottom w:val="single" w:sz="4" w:space="0" w:color="auto"/>
              <w:right w:val="single" w:sz="4" w:space="0" w:color="auto"/>
            </w:tcBorders>
          </w:tcPr>
          <w:p w14:paraId="533D8D5D" w14:textId="1679DB2B" w:rsidR="00BF4205" w:rsidRPr="009E1F1D" w:rsidRDefault="00BF4205" w:rsidP="00BF4205">
            <w:pPr>
              <w:rPr>
                <w:rFonts w:ascii="Calibri" w:hAnsi="Calibri" w:cs="Calibri"/>
                <w:color w:val="000000"/>
                <w:sz w:val="22"/>
                <w:szCs w:val="22"/>
              </w:rPr>
            </w:pPr>
            <w:r w:rsidRPr="00F0534D">
              <w:rPr>
                <w:rFonts w:ascii="Calibri" w:hAnsi="Calibri" w:cs="Calibri"/>
                <w:color w:val="000000"/>
                <w:sz w:val="22"/>
                <w:szCs w:val="22"/>
              </w:rPr>
              <w:t>Equity Theory</w:t>
            </w:r>
          </w:p>
        </w:tc>
        <w:tc>
          <w:tcPr>
            <w:tcW w:w="1710" w:type="dxa"/>
            <w:tcBorders>
              <w:top w:val="nil"/>
              <w:left w:val="nil"/>
              <w:bottom w:val="single" w:sz="4" w:space="0" w:color="auto"/>
              <w:right w:val="single" w:sz="4" w:space="0" w:color="auto"/>
            </w:tcBorders>
            <w:vAlign w:val="center"/>
          </w:tcPr>
          <w:p w14:paraId="7B6501B9" w14:textId="46138ABB" w:rsidR="00BF4205" w:rsidRPr="009E1F1D" w:rsidRDefault="00BF4205" w:rsidP="00BF4205">
            <w:pPr>
              <w:rPr>
                <w:rFonts w:ascii="Calibri" w:hAnsi="Calibri" w:cs="Calibri"/>
                <w:color w:val="000000"/>
                <w:sz w:val="22"/>
                <w:szCs w:val="22"/>
              </w:rPr>
            </w:pPr>
            <w:r w:rsidRPr="00D0217E">
              <w:rPr>
                <w:color w:val="000000"/>
              </w:rPr>
              <w:t>Performance differentiation</w:t>
            </w:r>
          </w:p>
        </w:tc>
        <w:tc>
          <w:tcPr>
            <w:tcW w:w="1980" w:type="dxa"/>
            <w:tcBorders>
              <w:top w:val="nil"/>
              <w:left w:val="nil"/>
              <w:bottom w:val="single" w:sz="4" w:space="0" w:color="auto"/>
              <w:right w:val="single" w:sz="4" w:space="0" w:color="auto"/>
            </w:tcBorders>
            <w:vAlign w:val="center"/>
          </w:tcPr>
          <w:p w14:paraId="6D000759" w14:textId="76BDFBC6" w:rsidR="00BF4205" w:rsidRPr="009E1F1D" w:rsidRDefault="00BF4205" w:rsidP="00BF4205">
            <w:pPr>
              <w:rPr>
                <w:rFonts w:ascii="Calibri" w:hAnsi="Calibri" w:cs="Calibri"/>
                <w:color w:val="000000"/>
                <w:sz w:val="22"/>
                <w:szCs w:val="22"/>
              </w:rPr>
            </w:pPr>
            <w:r w:rsidRPr="00D0217E">
              <w:rPr>
                <w:color w:val="000000"/>
              </w:rPr>
              <w:t>Pay dispersion</w:t>
            </w:r>
          </w:p>
        </w:tc>
        <w:tc>
          <w:tcPr>
            <w:tcW w:w="1260" w:type="dxa"/>
            <w:tcBorders>
              <w:top w:val="nil"/>
              <w:left w:val="nil"/>
              <w:bottom w:val="single" w:sz="4" w:space="0" w:color="auto"/>
              <w:right w:val="single" w:sz="4" w:space="0" w:color="auto"/>
            </w:tcBorders>
            <w:vAlign w:val="center"/>
          </w:tcPr>
          <w:p w14:paraId="3526C5F6" w14:textId="7170E4F2" w:rsidR="00BF4205" w:rsidRPr="009E1F1D" w:rsidRDefault="00BF4205" w:rsidP="00BF4205">
            <w:pPr>
              <w:rPr>
                <w:rFonts w:ascii="Calibri" w:hAnsi="Calibri" w:cs="Calibri"/>
                <w:color w:val="000000"/>
                <w:sz w:val="22"/>
                <w:szCs w:val="22"/>
              </w:rPr>
            </w:pPr>
            <w:r w:rsidRPr="00D0217E">
              <w:rPr>
                <w:color w:val="000000"/>
              </w:rPr>
              <w:t>Workforce performance</w:t>
            </w:r>
          </w:p>
        </w:tc>
        <w:tc>
          <w:tcPr>
            <w:tcW w:w="1530" w:type="dxa"/>
            <w:tcBorders>
              <w:top w:val="nil"/>
              <w:left w:val="nil"/>
              <w:bottom w:val="single" w:sz="4" w:space="0" w:color="auto"/>
              <w:right w:val="single" w:sz="4" w:space="0" w:color="auto"/>
            </w:tcBorders>
            <w:hideMark/>
          </w:tcPr>
          <w:p w14:paraId="2B85461C"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 xml:space="preserve">Pay inequality can influence attitudes and behavior through </w:t>
            </w:r>
            <w:r w:rsidRPr="009E1F1D">
              <w:rPr>
                <w:rFonts w:ascii="Calibri" w:hAnsi="Calibri" w:cs="Calibri"/>
                <w:color w:val="000000"/>
                <w:sz w:val="22"/>
                <w:szCs w:val="22"/>
              </w:rPr>
              <w:lastRenderedPageBreak/>
              <w:t>fairness perceptions</w:t>
            </w:r>
          </w:p>
        </w:tc>
        <w:tc>
          <w:tcPr>
            <w:tcW w:w="1440" w:type="dxa"/>
            <w:tcBorders>
              <w:top w:val="nil"/>
              <w:left w:val="nil"/>
              <w:bottom w:val="single" w:sz="4" w:space="0" w:color="auto"/>
              <w:right w:val="single" w:sz="4" w:space="0" w:color="auto"/>
            </w:tcBorders>
          </w:tcPr>
          <w:p w14:paraId="40A0CA8C" w14:textId="387B3A3B" w:rsidR="00BF4205" w:rsidRPr="009E1F1D" w:rsidRDefault="00BF4205" w:rsidP="00BF4205">
            <w:pPr>
              <w:rPr>
                <w:rFonts w:ascii="Calibri" w:hAnsi="Calibri" w:cs="Calibri"/>
                <w:color w:val="000000"/>
                <w:sz w:val="22"/>
                <w:szCs w:val="22"/>
              </w:rPr>
            </w:pPr>
            <w:r w:rsidRPr="004B62CF">
              <w:rPr>
                <w:rFonts w:ascii="Calibri" w:hAnsi="Calibri" w:cs="Calibri"/>
                <w:color w:val="000000"/>
                <w:sz w:val="22"/>
                <w:szCs w:val="22"/>
              </w:rPr>
              <w:lastRenderedPageBreak/>
              <w:t>Pay, commitment</w:t>
            </w:r>
          </w:p>
        </w:tc>
        <w:tc>
          <w:tcPr>
            <w:tcW w:w="236" w:type="dxa"/>
            <w:tcBorders>
              <w:top w:val="nil"/>
              <w:left w:val="nil"/>
              <w:bottom w:val="single" w:sz="4" w:space="0" w:color="auto"/>
              <w:right w:val="single" w:sz="4" w:space="0" w:color="auto"/>
            </w:tcBorders>
          </w:tcPr>
          <w:p w14:paraId="738746F4" w14:textId="6D816DCA" w:rsidR="00BF4205" w:rsidRPr="009E1F1D" w:rsidRDefault="00BF4205" w:rsidP="00BF420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7BA06A3" w14:textId="2B10386A" w:rsidR="00BF4205" w:rsidRPr="009E1F1D" w:rsidRDefault="00BF4205" w:rsidP="00BF4205">
            <w:pPr>
              <w:rPr>
                <w:rFonts w:ascii="Calibri" w:hAnsi="Calibri" w:cs="Calibri"/>
                <w:color w:val="000000"/>
                <w:sz w:val="22"/>
                <w:szCs w:val="22"/>
              </w:rPr>
            </w:pPr>
          </w:p>
        </w:tc>
      </w:tr>
      <w:tr w:rsidR="002A58DC" w:rsidRPr="009E1F1D" w14:paraId="1CD9E8D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FC900F7" w14:textId="77777777" w:rsidR="00BF4205" w:rsidRPr="009E1F1D" w:rsidRDefault="00BF4205" w:rsidP="00BF4205">
            <w:pPr>
              <w:jc w:val="right"/>
              <w:rPr>
                <w:rFonts w:ascii="Calibri" w:hAnsi="Calibri" w:cs="Calibri"/>
                <w:color w:val="000000"/>
                <w:sz w:val="22"/>
                <w:szCs w:val="22"/>
              </w:rPr>
            </w:pPr>
            <w:r w:rsidRPr="009E1F1D">
              <w:rPr>
                <w:rFonts w:ascii="Calibri" w:hAnsi="Calibri" w:cs="Calibri"/>
                <w:color w:val="000000"/>
                <w:sz w:val="22"/>
                <w:szCs w:val="22"/>
              </w:rPr>
              <w:t>78</w:t>
            </w:r>
          </w:p>
        </w:tc>
        <w:tc>
          <w:tcPr>
            <w:tcW w:w="1260" w:type="dxa"/>
            <w:tcBorders>
              <w:top w:val="nil"/>
              <w:left w:val="nil"/>
              <w:bottom w:val="single" w:sz="4" w:space="0" w:color="auto"/>
              <w:right w:val="single" w:sz="4" w:space="0" w:color="auto"/>
            </w:tcBorders>
            <w:hideMark/>
          </w:tcPr>
          <w:p w14:paraId="5D36F4CC"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Pay and Organizational Commitment</w:t>
            </w:r>
          </w:p>
        </w:tc>
        <w:tc>
          <w:tcPr>
            <w:tcW w:w="1530" w:type="dxa"/>
            <w:tcBorders>
              <w:top w:val="nil"/>
              <w:left w:val="nil"/>
              <w:bottom w:val="single" w:sz="4" w:space="0" w:color="auto"/>
              <w:right w:val="single" w:sz="4" w:space="0" w:color="auto"/>
            </w:tcBorders>
            <w:hideMark/>
          </w:tcPr>
          <w:p w14:paraId="205A13B2"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Mowday, R.T., Steers, R.M. &amp; Porter, L.W.</w:t>
            </w:r>
          </w:p>
        </w:tc>
        <w:tc>
          <w:tcPr>
            <w:tcW w:w="720" w:type="dxa"/>
            <w:tcBorders>
              <w:top w:val="nil"/>
              <w:left w:val="nil"/>
              <w:bottom w:val="single" w:sz="4" w:space="0" w:color="auto"/>
              <w:right w:val="single" w:sz="4" w:space="0" w:color="auto"/>
            </w:tcBorders>
            <w:hideMark/>
          </w:tcPr>
          <w:p w14:paraId="3AB2687C"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1979</w:t>
            </w:r>
          </w:p>
        </w:tc>
        <w:tc>
          <w:tcPr>
            <w:tcW w:w="1710" w:type="dxa"/>
            <w:tcBorders>
              <w:top w:val="nil"/>
              <w:left w:val="nil"/>
              <w:bottom w:val="single" w:sz="4" w:space="0" w:color="auto"/>
              <w:right w:val="single" w:sz="4" w:space="0" w:color="auto"/>
            </w:tcBorders>
          </w:tcPr>
          <w:p w14:paraId="695F2833" w14:textId="4F9DEE09" w:rsidR="00BF4205" w:rsidRPr="009E1F1D" w:rsidRDefault="00BF4205" w:rsidP="00BF4205">
            <w:pPr>
              <w:rPr>
                <w:rFonts w:ascii="Calibri" w:hAnsi="Calibri" w:cs="Calibri"/>
                <w:color w:val="000000"/>
                <w:sz w:val="22"/>
                <w:szCs w:val="22"/>
              </w:rPr>
            </w:pPr>
            <w:r w:rsidRPr="00F0534D">
              <w:rPr>
                <w:rFonts w:ascii="Calibri" w:hAnsi="Calibri" w:cs="Calibri"/>
                <w:color w:val="000000"/>
                <w:sz w:val="22"/>
                <w:szCs w:val="22"/>
              </w:rPr>
              <w:t>Social Exchange Theory</w:t>
            </w:r>
          </w:p>
        </w:tc>
        <w:tc>
          <w:tcPr>
            <w:tcW w:w="1710" w:type="dxa"/>
            <w:tcBorders>
              <w:top w:val="nil"/>
              <w:left w:val="nil"/>
              <w:bottom w:val="single" w:sz="4" w:space="0" w:color="auto"/>
              <w:right w:val="single" w:sz="4" w:space="0" w:color="auto"/>
            </w:tcBorders>
            <w:vAlign w:val="center"/>
          </w:tcPr>
          <w:p w14:paraId="02960D7D" w14:textId="454A14DB" w:rsidR="00BF4205" w:rsidRPr="009E1F1D" w:rsidRDefault="00BF4205" w:rsidP="00BF4205">
            <w:pPr>
              <w:rPr>
                <w:rFonts w:ascii="Calibri" w:hAnsi="Calibri" w:cs="Calibri"/>
                <w:color w:val="000000"/>
                <w:sz w:val="22"/>
                <w:szCs w:val="22"/>
              </w:rPr>
            </w:pPr>
            <w:r w:rsidRPr="00D0217E">
              <w:rPr>
                <w:color w:val="000000"/>
              </w:rPr>
              <w:t>Commitment measurement</w:t>
            </w:r>
          </w:p>
        </w:tc>
        <w:tc>
          <w:tcPr>
            <w:tcW w:w="1980" w:type="dxa"/>
            <w:tcBorders>
              <w:top w:val="nil"/>
              <w:left w:val="nil"/>
              <w:bottom w:val="single" w:sz="4" w:space="0" w:color="auto"/>
              <w:right w:val="single" w:sz="4" w:space="0" w:color="auto"/>
            </w:tcBorders>
            <w:vAlign w:val="center"/>
          </w:tcPr>
          <w:p w14:paraId="51902989" w14:textId="460EFAC9" w:rsidR="00BF4205" w:rsidRPr="009E1F1D" w:rsidRDefault="00BF4205" w:rsidP="00BF4205">
            <w:pPr>
              <w:rPr>
                <w:rFonts w:ascii="Calibri" w:hAnsi="Calibri" w:cs="Calibri"/>
                <w:color w:val="000000"/>
                <w:sz w:val="22"/>
                <w:szCs w:val="22"/>
              </w:rPr>
            </w:pPr>
            <w:r w:rsidRPr="00D0217E">
              <w:rPr>
                <w:color w:val="000000"/>
              </w:rPr>
              <w:t>Measurement limitations</w:t>
            </w:r>
          </w:p>
        </w:tc>
        <w:tc>
          <w:tcPr>
            <w:tcW w:w="1260" w:type="dxa"/>
            <w:tcBorders>
              <w:top w:val="nil"/>
              <w:left w:val="nil"/>
              <w:bottom w:val="single" w:sz="4" w:space="0" w:color="auto"/>
              <w:right w:val="single" w:sz="4" w:space="0" w:color="auto"/>
            </w:tcBorders>
            <w:vAlign w:val="center"/>
          </w:tcPr>
          <w:p w14:paraId="22963E4C" w14:textId="47B7DA12" w:rsidR="00BF4205" w:rsidRPr="009E1F1D" w:rsidRDefault="00BF4205" w:rsidP="00BF4205">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commitment</w:t>
            </w:r>
          </w:p>
        </w:tc>
        <w:tc>
          <w:tcPr>
            <w:tcW w:w="1530" w:type="dxa"/>
            <w:tcBorders>
              <w:top w:val="nil"/>
              <w:left w:val="nil"/>
              <w:bottom w:val="single" w:sz="4" w:space="0" w:color="auto"/>
              <w:right w:val="single" w:sz="4" w:space="0" w:color="auto"/>
            </w:tcBorders>
            <w:hideMark/>
          </w:tcPr>
          <w:p w14:paraId="78E0A5B3" w14:textId="77777777" w:rsidR="00BF4205" w:rsidRPr="009E1F1D" w:rsidRDefault="00BF4205" w:rsidP="00BF4205">
            <w:pPr>
              <w:rPr>
                <w:rFonts w:ascii="Calibri" w:hAnsi="Calibri" w:cs="Calibri"/>
                <w:color w:val="000000"/>
                <w:sz w:val="22"/>
                <w:szCs w:val="22"/>
              </w:rPr>
            </w:pPr>
            <w:r w:rsidRPr="009E1F1D">
              <w:rPr>
                <w:rFonts w:ascii="Calibri" w:hAnsi="Calibri" w:cs="Calibri"/>
                <w:color w:val="000000"/>
                <w:sz w:val="22"/>
                <w:szCs w:val="22"/>
              </w:rPr>
              <w:t>Rewards can contribute to organizational commitment</w:t>
            </w:r>
          </w:p>
        </w:tc>
        <w:tc>
          <w:tcPr>
            <w:tcW w:w="1440" w:type="dxa"/>
            <w:tcBorders>
              <w:top w:val="nil"/>
              <w:left w:val="nil"/>
              <w:bottom w:val="single" w:sz="4" w:space="0" w:color="auto"/>
              <w:right w:val="single" w:sz="4" w:space="0" w:color="auto"/>
            </w:tcBorders>
          </w:tcPr>
          <w:p w14:paraId="3D34B2A6" w14:textId="0750612A" w:rsidR="00BF4205" w:rsidRPr="009E1F1D" w:rsidRDefault="00F35315" w:rsidP="00BF4205">
            <w:pPr>
              <w:rPr>
                <w:rFonts w:ascii="Calibri" w:hAnsi="Calibri" w:cs="Calibri"/>
                <w:color w:val="000000"/>
                <w:sz w:val="22"/>
                <w:szCs w:val="22"/>
              </w:rPr>
            </w:pPr>
            <w:r w:rsidRPr="004B62CF">
              <w:rPr>
                <w:rFonts w:ascii="Calibri" w:hAnsi="Calibri" w:cs="Calibri"/>
                <w:color w:val="000000"/>
                <w:sz w:val="22"/>
                <w:szCs w:val="22"/>
              </w:rPr>
              <w:t>Commitment, retention</w:t>
            </w:r>
          </w:p>
        </w:tc>
        <w:tc>
          <w:tcPr>
            <w:tcW w:w="236" w:type="dxa"/>
            <w:tcBorders>
              <w:top w:val="nil"/>
              <w:left w:val="nil"/>
              <w:bottom w:val="single" w:sz="4" w:space="0" w:color="auto"/>
              <w:right w:val="single" w:sz="4" w:space="0" w:color="auto"/>
            </w:tcBorders>
          </w:tcPr>
          <w:p w14:paraId="29B66438" w14:textId="195DC63C" w:rsidR="00BF4205" w:rsidRPr="009E1F1D" w:rsidRDefault="00BF4205" w:rsidP="00BF4205">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552F90FC" w14:textId="28510357" w:rsidR="00BF4205" w:rsidRPr="009E1F1D" w:rsidRDefault="00BF4205" w:rsidP="00BF4205">
            <w:pPr>
              <w:rPr>
                <w:rFonts w:ascii="Calibri" w:hAnsi="Calibri" w:cs="Calibri"/>
                <w:color w:val="000000"/>
                <w:sz w:val="22"/>
                <w:szCs w:val="22"/>
              </w:rPr>
            </w:pPr>
          </w:p>
        </w:tc>
      </w:tr>
      <w:tr w:rsidR="002A58DC" w:rsidRPr="009E1F1D" w14:paraId="1B5F44C6"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EC56886" w14:textId="77777777" w:rsidR="009C4AF0" w:rsidRPr="009E1F1D" w:rsidRDefault="009C4AF0" w:rsidP="009C4AF0">
            <w:pPr>
              <w:jc w:val="right"/>
              <w:rPr>
                <w:rFonts w:ascii="Calibri" w:hAnsi="Calibri" w:cs="Calibri"/>
                <w:color w:val="000000"/>
                <w:sz w:val="22"/>
                <w:szCs w:val="22"/>
              </w:rPr>
            </w:pPr>
            <w:r w:rsidRPr="009E1F1D">
              <w:rPr>
                <w:rFonts w:ascii="Calibri" w:hAnsi="Calibri" w:cs="Calibri"/>
                <w:color w:val="000000"/>
                <w:sz w:val="22"/>
                <w:szCs w:val="22"/>
              </w:rPr>
              <w:t>79</w:t>
            </w:r>
          </w:p>
        </w:tc>
        <w:tc>
          <w:tcPr>
            <w:tcW w:w="1260" w:type="dxa"/>
            <w:tcBorders>
              <w:top w:val="nil"/>
              <w:left w:val="nil"/>
              <w:bottom w:val="single" w:sz="4" w:space="0" w:color="auto"/>
              <w:right w:val="single" w:sz="4" w:space="0" w:color="auto"/>
            </w:tcBorders>
            <w:hideMark/>
          </w:tcPr>
          <w:p w14:paraId="2647CB47" w14:textId="0B501C6F" w:rsidR="009C4AF0" w:rsidRPr="008900CC" w:rsidRDefault="009C4AF0" w:rsidP="009C4AF0">
            <w:pPr>
              <w:rPr>
                <w:rFonts w:ascii="Calibri" w:hAnsi="Calibri" w:cs="Calibri"/>
                <w:color w:val="000000"/>
                <w:sz w:val="22"/>
                <w:szCs w:val="22"/>
              </w:rPr>
            </w:pPr>
            <w:r w:rsidRPr="008900CC">
              <w:rPr>
                <w:rFonts w:ascii="-webkit-standard" w:hAnsi="-webkit-standard"/>
                <w:color w:val="000000"/>
                <w:sz w:val="22"/>
                <w:szCs w:val="22"/>
              </w:rPr>
              <w:t>The measurement and antecedents of affective, continuance and normative commitment to the organization</w:t>
            </w:r>
          </w:p>
        </w:tc>
        <w:tc>
          <w:tcPr>
            <w:tcW w:w="1530" w:type="dxa"/>
            <w:tcBorders>
              <w:top w:val="nil"/>
              <w:left w:val="nil"/>
              <w:bottom w:val="single" w:sz="4" w:space="0" w:color="auto"/>
              <w:right w:val="single" w:sz="4" w:space="0" w:color="auto"/>
            </w:tcBorders>
            <w:hideMark/>
          </w:tcPr>
          <w:p w14:paraId="2B4E1A2B" w14:textId="6E3577E3" w:rsidR="009C4AF0" w:rsidRPr="00313298" w:rsidRDefault="009C4AF0" w:rsidP="009C4AF0">
            <w:pPr>
              <w:rPr>
                <w:rFonts w:ascii="Calibri" w:hAnsi="Calibri" w:cs="Calibri"/>
                <w:color w:val="000000"/>
                <w:sz w:val="22"/>
                <w:szCs w:val="22"/>
              </w:rPr>
            </w:pPr>
            <w:r w:rsidRPr="00313298">
              <w:rPr>
                <w:rFonts w:ascii="-webkit-standard" w:hAnsi="-webkit-standard"/>
                <w:color w:val="000000"/>
                <w:sz w:val="22"/>
                <w:szCs w:val="22"/>
              </w:rPr>
              <w:t>Allen, N.J. and Meyer, J.P.</w:t>
            </w:r>
          </w:p>
        </w:tc>
        <w:tc>
          <w:tcPr>
            <w:tcW w:w="720" w:type="dxa"/>
            <w:tcBorders>
              <w:top w:val="nil"/>
              <w:left w:val="nil"/>
              <w:bottom w:val="single" w:sz="4" w:space="0" w:color="auto"/>
              <w:right w:val="single" w:sz="4" w:space="0" w:color="auto"/>
            </w:tcBorders>
            <w:hideMark/>
          </w:tcPr>
          <w:p w14:paraId="6E4EA003" w14:textId="3AD9E2F4"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199</w:t>
            </w:r>
            <w:r>
              <w:rPr>
                <w:rFonts w:ascii="Calibri" w:hAnsi="Calibri" w:cs="Calibri"/>
                <w:color w:val="000000"/>
                <w:sz w:val="22"/>
                <w:szCs w:val="22"/>
              </w:rPr>
              <w:t>0</w:t>
            </w:r>
          </w:p>
        </w:tc>
        <w:tc>
          <w:tcPr>
            <w:tcW w:w="1710" w:type="dxa"/>
            <w:tcBorders>
              <w:top w:val="nil"/>
              <w:left w:val="nil"/>
              <w:bottom w:val="single" w:sz="4" w:space="0" w:color="auto"/>
              <w:right w:val="single" w:sz="4" w:space="0" w:color="auto"/>
            </w:tcBorders>
          </w:tcPr>
          <w:p w14:paraId="595D7C5D" w14:textId="655A9DA3" w:rsidR="009C4AF0" w:rsidRPr="009E1F1D" w:rsidRDefault="009C4AF0" w:rsidP="009C4AF0">
            <w:pPr>
              <w:rPr>
                <w:rFonts w:ascii="Calibri" w:hAnsi="Calibri" w:cs="Calibri"/>
                <w:color w:val="000000"/>
                <w:sz w:val="22"/>
                <w:szCs w:val="22"/>
              </w:rPr>
            </w:pPr>
            <w:r w:rsidRPr="00F0534D">
              <w:rPr>
                <w:rFonts w:ascii="Calibri" w:hAnsi="Calibri" w:cs="Calibri"/>
                <w:color w:val="000000"/>
                <w:sz w:val="22"/>
                <w:szCs w:val="22"/>
              </w:rPr>
              <w:t>Three-Component Commitment Theory</w:t>
            </w:r>
          </w:p>
        </w:tc>
        <w:tc>
          <w:tcPr>
            <w:tcW w:w="1710" w:type="dxa"/>
            <w:tcBorders>
              <w:top w:val="nil"/>
              <w:left w:val="nil"/>
              <w:bottom w:val="single" w:sz="4" w:space="0" w:color="auto"/>
              <w:right w:val="single" w:sz="4" w:space="0" w:color="auto"/>
            </w:tcBorders>
            <w:vAlign w:val="center"/>
          </w:tcPr>
          <w:p w14:paraId="7278DD90" w14:textId="49434D94" w:rsidR="009C4AF0" w:rsidRPr="00F357D3" w:rsidRDefault="009C4AF0" w:rsidP="009C4AF0">
            <w:pPr>
              <w:rPr>
                <w:rFonts w:ascii="Calibri" w:hAnsi="Calibri" w:cs="Calibri"/>
                <w:b/>
                <w:bCs/>
                <w:color w:val="000000"/>
                <w:sz w:val="22"/>
                <w:szCs w:val="22"/>
              </w:rPr>
            </w:pPr>
            <w:r w:rsidRPr="00D0217E">
              <w:rPr>
                <w:color w:val="000000"/>
              </w:rPr>
              <w:t>Employee commitment</w:t>
            </w:r>
          </w:p>
        </w:tc>
        <w:tc>
          <w:tcPr>
            <w:tcW w:w="1980" w:type="dxa"/>
            <w:tcBorders>
              <w:top w:val="nil"/>
              <w:left w:val="nil"/>
              <w:bottom w:val="single" w:sz="4" w:space="0" w:color="auto"/>
              <w:right w:val="single" w:sz="4" w:space="0" w:color="auto"/>
            </w:tcBorders>
            <w:vAlign w:val="center"/>
          </w:tcPr>
          <w:p w14:paraId="21D8DF17" w14:textId="3604033A" w:rsidR="009C4AF0" w:rsidRPr="009E1F1D" w:rsidRDefault="009C4AF0" w:rsidP="009C4AF0">
            <w:pPr>
              <w:rPr>
                <w:rFonts w:ascii="Calibri" w:hAnsi="Calibri" w:cs="Calibri"/>
                <w:color w:val="000000"/>
                <w:sz w:val="22"/>
                <w:szCs w:val="22"/>
              </w:rPr>
            </w:pPr>
            <w:r w:rsidRPr="00D0217E">
              <w:rPr>
                <w:color w:val="000000"/>
              </w:rPr>
              <w:t>Low commitment</w:t>
            </w:r>
          </w:p>
        </w:tc>
        <w:tc>
          <w:tcPr>
            <w:tcW w:w="1260" w:type="dxa"/>
            <w:tcBorders>
              <w:top w:val="nil"/>
              <w:left w:val="nil"/>
              <w:bottom w:val="single" w:sz="4" w:space="0" w:color="auto"/>
              <w:right w:val="single" w:sz="4" w:space="0" w:color="auto"/>
            </w:tcBorders>
            <w:vAlign w:val="center"/>
          </w:tcPr>
          <w:p w14:paraId="17F33FE9" w14:textId="52FCA774" w:rsidR="009C4AF0" w:rsidRPr="009E1F1D" w:rsidRDefault="009C4AF0" w:rsidP="009C4AF0">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commitment</w:t>
            </w:r>
          </w:p>
        </w:tc>
        <w:tc>
          <w:tcPr>
            <w:tcW w:w="1530" w:type="dxa"/>
            <w:tcBorders>
              <w:top w:val="nil"/>
              <w:left w:val="nil"/>
              <w:bottom w:val="single" w:sz="4" w:space="0" w:color="auto"/>
              <w:right w:val="single" w:sz="4" w:space="0" w:color="auto"/>
            </w:tcBorders>
            <w:hideMark/>
          </w:tcPr>
          <w:p w14:paraId="69E79D37"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Employee commitment has multiple dimensions and implications for retention</w:t>
            </w:r>
          </w:p>
        </w:tc>
        <w:tc>
          <w:tcPr>
            <w:tcW w:w="1440" w:type="dxa"/>
            <w:tcBorders>
              <w:top w:val="nil"/>
              <w:left w:val="nil"/>
              <w:bottom w:val="single" w:sz="4" w:space="0" w:color="auto"/>
              <w:right w:val="single" w:sz="4" w:space="0" w:color="auto"/>
            </w:tcBorders>
          </w:tcPr>
          <w:p w14:paraId="6132EE36" w14:textId="23A75743" w:rsidR="009C4AF0" w:rsidRPr="009E1F1D" w:rsidRDefault="009C4AF0" w:rsidP="009C4AF0">
            <w:pPr>
              <w:rPr>
                <w:rFonts w:ascii="Calibri" w:hAnsi="Calibri" w:cs="Calibri"/>
                <w:color w:val="000000"/>
                <w:sz w:val="22"/>
                <w:szCs w:val="22"/>
              </w:rPr>
            </w:pPr>
            <w:r w:rsidRPr="004B62CF">
              <w:rPr>
                <w:rFonts w:ascii="Calibri" w:hAnsi="Calibri" w:cs="Calibri"/>
                <w:color w:val="000000"/>
                <w:sz w:val="22"/>
                <w:szCs w:val="22"/>
              </w:rPr>
              <w:t>Commitment, motivation</w:t>
            </w:r>
          </w:p>
        </w:tc>
        <w:tc>
          <w:tcPr>
            <w:tcW w:w="236" w:type="dxa"/>
            <w:tcBorders>
              <w:top w:val="nil"/>
              <w:left w:val="nil"/>
              <w:bottom w:val="single" w:sz="4" w:space="0" w:color="auto"/>
              <w:right w:val="single" w:sz="4" w:space="0" w:color="auto"/>
            </w:tcBorders>
          </w:tcPr>
          <w:p w14:paraId="79E9753D" w14:textId="3D8ABC58" w:rsidR="009C4AF0" w:rsidRPr="009E1F1D" w:rsidRDefault="009C4AF0" w:rsidP="009C4AF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C43AD62" w14:textId="46F9E95C" w:rsidR="009C4AF0" w:rsidRPr="009E1F1D" w:rsidRDefault="009C4AF0" w:rsidP="009C4AF0">
            <w:pPr>
              <w:rPr>
                <w:rFonts w:ascii="Calibri" w:hAnsi="Calibri" w:cs="Calibri"/>
                <w:color w:val="000000"/>
                <w:sz w:val="22"/>
                <w:szCs w:val="22"/>
              </w:rPr>
            </w:pPr>
          </w:p>
        </w:tc>
      </w:tr>
      <w:tr w:rsidR="002A58DC" w:rsidRPr="009E1F1D" w14:paraId="6F98981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0DE0DF0" w14:textId="77777777" w:rsidR="009C4AF0" w:rsidRPr="009E1F1D" w:rsidRDefault="009C4AF0" w:rsidP="009C4AF0">
            <w:pPr>
              <w:jc w:val="right"/>
              <w:rPr>
                <w:rFonts w:ascii="Calibri" w:hAnsi="Calibri" w:cs="Calibri"/>
                <w:color w:val="000000"/>
                <w:sz w:val="22"/>
                <w:szCs w:val="22"/>
              </w:rPr>
            </w:pPr>
            <w:r w:rsidRPr="009E1F1D">
              <w:rPr>
                <w:rFonts w:ascii="Calibri" w:hAnsi="Calibri" w:cs="Calibri"/>
                <w:color w:val="000000"/>
                <w:sz w:val="22"/>
                <w:szCs w:val="22"/>
              </w:rPr>
              <w:t>80</w:t>
            </w:r>
          </w:p>
        </w:tc>
        <w:tc>
          <w:tcPr>
            <w:tcW w:w="1260" w:type="dxa"/>
            <w:tcBorders>
              <w:top w:val="nil"/>
              <w:left w:val="nil"/>
              <w:bottom w:val="single" w:sz="4" w:space="0" w:color="auto"/>
              <w:right w:val="single" w:sz="4" w:space="0" w:color="auto"/>
            </w:tcBorders>
            <w:hideMark/>
          </w:tcPr>
          <w:p w14:paraId="51C977E5"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A Three-Component Conceptualization of Organizational Commitment</w:t>
            </w:r>
          </w:p>
        </w:tc>
        <w:tc>
          <w:tcPr>
            <w:tcW w:w="1530" w:type="dxa"/>
            <w:tcBorders>
              <w:top w:val="nil"/>
              <w:left w:val="nil"/>
              <w:bottom w:val="single" w:sz="4" w:space="0" w:color="auto"/>
              <w:right w:val="single" w:sz="4" w:space="0" w:color="auto"/>
            </w:tcBorders>
            <w:hideMark/>
          </w:tcPr>
          <w:p w14:paraId="39095F83"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Meyer, J.P. &amp; Allen, N.J.</w:t>
            </w:r>
          </w:p>
        </w:tc>
        <w:tc>
          <w:tcPr>
            <w:tcW w:w="720" w:type="dxa"/>
            <w:tcBorders>
              <w:top w:val="nil"/>
              <w:left w:val="nil"/>
              <w:bottom w:val="single" w:sz="4" w:space="0" w:color="auto"/>
              <w:right w:val="single" w:sz="4" w:space="0" w:color="auto"/>
            </w:tcBorders>
            <w:hideMark/>
          </w:tcPr>
          <w:p w14:paraId="37A1FDD5"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1991</w:t>
            </w:r>
          </w:p>
        </w:tc>
        <w:tc>
          <w:tcPr>
            <w:tcW w:w="1710" w:type="dxa"/>
            <w:tcBorders>
              <w:top w:val="nil"/>
              <w:left w:val="nil"/>
              <w:bottom w:val="single" w:sz="4" w:space="0" w:color="auto"/>
              <w:right w:val="single" w:sz="4" w:space="0" w:color="auto"/>
            </w:tcBorders>
          </w:tcPr>
          <w:p w14:paraId="5C9394AA" w14:textId="1CBB76B4" w:rsidR="009C4AF0" w:rsidRPr="009E1F1D" w:rsidRDefault="009C4AF0" w:rsidP="009C4AF0">
            <w:pPr>
              <w:rPr>
                <w:rFonts w:ascii="Calibri" w:hAnsi="Calibri" w:cs="Calibri"/>
                <w:color w:val="000000"/>
                <w:sz w:val="22"/>
                <w:szCs w:val="22"/>
              </w:rPr>
            </w:pPr>
            <w:r w:rsidRPr="00F0534D">
              <w:rPr>
                <w:rFonts w:ascii="Calibri" w:hAnsi="Calibri" w:cs="Calibri"/>
                <w:color w:val="000000"/>
                <w:sz w:val="22"/>
                <w:szCs w:val="22"/>
              </w:rPr>
              <w:t>Three-Component Commitment Theory</w:t>
            </w:r>
          </w:p>
        </w:tc>
        <w:tc>
          <w:tcPr>
            <w:tcW w:w="1710" w:type="dxa"/>
            <w:tcBorders>
              <w:top w:val="nil"/>
              <w:left w:val="nil"/>
              <w:bottom w:val="single" w:sz="4" w:space="0" w:color="auto"/>
              <w:right w:val="single" w:sz="4" w:space="0" w:color="auto"/>
            </w:tcBorders>
            <w:vAlign w:val="center"/>
          </w:tcPr>
          <w:p w14:paraId="24BB381E" w14:textId="136540A1" w:rsidR="009C4AF0" w:rsidRPr="009E1F1D" w:rsidRDefault="009C4AF0" w:rsidP="009C4AF0">
            <w:pPr>
              <w:rPr>
                <w:rFonts w:ascii="Calibri" w:hAnsi="Calibri" w:cs="Calibri"/>
                <w:color w:val="000000"/>
                <w:sz w:val="22"/>
                <w:szCs w:val="22"/>
              </w:rPr>
            </w:pPr>
            <w:r w:rsidRPr="00D0217E">
              <w:rPr>
                <w:color w:val="000000"/>
              </w:rPr>
              <w:t>Employee commitment</w:t>
            </w:r>
          </w:p>
        </w:tc>
        <w:tc>
          <w:tcPr>
            <w:tcW w:w="1980" w:type="dxa"/>
            <w:tcBorders>
              <w:top w:val="nil"/>
              <w:left w:val="nil"/>
              <w:bottom w:val="single" w:sz="4" w:space="0" w:color="auto"/>
              <w:right w:val="single" w:sz="4" w:space="0" w:color="auto"/>
            </w:tcBorders>
            <w:vAlign w:val="center"/>
          </w:tcPr>
          <w:p w14:paraId="3D64A220" w14:textId="2E6D28DF" w:rsidR="009C4AF0" w:rsidRPr="009E1F1D" w:rsidRDefault="009C4AF0" w:rsidP="009C4AF0">
            <w:pPr>
              <w:rPr>
                <w:rFonts w:ascii="Calibri" w:hAnsi="Calibri" w:cs="Calibri"/>
                <w:color w:val="000000"/>
                <w:sz w:val="22"/>
                <w:szCs w:val="22"/>
              </w:rPr>
            </w:pPr>
            <w:r w:rsidRPr="00D0217E">
              <w:rPr>
                <w:color w:val="000000"/>
              </w:rPr>
              <w:t>Commitment differences</w:t>
            </w:r>
          </w:p>
        </w:tc>
        <w:tc>
          <w:tcPr>
            <w:tcW w:w="1260" w:type="dxa"/>
            <w:tcBorders>
              <w:top w:val="nil"/>
              <w:left w:val="nil"/>
              <w:bottom w:val="single" w:sz="4" w:space="0" w:color="auto"/>
              <w:right w:val="single" w:sz="4" w:space="0" w:color="auto"/>
            </w:tcBorders>
            <w:vAlign w:val="center"/>
          </w:tcPr>
          <w:p w14:paraId="58AC8D8D" w14:textId="2CC5B852" w:rsidR="009C4AF0" w:rsidRPr="009E1F1D" w:rsidRDefault="009C4AF0" w:rsidP="009C4AF0">
            <w:pPr>
              <w:rPr>
                <w:rFonts w:ascii="Calibri" w:hAnsi="Calibri" w:cs="Calibri"/>
                <w:color w:val="000000"/>
                <w:sz w:val="22"/>
                <w:szCs w:val="22"/>
              </w:rPr>
            </w:pPr>
            <w:proofErr w:type="spellStart"/>
            <w:r w:rsidRPr="00D0217E">
              <w:rPr>
                <w:color w:val="000000"/>
              </w:rPr>
              <w:t>Organisational</w:t>
            </w:r>
            <w:proofErr w:type="spellEnd"/>
            <w:r w:rsidRPr="00D0217E">
              <w:rPr>
                <w:color w:val="000000"/>
              </w:rPr>
              <w:t xml:space="preserve"> commitment</w:t>
            </w:r>
          </w:p>
        </w:tc>
        <w:tc>
          <w:tcPr>
            <w:tcW w:w="1530" w:type="dxa"/>
            <w:tcBorders>
              <w:top w:val="nil"/>
              <w:left w:val="nil"/>
              <w:bottom w:val="single" w:sz="4" w:space="0" w:color="auto"/>
              <w:right w:val="single" w:sz="4" w:space="0" w:color="auto"/>
            </w:tcBorders>
            <w:hideMark/>
          </w:tcPr>
          <w:p w14:paraId="6EBF3196"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Commitment reflects affective, continuance and normative components</w:t>
            </w:r>
          </w:p>
        </w:tc>
        <w:tc>
          <w:tcPr>
            <w:tcW w:w="1440" w:type="dxa"/>
            <w:tcBorders>
              <w:top w:val="nil"/>
              <w:left w:val="nil"/>
              <w:bottom w:val="single" w:sz="4" w:space="0" w:color="auto"/>
              <w:right w:val="single" w:sz="4" w:space="0" w:color="auto"/>
            </w:tcBorders>
          </w:tcPr>
          <w:p w14:paraId="6440971E" w14:textId="33873935" w:rsidR="009C4AF0" w:rsidRPr="009E1F1D" w:rsidRDefault="00DF44FB" w:rsidP="009C4AF0">
            <w:pPr>
              <w:rPr>
                <w:rFonts w:ascii="Calibri" w:hAnsi="Calibri" w:cs="Calibri"/>
                <w:color w:val="000000"/>
                <w:sz w:val="22"/>
                <w:szCs w:val="22"/>
              </w:rPr>
            </w:pPr>
            <w:r w:rsidRPr="004B62CF">
              <w:rPr>
                <w:rFonts w:ascii="Calibri" w:hAnsi="Calibri" w:cs="Calibri"/>
                <w:color w:val="000000"/>
                <w:sz w:val="22"/>
                <w:szCs w:val="22"/>
              </w:rPr>
              <w:t>Job satisfaction, performance</w:t>
            </w:r>
          </w:p>
        </w:tc>
        <w:tc>
          <w:tcPr>
            <w:tcW w:w="236" w:type="dxa"/>
            <w:tcBorders>
              <w:top w:val="nil"/>
              <w:left w:val="nil"/>
              <w:bottom w:val="single" w:sz="4" w:space="0" w:color="auto"/>
              <w:right w:val="single" w:sz="4" w:space="0" w:color="auto"/>
            </w:tcBorders>
          </w:tcPr>
          <w:p w14:paraId="1CF24918" w14:textId="0E685FED" w:rsidR="009C4AF0" w:rsidRPr="009E1F1D" w:rsidRDefault="009C4AF0" w:rsidP="009C4AF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5EAE67A" w14:textId="7C7A5692" w:rsidR="009C4AF0" w:rsidRPr="009E1F1D" w:rsidRDefault="009C4AF0" w:rsidP="009C4AF0">
            <w:pPr>
              <w:rPr>
                <w:rFonts w:ascii="Calibri" w:hAnsi="Calibri" w:cs="Calibri"/>
                <w:color w:val="000000"/>
                <w:sz w:val="22"/>
                <w:szCs w:val="22"/>
              </w:rPr>
            </w:pPr>
          </w:p>
        </w:tc>
      </w:tr>
      <w:tr w:rsidR="002A58DC" w:rsidRPr="009E1F1D" w14:paraId="0E7F3B1B"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C103014" w14:textId="77777777" w:rsidR="009C4AF0" w:rsidRPr="009E1F1D" w:rsidRDefault="009C4AF0" w:rsidP="009C4AF0">
            <w:pPr>
              <w:jc w:val="right"/>
              <w:rPr>
                <w:rFonts w:ascii="Calibri" w:hAnsi="Calibri" w:cs="Calibri"/>
                <w:color w:val="000000"/>
                <w:sz w:val="22"/>
                <w:szCs w:val="22"/>
              </w:rPr>
            </w:pPr>
            <w:r w:rsidRPr="009E1F1D">
              <w:rPr>
                <w:rFonts w:ascii="Calibri" w:hAnsi="Calibri" w:cs="Calibri"/>
                <w:color w:val="000000"/>
                <w:sz w:val="22"/>
                <w:szCs w:val="22"/>
              </w:rPr>
              <w:lastRenderedPageBreak/>
              <w:t>81</w:t>
            </w:r>
          </w:p>
        </w:tc>
        <w:tc>
          <w:tcPr>
            <w:tcW w:w="1260" w:type="dxa"/>
            <w:tcBorders>
              <w:top w:val="nil"/>
              <w:left w:val="nil"/>
              <w:bottom w:val="single" w:sz="4" w:space="0" w:color="auto"/>
              <w:right w:val="single" w:sz="4" w:space="0" w:color="auto"/>
            </w:tcBorders>
            <w:hideMark/>
          </w:tcPr>
          <w:p w14:paraId="24115B3D"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Job Satisfaction and Job Performance: A Meta-Analysis</w:t>
            </w:r>
          </w:p>
        </w:tc>
        <w:tc>
          <w:tcPr>
            <w:tcW w:w="1530" w:type="dxa"/>
            <w:tcBorders>
              <w:top w:val="nil"/>
              <w:left w:val="nil"/>
              <w:bottom w:val="single" w:sz="4" w:space="0" w:color="auto"/>
              <w:right w:val="single" w:sz="4" w:space="0" w:color="auto"/>
            </w:tcBorders>
            <w:hideMark/>
          </w:tcPr>
          <w:p w14:paraId="48E6032F"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Judge, T.A., Thoresen, C.J., Bono, J.E. &amp; Patton, G.K.</w:t>
            </w:r>
          </w:p>
        </w:tc>
        <w:tc>
          <w:tcPr>
            <w:tcW w:w="720" w:type="dxa"/>
            <w:tcBorders>
              <w:top w:val="nil"/>
              <w:left w:val="nil"/>
              <w:bottom w:val="single" w:sz="4" w:space="0" w:color="auto"/>
              <w:right w:val="single" w:sz="4" w:space="0" w:color="auto"/>
            </w:tcBorders>
            <w:hideMark/>
          </w:tcPr>
          <w:p w14:paraId="3B14FB9D"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2001</w:t>
            </w:r>
          </w:p>
        </w:tc>
        <w:tc>
          <w:tcPr>
            <w:tcW w:w="1710" w:type="dxa"/>
            <w:tcBorders>
              <w:top w:val="nil"/>
              <w:left w:val="nil"/>
              <w:bottom w:val="single" w:sz="4" w:space="0" w:color="auto"/>
              <w:right w:val="single" w:sz="4" w:space="0" w:color="auto"/>
            </w:tcBorders>
          </w:tcPr>
          <w:p w14:paraId="2F059233" w14:textId="132D2701" w:rsidR="009C4AF0" w:rsidRPr="009E1F1D" w:rsidRDefault="009C4AF0" w:rsidP="009C4AF0">
            <w:pPr>
              <w:rPr>
                <w:rFonts w:ascii="Calibri" w:hAnsi="Calibri" w:cs="Calibri"/>
                <w:color w:val="000000"/>
                <w:sz w:val="22"/>
                <w:szCs w:val="22"/>
              </w:rPr>
            </w:pPr>
            <w:r w:rsidRPr="00F0534D">
              <w:rPr>
                <w:rFonts w:ascii="Calibri" w:hAnsi="Calibri" w:cs="Calibri"/>
                <w:color w:val="000000"/>
                <w:sz w:val="22"/>
                <w:szCs w:val="22"/>
              </w:rPr>
              <w:t>Attitude-performance theories</w:t>
            </w:r>
          </w:p>
        </w:tc>
        <w:tc>
          <w:tcPr>
            <w:tcW w:w="1710" w:type="dxa"/>
            <w:tcBorders>
              <w:top w:val="nil"/>
              <w:left w:val="nil"/>
              <w:bottom w:val="single" w:sz="4" w:space="0" w:color="auto"/>
              <w:right w:val="single" w:sz="4" w:space="0" w:color="auto"/>
            </w:tcBorders>
            <w:vAlign w:val="center"/>
          </w:tcPr>
          <w:p w14:paraId="03C6720B" w14:textId="65E2FEAD" w:rsidR="009C4AF0" w:rsidRPr="009E1F1D" w:rsidRDefault="009C4AF0" w:rsidP="009C4AF0">
            <w:pPr>
              <w:rPr>
                <w:rFonts w:ascii="Calibri" w:hAnsi="Calibri" w:cs="Calibri"/>
                <w:color w:val="000000"/>
                <w:sz w:val="22"/>
                <w:szCs w:val="22"/>
              </w:rPr>
            </w:pPr>
            <w:r w:rsidRPr="00D0217E">
              <w:rPr>
                <w:color w:val="000000"/>
              </w:rPr>
              <w:t>Job satisfaction</w:t>
            </w:r>
          </w:p>
        </w:tc>
        <w:tc>
          <w:tcPr>
            <w:tcW w:w="1980" w:type="dxa"/>
            <w:tcBorders>
              <w:top w:val="nil"/>
              <w:left w:val="nil"/>
              <w:bottom w:val="single" w:sz="4" w:space="0" w:color="auto"/>
              <w:right w:val="single" w:sz="4" w:space="0" w:color="auto"/>
            </w:tcBorders>
            <w:vAlign w:val="center"/>
          </w:tcPr>
          <w:p w14:paraId="6F11B65B" w14:textId="50510FAF" w:rsidR="009C4AF0" w:rsidRPr="009E1F1D" w:rsidRDefault="009C4AF0" w:rsidP="009C4AF0">
            <w:pPr>
              <w:rPr>
                <w:rFonts w:ascii="Calibri" w:hAnsi="Calibri" w:cs="Calibri"/>
                <w:color w:val="000000"/>
                <w:sz w:val="22"/>
                <w:szCs w:val="22"/>
              </w:rPr>
            </w:pPr>
            <w:r w:rsidRPr="00D0217E">
              <w:rPr>
                <w:color w:val="000000"/>
              </w:rPr>
              <w:t>Weak relationship</w:t>
            </w:r>
          </w:p>
        </w:tc>
        <w:tc>
          <w:tcPr>
            <w:tcW w:w="1260" w:type="dxa"/>
            <w:tcBorders>
              <w:top w:val="nil"/>
              <w:left w:val="nil"/>
              <w:bottom w:val="single" w:sz="4" w:space="0" w:color="auto"/>
              <w:right w:val="single" w:sz="4" w:space="0" w:color="auto"/>
            </w:tcBorders>
            <w:vAlign w:val="center"/>
          </w:tcPr>
          <w:p w14:paraId="158DC144" w14:textId="50D38870" w:rsidR="009C4AF0" w:rsidRPr="009E1F1D" w:rsidRDefault="009C4AF0" w:rsidP="009C4AF0">
            <w:pPr>
              <w:rPr>
                <w:rFonts w:ascii="Calibri" w:hAnsi="Calibri" w:cs="Calibri"/>
                <w:color w:val="000000"/>
                <w:sz w:val="22"/>
                <w:szCs w:val="22"/>
              </w:rPr>
            </w:pPr>
            <w:r w:rsidRPr="00D0217E">
              <w:rPr>
                <w:color w:val="000000"/>
              </w:rPr>
              <w:t>Job performance</w:t>
            </w:r>
          </w:p>
        </w:tc>
        <w:tc>
          <w:tcPr>
            <w:tcW w:w="1530" w:type="dxa"/>
            <w:tcBorders>
              <w:top w:val="nil"/>
              <w:left w:val="nil"/>
              <w:bottom w:val="single" w:sz="4" w:space="0" w:color="auto"/>
              <w:right w:val="single" w:sz="4" w:space="0" w:color="auto"/>
            </w:tcBorders>
            <w:hideMark/>
          </w:tcPr>
          <w:p w14:paraId="7A3BF915" w14:textId="77777777" w:rsidR="009C4AF0" w:rsidRPr="009E1F1D" w:rsidRDefault="009C4AF0" w:rsidP="009C4AF0">
            <w:pPr>
              <w:rPr>
                <w:rFonts w:ascii="Calibri" w:hAnsi="Calibri" w:cs="Calibri"/>
                <w:color w:val="000000"/>
                <w:sz w:val="22"/>
                <w:szCs w:val="22"/>
              </w:rPr>
            </w:pPr>
            <w:r w:rsidRPr="009E1F1D">
              <w:rPr>
                <w:rFonts w:ascii="Calibri" w:hAnsi="Calibri" w:cs="Calibri"/>
                <w:color w:val="000000"/>
                <w:sz w:val="22"/>
                <w:szCs w:val="22"/>
              </w:rPr>
              <w:t>Satisfaction and performance are positively related, though not perfectly</w:t>
            </w:r>
          </w:p>
        </w:tc>
        <w:tc>
          <w:tcPr>
            <w:tcW w:w="1440" w:type="dxa"/>
            <w:tcBorders>
              <w:top w:val="nil"/>
              <w:left w:val="nil"/>
              <w:bottom w:val="single" w:sz="4" w:space="0" w:color="auto"/>
              <w:right w:val="single" w:sz="4" w:space="0" w:color="auto"/>
            </w:tcBorders>
          </w:tcPr>
          <w:p w14:paraId="5D6DC3F3" w14:textId="7616AA21" w:rsidR="009C4AF0" w:rsidRPr="009E1F1D" w:rsidRDefault="00664DD9" w:rsidP="009C4AF0">
            <w:pPr>
              <w:rPr>
                <w:rFonts w:ascii="Calibri" w:hAnsi="Calibri" w:cs="Calibri"/>
                <w:color w:val="000000"/>
                <w:sz w:val="22"/>
                <w:szCs w:val="22"/>
              </w:rPr>
            </w:pPr>
            <w:r w:rsidRPr="004B62CF">
              <w:rPr>
                <w:rFonts w:ascii="Calibri" w:hAnsi="Calibri" w:cs="Calibri"/>
                <w:color w:val="000000"/>
                <w:sz w:val="22"/>
                <w:szCs w:val="22"/>
              </w:rPr>
              <w:t>Engagement, psychological safety</w:t>
            </w:r>
          </w:p>
        </w:tc>
        <w:tc>
          <w:tcPr>
            <w:tcW w:w="236" w:type="dxa"/>
            <w:tcBorders>
              <w:top w:val="nil"/>
              <w:left w:val="nil"/>
              <w:bottom w:val="single" w:sz="4" w:space="0" w:color="auto"/>
              <w:right w:val="single" w:sz="4" w:space="0" w:color="auto"/>
            </w:tcBorders>
          </w:tcPr>
          <w:p w14:paraId="57031B57" w14:textId="5534C669" w:rsidR="009C4AF0" w:rsidRPr="009E1F1D" w:rsidRDefault="009C4AF0" w:rsidP="009C4AF0">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D3CBF2F" w14:textId="7C580B4F" w:rsidR="009C4AF0" w:rsidRPr="009E1F1D" w:rsidRDefault="009C4AF0" w:rsidP="009C4AF0">
            <w:pPr>
              <w:rPr>
                <w:rFonts w:ascii="Calibri" w:hAnsi="Calibri" w:cs="Calibri"/>
                <w:color w:val="000000"/>
                <w:sz w:val="22"/>
                <w:szCs w:val="22"/>
              </w:rPr>
            </w:pPr>
          </w:p>
        </w:tc>
      </w:tr>
      <w:tr w:rsidR="002A58DC" w:rsidRPr="009E1F1D" w14:paraId="406DBA0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20B23CB"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82</w:t>
            </w:r>
          </w:p>
        </w:tc>
        <w:tc>
          <w:tcPr>
            <w:tcW w:w="1260" w:type="dxa"/>
            <w:tcBorders>
              <w:top w:val="nil"/>
              <w:left w:val="nil"/>
              <w:bottom w:val="single" w:sz="4" w:space="0" w:color="auto"/>
              <w:right w:val="single" w:sz="4" w:space="0" w:color="auto"/>
            </w:tcBorders>
            <w:hideMark/>
          </w:tcPr>
          <w:p w14:paraId="40690A4C"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Employee Engagement: A Review of Current Thinking</w:t>
            </w:r>
          </w:p>
        </w:tc>
        <w:tc>
          <w:tcPr>
            <w:tcW w:w="1530" w:type="dxa"/>
            <w:tcBorders>
              <w:top w:val="nil"/>
              <w:left w:val="nil"/>
              <w:bottom w:val="single" w:sz="4" w:space="0" w:color="auto"/>
              <w:right w:val="single" w:sz="4" w:space="0" w:color="auto"/>
            </w:tcBorders>
            <w:hideMark/>
          </w:tcPr>
          <w:p w14:paraId="18BCE080"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Kahn, W.A.</w:t>
            </w:r>
          </w:p>
        </w:tc>
        <w:tc>
          <w:tcPr>
            <w:tcW w:w="720" w:type="dxa"/>
            <w:tcBorders>
              <w:top w:val="nil"/>
              <w:left w:val="nil"/>
              <w:bottom w:val="single" w:sz="4" w:space="0" w:color="auto"/>
              <w:right w:val="single" w:sz="4" w:space="0" w:color="auto"/>
            </w:tcBorders>
            <w:hideMark/>
          </w:tcPr>
          <w:p w14:paraId="20FD4EA4"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1990</w:t>
            </w:r>
          </w:p>
        </w:tc>
        <w:tc>
          <w:tcPr>
            <w:tcW w:w="1710" w:type="dxa"/>
            <w:tcBorders>
              <w:top w:val="nil"/>
              <w:left w:val="nil"/>
              <w:bottom w:val="single" w:sz="4" w:space="0" w:color="auto"/>
              <w:right w:val="single" w:sz="4" w:space="0" w:color="auto"/>
            </w:tcBorders>
          </w:tcPr>
          <w:p w14:paraId="30BEAFA3" w14:textId="17B6BA25"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Personal engagement theory</w:t>
            </w:r>
          </w:p>
        </w:tc>
        <w:tc>
          <w:tcPr>
            <w:tcW w:w="1710" w:type="dxa"/>
            <w:tcBorders>
              <w:top w:val="nil"/>
              <w:left w:val="nil"/>
              <w:bottom w:val="single" w:sz="4" w:space="0" w:color="auto"/>
              <w:right w:val="single" w:sz="4" w:space="0" w:color="auto"/>
            </w:tcBorders>
            <w:vAlign w:val="center"/>
          </w:tcPr>
          <w:p w14:paraId="1E64D3B0" w14:textId="73DB949A" w:rsidR="0036160B" w:rsidRPr="009E1F1D" w:rsidRDefault="0036160B" w:rsidP="0036160B">
            <w:pPr>
              <w:rPr>
                <w:rFonts w:ascii="Calibri" w:hAnsi="Calibri" w:cs="Calibri"/>
                <w:color w:val="000000"/>
                <w:sz w:val="22"/>
                <w:szCs w:val="22"/>
              </w:rPr>
            </w:pPr>
            <w:r w:rsidRPr="00D0217E">
              <w:rPr>
                <w:color w:val="000000"/>
              </w:rPr>
              <w:t>Employee engagement</w:t>
            </w:r>
          </w:p>
        </w:tc>
        <w:tc>
          <w:tcPr>
            <w:tcW w:w="1980" w:type="dxa"/>
            <w:tcBorders>
              <w:top w:val="nil"/>
              <w:left w:val="nil"/>
              <w:bottom w:val="single" w:sz="4" w:space="0" w:color="auto"/>
              <w:right w:val="single" w:sz="4" w:space="0" w:color="auto"/>
            </w:tcBorders>
            <w:vAlign w:val="center"/>
          </w:tcPr>
          <w:p w14:paraId="1D19C7C1" w14:textId="49E0E017" w:rsidR="0036160B" w:rsidRPr="009E1F1D" w:rsidRDefault="0036160B" w:rsidP="0036160B">
            <w:pPr>
              <w:rPr>
                <w:rFonts w:ascii="Calibri" w:hAnsi="Calibri" w:cs="Calibri"/>
                <w:color w:val="000000"/>
                <w:sz w:val="22"/>
                <w:szCs w:val="22"/>
              </w:rPr>
            </w:pPr>
            <w:r w:rsidRPr="00D0217E">
              <w:rPr>
                <w:color w:val="000000"/>
              </w:rPr>
              <w:t>Disengagement risk</w:t>
            </w:r>
          </w:p>
        </w:tc>
        <w:tc>
          <w:tcPr>
            <w:tcW w:w="1260" w:type="dxa"/>
            <w:tcBorders>
              <w:top w:val="nil"/>
              <w:left w:val="nil"/>
              <w:bottom w:val="single" w:sz="4" w:space="0" w:color="auto"/>
              <w:right w:val="single" w:sz="4" w:space="0" w:color="auto"/>
            </w:tcBorders>
            <w:vAlign w:val="center"/>
          </w:tcPr>
          <w:p w14:paraId="0110EF2A" w14:textId="5301ADD8" w:rsidR="0036160B" w:rsidRPr="009E1F1D" w:rsidRDefault="0036160B" w:rsidP="0036160B">
            <w:pPr>
              <w:rPr>
                <w:rFonts w:ascii="Calibri" w:hAnsi="Calibri" w:cs="Calibri"/>
                <w:color w:val="000000"/>
                <w:sz w:val="22"/>
                <w:szCs w:val="22"/>
              </w:rPr>
            </w:pPr>
            <w:r w:rsidRPr="00D0217E">
              <w:rPr>
                <w:color w:val="000000"/>
              </w:rPr>
              <w:t>Work engagement</w:t>
            </w:r>
          </w:p>
        </w:tc>
        <w:tc>
          <w:tcPr>
            <w:tcW w:w="1530" w:type="dxa"/>
            <w:tcBorders>
              <w:top w:val="nil"/>
              <w:left w:val="nil"/>
              <w:bottom w:val="single" w:sz="4" w:space="0" w:color="auto"/>
              <w:right w:val="single" w:sz="4" w:space="0" w:color="auto"/>
            </w:tcBorders>
            <w:hideMark/>
          </w:tcPr>
          <w:p w14:paraId="01B3CCA4"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Psychological safety and meaningfulness support engagement</w:t>
            </w:r>
          </w:p>
        </w:tc>
        <w:tc>
          <w:tcPr>
            <w:tcW w:w="1440" w:type="dxa"/>
            <w:tcBorders>
              <w:top w:val="nil"/>
              <w:left w:val="nil"/>
              <w:bottom w:val="single" w:sz="4" w:space="0" w:color="auto"/>
              <w:right w:val="single" w:sz="4" w:space="0" w:color="auto"/>
            </w:tcBorders>
          </w:tcPr>
          <w:p w14:paraId="4A6BF06B" w14:textId="67B1C338" w:rsidR="0036160B" w:rsidRPr="009E1F1D" w:rsidRDefault="0036160B" w:rsidP="0036160B">
            <w:pPr>
              <w:rPr>
                <w:rFonts w:ascii="Calibri" w:hAnsi="Calibri" w:cs="Calibri"/>
                <w:color w:val="000000"/>
                <w:sz w:val="22"/>
                <w:szCs w:val="22"/>
              </w:rPr>
            </w:pPr>
            <w:r w:rsidRPr="004B62CF">
              <w:rPr>
                <w:rFonts w:ascii="Calibri" w:hAnsi="Calibri" w:cs="Calibri"/>
                <w:color w:val="000000"/>
                <w:sz w:val="22"/>
                <w:szCs w:val="22"/>
              </w:rPr>
              <w:t>Engagement, burnout</w:t>
            </w:r>
          </w:p>
        </w:tc>
        <w:tc>
          <w:tcPr>
            <w:tcW w:w="236" w:type="dxa"/>
            <w:tcBorders>
              <w:top w:val="nil"/>
              <w:left w:val="nil"/>
              <w:bottom w:val="single" w:sz="4" w:space="0" w:color="auto"/>
              <w:right w:val="single" w:sz="4" w:space="0" w:color="auto"/>
            </w:tcBorders>
          </w:tcPr>
          <w:p w14:paraId="29F30BAB" w14:textId="64AC96A4"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C136DF1" w14:textId="58B6C1AB" w:rsidR="0036160B" w:rsidRPr="009E1F1D" w:rsidRDefault="0036160B" w:rsidP="0036160B">
            <w:pPr>
              <w:rPr>
                <w:rFonts w:ascii="Calibri" w:hAnsi="Calibri" w:cs="Calibri"/>
                <w:color w:val="000000"/>
                <w:sz w:val="22"/>
                <w:szCs w:val="22"/>
              </w:rPr>
            </w:pPr>
          </w:p>
        </w:tc>
      </w:tr>
      <w:tr w:rsidR="002A58DC" w:rsidRPr="009E1F1D" w14:paraId="62217D5C"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C87562B"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83</w:t>
            </w:r>
          </w:p>
        </w:tc>
        <w:tc>
          <w:tcPr>
            <w:tcW w:w="1260" w:type="dxa"/>
            <w:tcBorders>
              <w:top w:val="nil"/>
              <w:left w:val="nil"/>
              <w:bottom w:val="single" w:sz="4" w:space="0" w:color="auto"/>
              <w:right w:val="single" w:sz="4" w:space="0" w:color="auto"/>
            </w:tcBorders>
            <w:hideMark/>
          </w:tcPr>
          <w:p w14:paraId="7F019A77"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Job Demands, Job Resources, and Their Relationship with Burnout and Engagement</w:t>
            </w:r>
          </w:p>
        </w:tc>
        <w:tc>
          <w:tcPr>
            <w:tcW w:w="1530" w:type="dxa"/>
            <w:tcBorders>
              <w:top w:val="nil"/>
              <w:left w:val="nil"/>
              <w:bottom w:val="single" w:sz="4" w:space="0" w:color="auto"/>
              <w:right w:val="single" w:sz="4" w:space="0" w:color="auto"/>
            </w:tcBorders>
            <w:hideMark/>
          </w:tcPr>
          <w:p w14:paraId="7B8FC82E"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Demerouti, E. et al.</w:t>
            </w:r>
          </w:p>
        </w:tc>
        <w:tc>
          <w:tcPr>
            <w:tcW w:w="720" w:type="dxa"/>
            <w:tcBorders>
              <w:top w:val="nil"/>
              <w:left w:val="nil"/>
              <w:bottom w:val="single" w:sz="4" w:space="0" w:color="auto"/>
              <w:right w:val="single" w:sz="4" w:space="0" w:color="auto"/>
            </w:tcBorders>
            <w:hideMark/>
          </w:tcPr>
          <w:p w14:paraId="55FF7DC7"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2001</w:t>
            </w:r>
          </w:p>
        </w:tc>
        <w:tc>
          <w:tcPr>
            <w:tcW w:w="1710" w:type="dxa"/>
            <w:tcBorders>
              <w:top w:val="nil"/>
              <w:left w:val="nil"/>
              <w:bottom w:val="single" w:sz="4" w:space="0" w:color="auto"/>
              <w:right w:val="single" w:sz="4" w:space="0" w:color="auto"/>
            </w:tcBorders>
          </w:tcPr>
          <w:p w14:paraId="458918E1" w14:textId="7D0A156C"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JD-R Theory</w:t>
            </w:r>
          </w:p>
        </w:tc>
        <w:tc>
          <w:tcPr>
            <w:tcW w:w="1710" w:type="dxa"/>
            <w:tcBorders>
              <w:top w:val="nil"/>
              <w:left w:val="nil"/>
              <w:bottom w:val="single" w:sz="4" w:space="0" w:color="auto"/>
              <w:right w:val="single" w:sz="4" w:space="0" w:color="auto"/>
            </w:tcBorders>
            <w:vAlign w:val="center"/>
          </w:tcPr>
          <w:p w14:paraId="378C448F" w14:textId="604A5ABE" w:rsidR="0036160B" w:rsidRPr="009E1F1D" w:rsidRDefault="0036160B" w:rsidP="0036160B">
            <w:pPr>
              <w:rPr>
                <w:rFonts w:ascii="Calibri" w:hAnsi="Calibri" w:cs="Calibri"/>
                <w:color w:val="000000"/>
                <w:sz w:val="22"/>
                <w:szCs w:val="22"/>
              </w:rPr>
            </w:pPr>
            <w:r w:rsidRPr="00D0217E">
              <w:rPr>
                <w:color w:val="000000"/>
              </w:rPr>
              <w:t>Job resources</w:t>
            </w:r>
          </w:p>
        </w:tc>
        <w:tc>
          <w:tcPr>
            <w:tcW w:w="1980" w:type="dxa"/>
            <w:tcBorders>
              <w:top w:val="nil"/>
              <w:left w:val="nil"/>
              <w:bottom w:val="single" w:sz="4" w:space="0" w:color="auto"/>
              <w:right w:val="single" w:sz="4" w:space="0" w:color="auto"/>
            </w:tcBorders>
            <w:vAlign w:val="center"/>
          </w:tcPr>
          <w:p w14:paraId="1B2EED1B" w14:textId="1F880876" w:rsidR="0036160B" w:rsidRPr="009E1F1D" w:rsidRDefault="0036160B" w:rsidP="0036160B">
            <w:pPr>
              <w:rPr>
                <w:rFonts w:ascii="Calibri" w:hAnsi="Calibri" w:cs="Calibri"/>
                <w:color w:val="000000"/>
                <w:sz w:val="22"/>
                <w:szCs w:val="22"/>
              </w:rPr>
            </w:pPr>
            <w:r w:rsidRPr="00D0217E">
              <w:rPr>
                <w:color w:val="000000"/>
              </w:rPr>
              <w:t>Job demands</w:t>
            </w:r>
          </w:p>
        </w:tc>
        <w:tc>
          <w:tcPr>
            <w:tcW w:w="1260" w:type="dxa"/>
            <w:tcBorders>
              <w:top w:val="nil"/>
              <w:left w:val="nil"/>
              <w:bottom w:val="single" w:sz="4" w:space="0" w:color="auto"/>
              <w:right w:val="single" w:sz="4" w:space="0" w:color="auto"/>
            </w:tcBorders>
            <w:vAlign w:val="center"/>
          </w:tcPr>
          <w:p w14:paraId="724ADF66" w14:textId="40B95DC0" w:rsidR="0036160B" w:rsidRPr="009E1F1D" w:rsidRDefault="0036160B" w:rsidP="0036160B">
            <w:pPr>
              <w:rPr>
                <w:rFonts w:ascii="Calibri" w:hAnsi="Calibri" w:cs="Calibri"/>
                <w:color w:val="000000"/>
                <w:sz w:val="22"/>
                <w:szCs w:val="22"/>
              </w:rPr>
            </w:pPr>
            <w:r w:rsidRPr="00D0217E">
              <w:rPr>
                <w:color w:val="000000"/>
              </w:rPr>
              <w:t>Employee engagement</w:t>
            </w:r>
          </w:p>
        </w:tc>
        <w:tc>
          <w:tcPr>
            <w:tcW w:w="1530" w:type="dxa"/>
            <w:tcBorders>
              <w:top w:val="nil"/>
              <w:left w:val="nil"/>
              <w:bottom w:val="single" w:sz="4" w:space="0" w:color="auto"/>
              <w:right w:val="single" w:sz="4" w:space="0" w:color="auto"/>
            </w:tcBorders>
            <w:hideMark/>
          </w:tcPr>
          <w:p w14:paraId="3D694DE8"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Resources are associated with engagement while excessive demands relate to burnout</w:t>
            </w:r>
          </w:p>
        </w:tc>
        <w:tc>
          <w:tcPr>
            <w:tcW w:w="1440" w:type="dxa"/>
            <w:tcBorders>
              <w:top w:val="nil"/>
              <w:left w:val="nil"/>
              <w:bottom w:val="single" w:sz="4" w:space="0" w:color="auto"/>
              <w:right w:val="single" w:sz="4" w:space="0" w:color="auto"/>
            </w:tcBorders>
          </w:tcPr>
          <w:p w14:paraId="741C2028" w14:textId="2A289BDD" w:rsidR="0036160B" w:rsidRPr="009E1F1D" w:rsidRDefault="007545A1" w:rsidP="0036160B">
            <w:pPr>
              <w:rPr>
                <w:rFonts w:ascii="Calibri" w:hAnsi="Calibri" w:cs="Calibri"/>
                <w:color w:val="000000"/>
                <w:sz w:val="22"/>
                <w:szCs w:val="22"/>
              </w:rPr>
            </w:pPr>
            <w:r w:rsidRPr="004B62CF">
              <w:rPr>
                <w:rFonts w:ascii="Calibri" w:hAnsi="Calibri" w:cs="Calibri"/>
                <w:color w:val="000000"/>
                <w:sz w:val="22"/>
                <w:szCs w:val="22"/>
              </w:rPr>
              <w:t>PFP, firm performance</w:t>
            </w:r>
          </w:p>
        </w:tc>
        <w:tc>
          <w:tcPr>
            <w:tcW w:w="236" w:type="dxa"/>
            <w:tcBorders>
              <w:top w:val="nil"/>
              <w:left w:val="nil"/>
              <w:bottom w:val="single" w:sz="4" w:space="0" w:color="auto"/>
              <w:right w:val="single" w:sz="4" w:space="0" w:color="auto"/>
            </w:tcBorders>
          </w:tcPr>
          <w:p w14:paraId="760A973D" w14:textId="4C1BEC04"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F58F0FB" w14:textId="7630B394" w:rsidR="0036160B" w:rsidRPr="009E1F1D" w:rsidRDefault="0036160B" w:rsidP="0036160B">
            <w:pPr>
              <w:rPr>
                <w:rFonts w:ascii="Calibri" w:hAnsi="Calibri" w:cs="Calibri"/>
                <w:color w:val="000000"/>
                <w:sz w:val="22"/>
                <w:szCs w:val="22"/>
              </w:rPr>
            </w:pPr>
          </w:p>
        </w:tc>
      </w:tr>
      <w:tr w:rsidR="002A58DC" w:rsidRPr="009E1F1D" w14:paraId="4610F535"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9D32AC2"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84</w:t>
            </w:r>
          </w:p>
        </w:tc>
        <w:tc>
          <w:tcPr>
            <w:tcW w:w="1260" w:type="dxa"/>
            <w:tcBorders>
              <w:top w:val="nil"/>
              <w:left w:val="nil"/>
              <w:bottom w:val="single" w:sz="4" w:space="0" w:color="auto"/>
              <w:right w:val="single" w:sz="4" w:space="0" w:color="auto"/>
            </w:tcBorders>
            <w:hideMark/>
          </w:tcPr>
          <w:p w14:paraId="751C2360"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Pay for Performance and Firm Performance</w:t>
            </w:r>
          </w:p>
        </w:tc>
        <w:tc>
          <w:tcPr>
            <w:tcW w:w="1530" w:type="dxa"/>
            <w:tcBorders>
              <w:top w:val="nil"/>
              <w:left w:val="nil"/>
              <w:bottom w:val="single" w:sz="4" w:space="0" w:color="auto"/>
              <w:right w:val="single" w:sz="4" w:space="0" w:color="auto"/>
            </w:tcBorders>
            <w:hideMark/>
          </w:tcPr>
          <w:p w14:paraId="5385FDFA"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Jensen, M.C. &amp; Murphy, K.J.</w:t>
            </w:r>
          </w:p>
        </w:tc>
        <w:tc>
          <w:tcPr>
            <w:tcW w:w="720" w:type="dxa"/>
            <w:tcBorders>
              <w:top w:val="nil"/>
              <w:left w:val="nil"/>
              <w:bottom w:val="single" w:sz="4" w:space="0" w:color="auto"/>
              <w:right w:val="single" w:sz="4" w:space="0" w:color="auto"/>
            </w:tcBorders>
            <w:hideMark/>
          </w:tcPr>
          <w:p w14:paraId="566D536F"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1990</w:t>
            </w:r>
          </w:p>
        </w:tc>
        <w:tc>
          <w:tcPr>
            <w:tcW w:w="1710" w:type="dxa"/>
            <w:tcBorders>
              <w:top w:val="nil"/>
              <w:left w:val="nil"/>
              <w:bottom w:val="single" w:sz="4" w:space="0" w:color="auto"/>
              <w:right w:val="single" w:sz="4" w:space="0" w:color="auto"/>
            </w:tcBorders>
          </w:tcPr>
          <w:p w14:paraId="3B26AD94" w14:textId="79BB1542" w:rsidR="0036160B" w:rsidRPr="009E1F1D" w:rsidRDefault="0036160B" w:rsidP="0036160B">
            <w:pPr>
              <w:rPr>
                <w:rFonts w:ascii="Calibri" w:hAnsi="Calibri" w:cs="Calibri"/>
                <w:color w:val="000000"/>
                <w:sz w:val="22"/>
                <w:szCs w:val="22"/>
              </w:rPr>
            </w:pPr>
            <w:r>
              <w:rPr>
                <w:rFonts w:ascii="Calibri" w:hAnsi="Calibri" w:cs="Calibri"/>
                <w:color w:val="000000"/>
                <w:sz w:val="22"/>
                <w:szCs w:val="22"/>
              </w:rPr>
              <w:t xml:space="preserve">Agency </w:t>
            </w:r>
            <w:r w:rsidRPr="00F0534D">
              <w:rPr>
                <w:rFonts w:ascii="Calibri" w:hAnsi="Calibri" w:cs="Calibri"/>
                <w:color w:val="000000"/>
                <w:sz w:val="22"/>
                <w:szCs w:val="22"/>
              </w:rPr>
              <w:t>Theory</w:t>
            </w:r>
          </w:p>
        </w:tc>
        <w:tc>
          <w:tcPr>
            <w:tcW w:w="1710" w:type="dxa"/>
            <w:tcBorders>
              <w:top w:val="nil"/>
              <w:left w:val="nil"/>
              <w:bottom w:val="single" w:sz="4" w:space="0" w:color="auto"/>
              <w:right w:val="single" w:sz="4" w:space="0" w:color="auto"/>
            </w:tcBorders>
            <w:vAlign w:val="center"/>
          </w:tcPr>
          <w:p w14:paraId="55DDE1F4" w14:textId="5FC189CE" w:rsidR="0036160B" w:rsidRPr="009E1F1D" w:rsidRDefault="0036160B" w:rsidP="0036160B">
            <w:pPr>
              <w:rPr>
                <w:rFonts w:ascii="Calibri" w:hAnsi="Calibri" w:cs="Calibri"/>
                <w:color w:val="000000"/>
                <w:sz w:val="22"/>
                <w:szCs w:val="22"/>
              </w:rPr>
            </w:pPr>
            <w:r w:rsidRPr="00D0217E">
              <w:rPr>
                <w:color w:val="000000"/>
              </w:rPr>
              <w:t>Performance alignment</w:t>
            </w:r>
          </w:p>
        </w:tc>
        <w:tc>
          <w:tcPr>
            <w:tcW w:w="1980" w:type="dxa"/>
            <w:tcBorders>
              <w:top w:val="nil"/>
              <w:left w:val="nil"/>
              <w:bottom w:val="single" w:sz="4" w:space="0" w:color="auto"/>
              <w:right w:val="single" w:sz="4" w:space="0" w:color="auto"/>
            </w:tcBorders>
            <w:vAlign w:val="center"/>
          </w:tcPr>
          <w:p w14:paraId="3C3229A7" w14:textId="1ED08B77" w:rsidR="0036160B" w:rsidRPr="009E1F1D" w:rsidRDefault="0036160B" w:rsidP="0036160B">
            <w:pPr>
              <w:rPr>
                <w:rFonts w:ascii="Calibri" w:hAnsi="Calibri" w:cs="Calibri"/>
                <w:color w:val="000000"/>
                <w:sz w:val="22"/>
                <w:szCs w:val="22"/>
              </w:rPr>
            </w:pPr>
            <w:r w:rsidRPr="00D0217E">
              <w:rPr>
                <w:color w:val="000000"/>
              </w:rPr>
              <w:t>Incentive pressure</w:t>
            </w:r>
          </w:p>
        </w:tc>
        <w:tc>
          <w:tcPr>
            <w:tcW w:w="1260" w:type="dxa"/>
            <w:tcBorders>
              <w:top w:val="nil"/>
              <w:left w:val="nil"/>
              <w:bottom w:val="single" w:sz="4" w:space="0" w:color="auto"/>
              <w:right w:val="single" w:sz="4" w:space="0" w:color="auto"/>
            </w:tcBorders>
            <w:vAlign w:val="center"/>
          </w:tcPr>
          <w:p w14:paraId="6B74C79A" w14:textId="41830FB9" w:rsidR="0036160B" w:rsidRPr="009E1F1D" w:rsidRDefault="0036160B" w:rsidP="0036160B">
            <w:pPr>
              <w:rPr>
                <w:rFonts w:ascii="Calibri" w:hAnsi="Calibri" w:cs="Calibri"/>
                <w:color w:val="000000"/>
                <w:sz w:val="22"/>
                <w:szCs w:val="22"/>
              </w:rPr>
            </w:pPr>
            <w:r w:rsidRPr="00D0217E">
              <w:rPr>
                <w:color w:val="000000"/>
              </w:rPr>
              <w:t>Managerial performance</w:t>
            </w:r>
          </w:p>
        </w:tc>
        <w:tc>
          <w:tcPr>
            <w:tcW w:w="1530" w:type="dxa"/>
            <w:tcBorders>
              <w:top w:val="nil"/>
              <w:left w:val="nil"/>
              <w:bottom w:val="single" w:sz="4" w:space="0" w:color="auto"/>
              <w:right w:val="single" w:sz="4" w:space="0" w:color="auto"/>
            </w:tcBorders>
            <w:hideMark/>
          </w:tcPr>
          <w:p w14:paraId="7A1A5A46"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Pay-performance sensitivity is related to incentive alignment</w:t>
            </w:r>
          </w:p>
        </w:tc>
        <w:tc>
          <w:tcPr>
            <w:tcW w:w="1440" w:type="dxa"/>
            <w:tcBorders>
              <w:top w:val="nil"/>
              <w:left w:val="nil"/>
              <w:bottom w:val="single" w:sz="4" w:space="0" w:color="auto"/>
              <w:right w:val="single" w:sz="4" w:space="0" w:color="auto"/>
            </w:tcBorders>
          </w:tcPr>
          <w:p w14:paraId="68472CA1" w14:textId="7143DCBC" w:rsidR="0036160B" w:rsidRPr="009E1F1D" w:rsidRDefault="0000579E" w:rsidP="0036160B">
            <w:pPr>
              <w:rPr>
                <w:rFonts w:ascii="Calibri" w:hAnsi="Calibri" w:cs="Calibri"/>
                <w:color w:val="000000"/>
                <w:sz w:val="22"/>
                <w:szCs w:val="22"/>
              </w:rPr>
            </w:pPr>
            <w:r w:rsidRPr="004B62CF">
              <w:rPr>
                <w:rFonts w:ascii="Calibri" w:hAnsi="Calibri" w:cs="Calibri"/>
                <w:color w:val="000000"/>
                <w:sz w:val="22"/>
                <w:szCs w:val="22"/>
              </w:rPr>
              <w:t>P</w:t>
            </w:r>
            <w:r w:rsidR="00F638BC">
              <w:rPr>
                <w:rFonts w:ascii="Calibri" w:hAnsi="Calibri" w:cs="Calibri"/>
                <w:color w:val="000000"/>
                <w:sz w:val="22"/>
                <w:szCs w:val="22"/>
              </w:rPr>
              <w:t>B</w:t>
            </w:r>
            <w:r w:rsidRPr="004B62CF">
              <w:rPr>
                <w:rFonts w:ascii="Calibri" w:hAnsi="Calibri" w:cs="Calibri"/>
                <w:color w:val="000000"/>
                <w:sz w:val="22"/>
                <w:szCs w:val="22"/>
              </w:rPr>
              <w:t>P, wage inequality</w:t>
            </w:r>
          </w:p>
        </w:tc>
        <w:tc>
          <w:tcPr>
            <w:tcW w:w="236" w:type="dxa"/>
            <w:tcBorders>
              <w:top w:val="nil"/>
              <w:left w:val="nil"/>
              <w:bottom w:val="single" w:sz="4" w:space="0" w:color="auto"/>
              <w:right w:val="single" w:sz="4" w:space="0" w:color="auto"/>
            </w:tcBorders>
          </w:tcPr>
          <w:p w14:paraId="0D881DD1" w14:textId="663A3882"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9ECA209" w14:textId="45663BA3" w:rsidR="0036160B" w:rsidRPr="009E1F1D" w:rsidRDefault="0036160B" w:rsidP="0036160B">
            <w:pPr>
              <w:rPr>
                <w:rFonts w:ascii="Calibri" w:hAnsi="Calibri" w:cs="Calibri"/>
                <w:color w:val="000000"/>
                <w:sz w:val="22"/>
                <w:szCs w:val="22"/>
              </w:rPr>
            </w:pPr>
          </w:p>
        </w:tc>
      </w:tr>
      <w:tr w:rsidR="002A58DC" w:rsidRPr="009E1F1D" w14:paraId="71E3FF86"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139BC61A"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lastRenderedPageBreak/>
              <w:t>85</w:t>
            </w:r>
          </w:p>
        </w:tc>
        <w:tc>
          <w:tcPr>
            <w:tcW w:w="1260" w:type="dxa"/>
            <w:tcBorders>
              <w:top w:val="nil"/>
              <w:left w:val="nil"/>
              <w:bottom w:val="single" w:sz="4" w:space="0" w:color="auto"/>
              <w:right w:val="single" w:sz="4" w:space="0" w:color="auto"/>
            </w:tcBorders>
            <w:hideMark/>
          </w:tcPr>
          <w:p w14:paraId="5A0B90BC" w14:textId="4D916D66" w:rsidR="0036160B" w:rsidRPr="009E1F1D" w:rsidRDefault="0036160B" w:rsidP="0036160B">
            <w:pPr>
              <w:rPr>
                <w:rFonts w:ascii="Calibri" w:hAnsi="Calibri" w:cs="Calibri"/>
                <w:color w:val="000000"/>
                <w:sz w:val="22"/>
                <w:szCs w:val="22"/>
              </w:rPr>
            </w:pPr>
            <w:r w:rsidRPr="00394C6D">
              <w:rPr>
                <w:rFonts w:ascii="-webkit-standard" w:hAnsi="-webkit-standard"/>
                <w:color w:val="000000"/>
                <w:sz w:val="22"/>
                <w:szCs w:val="22"/>
              </w:rPr>
              <w:t>The incidence and determinants of performance pay</w:t>
            </w:r>
          </w:p>
        </w:tc>
        <w:tc>
          <w:tcPr>
            <w:tcW w:w="1530" w:type="dxa"/>
            <w:tcBorders>
              <w:top w:val="nil"/>
              <w:left w:val="nil"/>
              <w:bottom w:val="single" w:sz="4" w:space="0" w:color="auto"/>
              <w:right w:val="single" w:sz="4" w:space="0" w:color="auto"/>
            </w:tcBorders>
            <w:hideMark/>
          </w:tcPr>
          <w:p w14:paraId="08BC6C78"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Lemieux, T., MacLeod, W.B. &amp; Parent, D.</w:t>
            </w:r>
          </w:p>
        </w:tc>
        <w:tc>
          <w:tcPr>
            <w:tcW w:w="720" w:type="dxa"/>
            <w:tcBorders>
              <w:top w:val="nil"/>
              <w:left w:val="nil"/>
              <w:bottom w:val="single" w:sz="4" w:space="0" w:color="auto"/>
              <w:right w:val="single" w:sz="4" w:space="0" w:color="auto"/>
            </w:tcBorders>
            <w:hideMark/>
          </w:tcPr>
          <w:p w14:paraId="3F99E7D9"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2009</w:t>
            </w:r>
          </w:p>
        </w:tc>
        <w:tc>
          <w:tcPr>
            <w:tcW w:w="1710" w:type="dxa"/>
            <w:tcBorders>
              <w:top w:val="nil"/>
              <w:left w:val="nil"/>
              <w:bottom w:val="single" w:sz="4" w:space="0" w:color="auto"/>
              <w:right w:val="single" w:sz="4" w:space="0" w:color="auto"/>
            </w:tcBorders>
          </w:tcPr>
          <w:p w14:paraId="0E6048C6" w14:textId="059C1D37" w:rsidR="0036160B" w:rsidRPr="009E1F1D" w:rsidRDefault="0036160B" w:rsidP="0036160B">
            <w:pPr>
              <w:rPr>
                <w:rFonts w:ascii="Calibri" w:hAnsi="Calibri" w:cs="Calibri"/>
                <w:color w:val="000000"/>
                <w:sz w:val="22"/>
                <w:szCs w:val="22"/>
              </w:rPr>
            </w:pPr>
            <w:proofErr w:type="spellStart"/>
            <w:r w:rsidRPr="00F0534D">
              <w:rPr>
                <w:rFonts w:ascii="Calibri" w:hAnsi="Calibri" w:cs="Calibri"/>
                <w:color w:val="000000"/>
                <w:sz w:val="22"/>
                <w:szCs w:val="22"/>
              </w:rPr>
              <w:t>Labour</w:t>
            </w:r>
            <w:proofErr w:type="spellEnd"/>
            <w:r w:rsidRPr="00F0534D">
              <w:rPr>
                <w:rFonts w:ascii="Calibri" w:hAnsi="Calibri" w:cs="Calibri"/>
                <w:color w:val="000000"/>
                <w:sz w:val="22"/>
                <w:szCs w:val="22"/>
              </w:rPr>
              <w:t xml:space="preserve"> economics</w:t>
            </w:r>
          </w:p>
        </w:tc>
        <w:tc>
          <w:tcPr>
            <w:tcW w:w="1710" w:type="dxa"/>
            <w:tcBorders>
              <w:top w:val="nil"/>
              <w:left w:val="nil"/>
              <w:bottom w:val="single" w:sz="4" w:space="0" w:color="auto"/>
              <w:right w:val="single" w:sz="4" w:space="0" w:color="auto"/>
            </w:tcBorders>
            <w:vAlign w:val="center"/>
          </w:tcPr>
          <w:p w14:paraId="1ED49EB6" w14:textId="2CA32FF2" w:rsidR="0036160B" w:rsidRPr="009E1F1D" w:rsidRDefault="0036160B" w:rsidP="0036160B">
            <w:pPr>
              <w:rPr>
                <w:rFonts w:ascii="Calibri" w:hAnsi="Calibri" w:cs="Calibri"/>
                <w:color w:val="000000"/>
                <w:sz w:val="22"/>
                <w:szCs w:val="22"/>
              </w:rPr>
            </w:pPr>
            <w:r w:rsidRPr="00D0217E">
              <w:rPr>
                <w:color w:val="000000"/>
              </w:rPr>
              <w:t>Performance rewards</w:t>
            </w:r>
          </w:p>
        </w:tc>
        <w:tc>
          <w:tcPr>
            <w:tcW w:w="1980" w:type="dxa"/>
            <w:tcBorders>
              <w:top w:val="nil"/>
              <w:left w:val="nil"/>
              <w:bottom w:val="single" w:sz="4" w:space="0" w:color="auto"/>
              <w:right w:val="single" w:sz="4" w:space="0" w:color="auto"/>
            </w:tcBorders>
            <w:vAlign w:val="center"/>
          </w:tcPr>
          <w:p w14:paraId="5DD96A3B" w14:textId="0B7313AF" w:rsidR="0036160B" w:rsidRPr="009E1F1D" w:rsidRDefault="0036160B" w:rsidP="0036160B">
            <w:pPr>
              <w:rPr>
                <w:rFonts w:ascii="Calibri" w:hAnsi="Calibri" w:cs="Calibri"/>
                <w:color w:val="000000"/>
                <w:sz w:val="22"/>
                <w:szCs w:val="22"/>
              </w:rPr>
            </w:pPr>
            <w:r w:rsidRPr="00D0217E">
              <w:rPr>
                <w:color w:val="000000"/>
              </w:rPr>
              <w:t>Wage inequality</w:t>
            </w:r>
          </w:p>
        </w:tc>
        <w:tc>
          <w:tcPr>
            <w:tcW w:w="1260" w:type="dxa"/>
            <w:tcBorders>
              <w:top w:val="nil"/>
              <w:left w:val="nil"/>
              <w:bottom w:val="single" w:sz="4" w:space="0" w:color="auto"/>
              <w:right w:val="single" w:sz="4" w:space="0" w:color="auto"/>
            </w:tcBorders>
            <w:vAlign w:val="center"/>
          </w:tcPr>
          <w:p w14:paraId="78CD4986" w14:textId="58C6DFF6" w:rsidR="0036160B" w:rsidRPr="009E1F1D" w:rsidRDefault="0036160B" w:rsidP="0036160B">
            <w:pPr>
              <w:rPr>
                <w:rFonts w:ascii="Calibri" w:hAnsi="Calibri" w:cs="Calibri"/>
                <w:color w:val="000000"/>
                <w:sz w:val="22"/>
                <w:szCs w:val="22"/>
              </w:rPr>
            </w:pPr>
            <w:r w:rsidRPr="00D0217E">
              <w:rPr>
                <w:color w:val="000000"/>
              </w:rPr>
              <w:t>Earnings inequality</w:t>
            </w:r>
          </w:p>
        </w:tc>
        <w:tc>
          <w:tcPr>
            <w:tcW w:w="1530" w:type="dxa"/>
            <w:tcBorders>
              <w:top w:val="nil"/>
              <w:left w:val="nil"/>
              <w:bottom w:val="single" w:sz="4" w:space="0" w:color="auto"/>
              <w:right w:val="single" w:sz="4" w:space="0" w:color="auto"/>
            </w:tcBorders>
            <w:hideMark/>
          </w:tcPr>
          <w:p w14:paraId="768A8FB0"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Growth in performance pay can explain part of wage inequality</w:t>
            </w:r>
          </w:p>
        </w:tc>
        <w:tc>
          <w:tcPr>
            <w:tcW w:w="1440" w:type="dxa"/>
            <w:tcBorders>
              <w:top w:val="nil"/>
              <w:left w:val="nil"/>
              <w:bottom w:val="single" w:sz="4" w:space="0" w:color="auto"/>
              <w:right w:val="single" w:sz="4" w:space="0" w:color="auto"/>
            </w:tcBorders>
          </w:tcPr>
          <w:p w14:paraId="607BD822" w14:textId="3E4E5AE8" w:rsidR="0036160B" w:rsidRPr="009E1F1D" w:rsidRDefault="00C218E1" w:rsidP="0036160B">
            <w:pPr>
              <w:rPr>
                <w:rFonts w:ascii="Calibri" w:hAnsi="Calibri" w:cs="Calibri"/>
                <w:color w:val="000000"/>
                <w:sz w:val="22"/>
                <w:szCs w:val="22"/>
              </w:rPr>
            </w:pPr>
            <w:r w:rsidRPr="004B62CF">
              <w:rPr>
                <w:rFonts w:ascii="Calibri" w:hAnsi="Calibri" w:cs="Calibri"/>
                <w:color w:val="000000"/>
                <w:sz w:val="22"/>
                <w:szCs w:val="22"/>
              </w:rPr>
              <w:t>P</w:t>
            </w:r>
            <w:r w:rsidR="00F638BC">
              <w:rPr>
                <w:rFonts w:ascii="Calibri" w:hAnsi="Calibri" w:cs="Calibri"/>
                <w:color w:val="000000"/>
                <w:sz w:val="22"/>
                <w:szCs w:val="22"/>
              </w:rPr>
              <w:t>B</w:t>
            </w:r>
            <w:r w:rsidRPr="004B62CF">
              <w:rPr>
                <w:rFonts w:ascii="Calibri" w:hAnsi="Calibri" w:cs="Calibri"/>
                <w:color w:val="000000"/>
                <w:sz w:val="22"/>
                <w:szCs w:val="22"/>
              </w:rPr>
              <w:t>P, job characteristics</w:t>
            </w:r>
          </w:p>
        </w:tc>
        <w:tc>
          <w:tcPr>
            <w:tcW w:w="236" w:type="dxa"/>
            <w:tcBorders>
              <w:top w:val="nil"/>
              <w:left w:val="nil"/>
              <w:bottom w:val="single" w:sz="4" w:space="0" w:color="auto"/>
              <w:right w:val="single" w:sz="4" w:space="0" w:color="auto"/>
            </w:tcBorders>
          </w:tcPr>
          <w:p w14:paraId="0A1F7B34" w14:textId="6296B202"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4C62E1D" w14:textId="7E0AB441" w:rsidR="0036160B" w:rsidRPr="009E1F1D" w:rsidRDefault="0036160B" w:rsidP="0036160B">
            <w:pPr>
              <w:rPr>
                <w:rFonts w:ascii="Calibri" w:hAnsi="Calibri" w:cs="Calibri"/>
                <w:color w:val="000000"/>
                <w:sz w:val="22"/>
                <w:szCs w:val="22"/>
              </w:rPr>
            </w:pPr>
          </w:p>
        </w:tc>
      </w:tr>
      <w:tr w:rsidR="002A58DC" w:rsidRPr="009E1F1D" w14:paraId="6A5AAC78"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2CEB496"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86</w:t>
            </w:r>
          </w:p>
        </w:tc>
        <w:tc>
          <w:tcPr>
            <w:tcW w:w="1260" w:type="dxa"/>
            <w:tcBorders>
              <w:top w:val="nil"/>
              <w:left w:val="nil"/>
              <w:bottom w:val="single" w:sz="4" w:space="0" w:color="auto"/>
              <w:right w:val="single" w:sz="4" w:space="0" w:color="auto"/>
            </w:tcBorders>
            <w:hideMark/>
          </w:tcPr>
          <w:p w14:paraId="5EF2B089"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The Incidence and Determinants of Performance Pay</w:t>
            </w:r>
          </w:p>
        </w:tc>
        <w:tc>
          <w:tcPr>
            <w:tcW w:w="1530" w:type="dxa"/>
            <w:tcBorders>
              <w:top w:val="nil"/>
              <w:left w:val="nil"/>
              <w:bottom w:val="single" w:sz="4" w:space="0" w:color="auto"/>
              <w:right w:val="single" w:sz="4" w:space="0" w:color="auto"/>
            </w:tcBorders>
            <w:hideMark/>
          </w:tcPr>
          <w:p w14:paraId="1F6B7401"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Lemieux, T., MacLeod, W.B. &amp; Parent, D.</w:t>
            </w:r>
          </w:p>
        </w:tc>
        <w:tc>
          <w:tcPr>
            <w:tcW w:w="720" w:type="dxa"/>
            <w:tcBorders>
              <w:top w:val="nil"/>
              <w:left w:val="nil"/>
              <w:bottom w:val="single" w:sz="4" w:space="0" w:color="auto"/>
              <w:right w:val="single" w:sz="4" w:space="0" w:color="auto"/>
            </w:tcBorders>
            <w:hideMark/>
          </w:tcPr>
          <w:p w14:paraId="784E03FB"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2009</w:t>
            </w:r>
          </w:p>
        </w:tc>
        <w:tc>
          <w:tcPr>
            <w:tcW w:w="1710" w:type="dxa"/>
            <w:tcBorders>
              <w:top w:val="nil"/>
              <w:left w:val="nil"/>
              <w:bottom w:val="single" w:sz="4" w:space="0" w:color="auto"/>
              <w:right w:val="single" w:sz="4" w:space="0" w:color="auto"/>
            </w:tcBorders>
          </w:tcPr>
          <w:p w14:paraId="63FBA82C" w14:textId="28A90AAB" w:rsidR="0036160B" w:rsidRPr="009E1F1D" w:rsidRDefault="0036160B" w:rsidP="0036160B">
            <w:pPr>
              <w:rPr>
                <w:rFonts w:ascii="Calibri" w:hAnsi="Calibri" w:cs="Calibri"/>
                <w:color w:val="000000"/>
                <w:sz w:val="22"/>
                <w:szCs w:val="22"/>
              </w:rPr>
            </w:pPr>
            <w:proofErr w:type="spellStart"/>
            <w:r w:rsidRPr="00F0534D">
              <w:rPr>
                <w:rFonts w:ascii="Calibri" w:hAnsi="Calibri" w:cs="Calibri"/>
                <w:color w:val="000000"/>
                <w:sz w:val="22"/>
                <w:szCs w:val="22"/>
              </w:rPr>
              <w:t>Labour</w:t>
            </w:r>
            <w:proofErr w:type="spellEnd"/>
            <w:r w:rsidRPr="00F0534D">
              <w:rPr>
                <w:rFonts w:ascii="Calibri" w:hAnsi="Calibri" w:cs="Calibri"/>
                <w:color w:val="000000"/>
                <w:sz w:val="22"/>
                <w:szCs w:val="22"/>
              </w:rPr>
              <w:t xml:space="preserve"> economics</w:t>
            </w:r>
          </w:p>
        </w:tc>
        <w:tc>
          <w:tcPr>
            <w:tcW w:w="1710" w:type="dxa"/>
            <w:tcBorders>
              <w:top w:val="nil"/>
              <w:left w:val="nil"/>
              <w:bottom w:val="single" w:sz="4" w:space="0" w:color="auto"/>
              <w:right w:val="single" w:sz="4" w:space="0" w:color="auto"/>
            </w:tcBorders>
            <w:vAlign w:val="center"/>
          </w:tcPr>
          <w:p w14:paraId="486F80B7" w14:textId="7D42F6CF" w:rsidR="0036160B" w:rsidRPr="009E1F1D" w:rsidRDefault="0036160B" w:rsidP="0036160B">
            <w:pPr>
              <w:rPr>
                <w:rFonts w:ascii="Calibri" w:hAnsi="Calibri" w:cs="Calibri"/>
                <w:color w:val="000000"/>
                <w:sz w:val="22"/>
                <w:szCs w:val="22"/>
              </w:rPr>
            </w:pPr>
            <w:r w:rsidRPr="00D0217E">
              <w:rPr>
                <w:color w:val="000000"/>
              </w:rPr>
              <w:t>Incentive availability</w:t>
            </w:r>
          </w:p>
        </w:tc>
        <w:tc>
          <w:tcPr>
            <w:tcW w:w="1980" w:type="dxa"/>
            <w:tcBorders>
              <w:top w:val="nil"/>
              <w:left w:val="nil"/>
              <w:bottom w:val="single" w:sz="4" w:space="0" w:color="auto"/>
              <w:right w:val="single" w:sz="4" w:space="0" w:color="auto"/>
            </w:tcBorders>
            <w:vAlign w:val="center"/>
          </w:tcPr>
          <w:p w14:paraId="78A9D96C" w14:textId="0D035F6F" w:rsidR="0036160B" w:rsidRPr="009E1F1D" w:rsidRDefault="0036160B" w:rsidP="0036160B">
            <w:pPr>
              <w:rPr>
                <w:rFonts w:ascii="Calibri" w:hAnsi="Calibri" w:cs="Calibri"/>
                <w:color w:val="000000"/>
                <w:sz w:val="22"/>
                <w:szCs w:val="22"/>
              </w:rPr>
            </w:pPr>
            <w:r w:rsidRPr="00D0217E">
              <w:rPr>
                <w:color w:val="000000"/>
              </w:rPr>
              <w:t>Unequal access</w:t>
            </w:r>
          </w:p>
        </w:tc>
        <w:tc>
          <w:tcPr>
            <w:tcW w:w="1260" w:type="dxa"/>
            <w:tcBorders>
              <w:top w:val="nil"/>
              <w:left w:val="nil"/>
              <w:bottom w:val="single" w:sz="4" w:space="0" w:color="auto"/>
              <w:right w:val="single" w:sz="4" w:space="0" w:color="auto"/>
            </w:tcBorders>
            <w:vAlign w:val="center"/>
          </w:tcPr>
          <w:p w14:paraId="2707087C" w14:textId="5570DF18" w:rsidR="0036160B" w:rsidRPr="009E1F1D" w:rsidRDefault="0036160B" w:rsidP="0036160B">
            <w:pPr>
              <w:rPr>
                <w:rFonts w:ascii="Calibri" w:hAnsi="Calibri" w:cs="Calibri"/>
                <w:color w:val="000000"/>
                <w:sz w:val="22"/>
                <w:szCs w:val="22"/>
              </w:rPr>
            </w:pPr>
            <w:r w:rsidRPr="00D0217E">
              <w:rPr>
                <w:color w:val="000000"/>
              </w:rPr>
              <w:t>Wage outcomes</w:t>
            </w:r>
          </w:p>
        </w:tc>
        <w:tc>
          <w:tcPr>
            <w:tcW w:w="1530" w:type="dxa"/>
            <w:tcBorders>
              <w:top w:val="nil"/>
              <w:left w:val="nil"/>
              <w:bottom w:val="single" w:sz="4" w:space="0" w:color="auto"/>
              <w:right w:val="single" w:sz="4" w:space="0" w:color="auto"/>
            </w:tcBorders>
            <w:hideMark/>
          </w:tcPr>
          <w:p w14:paraId="53DD4773"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Performance pay is associated with worker and job characteristics</w:t>
            </w:r>
          </w:p>
        </w:tc>
        <w:tc>
          <w:tcPr>
            <w:tcW w:w="1440" w:type="dxa"/>
            <w:tcBorders>
              <w:top w:val="nil"/>
              <w:left w:val="nil"/>
              <w:bottom w:val="single" w:sz="4" w:space="0" w:color="auto"/>
              <w:right w:val="single" w:sz="4" w:space="0" w:color="auto"/>
            </w:tcBorders>
          </w:tcPr>
          <w:p w14:paraId="1D7726A1" w14:textId="768C29A5" w:rsidR="0036160B" w:rsidRPr="009E1F1D" w:rsidRDefault="005E7136" w:rsidP="0036160B">
            <w:pPr>
              <w:rPr>
                <w:rFonts w:ascii="Calibri" w:hAnsi="Calibri" w:cs="Calibri"/>
                <w:color w:val="000000"/>
                <w:sz w:val="22"/>
                <w:szCs w:val="22"/>
              </w:rPr>
            </w:pPr>
            <w:r w:rsidRPr="004B62CF">
              <w:rPr>
                <w:rFonts w:ascii="Calibri" w:hAnsi="Calibri" w:cs="Calibri"/>
                <w:color w:val="000000"/>
                <w:sz w:val="22"/>
                <w:szCs w:val="22"/>
              </w:rPr>
              <w:t>P</w:t>
            </w:r>
            <w:r w:rsidR="00F638BC">
              <w:rPr>
                <w:rFonts w:ascii="Calibri" w:hAnsi="Calibri" w:cs="Calibri"/>
                <w:color w:val="000000"/>
                <w:sz w:val="22"/>
                <w:szCs w:val="22"/>
              </w:rPr>
              <w:t>B</w:t>
            </w:r>
            <w:r w:rsidRPr="004B62CF">
              <w:rPr>
                <w:rFonts w:ascii="Calibri" w:hAnsi="Calibri" w:cs="Calibri"/>
                <w:color w:val="000000"/>
                <w:sz w:val="22"/>
                <w:szCs w:val="22"/>
              </w:rPr>
              <w:t>P adoption, measurement</w:t>
            </w:r>
          </w:p>
        </w:tc>
        <w:tc>
          <w:tcPr>
            <w:tcW w:w="236" w:type="dxa"/>
            <w:tcBorders>
              <w:top w:val="nil"/>
              <w:left w:val="nil"/>
              <w:bottom w:val="single" w:sz="4" w:space="0" w:color="auto"/>
              <w:right w:val="single" w:sz="4" w:space="0" w:color="auto"/>
            </w:tcBorders>
          </w:tcPr>
          <w:p w14:paraId="7F11BC56" w14:textId="4A37EE50"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67324E1" w14:textId="7BB20BDC" w:rsidR="0036160B" w:rsidRPr="009E1F1D" w:rsidRDefault="0036160B" w:rsidP="0036160B">
            <w:pPr>
              <w:rPr>
                <w:rFonts w:ascii="Calibri" w:hAnsi="Calibri" w:cs="Calibri"/>
                <w:color w:val="000000"/>
                <w:sz w:val="22"/>
                <w:szCs w:val="22"/>
              </w:rPr>
            </w:pPr>
          </w:p>
        </w:tc>
      </w:tr>
      <w:tr w:rsidR="002A58DC" w:rsidRPr="009E1F1D" w14:paraId="2D815FF5"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3397648A"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87</w:t>
            </w:r>
          </w:p>
        </w:tc>
        <w:tc>
          <w:tcPr>
            <w:tcW w:w="1260" w:type="dxa"/>
            <w:tcBorders>
              <w:top w:val="nil"/>
              <w:left w:val="nil"/>
              <w:bottom w:val="single" w:sz="4" w:space="0" w:color="auto"/>
              <w:right w:val="single" w:sz="4" w:space="0" w:color="auto"/>
            </w:tcBorders>
            <w:hideMark/>
          </w:tcPr>
          <w:p w14:paraId="51F8E004"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Why Do Firms Pay for Performance?</w:t>
            </w:r>
          </w:p>
        </w:tc>
        <w:tc>
          <w:tcPr>
            <w:tcW w:w="1530" w:type="dxa"/>
            <w:tcBorders>
              <w:top w:val="nil"/>
              <w:left w:val="nil"/>
              <w:bottom w:val="single" w:sz="4" w:space="0" w:color="auto"/>
              <w:right w:val="single" w:sz="4" w:space="0" w:color="auto"/>
            </w:tcBorders>
            <w:hideMark/>
          </w:tcPr>
          <w:p w14:paraId="53B6EA25"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Lazear, E.P.</w:t>
            </w:r>
          </w:p>
        </w:tc>
        <w:tc>
          <w:tcPr>
            <w:tcW w:w="720" w:type="dxa"/>
            <w:tcBorders>
              <w:top w:val="nil"/>
              <w:left w:val="nil"/>
              <w:bottom w:val="single" w:sz="4" w:space="0" w:color="auto"/>
              <w:right w:val="single" w:sz="4" w:space="0" w:color="auto"/>
            </w:tcBorders>
            <w:hideMark/>
          </w:tcPr>
          <w:p w14:paraId="2B416E7A"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1989</w:t>
            </w:r>
          </w:p>
        </w:tc>
        <w:tc>
          <w:tcPr>
            <w:tcW w:w="1710" w:type="dxa"/>
            <w:tcBorders>
              <w:top w:val="nil"/>
              <w:left w:val="nil"/>
              <w:bottom w:val="single" w:sz="4" w:space="0" w:color="auto"/>
              <w:right w:val="single" w:sz="4" w:space="0" w:color="auto"/>
            </w:tcBorders>
          </w:tcPr>
          <w:p w14:paraId="0837FA6B" w14:textId="3C7A7D01"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668E81E8" w14:textId="039E0C83" w:rsidR="0036160B" w:rsidRPr="009E1F1D" w:rsidRDefault="0036160B" w:rsidP="0036160B">
            <w:pPr>
              <w:rPr>
                <w:rFonts w:ascii="Calibri" w:hAnsi="Calibri" w:cs="Calibri"/>
                <w:color w:val="000000"/>
                <w:sz w:val="22"/>
                <w:szCs w:val="22"/>
              </w:rPr>
            </w:pPr>
            <w:r w:rsidRPr="00D0217E">
              <w:rPr>
                <w:color w:val="000000"/>
              </w:rPr>
              <w:t>Incentive motivation</w:t>
            </w:r>
          </w:p>
        </w:tc>
        <w:tc>
          <w:tcPr>
            <w:tcW w:w="1980" w:type="dxa"/>
            <w:tcBorders>
              <w:top w:val="nil"/>
              <w:left w:val="nil"/>
              <w:bottom w:val="single" w:sz="4" w:space="0" w:color="auto"/>
              <w:right w:val="single" w:sz="4" w:space="0" w:color="auto"/>
            </w:tcBorders>
            <w:vAlign w:val="center"/>
          </w:tcPr>
          <w:p w14:paraId="041A937A" w14:textId="6152B183" w:rsidR="0036160B" w:rsidRPr="009E1F1D" w:rsidRDefault="0036160B" w:rsidP="0036160B">
            <w:pPr>
              <w:rPr>
                <w:rFonts w:ascii="Calibri" w:hAnsi="Calibri" w:cs="Calibri"/>
                <w:color w:val="000000"/>
                <w:sz w:val="22"/>
                <w:szCs w:val="22"/>
              </w:rPr>
            </w:pPr>
            <w:r w:rsidRPr="00D0217E">
              <w:rPr>
                <w:color w:val="000000"/>
              </w:rPr>
              <w:t>Risk exposure</w:t>
            </w:r>
          </w:p>
        </w:tc>
        <w:tc>
          <w:tcPr>
            <w:tcW w:w="1260" w:type="dxa"/>
            <w:tcBorders>
              <w:top w:val="nil"/>
              <w:left w:val="nil"/>
              <w:bottom w:val="single" w:sz="4" w:space="0" w:color="auto"/>
              <w:right w:val="single" w:sz="4" w:space="0" w:color="auto"/>
            </w:tcBorders>
            <w:vAlign w:val="center"/>
          </w:tcPr>
          <w:p w14:paraId="0A985BE8" w14:textId="3C70EA12" w:rsidR="0036160B" w:rsidRPr="009E1F1D" w:rsidRDefault="0036160B" w:rsidP="0036160B">
            <w:pPr>
              <w:rPr>
                <w:rFonts w:ascii="Calibri" w:hAnsi="Calibri" w:cs="Calibri"/>
                <w:color w:val="000000"/>
                <w:sz w:val="22"/>
                <w:szCs w:val="22"/>
              </w:rPr>
            </w:pPr>
            <w:r w:rsidRPr="00D0217E">
              <w:rPr>
                <w:color w:val="000000"/>
              </w:rPr>
              <w:t>Employee productivity</w:t>
            </w:r>
          </w:p>
        </w:tc>
        <w:tc>
          <w:tcPr>
            <w:tcW w:w="1530" w:type="dxa"/>
            <w:tcBorders>
              <w:top w:val="nil"/>
              <w:left w:val="nil"/>
              <w:bottom w:val="single" w:sz="4" w:space="0" w:color="auto"/>
              <w:right w:val="single" w:sz="4" w:space="0" w:color="auto"/>
            </w:tcBorders>
            <w:hideMark/>
          </w:tcPr>
          <w:p w14:paraId="120A89AF"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Firms use performance pay when output is measurable and incentives are valuable</w:t>
            </w:r>
          </w:p>
        </w:tc>
        <w:tc>
          <w:tcPr>
            <w:tcW w:w="1440" w:type="dxa"/>
            <w:tcBorders>
              <w:top w:val="nil"/>
              <w:left w:val="nil"/>
              <w:bottom w:val="single" w:sz="4" w:space="0" w:color="auto"/>
              <w:right w:val="single" w:sz="4" w:space="0" w:color="auto"/>
            </w:tcBorders>
          </w:tcPr>
          <w:p w14:paraId="670DB6EE" w14:textId="381B6FF3" w:rsidR="0036160B" w:rsidRPr="009E1F1D" w:rsidRDefault="005A6C4D" w:rsidP="0036160B">
            <w:pPr>
              <w:rPr>
                <w:rFonts w:ascii="Calibri" w:hAnsi="Calibri" w:cs="Calibri"/>
                <w:color w:val="000000"/>
                <w:sz w:val="22"/>
                <w:szCs w:val="22"/>
              </w:rPr>
            </w:pPr>
            <w:r w:rsidRPr="004B62CF">
              <w:rPr>
                <w:rFonts w:ascii="Calibri" w:hAnsi="Calibri" w:cs="Calibri"/>
                <w:color w:val="000000"/>
                <w:sz w:val="22"/>
                <w:szCs w:val="22"/>
              </w:rPr>
              <w:t>Productivity, P</w:t>
            </w:r>
            <w:r w:rsidR="00F638BC">
              <w:rPr>
                <w:rFonts w:ascii="Calibri" w:hAnsi="Calibri" w:cs="Calibri"/>
                <w:color w:val="000000"/>
                <w:sz w:val="22"/>
                <w:szCs w:val="22"/>
              </w:rPr>
              <w:t>B</w:t>
            </w:r>
            <w:r w:rsidRPr="004B62CF">
              <w:rPr>
                <w:rFonts w:ascii="Calibri" w:hAnsi="Calibri" w:cs="Calibri"/>
                <w:color w:val="000000"/>
                <w:sz w:val="22"/>
                <w:szCs w:val="22"/>
              </w:rPr>
              <w:t>P</w:t>
            </w:r>
          </w:p>
        </w:tc>
        <w:tc>
          <w:tcPr>
            <w:tcW w:w="236" w:type="dxa"/>
            <w:tcBorders>
              <w:top w:val="nil"/>
              <w:left w:val="nil"/>
              <w:bottom w:val="single" w:sz="4" w:space="0" w:color="auto"/>
              <w:right w:val="single" w:sz="4" w:space="0" w:color="auto"/>
            </w:tcBorders>
          </w:tcPr>
          <w:p w14:paraId="142FA54D" w14:textId="5EBE4901"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02E5307A" w14:textId="787DE6A3" w:rsidR="0036160B" w:rsidRPr="009E1F1D" w:rsidRDefault="0036160B" w:rsidP="0036160B">
            <w:pPr>
              <w:rPr>
                <w:rFonts w:ascii="Calibri" w:hAnsi="Calibri" w:cs="Calibri"/>
                <w:color w:val="000000"/>
                <w:sz w:val="22"/>
                <w:szCs w:val="22"/>
              </w:rPr>
            </w:pPr>
          </w:p>
        </w:tc>
      </w:tr>
      <w:tr w:rsidR="002A58DC" w:rsidRPr="009E1F1D" w14:paraId="444CF8BF"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74B1737"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88</w:t>
            </w:r>
          </w:p>
        </w:tc>
        <w:tc>
          <w:tcPr>
            <w:tcW w:w="1260" w:type="dxa"/>
            <w:tcBorders>
              <w:top w:val="nil"/>
              <w:left w:val="nil"/>
              <w:bottom w:val="single" w:sz="4" w:space="0" w:color="auto"/>
              <w:right w:val="single" w:sz="4" w:space="0" w:color="auto"/>
            </w:tcBorders>
            <w:hideMark/>
          </w:tcPr>
          <w:p w14:paraId="76C68852"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Performance Pay and Productivity: A Review of the Evidence</w:t>
            </w:r>
          </w:p>
        </w:tc>
        <w:tc>
          <w:tcPr>
            <w:tcW w:w="1530" w:type="dxa"/>
            <w:tcBorders>
              <w:top w:val="nil"/>
              <w:left w:val="nil"/>
              <w:bottom w:val="single" w:sz="4" w:space="0" w:color="auto"/>
              <w:right w:val="single" w:sz="4" w:space="0" w:color="auto"/>
            </w:tcBorders>
            <w:hideMark/>
          </w:tcPr>
          <w:p w14:paraId="3968AED8"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Fang, M. &amp; Gerhart, B.</w:t>
            </w:r>
          </w:p>
        </w:tc>
        <w:tc>
          <w:tcPr>
            <w:tcW w:w="720" w:type="dxa"/>
            <w:tcBorders>
              <w:top w:val="nil"/>
              <w:left w:val="nil"/>
              <w:bottom w:val="single" w:sz="4" w:space="0" w:color="auto"/>
              <w:right w:val="single" w:sz="4" w:space="0" w:color="auto"/>
            </w:tcBorders>
            <w:hideMark/>
          </w:tcPr>
          <w:p w14:paraId="00087475"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2012</w:t>
            </w:r>
          </w:p>
        </w:tc>
        <w:tc>
          <w:tcPr>
            <w:tcW w:w="1710" w:type="dxa"/>
            <w:tcBorders>
              <w:top w:val="nil"/>
              <w:left w:val="nil"/>
              <w:bottom w:val="single" w:sz="4" w:space="0" w:color="auto"/>
              <w:right w:val="single" w:sz="4" w:space="0" w:color="auto"/>
            </w:tcBorders>
          </w:tcPr>
          <w:p w14:paraId="5F6853C4" w14:textId="0384FFB5"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Agency; motivation</w:t>
            </w:r>
          </w:p>
        </w:tc>
        <w:tc>
          <w:tcPr>
            <w:tcW w:w="1710" w:type="dxa"/>
            <w:tcBorders>
              <w:top w:val="nil"/>
              <w:left w:val="nil"/>
              <w:bottom w:val="single" w:sz="4" w:space="0" w:color="auto"/>
              <w:right w:val="single" w:sz="4" w:space="0" w:color="auto"/>
            </w:tcBorders>
            <w:vAlign w:val="center"/>
          </w:tcPr>
          <w:p w14:paraId="406266F0" w14:textId="247837A3" w:rsidR="0036160B" w:rsidRPr="009E1F1D" w:rsidRDefault="0036160B" w:rsidP="0036160B">
            <w:pPr>
              <w:rPr>
                <w:rFonts w:ascii="Calibri" w:hAnsi="Calibri" w:cs="Calibri"/>
                <w:color w:val="000000"/>
                <w:sz w:val="22"/>
                <w:szCs w:val="22"/>
              </w:rPr>
            </w:pPr>
            <w:r w:rsidRPr="00D0217E">
              <w:rPr>
                <w:color w:val="000000"/>
              </w:rPr>
              <w:t>Performance incentives</w:t>
            </w:r>
          </w:p>
        </w:tc>
        <w:tc>
          <w:tcPr>
            <w:tcW w:w="1980" w:type="dxa"/>
            <w:tcBorders>
              <w:top w:val="nil"/>
              <w:left w:val="nil"/>
              <w:bottom w:val="single" w:sz="4" w:space="0" w:color="auto"/>
              <w:right w:val="single" w:sz="4" w:space="0" w:color="auto"/>
            </w:tcBorders>
            <w:vAlign w:val="center"/>
          </w:tcPr>
          <w:p w14:paraId="1A13D969" w14:textId="32FB2C7A" w:rsidR="0036160B" w:rsidRPr="009E1F1D" w:rsidRDefault="0036160B" w:rsidP="0036160B">
            <w:pPr>
              <w:rPr>
                <w:rFonts w:ascii="Calibri" w:hAnsi="Calibri" w:cs="Calibri"/>
                <w:color w:val="000000"/>
                <w:sz w:val="22"/>
                <w:szCs w:val="22"/>
              </w:rPr>
            </w:pPr>
            <w:r w:rsidRPr="00D0217E">
              <w:rPr>
                <w:color w:val="000000"/>
              </w:rPr>
              <w:t>Interest reduction</w:t>
            </w:r>
          </w:p>
        </w:tc>
        <w:tc>
          <w:tcPr>
            <w:tcW w:w="1260" w:type="dxa"/>
            <w:tcBorders>
              <w:top w:val="nil"/>
              <w:left w:val="nil"/>
              <w:bottom w:val="single" w:sz="4" w:space="0" w:color="auto"/>
              <w:right w:val="single" w:sz="4" w:space="0" w:color="auto"/>
            </w:tcBorders>
            <w:vAlign w:val="center"/>
          </w:tcPr>
          <w:p w14:paraId="06884AEB" w14:textId="68E60A00" w:rsidR="0036160B" w:rsidRPr="009E1F1D" w:rsidRDefault="0036160B" w:rsidP="0036160B">
            <w:pPr>
              <w:rPr>
                <w:rFonts w:ascii="Calibri" w:hAnsi="Calibri" w:cs="Calibri"/>
                <w:color w:val="000000"/>
                <w:sz w:val="22"/>
                <w:szCs w:val="22"/>
              </w:rPr>
            </w:pPr>
            <w:r w:rsidRPr="00D0217E">
              <w:rPr>
                <w:color w:val="000000"/>
              </w:rPr>
              <w:t>Intrinsic interest</w:t>
            </w:r>
          </w:p>
        </w:tc>
        <w:tc>
          <w:tcPr>
            <w:tcW w:w="1530" w:type="dxa"/>
            <w:tcBorders>
              <w:top w:val="nil"/>
              <w:left w:val="nil"/>
              <w:bottom w:val="single" w:sz="4" w:space="0" w:color="auto"/>
              <w:right w:val="single" w:sz="4" w:space="0" w:color="auto"/>
            </w:tcBorders>
            <w:hideMark/>
          </w:tcPr>
          <w:p w14:paraId="35AECE92" w14:textId="69084889"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w:t>
            </w:r>
            <w:r w:rsidR="00F638BC">
              <w:rPr>
                <w:rFonts w:ascii="Calibri" w:hAnsi="Calibri" w:cs="Calibri"/>
                <w:color w:val="000000"/>
                <w:sz w:val="22"/>
                <w:szCs w:val="22"/>
              </w:rPr>
              <w:t>B</w:t>
            </w:r>
            <w:r w:rsidRPr="009E1F1D">
              <w:rPr>
                <w:rFonts w:ascii="Calibri" w:hAnsi="Calibri" w:cs="Calibri"/>
                <w:color w:val="000000"/>
                <w:sz w:val="22"/>
                <w:szCs w:val="22"/>
              </w:rPr>
              <w:t>P can improve productivity but effects depend on design and context</w:t>
            </w:r>
          </w:p>
        </w:tc>
        <w:tc>
          <w:tcPr>
            <w:tcW w:w="1440" w:type="dxa"/>
            <w:tcBorders>
              <w:top w:val="nil"/>
              <w:left w:val="nil"/>
              <w:bottom w:val="single" w:sz="4" w:space="0" w:color="auto"/>
              <w:right w:val="single" w:sz="4" w:space="0" w:color="auto"/>
            </w:tcBorders>
          </w:tcPr>
          <w:p w14:paraId="048A1BBE" w14:textId="2275D39E" w:rsidR="0036160B" w:rsidRPr="009E1F1D" w:rsidRDefault="00A44B50" w:rsidP="0036160B">
            <w:pPr>
              <w:rPr>
                <w:rFonts w:ascii="Calibri" w:hAnsi="Calibri" w:cs="Calibri"/>
                <w:color w:val="000000"/>
                <w:sz w:val="22"/>
                <w:szCs w:val="22"/>
              </w:rPr>
            </w:pPr>
            <w:r w:rsidRPr="004B62CF">
              <w:rPr>
                <w:rFonts w:ascii="Calibri" w:hAnsi="Calibri" w:cs="Calibri"/>
                <w:color w:val="000000"/>
                <w:sz w:val="22"/>
                <w:szCs w:val="22"/>
              </w:rPr>
              <w:t>Tournament, incentives</w:t>
            </w:r>
          </w:p>
        </w:tc>
        <w:tc>
          <w:tcPr>
            <w:tcW w:w="236" w:type="dxa"/>
            <w:tcBorders>
              <w:top w:val="nil"/>
              <w:left w:val="nil"/>
              <w:bottom w:val="single" w:sz="4" w:space="0" w:color="auto"/>
              <w:right w:val="single" w:sz="4" w:space="0" w:color="auto"/>
            </w:tcBorders>
          </w:tcPr>
          <w:p w14:paraId="4156F881" w14:textId="45039251"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0883458" w14:textId="1105F4D4" w:rsidR="0036160B" w:rsidRPr="009E1F1D" w:rsidRDefault="0036160B" w:rsidP="0036160B">
            <w:pPr>
              <w:rPr>
                <w:rFonts w:ascii="Calibri" w:hAnsi="Calibri" w:cs="Calibri"/>
                <w:color w:val="000000"/>
                <w:sz w:val="22"/>
                <w:szCs w:val="22"/>
              </w:rPr>
            </w:pPr>
          </w:p>
        </w:tc>
      </w:tr>
      <w:tr w:rsidR="002A58DC" w:rsidRPr="009E1F1D" w14:paraId="61AEC7A1"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7EF9CFD"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89</w:t>
            </w:r>
          </w:p>
        </w:tc>
        <w:tc>
          <w:tcPr>
            <w:tcW w:w="1260" w:type="dxa"/>
            <w:tcBorders>
              <w:top w:val="nil"/>
              <w:left w:val="nil"/>
              <w:bottom w:val="single" w:sz="4" w:space="0" w:color="auto"/>
              <w:right w:val="single" w:sz="4" w:space="0" w:color="auto"/>
            </w:tcBorders>
            <w:hideMark/>
          </w:tcPr>
          <w:p w14:paraId="1E667B71"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Relative Performance Evaluation</w:t>
            </w:r>
          </w:p>
        </w:tc>
        <w:tc>
          <w:tcPr>
            <w:tcW w:w="1530" w:type="dxa"/>
            <w:tcBorders>
              <w:top w:val="nil"/>
              <w:left w:val="nil"/>
              <w:bottom w:val="single" w:sz="4" w:space="0" w:color="auto"/>
              <w:right w:val="single" w:sz="4" w:space="0" w:color="auto"/>
            </w:tcBorders>
            <w:hideMark/>
          </w:tcPr>
          <w:p w14:paraId="5C9A563F"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Lazear, E.P. &amp; Rosen, S.</w:t>
            </w:r>
          </w:p>
        </w:tc>
        <w:tc>
          <w:tcPr>
            <w:tcW w:w="720" w:type="dxa"/>
            <w:tcBorders>
              <w:top w:val="nil"/>
              <w:left w:val="nil"/>
              <w:bottom w:val="single" w:sz="4" w:space="0" w:color="auto"/>
              <w:right w:val="single" w:sz="4" w:space="0" w:color="auto"/>
            </w:tcBorders>
            <w:hideMark/>
          </w:tcPr>
          <w:p w14:paraId="27EB9192"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1981</w:t>
            </w:r>
          </w:p>
        </w:tc>
        <w:tc>
          <w:tcPr>
            <w:tcW w:w="1710" w:type="dxa"/>
            <w:tcBorders>
              <w:top w:val="nil"/>
              <w:left w:val="nil"/>
              <w:bottom w:val="single" w:sz="4" w:space="0" w:color="auto"/>
              <w:right w:val="single" w:sz="4" w:space="0" w:color="auto"/>
            </w:tcBorders>
          </w:tcPr>
          <w:p w14:paraId="133C49FC" w14:textId="6683934A"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Tournament Theory</w:t>
            </w:r>
          </w:p>
        </w:tc>
        <w:tc>
          <w:tcPr>
            <w:tcW w:w="1710" w:type="dxa"/>
            <w:tcBorders>
              <w:top w:val="nil"/>
              <w:left w:val="nil"/>
              <w:bottom w:val="single" w:sz="4" w:space="0" w:color="auto"/>
              <w:right w:val="single" w:sz="4" w:space="0" w:color="auto"/>
            </w:tcBorders>
            <w:vAlign w:val="center"/>
          </w:tcPr>
          <w:p w14:paraId="0AEF0804" w14:textId="48256669" w:rsidR="0036160B" w:rsidRPr="009E1F1D" w:rsidRDefault="0036160B" w:rsidP="0036160B">
            <w:pPr>
              <w:rPr>
                <w:rFonts w:ascii="Calibri" w:hAnsi="Calibri" w:cs="Calibri"/>
                <w:color w:val="000000"/>
                <w:sz w:val="22"/>
                <w:szCs w:val="22"/>
              </w:rPr>
            </w:pPr>
            <w:r w:rsidRPr="00D0217E">
              <w:rPr>
                <w:color w:val="000000"/>
              </w:rPr>
              <w:t>Performance incentives</w:t>
            </w:r>
          </w:p>
        </w:tc>
        <w:tc>
          <w:tcPr>
            <w:tcW w:w="1980" w:type="dxa"/>
            <w:tcBorders>
              <w:top w:val="nil"/>
              <w:left w:val="nil"/>
              <w:bottom w:val="single" w:sz="4" w:space="0" w:color="auto"/>
              <w:right w:val="single" w:sz="4" w:space="0" w:color="auto"/>
            </w:tcBorders>
            <w:vAlign w:val="center"/>
          </w:tcPr>
          <w:p w14:paraId="0F132F2A" w14:textId="5DD6B391" w:rsidR="0036160B" w:rsidRPr="009E1F1D" w:rsidRDefault="0036160B" w:rsidP="0036160B">
            <w:pPr>
              <w:rPr>
                <w:rFonts w:ascii="Calibri" w:hAnsi="Calibri" w:cs="Calibri"/>
                <w:color w:val="000000"/>
                <w:sz w:val="22"/>
                <w:szCs w:val="22"/>
              </w:rPr>
            </w:pPr>
            <w:r w:rsidRPr="00D0217E">
              <w:rPr>
                <w:color w:val="000000"/>
              </w:rPr>
              <w:t>Competitive pressure</w:t>
            </w:r>
          </w:p>
        </w:tc>
        <w:tc>
          <w:tcPr>
            <w:tcW w:w="1260" w:type="dxa"/>
            <w:tcBorders>
              <w:top w:val="nil"/>
              <w:left w:val="nil"/>
              <w:bottom w:val="single" w:sz="4" w:space="0" w:color="auto"/>
              <w:right w:val="single" w:sz="4" w:space="0" w:color="auto"/>
            </w:tcBorders>
            <w:vAlign w:val="center"/>
          </w:tcPr>
          <w:p w14:paraId="6E050A17" w14:textId="10B3B152" w:rsidR="0036160B" w:rsidRPr="009E1F1D" w:rsidRDefault="0036160B" w:rsidP="0036160B">
            <w:pPr>
              <w:rPr>
                <w:rFonts w:ascii="Calibri" w:hAnsi="Calibri" w:cs="Calibri"/>
                <w:color w:val="000000"/>
                <w:sz w:val="22"/>
                <w:szCs w:val="22"/>
              </w:rPr>
            </w:pPr>
            <w:r w:rsidRPr="00D0217E">
              <w:rPr>
                <w:color w:val="000000"/>
              </w:rPr>
              <w:t>Employee effort</w:t>
            </w:r>
          </w:p>
        </w:tc>
        <w:tc>
          <w:tcPr>
            <w:tcW w:w="1530" w:type="dxa"/>
            <w:tcBorders>
              <w:top w:val="nil"/>
              <w:left w:val="nil"/>
              <w:bottom w:val="single" w:sz="4" w:space="0" w:color="auto"/>
              <w:right w:val="single" w:sz="4" w:space="0" w:color="auto"/>
            </w:tcBorders>
            <w:hideMark/>
          </w:tcPr>
          <w:p w14:paraId="5260F829"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 xml:space="preserve">Tournament incentives motivate effort when relative performance </w:t>
            </w:r>
            <w:r w:rsidRPr="009E1F1D">
              <w:rPr>
                <w:rFonts w:ascii="Calibri" w:hAnsi="Calibri" w:cs="Calibri"/>
                <w:color w:val="000000"/>
                <w:sz w:val="22"/>
                <w:szCs w:val="22"/>
              </w:rPr>
              <w:lastRenderedPageBreak/>
              <w:t>can be evaluated</w:t>
            </w:r>
          </w:p>
        </w:tc>
        <w:tc>
          <w:tcPr>
            <w:tcW w:w="1440" w:type="dxa"/>
            <w:tcBorders>
              <w:top w:val="nil"/>
              <w:left w:val="nil"/>
              <w:bottom w:val="single" w:sz="4" w:space="0" w:color="auto"/>
              <w:right w:val="single" w:sz="4" w:space="0" w:color="auto"/>
            </w:tcBorders>
          </w:tcPr>
          <w:p w14:paraId="0FAD7F98" w14:textId="41AF1280" w:rsidR="0036160B" w:rsidRPr="009E1F1D" w:rsidRDefault="009A6D82" w:rsidP="0036160B">
            <w:pPr>
              <w:rPr>
                <w:rFonts w:ascii="Calibri" w:hAnsi="Calibri" w:cs="Calibri"/>
                <w:color w:val="000000"/>
                <w:sz w:val="22"/>
                <w:szCs w:val="22"/>
              </w:rPr>
            </w:pPr>
            <w:r w:rsidRPr="004B62CF">
              <w:rPr>
                <w:rFonts w:ascii="Calibri" w:hAnsi="Calibri" w:cs="Calibri"/>
                <w:color w:val="000000"/>
                <w:sz w:val="22"/>
                <w:szCs w:val="22"/>
              </w:rPr>
              <w:lastRenderedPageBreak/>
              <w:t>Tournaments, teamwork</w:t>
            </w:r>
          </w:p>
        </w:tc>
        <w:tc>
          <w:tcPr>
            <w:tcW w:w="236" w:type="dxa"/>
            <w:tcBorders>
              <w:top w:val="nil"/>
              <w:left w:val="nil"/>
              <w:bottom w:val="single" w:sz="4" w:space="0" w:color="auto"/>
              <w:right w:val="single" w:sz="4" w:space="0" w:color="auto"/>
            </w:tcBorders>
          </w:tcPr>
          <w:p w14:paraId="0E049DB3" w14:textId="3510F6EE"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2228756" w14:textId="2C8E1500" w:rsidR="0036160B" w:rsidRPr="009E1F1D" w:rsidRDefault="0036160B" w:rsidP="0036160B">
            <w:pPr>
              <w:rPr>
                <w:rFonts w:ascii="Calibri" w:hAnsi="Calibri" w:cs="Calibri"/>
                <w:color w:val="000000"/>
                <w:sz w:val="22"/>
                <w:szCs w:val="22"/>
              </w:rPr>
            </w:pPr>
          </w:p>
        </w:tc>
      </w:tr>
      <w:tr w:rsidR="002A58DC" w:rsidRPr="009E1F1D" w14:paraId="6273BAD8"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92D6015"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90</w:t>
            </w:r>
          </w:p>
        </w:tc>
        <w:tc>
          <w:tcPr>
            <w:tcW w:w="1260" w:type="dxa"/>
            <w:tcBorders>
              <w:top w:val="nil"/>
              <w:left w:val="nil"/>
              <w:bottom w:val="single" w:sz="4" w:space="0" w:color="auto"/>
              <w:right w:val="single" w:sz="4" w:space="0" w:color="auto"/>
            </w:tcBorders>
            <w:hideMark/>
          </w:tcPr>
          <w:p w14:paraId="2CCBAB05"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Prizes and Incentives: Evidence from a Field Experiment</w:t>
            </w:r>
          </w:p>
        </w:tc>
        <w:tc>
          <w:tcPr>
            <w:tcW w:w="1530" w:type="dxa"/>
            <w:tcBorders>
              <w:top w:val="nil"/>
              <w:left w:val="nil"/>
              <w:bottom w:val="single" w:sz="4" w:space="0" w:color="auto"/>
              <w:right w:val="single" w:sz="4" w:space="0" w:color="auto"/>
            </w:tcBorders>
            <w:hideMark/>
          </w:tcPr>
          <w:p w14:paraId="1C6CAACC"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 xml:space="preserve">Bandiera, O., </w:t>
            </w:r>
            <w:proofErr w:type="spellStart"/>
            <w:r w:rsidRPr="009E1F1D">
              <w:rPr>
                <w:rFonts w:ascii="Calibri" w:hAnsi="Calibri" w:cs="Calibri"/>
                <w:color w:val="000000"/>
                <w:sz w:val="22"/>
                <w:szCs w:val="22"/>
              </w:rPr>
              <w:t>Barankay</w:t>
            </w:r>
            <w:proofErr w:type="spellEnd"/>
            <w:r w:rsidRPr="009E1F1D">
              <w:rPr>
                <w:rFonts w:ascii="Calibri" w:hAnsi="Calibri" w:cs="Calibri"/>
                <w:color w:val="000000"/>
                <w:sz w:val="22"/>
                <w:szCs w:val="22"/>
              </w:rPr>
              <w:t>, I. &amp; Rasul, I.</w:t>
            </w:r>
          </w:p>
        </w:tc>
        <w:tc>
          <w:tcPr>
            <w:tcW w:w="720" w:type="dxa"/>
            <w:tcBorders>
              <w:top w:val="nil"/>
              <w:left w:val="nil"/>
              <w:bottom w:val="single" w:sz="4" w:space="0" w:color="auto"/>
              <w:right w:val="single" w:sz="4" w:space="0" w:color="auto"/>
            </w:tcBorders>
            <w:hideMark/>
          </w:tcPr>
          <w:p w14:paraId="0FE10EA2"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2005</w:t>
            </w:r>
          </w:p>
        </w:tc>
        <w:tc>
          <w:tcPr>
            <w:tcW w:w="1710" w:type="dxa"/>
            <w:tcBorders>
              <w:top w:val="nil"/>
              <w:left w:val="nil"/>
              <w:bottom w:val="single" w:sz="4" w:space="0" w:color="auto"/>
              <w:right w:val="single" w:sz="4" w:space="0" w:color="auto"/>
            </w:tcBorders>
          </w:tcPr>
          <w:p w14:paraId="47FB0B02" w14:textId="6B7C044C"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Tournament theory; social incentives</w:t>
            </w:r>
          </w:p>
        </w:tc>
        <w:tc>
          <w:tcPr>
            <w:tcW w:w="1710" w:type="dxa"/>
            <w:tcBorders>
              <w:top w:val="nil"/>
              <w:left w:val="nil"/>
              <w:bottom w:val="single" w:sz="4" w:space="0" w:color="auto"/>
              <w:right w:val="single" w:sz="4" w:space="0" w:color="auto"/>
            </w:tcBorders>
            <w:vAlign w:val="center"/>
          </w:tcPr>
          <w:p w14:paraId="04E22160" w14:textId="4CD3F209" w:rsidR="0036160B" w:rsidRPr="009E1F1D" w:rsidRDefault="0036160B" w:rsidP="0036160B">
            <w:pPr>
              <w:rPr>
                <w:rFonts w:ascii="Calibri" w:hAnsi="Calibri" w:cs="Calibri"/>
                <w:color w:val="000000"/>
                <w:sz w:val="22"/>
                <w:szCs w:val="22"/>
              </w:rPr>
            </w:pPr>
            <w:r w:rsidRPr="00D0217E">
              <w:rPr>
                <w:color w:val="000000"/>
              </w:rPr>
              <w:t>Stronger effort</w:t>
            </w:r>
          </w:p>
        </w:tc>
        <w:tc>
          <w:tcPr>
            <w:tcW w:w="1980" w:type="dxa"/>
            <w:tcBorders>
              <w:top w:val="nil"/>
              <w:left w:val="nil"/>
              <w:bottom w:val="single" w:sz="4" w:space="0" w:color="auto"/>
              <w:right w:val="single" w:sz="4" w:space="0" w:color="auto"/>
            </w:tcBorders>
            <w:vAlign w:val="center"/>
          </w:tcPr>
          <w:p w14:paraId="72270496" w14:textId="79F924F9" w:rsidR="0036160B" w:rsidRPr="009E1F1D" w:rsidRDefault="0036160B" w:rsidP="0036160B">
            <w:pPr>
              <w:rPr>
                <w:rFonts w:ascii="Calibri" w:hAnsi="Calibri" w:cs="Calibri"/>
                <w:color w:val="000000"/>
                <w:sz w:val="22"/>
                <w:szCs w:val="22"/>
              </w:rPr>
            </w:pPr>
            <w:r w:rsidRPr="00D0217E">
              <w:rPr>
                <w:color w:val="000000"/>
              </w:rPr>
              <w:t>Social pressure</w:t>
            </w:r>
          </w:p>
        </w:tc>
        <w:tc>
          <w:tcPr>
            <w:tcW w:w="1260" w:type="dxa"/>
            <w:tcBorders>
              <w:top w:val="nil"/>
              <w:left w:val="nil"/>
              <w:bottom w:val="single" w:sz="4" w:space="0" w:color="auto"/>
              <w:right w:val="single" w:sz="4" w:space="0" w:color="auto"/>
            </w:tcBorders>
            <w:vAlign w:val="center"/>
          </w:tcPr>
          <w:p w14:paraId="5DE7EED8" w14:textId="660C5F43" w:rsidR="0036160B" w:rsidRPr="009E1F1D" w:rsidRDefault="0036160B" w:rsidP="0036160B">
            <w:pPr>
              <w:rPr>
                <w:rFonts w:ascii="Calibri" w:hAnsi="Calibri" w:cs="Calibri"/>
                <w:color w:val="000000"/>
                <w:sz w:val="22"/>
                <w:szCs w:val="22"/>
              </w:rPr>
            </w:pPr>
            <w:r w:rsidRPr="00D0217E">
              <w:rPr>
                <w:color w:val="000000"/>
              </w:rPr>
              <w:t>Employee performance</w:t>
            </w:r>
          </w:p>
        </w:tc>
        <w:tc>
          <w:tcPr>
            <w:tcW w:w="1530" w:type="dxa"/>
            <w:tcBorders>
              <w:top w:val="nil"/>
              <w:left w:val="nil"/>
              <w:bottom w:val="single" w:sz="4" w:space="0" w:color="auto"/>
              <w:right w:val="single" w:sz="4" w:space="0" w:color="auto"/>
            </w:tcBorders>
            <w:hideMark/>
          </w:tcPr>
          <w:p w14:paraId="25C2B427"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Relative performance incentives can increase productivity, but social effects matter</w:t>
            </w:r>
          </w:p>
        </w:tc>
        <w:tc>
          <w:tcPr>
            <w:tcW w:w="1440" w:type="dxa"/>
            <w:tcBorders>
              <w:top w:val="nil"/>
              <w:left w:val="nil"/>
              <w:bottom w:val="single" w:sz="4" w:space="0" w:color="auto"/>
              <w:right w:val="single" w:sz="4" w:space="0" w:color="auto"/>
            </w:tcBorders>
          </w:tcPr>
          <w:p w14:paraId="67C4FF5F" w14:textId="7F3D2BA5" w:rsidR="0036160B" w:rsidRPr="009E1F1D" w:rsidRDefault="00FA2758" w:rsidP="0036160B">
            <w:pPr>
              <w:rPr>
                <w:rFonts w:ascii="Calibri" w:hAnsi="Calibri" w:cs="Calibri"/>
                <w:color w:val="000000"/>
                <w:sz w:val="22"/>
                <w:szCs w:val="22"/>
              </w:rPr>
            </w:pPr>
            <w:r w:rsidRPr="004B62CF">
              <w:rPr>
                <w:rFonts w:ascii="Calibri" w:hAnsi="Calibri" w:cs="Calibri"/>
                <w:color w:val="000000"/>
                <w:sz w:val="22"/>
                <w:szCs w:val="22"/>
              </w:rPr>
              <w:t>Social incentives, productivity</w:t>
            </w:r>
          </w:p>
        </w:tc>
        <w:tc>
          <w:tcPr>
            <w:tcW w:w="236" w:type="dxa"/>
            <w:tcBorders>
              <w:top w:val="nil"/>
              <w:left w:val="nil"/>
              <w:bottom w:val="single" w:sz="4" w:space="0" w:color="auto"/>
              <w:right w:val="single" w:sz="4" w:space="0" w:color="auto"/>
            </w:tcBorders>
          </w:tcPr>
          <w:p w14:paraId="0B85CAF6" w14:textId="66DDE991"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6C804FA" w14:textId="61277809" w:rsidR="0036160B" w:rsidRPr="009E1F1D" w:rsidRDefault="0036160B" w:rsidP="0036160B">
            <w:pPr>
              <w:rPr>
                <w:rFonts w:ascii="Calibri" w:hAnsi="Calibri" w:cs="Calibri"/>
                <w:color w:val="000000"/>
                <w:sz w:val="22"/>
                <w:szCs w:val="22"/>
              </w:rPr>
            </w:pPr>
          </w:p>
        </w:tc>
      </w:tr>
      <w:tr w:rsidR="002A58DC" w:rsidRPr="009E1F1D" w14:paraId="08290832" w14:textId="77777777" w:rsidTr="00487C8D">
        <w:trPr>
          <w:trHeight w:val="1259"/>
        </w:trPr>
        <w:tc>
          <w:tcPr>
            <w:tcW w:w="360" w:type="dxa"/>
            <w:gridSpan w:val="2"/>
            <w:tcBorders>
              <w:top w:val="nil"/>
              <w:left w:val="single" w:sz="4" w:space="0" w:color="auto"/>
              <w:bottom w:val="single" w:sz="4" w:space="0" w:color="auto"/>
              <w:right w:val="single" w:sz="4" w:space="0" w:color="auto"/>
            </w:tcBorders>
            <w:hideMark/>
          </w:tcPr>
          <w:p w14:paraId="0CD3CA03" w14:textId="77777777" w:rsidR="0036160B" w:rsidRPr="009E1F1D" w:rsidRDefault="0036160B" w:rsidP="0036160B">
            <w:pPr>
              <w:jc w:val="right"/>
              <w:rPr>
                <w:rFonts w:ascii="Calibri" w:hAnsi="Calibri" w:cs="Calibri"/>
                <w:color w:val="000000"/>
                <w:sz w:val="22"/>
                <w:szCs w:val="22"/>
              </w:rPr>
            </w:pPr>
            <w:r w:rsidRPr="009E1F1D">
              <w:rPr>
                <w:rFonts w:ascii="Calibri" w:hAnsi="Calibri" w:cs="Calibri"/>
                <w:color w:val="000000"/>
                <w:sz w:val="22"/>
                <w:szCs w:val="22"/>
              </w:rPr>
              <w:t>91</w:t>
            </w:r>
          </w:p>
        </w:tc>
        <w:tc>
          <w:tcPr>
            <w:tcW w:w="1260" w:type="dxa"/>
            <w:tcBorders>
              <w:top w:val="nil"/>
              <w:left w:val="nil"/>
              <w:bottom w:val="single" w:sz="4" w:space="0" w:color="auto"/>
              <w:right w:val="single" w:sz="4" w:space="0" w:color="auto"/>
            </w:tcBorders>
            <w:hideMark/>
          </w:tcPr>
          <w:p w14:paraId="33F98AE4"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Social Incentives in the Workplace</w:t>
            </w:r>
          </w:p>
        </w:tc>
        <w:tc>
          <w:tcPr>
            <w:tcW w:w="1530" w:type="dxa"/>
            <w:tcBorders>
              <w:top w:val="nil"/>
              <w:left w:val="nil"/>
              <w:bottom w:val="single" w:sz="4" w:space="0" w:color="auto"/>
              <w:right w:val="single" w:sz="4" w:space="0" w:color="auto"/>
            </w:tcBorders>
            <w:hideMark/>
          </w:tcPr>
          <w:p w14:paraId="07521058"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 xml:space="preserve">Bandiera, O., </w:t>
            </w:r>
            <w:proofErr w:type="spellStart"/>
            <w:r w:rsidRPr="009E1F1D">
              <w:rPr>
                <w:rFonts w:ascii="Calibri" w:hAnsi="Calibri" w:cs="Calibri"/>
                <w:color w:val="000000"/>
                <w:sz w:val="22"/>
                <w:szCs w:val="22"/>
              </w:rPr>
              <w:t>Barankay</w:t>
            </w:r>
            <w:proofErr w:type="spellEnd"/>
            <w:r w:rsidRPr="009E1F1D">
              <w:rPr>
                <w:rFonts w:ascii="Calibri" w:hAnsi="Calibri" w:cs="Calibri"/>
                <w:color w:val="000000"/>
                <w:sz w:val="22"/>
                <w:szCs w:val="22"/>
              </w:rPr>
              <w:t>, I. &amp; Rasul, I.</w:t>
            </w:r>
          </w:p>
        </w:tc>
        <w:tc>
          <w:tcPr>
            <w:tcW w:w="720" w:type="dxa"/>
            <w:tcBorders>
              <w:top w:val="nil"/>
              <w:left w:val="nil"/>
              <w:bottom w:val="single" w:sz="4" w:space="0" w:color="auto"/>
              <w:right w:val="single" w:sz="4" w:space="0" w:color="auto"/>
            </w:tcBorders>
            <w:hideMark/>
          </w:tcPr>
          <w:p w14:paraId="7249A654" w14:textId="7CFDC50C"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20</w:t>
            </w:r>
            <w:r>
              <w:rPr>
                <w:rFonts w:ascii="Calibri" w:hAnsi="Calibri" w:cs="Calibri"/>
                <w:color w:val="000000"/>
                <w:sz w:val="22"/>
                <w:szCs w:val="22"/>
              </w:rPr>
              <w:t>10</w:t>
            </w:r>
          </w:p>
        </w:tc>
        <w:tc>
          <w:tcPr>
            <w:tcW w:w="1710" w:type="dxa"/>
            <w:tcBorders>
              <w:top w:val="nil"/>
              <w:left w:val="nil"/>
              <w:bottom w:val="single" w:sz="4" w:space="0" w:color="auto"/>
              <w:right w:val="single" w:sz="4" w:space="0" w:color="auto"/>
            </w:tcBorders>
          </w:tcPr>
          <w:p w14:paraId="0E7EE4B9" w14:textId="0DF6FE70" w:rsidR="0036160B" w:rsidRPr="009E1F1D" w:rsidRDefault="0036160B" w:rsidP="0036160B">
            <w:pPr>
              <w:rPr>
                <w:rFonts w:ascii="Calibri" w:hAnsi="Calibri" w:cs="Calibri"/>
                <w:color w:val="000000"/>
                <w:sz w:val="22"/>
                <w:szCs w:val="22"/>
              </w:rPr>
            </w:pPr>
            <w:r w:rsidRPr="00F0534D">
              <w:rPr>
                <w:rFonts w:ascii="Calibri" w:hAnsi="Calibri" w:cs="Calibri"/>
                <w:color w:val="000000"/>
                <w:sz w:val="22"/>
                <w:szCs w:val="22"/>
              </w:rPr>
              <w:t>Social comparison theory</w:t>
            </w:r>
          </w:p>
        </w:tc>
        <w:tc>
          <w:tcPr>
            <w:tcW w:w="1710" w:type="dxa"/>
            <w:tcBorders>
              <w:top w:val="nil"/>
              <w:left w:val="nil"/>
              <w:bottom w:val="single" w:sz="4" w:space="0" w:color="auto"/>
              <w:right w:val="single" w:sz="4" w:space="0" w:color="auto"/>
            </w:tcBorders>
            <w:vAlign w:val="center"/>
          </w:tcPr>
          <w:p w14:paraId="35193897" w14:textId="427EB0BA" w:rsidR="0036160B" w:rsidRPr="009E1F1D" w:rsidRDefault="0036160B" w:rsidP="0036160B">
            <w:pPr>
              <w:rPr>
                <w:rFonts w:ascii="Calibri" w:hAnsi="Calibri" w:cs="Calibri"/>
                <w:color w:val="000000"/>
                <w:sz w:val="22"/>
                <w:szCs w:val="22"/>
              </w:rPr>
            </w:pPr>
            <w:r w:rsidRPr="00D0217E">
              <w:rPr>
                <w:color w:val="000000"/>
              </w:rPr>
              <w:t>Team cooperation</w:t>
            </w:r>
          </w:p>
        </w:tc>
        <w:tc>
          <w:tcPr>
            <w:tcW w:w="1980" w:type="dxa"/>
            <w:tcBorders>
              <w:top w:val="nil"/>
              <w:left w:val="nil"/>
              <w:bottom w:val="single" w:sz="4" w:space="0" w:color="auto"/>
              <w:right w:val="single" w:sz="4" w:space="0" w:color="auto"/>
            </w:tcBorders>
            <w:vAlign w:val="center"/>
          </w:tcPr>
          <w:p w14:paraId="239CD937" w14:textId="114EAAFC" w:rsidR="0036160B" w:rsidRPr="009E1F1D" w:rsidRDefault="0036160B" w:rsidP="0036160B">
            <w:pPr>
              <w:rPr>
                <w:rFonts w:ascii="Calibri" w:hAnsi="Calibri" w:cs="Calibri"/>
                <w:color w:val="000000"/>
                <w:sz w:val="22"/>
                <w:szCs w:val="22"/>
              </w:rPr>
            </w:pPr>
            <w:r w:rsidRPr="00D0217E">
              <w:rPr>
                <w:color w:val="000000"/>
              </w:rPr>
              <w:t>Peer pressure</w:t>
            </w:r>
          </w:p>
        </w:tc>
        <w:tc>
          <w:tcPr>
            <w:tcW w:w="1260" w:type="dxa"/>
            <w:tcBorders>
              <w:top w:val="nil"/>
              <w:left w:val="nil"/>
              <w:bottom w:val="single" w:sz="4" w:space="0" w:color="auto"/>
              <w:right w:val="single" w:sz="4" w:space="0" w:color="auto"/>
            </w:tcBorders>
            <w:vAlign w:val="center"/>
          </w:tcPr>
          <w:p w14:paraId="5345DD15" w14:textId="1202501B" w:rsidR="0036160B" w:rsidRPr="009E1F1D" w:rsidRDefault="0036160B" w:rsidP="0036160B">
            <w:pPr>
              <w:rPr>
                <w:rFonts w:ascii="Calibri" w:hAnsi="Calibri" w:cs="Calibri"/>
                <w:color w:val="000000"/>
                <w:sz w:val="22"/>
                <w:szCs w:val="22"/>
              </w:rPr>
            </w:pPr>
            <w:r w:rsidRPr="00D0217E">
              <w:rPr>
                <w:color w:val="000000"/>
              </w:rPr>
              <w:t>Workplace performance</w:t>
            </w:r>
          </w:p>
        </w:tc>
        <w:tc>
          <w:tcPr>
            <w:tcW w:w="1530" w:type="dxa"/>
            <w:tcBorders>
              <w:top w:val="nil"/>
              <w:left w:val="nil"/>
              <w:bottom w:val="single" w:sz="4" w:space="0" w:color="auto"/>
              <w:right w:val="single" w:sz="4" w:space="0" w:color="auto"/>
            </w:tcBorders>
            <w:hideMark/>
          </w:tcPr>
          <w:p w14:paraId="3A3F611F" w14:textId="77777777" w:rsidR="0036160B" w:rsidRPr="009E1F1D" w:rsidRDefault="0036160B" w:rsidP="0036160B">
            <w:pPr>
              <w:rPr>
                <w:rFonts w:ascii="Calibri" w:hAnsi="Calibri" w:cs="Calibri"/>
                <w:color w:val="000000"/>
                <w:sz w:val="22"/>
                <w:szCs w:val="22"/>
              </w:rPr>
            </w:pPr>
            <w:r w:rsidRPr="009E1F1D">
              <w:rPr>
                <w:rFonts w:ascii="Calibri" w:hAnsi="Calibri" w:cs="Calibri"/>
                <w:color w:val="000000"/>
                <w:sz w:val="22"/>
                <w:szCs w:val="22"/>
              </w:rPr>
              <w:t>Peer effects and social incentives influence worker productivity</w:t>
            </w:r>
          </w:p>
        </w:tc>
        <w:tc>
          <w:tcPr>
            <w:tcW w:w="1440" w:type="dxa"/>
            <w:tcBorders>
              <w:top w:val="nil"/>
              <w:left w:val="nil"/>
              <w:bottom w:val="single" w:sz="4" w:space="0" w:color="auto"/>
              <w:right w:val="single" w:sz="4" w:space="0" w:color="auto"/>
            </w:tcBorders>
          </w:tcPr>
          <w:p w14:paraId="6C0B211E" w14:textId="34BC77EE" w:rsidR="0036160B" w:rsidRPr="009E1F1D" w:rsidRDefault="00313FB7" w:rsidP="0036160B">
            <w:pPr>
              <w:rPr>
                <w:rFonts w:ascii="Calibri" w:hAnsi="Calibri" w:cs="Calibri"/>
                <w:color w:val="000000"/>
                <w:sz w:val="22"/>
                <w:szCs w:val="22"/>
              </w:rPr>
            </w:pPr>
            <w:r w:rsidRPr="004B62CF">
              <w:rPr>
                <w:rFonts w:ascii="Calibri" w:hAnsi="Calibri" w:cs="Calibri"/>
                <w:color w:val="000000"/>
                <w:sz w:val="22"/>
                <w:szCs w:val="22"/>
              </w:rPr>
              <w:t>Peer effects, productivity</w:t>
            </w:r>
          </w:p>
        </w:tc>
        <w:tc>
          <w:tcPr>
            <w:tcW w:w="236" w:type="dxa"/>
            <w:tcBorders>
              <w:top w:val="nil"/>
              <w:left w:val="nil"/>
              <w:bottom w:val="single" w:sz="4" w:space="0" w:color="auto"/>
              <w:right w:val="single" w:sz="4" w:space="0" w:color="auto"/>
            </w:tcBorders>
          </w:tcPr>
          <w:p w14:paraId="020278A8" w14:textId="6A564919" w:rsidR="0036160B" w:rsidRPr="009E1F1D" w:rsidRDefault="0036160B" w:rsidP="0036160B">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3DB8924" w14:textId="4234E0EA" w:rsidR="0036160B" w:rsidRPr="009E1F1D" w:rsidRDefault="0036160B" w:rsidP="0036160B">
            <w:pPr>
              <w:rPr>
                <w:rFonts w:ascii="Calibri" w:hAnsi="Calibri" w:cs="Calibri"/>
                <w:color w:val="000000"/>
                <w:sz w:val="22"/>
                <w:szCs w:val="22"/>
              </w:rPr>
            </w:pPr>
          </w:p>
        </w:tc>
      </w:tr>
      <w:tr w:rsidR="002A58DC" w:rsidRPr="009E1F1D" w14:paraId="33355637"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92C0FAD" w14:textId="77777777" w:rsidR="00513FAD" w:rsidRPr="009E1F1D" w:rsidRDefault="00513FAD" w:rsidP="00513FAD">
            <w:pPr>
              <w:jc w:val="right"/>
              <w:rPr>
                <w:rFonts w:ascii="Calibri" w:hAnsi="Calibri" w:cs="Calibri"/>
                <w:color w:val="000000"/>
                <w:sz w:val="22"/>
                <w:szCs w:val="22"/>
              </w:rPr>
            </w:pPr>
            <w:r w:rsidRPr="009E1F1D">
              <w:rPr>
                <w:rFonts w:ascii="Calibri" w:hAnsi="Calibri" w:cs="Calibri"/>
                <w:color w:val="000000"/>
                <w:sz w:val="22"/>
                <w:szCs w:val="22"/>
              </w:rPr>
              <w:t>92</w:t>
            </w:r>
          </w:p>
        </w:tc>
        <w:tc>
          <w:tcPr>
            <w:tcW w:w="1260" w:type="dxa"/>
            <w:tcBorders>
              <w:top w:val="nil"/>
              <w:left w:val="nil"/>
              <w:bottom w:val="single" w:sz="4" w:space="0" w:color="auto"/>
              <w:right w:val="single" w:sz="4" w:space="0" w:color="auto"/>
            </w:tcBorders>
            <w:hideMark/>
          </w:tcPr>
          <w:p w14:paraId="1A622B74" w14:textId="77777777" w:rsidR="00513FAD" w:rsidRPr="009E1F1D" w:rsidRDefault="00513FAD" w:rsidP="00513FAD">
            <w:pPr>
              <w:rPr>
                <w:rFonts w:ascii="Calibri" w:hAnsi="Calibri" w:cs="Calibri"/>
                <w:color w:val="000000"/>
                <w:sz w:val="22"/>
                <w:szCs w:val="22"/>
              </w:rPr>
            </w:pPr>
            <w:r w:rsidRPr="009E1F1D">
              <w:rPr>
                <w:rFonts w:ascii="Calibri" w:hAnsi="Calibri" w:cs="Calibri"/>
                <w:color w:val="000000"/>
                <w:sz w:val="22"/>
                <w:szCs w:val="22"/>
              </w:rPr>
              <w:t>Peer Effects in the Workplace</w:t>
            </w:r>
          </w:p>
        </w:tc>
        <w:tc>
          <w:tcPr>
            <w:tcW w:w="1530" w:type="dxa"/>
            <w:tcBorders>
              <w:top w:val="nil"/>
              <w:left w:val="nil"/>
              <w:bottom w:val="single" w:sz="4" w:space="0" w:color="auto"/>
              <w:right w:val="single" w:sz="4" w:space="0" w:color="auto"/>
            </w:tcBorders>
            <w:hideMark/>
          </w:tcPr>
          <w:p w14:paraId="4329BF2E" w14:textId="77777777" w:rsidR="00513FAD" w:rsidRPr="009E1F1D" w:rsidRDefault="00513FAD" w:rsidP="00513FAD">
            <w:pPr>
              <w:rPr>
                <w:rFonts w:ascii="Calibri" w:hAnsi="Calibri" w:cs="Calibri"/>
                <w:color w:val="000000"/>
                <w:sz w:val="22"/>
                <w:szCs w:val="22"/>
              </w:rPr>
            </w:pPr>
            <w:r w:rsidRPr="009E1F1D">
              <w:rPr>
                <w:rFonts w:ascii="Calibri" w:hAnsi="Calibri" w:cs="Calibri"/>
                <w:color w:val="000000"/>
                <w:sz w:val="22"/>
                <w:szCs w:val="22"/>
              </w:rPr>
              <w:t>Mas, A. &amp; Moretti, E.</w:t>
            </w:r>
          </w:p>
        </w:tc>
        <w:tc>
          <w:tcPr>
            <w:tcW w:w="720" w:type="dxa"/>
            <w:tcBorders>
              <w:top w:val="nil"/>
              <w:left w:val="nil"/>
              <w:bottom w:val="single" w:sz="4" w:space="0" w:color="auto"/>
              <w:right w:val="single" w:sz="4" w:space="0" w:color="auto"/>
            </w:tcBorders>
            <w:hideMark/>
          </w:tcPr>
          <w:p w14:paraId="339830D6" w14:textId="77777777" w:rsidR="00513FAD" w:rsidRPr="009E1F1D" w:rsidRDefault="00513FAD" w:rsidP="00513FAD">
            <w:pPr>
              <w:rPr>
                <w:rFonts w:ascii="Calibri" w:hAnsi="Calibri" w:cs="Calibri"/>
                <w:color w:val="000000"/>
                <w:sz w:val="22"/>
                <w:szCs w:val="22"/>
              </w:rPr>
            </w:pPr>
            <w:r w:rsidRPr="009E1F1D">
              <w:rPr>
                <w:rFonts w:ascii="Calibri" w:hAnsi="Calibri" w:cs="Calibri"/>
                <w:color w:val="000000"/>
                <w:sz w:val="22"/>
                <w:szCs w:val="22"/>
              </w:rPr>
              <w:t>2009</w:t>
            </w:r>
          </w:p>
        </w:tc>
        <w:tc>
          <w:tcPr>
            <w:tcW w:w="1710" w:type="dxa"/>
            <w:tcBorders>
              <w:top w:val="nil"/>
              <w:left w:val="nil"/>
              <w:bottom w:val="single" w:sz="4" w:space="0" w:color="auto"/>
              <w:right w:val="single" w:sz="4" w:space="0" w:color="auto"/>
            </w:tcBorders>
          </w:tcPr>
          <w:p w14:paraId="70965582" w14:textId="63363BB7" w:rsidR="00513FAD" w:rsidRPr="009E1F1D" w:rsidRDefault="00513FAD" w:rsidP="00513FAD">
            <w:pPr>
              <w:rPr>
                <w:rFonts w:ascii="Calibri" w:hAnsi="Calibri" w:cs="Calibri"/>
                <w:color w:val="000000"/>
                <w:sz w:val="22"/>
                <w:szCs w:val="22"/>
              </w:rPr>
            </w:pPr>
            <w:r w:rsidRPr="00F0534D">
              <w:rPr>
                <w:rFonts w:ascii="Calibri" w:hAnsi="Calibri" w:cs="Calibri"/>
                <w:color w:val="000000"/>
                <w:sz w:val="22"/>
                <w:szCs w:val="22"/>
              </w:rPr>
              <w:t>Social comparison theory</w:t>
            </w:r>
          </w:p>
        </w:tc>
        <w:tc>
          <w:tcPr>
            <w:tcW w:w="1710" w:type="dxa"/>
            <w:tcBorders>
              <w:top w:val="nil"/>
              <w:left w:val="nil"/>
              <w:bottom w:val="single" w:sz="4" w:space="0" w:color="auto"/>
              <w:right w:val="single" w:sz="4" w:space="0" w:color="auto"/>
            </w:tcBorders>
            <w:vAlign w:val="center"/>
          </w:tcPr>
          <w:p w14:paraId="525B5F46" w14:textId="3E3B77D0" w:rsidR="00513FAD" w:rsidRPr="009E1F1D" w:rsidRDefault="00513FAD" w:rsidP="00513FAD">
            <w:pPr>
              <w:rPr>
                <w:rFonts w:ascii="Calibri" w:hAnsi="Calibri" w:cs="Calibri"/>
                <w:color w:val="000000"/>
                <w:sz w:val="22"/>
                <w:szCs w:val="22"/>
              </w:rPr>
            </w:pPr>
            <w:r w:rsidRPr="00D0217E">
              <w:rPr>
                <w:color w:val="000000"/>
              </w:rPr>
              <w:t>Peer learning</w:t>
            </w:r>
          </w:p>
        </w:tc>
        <w:tc>
          <w:tcPr>
            <w:tcW w:w="1980" w:type="dxa"/>
            <w:tcBorders>
              <w:top w:val="nil"/>
              <w:left w:val="nil"/>
              <w:bottom w:val="single" w:sz="4" w:space="0" w:color="auto"/>
              <w:right w:val="single" w:sz="4" w:space="0" w:color="auto"/>
            </w:tcBorders>
            <w:vAlign w:val="center"/>
          </w:tcPr>
          <w:p w14:paraId="1662F4CC" w14:textId="0A70335E" w:rsidR="00513FAD" w:rsidRPr="009E1F1D" w:rsidRDefault="00513FAD" w:rsidP="00513FAD">
            <w:pPr>
              <w:rPr>
                <w:rFonts w:ascii="Calibri" w:hAnsi="Calibri" w:cs="Calibri"/>
                <w:color w:val="000000"/>
                <w:sz w:val="22"/>
                <w:szCs w:val="22"/>
              </w:rPr>
            </w:pPr>
            <w:r w:rsidRPr="00D0217E">
              <w:rPr>
                <w:color w:val="000000"/>
              </w:rPr>
              <w:t>Peer pressure</w:t>
            </w:r>
          </w:p>
        </w:tc>
        <w:tc>
          <w:tcPr>
            <w:tcW w:w="1260" w:type="dxa"/>
            <w:tcBorders>
              <w:top w:val="nil"/>
              <w:left w:val="nil"/>
              <w:bottom w:val="single" w:sz="4" w:space="0" w:color="auto"/>
              <w:right w:val="single" w:sz="4" w:space="0" w:color="auto"/>
            </w:tcBorders>
            <w:vAlign w:val="center"/>
          </w:tcPr>
          <w:p w14:paraId="6D55ECF4" w14:textId="0D6F5799" w:rsidR="00513FAD" w:rsidRPr="009E1F1D" w:rsidRDefault="00513FAD" w:rsidP="00513FAD">
            <w:pPr>
              <w:rPr>
                <w:rFonts w:ascii="Calibri" w:hAnsi="Calibri" w:cs="Calibri"/>
                <w:color w:val="000000"/>
                <w:sz w:val="22"/>
                <w:szCs w:val="22"/>
              </w:rPr>
            </w:pPr>
            <w:r w:rsidRPr="00D0217E">
              <w:rPr>
                <w:color w:val="000000"/>
              </w:rPr>
              <w:t>Employee productivity</w:t>
            </w:r>
          </w:p>
        </w:tc>
        <w:tc>
          <w:tcPr>
            <w:tcW w:w="1530" w:type="dxa"/>
            <w:tcBorders>
              <w:top w:val="nil"/>
              <w:left w:val="nil"/>
              <w:bottom w:val="single" w:sz="4" w:space="0" w:color="auto"/>
              <w:right w:val="single" w:sz="4" w:space="0" w:color="auto"/>
            </w:tcBorders>
            <w:hideMark/>
          </w:tcPr>
          <w:p w14:paraId="14704B59" w14:textId="77777777" w:rsidR="00513FAD" w:rsidRPr="009E1F1D" w:rsidRDefault="00513FAD" w:rsidP="00513FAD">
            <w:pPr>
              <w:rPr>
                <w:rFonts w:ascii="Calibri" w:hAnsi="Calibri" w:cs="Calibri"/>
                <w:color w:val="000000"/>
                <w:sz w:val="22"/>
                <w:szCs w:val="22"/>
              </w:rPr>
            </w:pPr>
            <w:r w:rsidRPr="009E1F1D">
              <w:rPr>
                <w:rFonts w:ascii="Calibri" w:hAnsi="Calibri" w:cs="Calibri"/>
                <w:color w:val="000000"/>
                <w:sz w:val="22"/>
                <w:szCs w:val="22"/>
              </w:rPr>
              <w:t>Worker productivity responds to coworker performance</w:t>
            </w:r>
          </w:p>
        </w:tc>
        <w:tc>
          <w:tcPr>
            <w:tcW w:w="1440" w:type="dxa"/>
            <w:tcBorders>
              <w:top w:val="nil"/>
              <w:left w:val="nil"/>
              <w:bottom w:val="single" w:sz="4" w:space="0" w:color="auto"/>
              <w:right w:val="single" w:sz="4" w:space="0" w:color="auto"/>
            </w:tcBorders>
          </w:tcPr>
          <w:p w14:paraId="3A66F487" w14:textId="5443C006" w:rsidR="00513FAD" w:rsidRPr="009E1F1D" w:rsidRDefault="00513FAD" w:rsidP="00513FAD">
            <w:pPr>
              <w:rPr>
                <w:rFonts w:ascii="Calibri" w:hAnsi="Calibri" w:cs="Calibri"/>
                <w:color w:val="000000"/>
                <w:sz w:val="22"/>
                <w:szCs w:val="22"/>
              </w:rPr>
            </w:pPr>
            <w:r w:rsidRPr="004B62CF">
              <w:rPr>
                <w:rFonts w:ascii="Calibri" w:hAnsi="Calibri" w:cs="Calibri"/>
                <w:color w:val="000000"/>
                <w:sz w:val="22"/>
                <w:szCs w:val="22"/>
              </w:rPr>
              <w:t>Feedback, motivation</w:t>
            </w:r>
          </w:p>
        </w:tc>
        <w:tc>
          <w:tcPr>
            <w:tcW w:w="236" w:type="dxa"/>
            <w:tcBorders>
              <w:top w:val="nil"/>
              <w:left w:val="nil"/>
              <w:bottom w:val="single" w:sz="4" w:space="0" w:color="auto"/>
              <w:right w:val="single" w:sz="4" w:space="0" w:color="auto"/>
            </w:tcBorders>
          </w:tcPr>
          <w:p w14:paraId="1ABFA1A8" w14:textId="0B3F33BB" w:rsidR="00513FAD" w:rsidRPr="009E1F1D" w:rsidRDefault="00513FAD" w:rsidP="00513FA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4A96FDD" w14:textId="01A53D37" w:rsidR="00513FAD" w:rsidRPr="009E1F1D" w:rsidRDefault="00513FAD" w:rsidP="00513FAD">
            <w:pPr>
              <w:rPr>
                <w:rFonts w:ascii="Calibri" w:hAnsi="Calibri" w:cs="Calibri"/>
                <w:color w:val="000000"/>
                <w:sz w:val="22"/>
                <w:szCs w:val="22"/>
              </w:rPr>
            </w:pPr>
          </w:p>
        </w:tc>
      </w:tr>
      <w:tr w:rsidR="002A58DC" w:rsidRPr="009E1F1D" w14:paraId="4C08EFC3"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0394929" w14:textId="77777777" w:rsidR="00A831F9" w:rsidRPr="009E1F1D" w:rsidRDefault="00A831F9" w:rsidP="00A831F9">
            <w:pPr>
              <w:jc w:val="right"/>
              <w:rPr>
                <w:rFonts w:ascii="Calibri" w:hAnsi="Calibri" w:cs="Calibri"/>
                <w:color w:val="000000"/>
                <w:sz w:val="22"/>
                <w:szCs w:val="22"/>
              </w:rPr>
            </w:pPr>
            <w:r w:rsidRPr="009E1F1D">
              <w:rPr>
                <w:rFonts w:ascii="Calibri" w:hAnsi="Calibri" w:cs="Calibri"/>
                <w:color w:val="000000"/>
                <w:sz w:val="22"/>
                <w:szCs w:val="22"/>
              </w:rPr>
              <w:t>93</w:t>
            </w:r>
          </w:p>
        </w:tc>
        <w:tc>
          <w:tcPr>
            <w:tcW w:w="1260" w:type="dxa"/>
            <w:tcBorders>
              <w:top w:val="nil"/>
              <w:left w:val="nil"/>
              <w:bottom w:val="single" w:sz="4" w:space="0" w:color="auto"/>
              <w:right w:val="single" w:sz="4" w:space="0" w:color="auto"/>
            </w:tcBorders>
            <w:hideMark/>
          </w:tcPr>
          <w:p w14:paraId="50B860D1" w14:textId="77777777" w:rsidR="00A831F9" w:rsidRPr="009E1F1D" w:rsidRDefault="00A831F9" w:rsidP="00A831F9">
            <w:pPr>
              <w:rPr>
                <w:rFonts w:ascii="Calibri" w:hAnsi="Calibri" w:cs="Calibri"/>
                <w:color w:val="000000"/>
                <w:sz w:val="22"/>
                <w:szCs w:val="22"/>
              </w:rPr>
            </w:pPr>
            <w:r w:rsidRPr="009E1F1D">
              <w:rPr>
                <w:rFonts w:ascii="Calibri" w:hAnsi="Calibri" w:cs="Calibri"/>
                <w:color w:val="000000"/>
                <w:sz w:val="22"/>
                <w:szCs w:val="22"/>
              </w:rPr>
              <w:t>The Effects of Relative Performance Feedback on Employee Motivation</w:t>
            </w:r>
          </w:p>
        </w:tc>
        <w:tc>
          <w:tcPr>
            <w:tcW w:w="1530" w:type="dxa"/>
            <w:tcBorders>
              <w:top w:val="nil"/>
              <w:left w:val="nil"/>
              <w:bottom w:val="single" w:sz="4" w:space="0" w:color="auto"/>
              <w:right w:val="single" w:sz="4" w:space="0" w:color="auto"/>
            </w:tcBorders>
            <w:hideMark/>
          </w:tcPr>
          <w:p w14:paraId="4C67113C" w14:textId="77777777" w:rsidR="00A831F9" w:rsidRPr="009E1F1D" w:rsidRDefault="00A831F9" w:rsidP="00A831F9">
            <w:pPr>
              <w:rPr>
                <w:rFonts w:ascii="Calibri" w:hAnsi="Calibri" w:cs="Calibri"/>
                <w:color w:val="000000"/>
                <w:sz w:val="22"/>
                <w:szCs w:val="22"/>
              </w:rPr>
            </w:pPr>
            <w:r w:rsidRPr="009E1F1D">
              <w:rPr>
                <w:rFonts w:ascii="Calibri" w:hAnsi="Calibri" w:cs="Calibri"/>
                <w:color w:val="000000"/>
                <w:sz w:val="22"/>
                <w:szCs w:val="22"/>
              </w:rPr>
              <w:t xml:space="preserve">Blanes </w:t>
            </w:r>
            <w:proofErr w:type="spellStart"/>
            <w:r w:rsidRPr="009E1F1D">
              <w:rPr>
                <w:rFonts w:ascii="Calibri" w:hAnsi="Calibri" w:cs="Calibri"/>
                <w:color w:val="000000"/>
                <w:sz w:val="22"/>
                <w:szCs w:val="22"/>
              </w:rPr>
              <w:t>i</w:t>
            </w:r>
            <w:proofErr w:type="spellEnd"/>
            <w:r w:rsidRPr="009E1F1D">
              <w:rPr>
                <w:rFonts w:ascii="Calibri" w:hAnsi="Calibri" w:cs="Calibri"/>
                <w:color w:val="000000"/>
                <w:sz w:val="22"/>
                <w:szCs w:val="22"/>
              </w:rPr>
              <w:t xml:space="preserve"> Vidal, J. &amp; </w:t>
            </w:r>
            <w:proofErr w:type="spellStart"/>
            <w:r w:rsidRPr="009E1F1D">
              <w:rPr>
                <w:rFonts w:ascii="Calibri" w:hAnsi="Calibri" w:cs="Calibri"/>
                <w:color w:val="000000"/>
                <w:sz w:val="22"/>
                <w:szCs w:val="22"/>
              </w:rPr>
              <w:t>Nossol</w:t>
            </w:r>
            <w:proofErr w:type="spellEnd"/>
            <w:r w:rsidRPr="009E1F1D">
              <w:rPr>
                <w:rFonts w:ascii="Calibri" w:hAnsi="Calibri" w:cs="Calibri"/>
                <w:color w:val="000000"/>
                <w:sz w:val="22"/>
                <w:szCs w:val="22"/>
              </w:rPr>
              <w:t>, M.</w:t>
            </w:r>
          </w:p>
        </w:tc>
        <w:tc>
          <w:tcPr>
            <w:tcW w:w="720" w:type="dxa"/>
            <w:tcBorders>
              <w:top w:val="nil"/>
              <w:left w:val="nil"/>
              <w:bottom w:val="single" w:sz="4" w:space="0" w:color="auto"/>
              <w:right w:val="single" w:sz="4" w:space="0" w:color="auto"/>
            </w:tcBorders>
            <w:hideMark/>
          </w:tcPr>
          <w:p w14:paraId="290D0670" w14:textId="77777777" w:rsidR="00A831F9" w:rsidRPr="009E1F1D" w:rsidRDefault="00A831F9" w:rsidP="00A831F9">
            <w:pPr>
              <w:rPr>
                <w:rFonts w:ascii="Calibri" w:hAnsi="Calibri" w:cs="Calibri"/>
                <w:color w:val="000000"/>
                <w:sz w:val="22"/>
                <w:szCs w:val="22"/>
              </w:rPr>
            </w:pPr>
            <w:r w:rsidRPr="009E1F1D">
              <w:rPr>
                <w:rFonts w:ascii="Calibri" w:hAnsi="Calibri" w:cs="Calibri"/>
                <w:color w:val="000000"/>
                <w:sz w:val="22"/>
                <w:szCs w:val="22"/>
              </w:rPr>
              <w:t>2011</w:t>
            </w:r>
          </w:p>
        </w:tc>
        <w:tc>
          <w:tcPr>
            <w:tcW w:w="1710" w:type="dxa"/>
            <w:tcBorders>
              <w:top w:val="nil"/>
              <w:left w:val="nil"/>
              <w:bottom w:val="single" w:sz="4" w:space="0" w:color="auto"/>
              <w:right w:val="single" w:sz="4" w:space="0" w:color="auto"/>
            </w:tcBorders>
          </w:tcPr>
          <w:p w14:paraId="73BCAFC8" w14:textId="0FF9EE99" w:rsidR="00A831F9" w:rsidRPr="009E1F1D" w:rsidRDefault="00A831F9" w:rsidP="00A831F9">
            <w:pPr>
              <w:rPr>
                <w:rFonts w:ascii="Calibri" w:hAnsi="Calibri" w:cs="Calibri"/>
                <w:color w:val="000000"/>
                <w:sz w:val="22"/>
                <w:szCs w:val="22"/>
              </w:rPr>
            </w:pPr>
            <w:r w:rsidRPr="00F0534D">
              <w:rPr>
                <w:rFonts w:ascii="Calibri" w:hAnsi="Calibri" w:cs="Calibri"/>
                <w:color w:val="000000"/>
                <w:sz w:val="22"/>
                <w:szCs w:val="22"/>
              </w:rPr>
              <w:t>Social comparison theory</w:t>
            </w:r>
            <w:r>
              <w:rPr>
                <w:rFonts w:ascii="Calibri" w:hAnsi="Calibri" w:cs="Calibri"/>
                <w:color w:val="000000"/>
                <w:sz w:val="22"/>
                <w:szCs w:val="22"/>
              </w:rPr>
              <w:t>;</w:t>
            </w:r>
            <w:r w:rsidRPr="00F0534D">
              <w:rPr>
                <w:rFonts w:ascii="Calibri" w:hAnsi="Calibri" w:cs="Calibri"/>
                <w:color w:val="000000"/>
                <w:sz w:val="22"/>
                <w:szCs w:val="22"/>
              </w:rPr>
              <w:t xml:space="preserve"> goal setting</w:t>
            </w:r>
          </w:p>
        </w:tc>
        <w:tc>
          <w:tcPr>
            <w:tcW w:w="1710" w:type="dxa"/>
            <w:tcBorders>
              <w:top w:val="nil"/>
              <w:left w:val="nil"/>
              <w:bottom w:val="single" w:sz="4" w:space="0" w:color="auto"/>
              <w:right w:val="single" w:sz="4" w:space="0" w:color="auto"/>
            </w:tcBorders>
            <w:vAlign w:val="center"/>
          </w:tcPr>
          <w:p w14:paraId="28B0753B" w14:textId="06007BEB" w:rsidR="00A831F9" w:rsidRPr="009E1F1D" w:rsidRDefault="00A831F9" w:rsidP="00A831F9">
            <w:pPr>
              <w:rPr>
                <w:rFonts w:ascii="Calibri" w:hAnsi="Calibri" w:cs="Calibri"/>
                <w:color w:val="000000"/>
                <w:sz w:val="22"/>
                <w:szCs w:val="22"/>
              </w:rPr>
            </w:pPr>
            <w:r w:rsidRPr="00D0217E">
              <w:rPr>
                <w:color w:val="000000"/>
              </w:rPr>
              <w:t>Effort improvement</w:t>
            </w:r>
          </w:p>
        </w:tc>
        <w:tc>
          <w:tcPr>
            <w:tcW w:w="1980" w:type="dxa"/>
            <w:tcBorders>
              <w:top w:val="nil"/>
              <w:left w:val="nil"/>
              <w:bottom w:val="single" w:sz="4" w:space="0" w:color="auto"/>
              <w:right w:val="single" w:sz="4" w:space="0" w:color="auto"/>
            </w:tcBorders>
            <w:vAlign w:val="center"/>
          </w:tcPr>
          <w:p w14:paraId="148E2FBA" w14:textId="5B9EAAC7" w:rsidR="00A831F9" w:rsidRPr="009E1F1D" w:rsidRDefault="00A831F9" w:rsidP="00A831F9">
            <w:pPr>
              <w:rPr>
                <w:rFonts w:ascii="Calibri" w:hAnsi="Calibri" w:cs="Calibri"/>
                <w:color w:val="000000"/>
                <w:sz w:val="22"/>
                <w:szCs w:val="22"/>
              </w:rPr>
            </w:pPr>
            <w:r w:rsidRPr="00D0217E">
              <w:rPr>
                <w:color w:val="000000"/>
              </w:rPr>
              <w:t>Competitive pressure</w:t>
            </w:r>
          </w:p>
        </w:tc>
        <w:tc>
          <w:tcPr>
            <w:tcW w:w="1260" w:type="dxa"/>
            <w:tcBorders>
              <w:top w:val="nil"/>
              <w:left w:val="nil"/>
              <w:bottom w:val="single" w:sz="4" w:space="0" w:color="auto"/>
              <w:right w:val="single" w:sz="4" w:space="0" w:color="auto"/>
            </w:tcBorders>
            <w:vAlign w:val="center"/>
          </w:tcPr>
          <w:p w14:paraId="2DC9BD80" w14:textId="710A8E46" w:rsidR="00A831F9" w:rsidRPr="009E1F1D" w:rsidRDefault="00A831F9" w:rsidP="00A831F9">
            <w:pPr>
              <w:rPr>
                <w:rFonts w:ascii="Calibri" w:hAnsi="Calibri" w:cs="Calibri"/>
                <w:color w:val="000000"/>
                <w:sz w:val="22"/>
                <w:szCs w:val="22"/>
              </w:rPr>
            </w:pPr>
            <w:r w:rsidRPr="00D0217E">
              <w:rPr>
                <w:color w:val="000000"/>
              </w:rPr>
              <w:t>Employee effort</w:t>
            </w:r>
          </w:p>
        </w:tc>
        <w:tc>
          <w:tcPr>
            <w:tcW w:w="1530" w:type="dxa"/>
            <w:tcBorders>
              <w:top w:val="nil"/>
              <w:left w:val="nil"/>
              <w:bottom w:val="single" w:sz="4" w:space="0" w:color="auto"/>
              <w:right w:val="single" w:sz="4" w:space="0" w:color="auto"/>
            </w:tcBorders>
            <w:hideMark/>
          </w:tcPr>
          <w:p w14:paraId="2F77A38E" w14:textId="77777777" w:rsidR="00A831F9" w:rsidRPr="009E1F1D" w:rsidRDefault="00A831F9" w:rsidP="00A831F9">
            <w:pPr>
              <w:rPr>
                <w:rFonts w:ascii="Calibri" w:hAnsi="Calibri" w:cs="Calibri"/>
                <w:color w:val="000000"/>
                <w:sz w:val="22"/>
                <w:szCs w:val="22"/>
              </w:rPr>
            </w:pPr>
            <w:r w:rsidRPr="009E1F1D">
              <w:rPr>
                <w:rFonts w:ascii="Calibri" w:hAnsi="Calibri" w:cs="Calibri"/>
                <w:color w:val="000000"/>
                <w:sz w:val="22"/>
                <w:szCs w:val="22"/>
              </w:rPr>
              <w:t>Performance information can increase effort, especially when workers learn their rank</w:t>
            </w:r>
          </w:p>
        </w:tc>
        <w:tc>
          <w:tcPr>
            <w:tcW w:w="1440" w:type="dxa"/>
            <w:tcBorders>
              <w:top w:val="nil"/>
              <w:left w:val="nil"/>
              <w:bottom w:val="single" w:sz="4" w:space="0" w:color="auto"/>
              <w:right w:val="single" w:sz="4" w:space="0" w:color="auto"/>
            </w:tcBorders>
          </w:tcPr>
          <w:p w14:paraId="3908E94D" w14:textId="5ECC2E80" w:rsidR="00A831F9" w:rsidRPr="009E1F1D" w:rsidRDefault="00A831F9" w:rsidP="00A831F9">
            <w:pPr>
              <w:rPr>
                <w:rFonts w:ascii="Calibri" w:hAnsi="Calibri" w:cs="Calibri"/>
                <w:color w:val="000000"/>
                <w:sz w:val="22"/>
                <w:szCs w:val="22"/>
              </w:rPr>
            </w:pPr>
            <w:r w:rsidRPr="004B62CF">
              <w:rPr>
                <w:rFonts w:ascii="Calibri" w:hAnsi="Calibri" w:cs="Calibri"/>
                <w:color w:val="000000"/>
                <w:sz w:val="22"/>
                <w:szCs w:val="22"/>
              </w:rPr>
              <w:t>Compensation, effort</w:t>
            </w:r>
          </w:p>
        </w:tc>
        <w:tc>
          <w:tcPr>
            <w:tcW w:w="236" w:type="dxa"/>
            <w:tcBorders>
              <w:top w:val="nil"/>
              <w:left w:val="nil"/>
              <w:bottom w:val="single" w:sz="4" w:space="0" w:color="auto"/>
              <w:right w:val="single" w:sz="4" w:space="0" w:color="auto"/>
            </w:tcBorders>
          </w:tcPr>
          <w:p w14:paraId="25EB04FE" w14:textId="12B032C7" w:rsidR="00A831F9" w:rsidRPr="009E1F1D" w:rsidRDefault="00A831F9" w:rsidP="00A831F9">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42B4BD4" w14:textId="3B2A100B" w:rsidR="00A831F9" w:rsidRPr="009E1F1D" w:rsidRDefault="00A831F9" w:rsidP="00A831F9">
            <w:pPr>
              <w:rPr>
                <w:rFonts w:ascii="Calibri" w:hAnsi="Calibri" w:cs="Calibri"/>
                <w:color w:val="000000"/>
                <w:sz w:val="22"/>
                <w:szCs w:val="22"/>
              </w:rPr>
            </w:pPr>
          </w:p>
        </w:tc>
      </w:tr>
      <w:tr w:rsidR="002A58DC" w:rsidRPr="009E1F1D" w14:paraId="05705AB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0DE2ED53" w14:textId="77777777" w:rsidR="00E53FF9" w:rsidRPr="009E1F1D" w:rsidRDefault="00E53FF9" w:rsidP="00E53FF9">
            <w:pPr>
              <w:jc w:val="right"/>
              <w:rPr>
                <w:rFonts w:ascii="Calibri" w:hAnsi="Calibri" w:cs="Calibri"/>
                <w:color w:val="000000"/>
                <w:sz w:val="22"/>
                <w:szCs w:val="22"/>
              </w:rPr>
            </w:pPr>
            <w:r w:rsidRPr="009E1F1D">
              <w:rPr>
                <w:rFonts w:ascii="Calibri" w:hAnsi="Calibri" w:cs="Calibri"/>
                <w:color w:val="000000"/>
                <w:sz w:val="22"/>
                <w:szCs w:val="22"/>
              </w:rPr>
              <w:lastRenderedPageBreak/>
              <w:t>94</w:t>
            </w:r>
          </w:p>
        </w:tc>
        <w:tc>
          <w:tcPr>
            <w:tcW w:w="1260" w:type="dxa"/>
            <w:tcBorders>
              <w:top w:val="nil"/>
              <w:left w:val="nil"/>
              <w:bottom w:val="single" w:sz="4" w:space="0" w:color="auto"/>
              <w:right w:val="single" w:sz="4" w:space="0" w:color="auto"/>
            </w:tcBorders>
            <w:hideMark/>
          </w:tcPr>
          <w:p w14:paraId="55B748B1" w14:textId="77777777" w:rsidR="00E53FF9" w:rsidRPr="009E1F1D" w:rsidRDefault="00E53FF9" w:rsidP="00E53FF9">
            <w:pPr>
              <w:rPr>
                <w:rFonts w:ascii="Calibri" w:hAnsi="Calibri" w:cs="Calibri"/>
                <w:color w:val="000000"/>
                <w:sz w:val="22"/>
                <w:szCs w:val="22"/>
              </w:rPr>
            </w:pPr>
            <w:r w:rsidRPr="009E1F1D">
              <w:rPr>
                <w:rFonts w:ascii="Calibri" w:hAnsi="Calibri" w:cs="Calibri"/>
                <w:color w:val="000000"/>
                <w:sz w:val="22"/>
                <w:szCs w:val="22"/>
              </w:rPr>
              <w:t>The Motivating Effect of Compensation in the Workplace</w:t>
            </w:r>
          </w:p>
        </w:tc>
        <w:tc>
          <w:tcPr>
            <w:tcW w:w="1530" w:type="dxa"/>
            <w:tcBorders>
              <w:top w:val="nil"/>
              <w:left w:val="nil"/>
              <w:bottom w:val="single" w:sz="4" w:space="0" w:color="auto"/>
              <w:right w:val="single" w:sz="4" w:space="0" w:color="auto"/>
            </w:tcBorders>
            <w:hideMark/>
          </w:tcPr>
          <w:p w14:paraId="736C8956" w14:textId="77777777" w:rsidR="00E53FF9" w:rsidRPr="009E1F1D" w:rsidRDefault="00E53FF9" w:rsidP="00E53FF9">
            <w:pPr>
              <w:rPr>
                <w:rFonts w:ascii="Calibri" w:hAnsi="Calibri" w:cs="Calibri"/>
                <w:color w:val="000000"/>
                <w:sz w:val="22"/>
                <w:szCs w:val="22"/>
              </w:rPr>
            </w:pPr>
            <w:proofErr w:type="spellStart"/>
            <w:r w:rsidRPr="009E1F1D">
              <w:rPr>
                <w:rFonts w:ascii="Calibri" w:hAnsi="Calibri" w:cs="Calibri"/>
                <w:color w:val="000000"/>
                <w:sz w:val="22"/>
                <w:szCs w:val="22"/>
              </w:rPr>
              <w:t>Cadsby</w:t>
            </w:r>
            <w:proofErr w:type="spellEnd"/>
            <w:r w:rsidRPr="009E1F1D">
              <w:rPr>
                <w:rFonts w:ascii="Calibri" w:hAnsi="Calibri" w:cs="Calibri"/>
                <w:color w:val="000000"/>
                <w:sz w:val="22"/>
                <w:szCs w:val="22"/>
              </w:rPr>
              <w:t>, C.B., Song, F. &amp; Tapon, F.</w:t>
            </w:r>
          </w:p>
        </w:tc>
        <w:tc>
          <w:tcPr>
            <w:tcW w:w="720" w:type="dxa"/>
            <w:tcBorders>
              <w:top w:val="nil"/>
              <w:left w:val="nil"/>
              <w:bottom w:val="single" w:sz="4" w:space="0" w:color="auto"/>
              <w:right w:val="single" w:sz="4" w:space="0" w:color="auto"/>
            </w:tcBorders>
            <w:hideMark/>
          </w:tcPr>
          <w:p w14:paraId="25DD9CAF" w14:textId="77777777" w:rsidR="00E53FF9" w:rsidRPr="009E1F1D" w:rsidRDefault="00E53FF9" w:rsidP="00E53FF9">
            <w:pPr>
              <w:rPr>
                <w:rFonts w:ascii="Calibri" w:hAnsi="Calibri" w:cs="Calibri"/>
                <w:color w:val="000000"/>
                <w:sz w:val="22"/>
                <w:szCs w:val="22"/>
              </w:rPr>
            </w:pPr>
            <w:r w:rsidRPr="009E1F1D">
              <w:rPr>
                <w:rFonts w:ascii="Calibri" w:hAnsi="Calibri" w:cs="Calibri"/>
                <w:color w:val="000000"/>
                <w:sz w:val="22"/>
                <w:szCs w:val="22"/>
              </w:rPr>
              <w:t>2007</w:t>
            </w:r>
          </w:p>
        </w:tc>
        <w:tc>
          <w:tcPr>
            <w:tcW w:w="1710" w:type="dxa"/>
            <w:tcBorders>
              <w:top w:val="nil"/>
              <w:left w:val="nil"/>
              <w:bottom w:val="single" w:sz="4" w:space="0" w:color="auto"/>
              <w:right w:val="single" w:sz="4" w:space="0" w:color="auto"/>
            </w:tcBorders>
          </w:tcPr>
          <w:p w14:paraId="41D0A38A" w14:textId="09BE046A" w:rsidR="00E53FF9" w:rsidRPr="009E1F1D" w:rsidRDefault="00E53FF9" w:rsidP="00E53FF9">
            <w:pPr>
              <w:rPr>
                <w:rFonts w:ascii="Calibri" w:hAnsi="Calibri" w:cs="Calibri"/>
                <w:color w:val="000000"/>
                <w:sz w:val="22"/>
                <w:szCs w:val="22"/>
              </w:rPr>
            </w:pPr>
            <w:r w:rsidRPr="00F0534D">
              <w:rPr>
                <w:rFonts w:ascii="Calibri" w:hAnsi="Calibri" w:cs="Calibri"/>
                <w:color w:val="000000"/>
                <w:sz w:val="22"/>
                <w:szCs w:val="22"/>
              </w:rPr>
              <w:t>Expectancy Theory</w:t>
            </w:r>
          </w:p>
        </w:tc>
        <w:tc>
          <w:tcPr>
            <w:tcW w:w="1710" w:type="dxa"/>
            <w:tcBorders>
              <w:top w:val="nil"/>
              <w:left w:val="nil"/>
              <w:bottom w:val="single" w:sz="4" w:space="0" w:color="auto"/>
              <w:right w:val="single" w:sz="4" w:space="0" w:color="auto"/>
            </w:tcBorders>
            <w:vAlign w:val="center"/>
          </w:tcPr>
          <w:p w14:paraId="7C1EC749" w14:textId="2C8B20BD" w:rsidR="00E53FF9" w:rsidRPr="009E1F1D" w:rsidRDefault="00E53FF9" w:rsidP="00E53FF9">
            <w:pPr>
              <w:rPr>
                <w:rFonts w:ascii="Calibri" w:hAnsi="Calibri" w:cs="Calibri"/>
                <w:color w:val="000000"/>
                <w:sz w:val="22"/>
                <w:szCs w:val="22"/>
              </w:rPr>
            </w:pPr>
            <w:r w:rsidRPr="00D0217E">
              <w:rPr>
                <w:color w:val="000000"/>
              </w:rPr>
              <w:t>Effort incentives</w:t>
            </w:r>
          </w:p>
        </w:tc>
        <w:tc>
          <w:tcPr>
            <w:tcW w:w="1980" w:type="dxa"/>
            <w:tcBorders>
              <w:top w:val="nil"/>
              <w:left w:val="nil"/>
              <w:bottom w:val="single" w:sz="4" w:space="0" w:color="auto"/>
              <w:right w:val="single" w:sz="4" w:space="0" w:color="auto"/>
            </w:tcBorders>
            <w:vAlign w:val="center"/>
          </w:tcPr>
          <w:p w14:paraId="43D039C6" w14:textId="7073B63E" w:rsidR="00E53FF9" w:rsidRPr="009E1F1D" w:rsidRDefault="00E53FF9" w:rsidP="00E53FF9">
            <w:pPr>
              <w:rPr>
                <w:rFonts w:ascii="Calibri" w:hAnsi="Calibri" w:cs="Calibri"/>
                <w:color w:val="000000"/>
                <w:sz w:val="22"/>
                <w:szCs w:val="22"/>
              </w:rPr>
            </w:pPr>
            <w:r w:rsidRPr="00D0217E">
              <w:rPr>
                <w:color w:val="000000"/>
              </w:rPr>
              <w:t>Competitive effects</w:t>
            </w:r>
          </w:p>
        </w:tc>
        <w:tc>
          <w:tcPr>
            <w:tcW w:w="1260" w:type="dxa"/>
            <w:tcBorders>
              <w:top w:val="nil"/>
              <w:left w:val="nil"/>
              <w:bottom w:val="single" w:sz="4" w:space="0" w:color="auto"/>
              <w:right w:val="single" w:sz="4" w:space="0" w:color="auto"/>
            </w:tcBorders>
            <w:vAlign w:val="center"/>
          </w:tcPr>
          <w:p w14:paraId="26453D51" w14:textId="22236295" w:rsidR="00E53FF9" w:rsidRPr="009E1F1D" w:rsidRDefault="00E53FF9" w:rsidP="00E53FF9">
            <w:pPr>
              <w:rPr>
                <w:rFonts w:ascii="Calibri" w:hAnsi="Calibri" w:cs="Calibri"/>
                <w:color w:val="000000"/>
                <w:sz w:val="22"/>
                <w:szCs w:val="22"/>
              </w:rPr>
            </w:pPr>
            <w:r w:rsidRPr="00D0217E">
              <w:rPr>
                <w:color w:val="000000"/>
              </w:rPr>
              <w:t>Employee sorting</w:t>
            </w:r>
          </w:p>
        </w:tc>
        <w:tc>
          <w:tcPr>
            <w:tcW w:w="1530" w:type="dxa"/>
            <w:tcBorders>
              <w:top w:val="nil"/>
              <w:left w:val="nil"/>
              <w:bottom w:val="single" w:sz="4" w:space="0" w:color="auto"/>
              <w:right w:val="single" w:sz="4" w:space="0" w:color="auto"/>
            </w:tcBorders>
            <w:hideMark/>
          </w:tcPr>
          <w:p w14:paraId="494E24D7" w14:textId="77777777" w:rsidR="00E53FF9" w:rsidRPr="009E1F1D" w:rsidRDefault="00E53FF9" w:rsidP="00E53FF9">
            <w:pPr>
              <w:rPr>
                <w:rFonts w:ascii="Calibri" w:hAnsi="Calibri" w:cs="Calibri"/>
                <w:color w:val="000000"/>
                <w:sz w:val="22"/>
                <w:szCs w:val="22"/>
              </w:rPr>
            </w:pPr>
            <w:r w:rsidRPr="009E1F1D">
              <w:rPr>
                <w:rFonts w:ascii="Calibri" w:hAnsi="Calibri" w:cs="Calibri"/>
                <w:color w:val="000000"/>
                <w:sz w:val="22"/>
                <w:szCs w:val="22"/>
              </w:rPr>
              <w:t>Performance-contingent pay can increase effort, particularly when goals are clear</w:t>
            </w:r>
          </w:p>
        </w:tc>
        <w:tc>
          <w:tcPr>
            <w:tcW w:w="1440" w:type="dxa"/>
            <w:tcBorders>
              <w:top w:val="nil"/>
              <w:left w:val="nil"/>
              <w:bottom w:val="single" w:sz="4" w:space="0" w:color="auto"/>
              <w:right w:val="single" w:sz="4" w:space="0" w:color="auto"/>
            </w:tcBorders>
          </w:tcPr>
          <w:p w14:paraId="47F2F057" w14:textId="5A111E29" w:rsidR="00E53FF9" w:rsidRPr="009E1F1D" w:rsidRDefault="00E53FF9" w:rsidP="00E53FF9">
            <w:pPr>
              <w:rPr>
                <w:rFonts w:ascii="Calibri" w:hAnsi="Calibri" w:cs="Calibri"/>
                <w:color w:val="000000"/>
                <w:sz w:val="22"/>
                <w:szCs w:val="22"/>
              </w:rPr>
            </w:pPr>
            <w:r w:rsidRPr="004B62CF">
              <w:rPr>
                <w:rFonts w:ascii="Calibri" w:hAnsi="Calibri" w:cs="Calibri"/>
                <w:color w:val="000000"/>
                <w:sz w:val="22"/>
                <w:szCs w:val="22"/>
              </w:rPr>
              <w:t>Sales compensation, agency</w:t>
            </w:r>
          </w:p>
        </w:tc>
        <w:tc>
          <w:tcPr>
            <w:tcW w:w="236" w:type="dxa"/>
            <w:tcBorders>
              <w:top w:val="nil"/>
              <w:left w:val="nil"/>
              <w:bottom w:val="single" w:sz="4" w:space="0" w:color="auto"/>
              <w:right w:val="single" w:sz="4" w:space="0" w:color="auto"/>
            </w:tcBorders>
          </w:tcPr>
          <w:p w14:paraId="4DFB2713" w14:textId="0C98A55B" w:rsidR="00E53FF9" w:rsidRPr="009E1F1D" w:rsidRDefault="00E53FF9" w:rsidP="00E53FF9">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3716EC34" w14:textId="57B63E27" w:rsidR="00E53FF9" w:rsidRPr="009E1F1D" w:rsidRDefault="00E53FF9" w:rsidP="00E53FF9">
            <w:pPr>
              <w:rPr>
                <w:rFonts w:ascii="Calibri" w:hAnsi="Calibri" w:cs="Calibri"/>
                <w:color w:val="000000"/>
                <w:sz w:val="22"/>
                <w:szCs w:val="22"/>
              </w:rPr>
            </w:pPr>
          </w:p>
        </w:tc>
      </w:tr>
      <w:tr w:rsidR="002A58DC" w:rsidRPr="009E1F1D" w14:paraId="4037491A"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255C1F4" w14:textId="77777777" w:rsidR="0038326F" w:rsidRPr="009E1F1D" w:rsidRDefault="0038326F" w:rsidP="0038326F">
            <w:pPr>
              <w:jc w:val="right"/>
              <w:rPr>
                <w:rFonts w:ascii="Calibri" w:hAnsi="Calibri" w:cs="Calibri"/>
                <w:color w:val="000000"/>
                <w:sz w:val="22"/>
                <w:szCs w:val="22"/>
              </w:rPr>
            </w:pPr>
            <w:r w:rsidRPr="009E1F1D">
              <w:rPr>
                <w:rFonts w:ascii="Calibri" w:hAnsi="Calibri" w:cs="Calibri"/>
                <w:color w:val="000000"/>
                <w:sz w:val="22"/>
                <w:szCs w:val="22"/>
              </w:rPr>
              <w:t>95</w:t>
            </w:r>
          </w:p>
        </w:tc>
        <w:tc>
          <w:tcPr>
            <w:tcW w:w="1260" w:type="dxa"/>
            <w:tcBorders>
              <w:top w:val="nil"/>
              <w:left w:val="nil"/>
              <w:bottom w:val="single" w:sz="4" w:space="0" w:color="auto"/>
              <w:right w:val="single" w:sz="4" w:space="0" w:color="auto"/>
            </w:tcBorders>
            <w:hideMark/>
          </w:tcPr>
          <w:p w14:paraId="6EFE7771"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Sales Force Compensation: An Agency Theory Perspective</w:t>
            </w:r>
          </w:p>
        </w:tc>
        <w:tc>
          <w:tcPr>
            <w:tcW w:w="1530" w:type="dxa"/>
            <w:tcBorders>
              <w:top w:val="nil"/>
              <w:left w:val="nil"/>
              <w:bottom w:val="single" w:sz="4" w:space="0" w:color="auto"/>
              <w:right w:val="single" w:sz="4" w:space="0" w:color="auto"/>
            </w:tcBorders>
            <w:hideMark/>
          </w:tcPr>
          <w:p w14:paraId="33392708"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 xml:space="preserve">Basu, A.K., Lal, R., Srinivasan, V. &amp; </w:t>
            </w:r>
            <w:proofErr w:type="spellStart"/>
            <w:r w:rsidRPr="009E1F1D">
              <w:rPr>
                <w:rFonts w:ascii="Calibri" w:hAnsi="Calibri" w:cs="Calibri"/>
                <w:color w:val="000000"/>
                <w:sz w:val="22"/>
                <w:szCs w:val="22"/>
              </w:rPr>
              <w:t>Staelin</w:t>
            </w:r>
            <w:proofErr w:type="spellEnd"/>
            <w:r w:rsidRPr="009E1F1D">
              <w:rPr>
                <w:rFonts w:ascii="Calibri" w:hAnsi="Calibri" w:cs="Calibri"/>
                <w:color w:val="000000"/>
                <w:sz w:val="22"/>
                <w:szCs w:val="22"/>
              </w:rPr>
              <w:t>, R.</w:t>
            </w:r>
          </w:p>
        </w:tc>
        <w:tc>
          <w:tcPr>
            <w:tcW w:w="720" w:type="dxa"/>
            <w:tcBorders>
              <w:top w:val="nil"/>
              <w:left w:val="nil"/>
              <w:bottom w:val="single" w:sz="4" w:space="0" w:color="auto"/>
              <w:right w:val="single" w:sz="4" w:space="0" w:color="auto"/>
            </w:tcBorders>
            <w:hideMark/>
          </w:tcPr>
          <w:p w14:paraId="329B36D9"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1985</w:t>
            </w:r>
          </w:p>
        </w:tc>
        <w:tc>
          <w:tcPr>
            <w:tcW w:w="1710" w:type="dxa"/>
            <w:tcBorders>
              <w:top w:val="nil"/>
              <w:left w:val="nil"/>
              <w:bottom w:val="single" w:sz="4" w:space="0" w:color="auto"/>
              <w:right w:val="single" w:sz="4" w:space="0" w:color="auto"/>
            </w:tcBorders>
          </w:tcPr>
          <w:p w14:paraId="0793ED9D" w14:textId="420D5221" w:rsidR="0038326F" w:rsidRPr="009E1F1D" w:rsidRDefault="0038326F" w:rsidP="0038326F">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510F5E26" w14:textId="4812BB48" w:rsidR="0038326F" w:rsidRPr="009E1F1D" w:rsidRDefault="0038326F" w:rsidP="0038326F">
            <w:pPr>
              <w:rPr>
                <w:rFonts w:ascii="Calibri" w:hAnsi="Calibri" w:cs="Calibri"/>
                <w:color w:val="000000"/>
                <w:sz w:val="22"/>
                <w:szCs w:val="22"/>
              </w:rPr>
            </w:pPr>
            <w:r w:rsidRPr="00D0217E">
              <w:rPr>
                <w:color w:val="000000"/>
              </w:rPr>
              <w:t>Sales motivation</w:t>
            </w:r>
          </w:p>
        </w:tc>
        <w:tc>
          <w:tcPr>
            <w:tcW w:w="1980" w:type="dxa"/>
            <w:tcBorders>
              <w:top w:val="nil"/>
              <w:left w:val="nil"/>
              <w:bottom w:val="single" w:sz="4" w:space="0" w:color="auto"/>
              <w:right w:val="single" w:sz="4" w:space="0" w:color="auto"/>
            </w:tcBorders>
            <w:vAlign w:val="center"/>
          </w:tcPr>
          <w:p w14:paraId="559BC7E5" w14:textId="11A79BD7" w:rsidR="0038326F" w:rsidRPr="009E1F1D" w:rsidRDefault="0038326F" w:rsidP="0038326F">
            <w:pPr>
              <w:rPr>
                <w:rFonts w:ascii="Calibri" w:hAnsi="Calibri" w:cs="Calibri"/>
                <w:color w:val="000000"/>
                <w:sz w:val="22"/>
                <w:szCs w:val="22"/>
              </w:rPr>
            </w:pPr>
            <w:r w:rsidRPr="00D0217E">
              <w:rPr>
                <w:color w:val="000000"/>
              </w:rPr>
              <w:t>Risk shifting</w:t>
            </w:r>
          </w:p>
        </w:tc>
        <w:tc>
          <w:tcPr>
            <w:tcW w:w="1260" w:type="dxa"/>
            <w:tcBorders>
              <w:top w:val="nil"/>
              <w:left w:val="nil"/>
              <w:bottom w:val="single" w:sz="4" w:space="0" w:color="auto"/>
              <w:right w:val="single" w:sz="4" w:space="0" w:color="auto"/>
            </w:tcBorders>
            <w:vAlign w:val="center"/>
          </w:tcPr>
          <w:p w14:paraId="54509234" w14:textId="6612430C" w:rsidR="0038326F" w:rsidRPr="009E1F1D" w:rsidRDefault="0038326F" w:rsidP="0038326F">
            <w:pPr>
              <w:rPr>
                <w:rFonts w:ascii="Calibri" w:hAnsi="Calibri" w:cs="Calibri"/>
                <w:color w:val="000000"/>
                <w:sz w:val="22"/>
                <w:szCs w:val="22"/>
              </w:rPr>
            </w:pPr>
            <w:r w:rsidRPr="00D0217E">
              <w:rPr>
                <w:color w:val="000000"/>
              </w:rPr>
              <w:t>Sales performance</w:t>
            </w:r>
          </w:p>
        </w:tc>
        <w:tc>
          <w:tcPr>
            <w:tcW w:w="1530" w:type="dxa"/>
            <w:tcBorders>
              <w:top w:val="nil"/>
              <w:left w:val="nil"/>
              <w:bottom w:val="single" w:sz="4" w:space="0" w:color="auto"/>
              <w:right w:val="single" w:sz="4" w:space="0" w:color="auto"/>
            </w:tcBorders>
            <w:hideMark/>
          </w:tcPr>
          <w:p w14:paraId="3205B1F4"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Optimal sales compensation depends on risk, monitoring and effort observability</w:t>
            </w:r>
          </w:p>
        </w:tc>
        <w:tc>
          <w:tcPr>
            <w:tcW w:w="1440" w:type="dxa"/>
            <w:tcBorders>
              <w:top w:val="nil"/>
              <w:left w:val="nil"/>
              <w:bottom w:val="single" w:sz="4" w:space="0" w:color="auto"/>
              <w:right w:val="single" w:sz="4" w:space="0" w:color="auto"/>
            </w:tcBorders>
          </w:tcPr>
          <w:p w14:paraId="58A395FF" w14:textId="544B713B" w:rsidR="0038326F" w:rsidRPr="009E1F1D" w:rsidRDefault="0038326F" w:rsidP="0038326F">
            <w:pPr>
              <w:rPr>
                <w:rFonts w:ascii="Calibri" w:hAnsi="Calibri" w:cs="Calibri"/>
                <w:color w:val="000000"/>
                <w:sz w:val="22"/>
                <w:szCs w:val="22"/>
              </w:rPr>
            </w:pPr>
            <w:r w:rsidRPr="004B62CF">
              <w:rPr>
                <w:rFonts w:ascii="Calibri" w:hAnsi="Calibri" w:cs="Calibri"/>
                <w:color w:val="000000"/>
                <w:sz w:val="22"/>
                <w:szCs w:val="22"/>
              </w:rPr>
              <w:t>Sales compensation</w:t>
            </w:r>
          </w:p>
        </w:tc>
        <w:tc>
          <w:tcPr>
            <w:tcW w:w="236" w:type="dxa"/>
            <w:tcBorders>
              <w:top w:val="nil"/>
              <w:left w:val="nil"/>
              <w:bottom w:val="single" w:sz="4" w:space="0" w:color="auto"/>
              <w:right w:val="single" w:sz="4" w:space="0" w:color="auto"/>
            </w:tcBorders>
          </w:tcPr>
          <w:p w14:paraId="16BE35F9" w14:textId="570C5C37" w:rsidR="0038326F" w:rsidRPr="009E1F1D" w:rsidRDefault="0038326F" w:rsidP="0038326F">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A295F3C" w14:textId="057B4067" w:rsidR="0038326F" w:rsidRPr="009E1F1D" w:rsidRDefault="0038326F" w:rsidP="0038326F">
            <w:pPr>
              <w:rPr>
                <w:rFonts w:ascii="Calibri" w:hAnsi="Calibri" w:cs="Calibri"/>
                <w:color w:val="000000"/>
                <w:sz w:val="22"/>
                <w:szCs w:val="22"/>
              </w:rPr>
            </w:pPr>
          </w:p>
        </w:tc>
      </w:tr>
      <w:tr w:rsidR="002A58DC" w:rsidRPr="009E1F1D" w14:paraId="51915AB6"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23FC4F27" w14:textId="77777777" w:rsidR="0038326F" w:rsidRPr="009E1F1D" w:rsidRDefault="0038326F" w:rsidP="0038326F">
            <w:pPr>
              <w:jc w:val="right"/>
              <w:rPr>
                <w:rFonts w:ascii="Calibri" w:hAnsi="Calibri" w:cs="Calibri"/>
                <w:color w:val="000000"/>
                <w:sz w:val="22"/>
                <w:szCs w:val="22"/>
              </w:rPr>
            </w:pPr>
            <w:r w:rsidRPr="009E1F1D">
              <w:rPr>
                <w:rFonts w:ascii="Calibri" w:hAnsi="Calibri" w:cs="Calibri"/>
                <w:color w:val="000000"/>
                <w:sz w:val="22"/>
                <w:szCs w:val="22"/>
              </w:rPr>
              <w:t>96</w:t>
            </w:r>
          </w:p>
        </w:tc>
        <w:tc>
          <w:tcPr>
            <w:tcW w:w="1260" w:type="dxa"/>
            <w:tcBorders>
              <w:top w:val="nil"/>
              <w:left w:val="nil"/>
              <w:bottom w:val="single" w:sz="4" w:space="0" w:color="auto"/>
              <w:right w:val="single" w:sz="4" w:space="0" w:color="auto"/>
            </w:tcBorders>
            <w:hideMark/>
          </w:tcPr>
          <w:p w14:paraId="21754371"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Salesforce Compensation: Theory and Evidence</w:t>
            </w:r>
          </w:p>
        </w:tc>
        <w:tc>
          <w:tcPr>
            <w:tcW w:w="1530" w:type="dxa"/>
            <w:tcBorders>
              <w:top w:val="nil"/>
              <w:left w:val="nil"/>
              <w:bottom w:val="single" w:sz="4" w:space="0" w:color="auto"/>
              <w:right w:val="single" w:sz="4" w:space="0" w:color="auto"/>
            </w:tcBorders>
            <w:hideMark/>
          </w:tcPr>
          <w:p w14:paraId="2AA90957"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Coughlan, A.T. &amp; Sen, S.K.</w:t>
            </w:r>
          </w:p>
        </w:tc>
        <w:tc>
          <w:tcPr>
            <w:tcW w:w="720" w:type="dxa"/>
            <w:tcBorders>
              <w:top w:val="nil"/>
              <w:left w:val="nil"/>
              <w:bottom w:val="single" w:sz="4" w:space="0" w:color="auto"/>
              <w:right w:val="single" w:sz="4" w:space="0" w:color="auto"/>
            </w:tcBorders>
            <w:hideMark/>
          </w:tcPr>
          <w:p w14:paraId="31D8066E"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1989</w:t>
            </w:r>
          </w:p>
        </w:tc>
        <w:tc>
          <w:tcPr>
            <w:tcW w:w="1710" w:type="dxa"/>
            <w:tcBorders>
              <w:top w:val="nil"/>
              <w:left w:val="nil"/>
              <w:bottom w:val="single" w:sz="4" w:space="0" w:color="auto"/>
              <w:right w:val="single" w:sz="4" w:space="0" w:color="auto"/>
            </w:tcBorders>
          </w:tcPr>
          <w:p w14:paraId="477B69CD" w14:textId="3D4045F0" w:rsidR="0038326F" w:rsidRPr="009E1F1D" w:rsidRDefault="0038326F" w:rsidP="0038326F">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6496AE05" w14:textId="44137037" w:rsidR="0038326F" w:rsidRPr="009E1F1D" w:rsidRDefault="0038326F" w:rsidP="0038326F">
            <w:pPr>
              <w:rPr>
                <w:rFonts w:ascii="Calibri" w:hAnsi="Calibri" w:cs="Calibri"/>
                <w:color w:val="000000"/>
                <w:sz w:val="22"/>
                <w:szCs w:val="22"/>
              </w:rPr>
            </w:pPr>
            <w:r w:rsidRPr="00D0217E">
              <w:rPr>
                <w:color w:val="000000"/>
              </w:rPr>
              <w:t>Sales motivation</w:t>
            </w:r>
          </w:p>
        </w:tc>
        <w:tc>
          <w:tcPr>
            <w:tcW w:w="1980" w:type="dxa"/>
            <w:tcBorders>
              <w:top w:val="nil"/>
              <w:left w:val="nil"/>
              <w:bottom w:val="single" w:sz="4" w:space="0" w:color="auto"/>
              <w:right w:val="single" w:sz="4" w:space="0" w:color="auto"/>
            </w:tcBorders>
            <w:vAlign w:val="center"/>
          </w:tcPr>
          <w:p w14:paraId="039ED9C6" w14:textId="38C4BCF5" w:rsidR="0038326F" w:rsidRPr="009E1F1D" w:rsidRDefault="0038326F" w:rsidP="0038326F">
            <w:pPr>
              <w:rPr>
                <w:rFonts w:ascii="Calibri" w:hAnsi="Calibri" w:cs="Calibri"/>
                <w:color w:val="000000"/>
                <w:sz w:val="22"/>
                <w:szCs w:val="22"/>
              </w:rPr>
            </w:pPr>
            <w:r w:rsidRPr="00D0217E">
              <w:rPr>
                <w:color w:val="000000"/>
              </w:rPr>
              <w:t>Monitoring costs</w:t>
            </w:r>
          </w:p>
        </w:tc>
        <w:tc>
          <w:tcPr>
            <w:tcW w:w="1260" w:type="dxa"/>
            <w:tcBorders>
              <w:top w:val="nil"/>
              <w:left w:val="nil"/>
              <w:bottom w:val="single" w:sz="4" w:space="0" w:color="auto"/>
              <w:right w:val="single" w:sz="4" w:space="0" w:color="auto"/>
            </w:tcBorders>
            <w:vAlign w:val="center"/>
          </w:tcPr>
          <w:p w14:paraId="00154040" w14:textId="6E91C7B6" w:rsidR="0038326F" w:rsidRPr="009E1F1D" w:rsidRDefault="0038326F" w:rsidP="0038326F">
            <w:pPr>
              <w:rPr>
                <w:rFonts w:ascii="Calibri" w:hAnsi="Calibri" w:cs="Calibri"/>
                <w:color w:val="000000"/>
                <w:sz w:val="22"/>
                <w:szCs w:val="22"/>
              </w:rPr>
            </w:pPr>
            <w:r w:rsidRPr="00D0217E">
              <w:rPr>
                <w:color w:val="000000"/>
              </w:rPr>
              <w:t>Sales performance</w:t>
            </w:r>
          </w:p>
        </w:tc>
        <w:tc>
          <w:tcPr>
            <w:tcW w:w="1530" w:type="dxa"/>
            <w:tcBorders>
              <w:top w:val="nil"/>
              <w:left w:val="nil"/>
              <w:bottom w:val="single" w:sz="4" w:space="0" w:color="auto"/>
              <w:right w:val="single" w:sz="4" w:space="0" w:color="auto"/>
            </w:tcBorders>
            <w:hideMark/>
          </w:tcPr>
          <w:p w14:paraId="4A4E7705" w14:textId="77777777" w:rsidR="0038326F" w:rsidRPr="009E1F1D" w:rsidRDefault="0038326F" w:rsidP="0038326F">
            <w:pPr>
              <w:rPr>
                <w:rFonts w:ascii="Calibri" w:hAnsi="Calibri" w:cs="Calibri"/>
                <w:color w:val="000000"/>
                <w:sz w:val="22"/>
                <w:szCs w:val="22"/>
              </w:rPr>
            </w:pPr>
            <w:r w:rsidRPr="009E1F1D">
              <w:rPr>
                <w:rFonts w:ascii="Calibri" w:hAnsi="Calibri" w:cs="Calibri"/>
                <w:color w:val="000000"/>
                <w:sz w:val="22"/>
                <w:szCs w:val="22"/>
              </w:rPr>
              <w:t>Compensation should reflect uncertainty, effort and observability</w:t>
            </w:r>
          </w:p>
        </w:tc>
        <w:tc>
          <w:tcPr>
            <w:tcW w:w="1440" w:type="dxa"/>
            <w:tcBorders>
              <w:top w:val="nil"/>
              <w:left w:val="nil"/>
              <w:bottom w:val="single" w:sz="4" w:space="0" w:color="auto"/>
              <w:right w:val="single" w:sz="4" w:space="0" w:color="auto"/>
            </w:tcBorders>
          </w:tcPr>
          <w:p w14:paraId="025A0F4F" w14:textId="7679607B" w:rsidR="0038326F" w:rsidRPr="009E1F1D" w:rsidRDefault="00734D1A" w:rsidP="0038326F">
            <w:pPr>
              <w:rPr>
                <w:rFonts w:ascii="Calibri" w:hAnsi="Calibri" w:cs="Calibri"/>
                <w:color w:val="000000"/>
                <w:sz w:val="22"/>
                <w:szCs w:val="22"/>
              </w:rPr>
            </w:pPr>
            <w:r w:rsidRPr="004B62CF">
              <w:rPr>
                <w:rFonts w:ascii="Calibri" w:hAnsi="Calibri" w:cs="Calibri"/>
                <w:color w:val="000000"/>
                <w:sz w:val="22"/>
                <w:szCs w:val="22"/>
              </w:rPr>
              <w:t>Sales compensation, control</w:t>
            </w:r>
          </w:p>
        </w:tc>
        <w:tc>
          <w:tcPr>
            <w:tcW w:w="236" w:type="dxa"/>
            <w:tcBorders>
              <w:top w:val="nil"/>
              <w:left w:val="nil"/>
              <w:bottom w:val="single" w:sz="4" w:space="0" w:color="auto"/>
              <w:right w:val="single" w:sz="4" w:space="0" w:color="auto"/>
            </w:tcBorders>
          </w:tcPr>
          <w:p w14:paraId="540A045E" w14:textId="741E5401" w:rsidR="0038326F" w:rsidRPr="009E1F1D" w:rsidRDefault="0038326F" w:rsidP="0038326F">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1F566C9C" w14:textId="646267E9" w:rsidR="0038326F" w:rsidRPr="009E1F1D" w:rsidRDefault="0038326F" w:rsidP="0038326F">
            <w:pPr>
              <w:rPr>
                <w:rFonts w:ascii="Calibri" w:hAnsi="Calibri" w:cs="Calibri"/>
                <w:color w:val="000000"/>
                <w:sz w:val="22"/>
                <w:szCs w:val="22"/>
              </w:rPr>
            </w:pPr>
          </w:p>
        </w:tc>
      </w:tr>
      <w:tr w:rsidR="002A58DC" w:rsidRPr="009E1F1D" w14:paraId="522F0198"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5051E13E" w14:textId="77777777" w:rsidR="003E4216" w:rsidRPr="009E1F1D" w:rsidRDefault="003E4216" w:rsidP="003E4216">
            <w:pPr>
              <w:jc w:val="right"/>
              <w:rPr>
                <w:rFonts w:ascii="Calibri" w:hAnsi="Calibri" w:cs="Calibri"/>
                <w:color w:val="000000"/>
                <w:sz w:val="22"/>
                <w:szCs w:val="22"/>
              </w:rPr>
            </w:pPr>
            <w:r w:rsidRPr="009E1F1D">
              <w:rPr>
                <w:rFonts w:ascii="Calibri" w:hAnsi="Calibri" w:cs="Calibri"/>
                <w:color w:val="000000"/>
                <w:sz w:val="22"/>
                <w:szCs w:val="22"/>
              </w:rPr>
              <w:t>97</w:t>
            </w:r>
          </w:p>
        </w:tc>
        <w:tc>
          <w:tcPr>
            <w:tcW w:w="1260" w:type="dxa"/>
            <w:tcBorders>
              <w:top w:val="nil"/>
              <w:left w:val="nil"/>
              <w:bottom w:val="single" w:sz="4" w:space="0" w:color="auto"/>
              <w:right w:val="single" w:sz="4" w:space="0" w:color="auto"/>
            </w:tcBorders>
            <w:hideMark/>
          </w:tcPr>
          <w:p w14:paraId="703ADB4A" w14:textId="77777777" w:rsidR="003E4216" w:rsidRPr="009E1F1D" w:rsidRDefault="003E4216" w:rsidP="003E4216">
            <w:pPr>
              <w:rPr>
                <w:rFonts w:ascii="Calibri" w:hAnsi="Calibri" w:cs="Calibri"/>
                <w:color w:val="000000"/>
                <w:sz w:val="22"/>
                <w:szCs w:val="22"/>
              </w:rPr>
            </w:pPr>
            <w:r w:rsidRPr="009E1F1D">
              <w:rPr>
                <w:rFonts w:ascii="Calibri" w:hAnsi="Calibri" w:cs="Calibri"/>
                <w:color w:val="000000"/>
                <w:sz w:val="22"/>
                <w:szCs w:val="22"/>
              </w:rPr>
              <w:t>Sales Compensation Plans: A Review and Research Agenda</w:t>
            </w:r>
          </w:p>
        </w:tc>
        <w:tc>
          <w:tcPr>
            <w:tcW w:w="1530" w:type="dxa"/>
            <w:tcBorders>
              <w:top w:val="nil"/>
              <w:left w:val="nil"/>
              <w:bottom w:val="single" w:sz="4" w:space="0" w:color="auto"/>
              <w:right w:val="single" w:sz="4" w:space="0" w:color="auto"/>
            </w:tcBorders>
            <w:hideMark/>
          </w:tcPr>
          <w:p w14:paraId="1CFBA8EF" w14:textId="77777777" w:rsidR="003E4216" w:rsidRPr="009E1F1D" w:rsidRDefault="003E4216" w:rsidP="003E4216">
            <w:pPr>
              <w:rPr>
                <w:rFonts w:ascii="Calibri" w:hAnsi="Calibri" w:cs="Calibri"/>
                <w:color w:val="000000"/>
                <w:sz w:val="22"/>
                <w:szCs w:val="22"/>
              </w:rPr>
            </w:pPr>
            <w:r w:rsidRPr="009E1F1D">
              <w:rPr>
                <w:rFonts w:ascii="Calibri" w:hAnsi="Calibri" w:cs="Calibri"/>
                <w:color w:val="000000"/>
                <w:sz w:val="22"/>
                <w:szCs w:val="22"/>
              </w:rPr>
              <w:t>John, G. &amp; Weitz, B.A.</w:t>
            </w:r>
          </w:p>
        </w:tc>
        <w:tc>
          <w:tcPr>
            <w:tcW w:w="720" w:type="dxa"/>
            <w:tcBorders>
              <w:top w:val="nil"/>
              <w:left w:val="nil"/>
              <w:bottom w:val="single" w:sz="4" w:space="0" w:color="auto"/>
              <w:right w:val="single" w:sz="4" w:space="0" w:color="auto"/>
            </w:tcBorders>
            <w:hideMark/>
          </w:tcPr>
          <w:p w14:paraId="7D8CA6D2" w14:textId="77777777" w:rsidR="003E4216" w:rsidRPr="009E1F1D" w:rsidRDefault="003E4216" w:rsidP="003E4216">
            <w:pPr>
              <w:rPr>
                <w:rFonts w:ascii="Calibri" w:hAnsi="Calibri" w:cs="Calibri"/>
                <w:color w:val="000000"/>
                <w:sz w:val="22"/>
                <w:szCs w:val="22"/>
              </w:rPr>
            </w:pPr>
            <w:r w:rsidRPr="009E1F1D">
              <w:rPr>
                <w:rFonts w:ascii="Calibri" w:hAnsi="Calibri" w:cs="Calibri"/>
                <w:color w:val="000000"/>
                <w:sz w:val="22"/>
                <w:szCs w:val="22"/>
              </w:rPr>
              <w:t>1989</w:t>
            </w:r>
          </w:p>
        </w:tc>
        <w:tc>
          <w:tcPr>
            <w:tcW w:w="1710" w:type="dxa"/>
            <w:tcBorders>
              <w:top w:val="nil"/>
              <w:left w:val="nil"/>
              <w:bottom w:val="single" w:sz="4" w:space="0" w:color="auto"/>
              <w:right w:val="single" w:sz="4" w:space="0" w:color="auto"/>
            </w:tcBorders>
          </w:tcPr>
          <w:p w14:paraId="17E8C9DE" w14:textId="137D16AF" w:rsidR="003E4216" w:rsidRPr="009E1F1D" w:rsidRDefault="003E4216" w:rsidP="003E4216">
            <w:pPr>
              <w:rPr>
                <w:rFonts w:ascii="Calibri" w:hAnsi="Calibri" w:cs="Calibri"/>
                <w:color w:val="000000"/>
                <w:sz w:val="22"/>
                <w:szCs w:val="22"/>
              </w:rPr>
            </w:pPr>
            <w:r w:rsidRPr="00F0534D">
              <w:rPr>
                <w:rFonts w:ascii="Calibri" w:hAnsi="Calibri" w:cs="Calibri"/>
                <w:color w:val="000000"/>
                <w:sz w:val="22"/>
                <w:szCs w:val="22"/>
              </w:rPr>
              <w:t>Agency Theory</w:t>
            </w:r>
          </w:p>
        </w:tc>
        <w:tc>
          <w:tcPr>
            <w:tcW w:w="1710" w:type="dxa"/>
            <w:tcBorders>
              <w:top w:val="nil"/>
              <w:left w:val="nil"/>
              <w:bottom w:val="single" w:sz="4" w:space="0" w:color="auto"/>
              <w:right w:val="single" w:sz="4" w:space="0" w:color="auto"/>
            </w:tcBorders>
            <w:vAlign w:val="center"/>
          </w:tcPr>
          <w:p w14:paraId="5894FBA0" w14:textId="28F3740D" w:rsidR="003E4216" w:rsidRPr="009E1F1D" w:rsidRDefault="003E4216" w:rsidP="003E4216">
            <w:pPr>
              <w:rPr>
                <w:rFonts w:ascii="Calibri" w:hAnsi="Calibri" w:cs="Calibri"/>
                <w:color w:val="000000"/>
                <w:sz w:val="22"/>
                <w:szCs w:val="22"/>
              </w:rPr>
            </w:pPr>
            <w:r w:rsidRPr="00D0217E">
              <w:rPr>
                <w:color w:val="000000"/>
              </w:rPr>
              <w:t>Sales incentives</w:t>
            </w:r>
          </w:p>
        </w:tc>
        <w:tc>
          <w:tcPr>
            <w:tcW w:w="1980" w:type="dxa"/>
            <w:tcBorders>
              <w:top w:val="nil"/>
              <w:left w:val="nil"/>
              <w:bottom w:val="single" w:sz="4" w:space="0" w:color="auto"/>
              <w:right w:val="single" w:sz="4" w:space="0" w:color="auto"/>
            </w:tcBorders>
            <w:vAlign w:val="center"/>
          </w:tcPr>
          <w:p w14:paraId="668608E2" w14:textId="1EB7CE19" w:rsidR="003E4216" w:rsidRPr="009E1F1D" w:rsidRDefault="003E4216" w:rsidP="003E4216">
            <w:pPr>
              <w:rPr>
                <w:rFonts w:ascii="Calibri" w:hAnsi="Calibri" w:cs="Calibri"/>
                <w:color w:val="000000"/>
                <w:sz w:val="22"/>
                <w:szCs w:val="22"/>
              </w:rPr>
            </w:pPr>
            <w:r w:rsidRPr="00D0217E">
              <w:rPr>
                <w:color w:val="000000"/>
              </w:rPr>
              <w:t>Monitoring costs</w:t>
            </w:r>
          </w:p>
        </w:tc>
        <w:tc>
          <w:tcPr>
            <w:tcW w:w="1260" w:type="dxa"/>
            <w:tcBorders>
              <w:top w:val="nil"/>
              <w:left w:val="nil"/>
              <w:bottom w:val="single" w:sz="4" w:space="0" w:color="auto"/>
              <w:right w:val="single" w:sz="4" w:space="0" w:color="auto"/>
            </w:tcBorders>
            <w:vAlign w:val="center"/>
          </w:tcPr>
          <w:p w14:paraId="3F0FA530" w14:textId="0C6A517A" w:rsidR="003E4216" w:rsidRPr="009E1F1D" w:rsidRDefault="003E4216" w:rsidP="003E4216">
            <w:pPr>
              <w:rPr>
                <w:rFonts w:ascii="Calibri" w:hAnsi="Calibri" w:cs="Calibri"/>
                <w:color w:val="000000"/>
                <w:sz w:val="22"/>
                <w:szCs w:val="22"/>
              </w:rPr>
            </w:pPr>
            <w:r w:rsidRPr="00D0217E">
              <w:rPr>
                <w:color w:val="000000"/>
              </w:rPr>
              <w:t>Sales performance</w:t>
            </w:r>
          </w:p>
        </w:tc>
        <w:tc>
          <w:tcPr>
            <w:tcW w:w="1530" w:type="dxa"/>
            <w:tcBorders>
              <w:top w:val="nil"/>
              <w:left w:val="nil"/>
              <w:bottom w:val="single" w:sz="4" w:space="0" w:color="auto"/>
              <w:right w:val="single" w:sz="4" w:space="0" w:color="auto"/>
            </w:tcBorders>
            <w:hideMark/>
          </w:tcPr>
          <w:p w14:paraId="5640E92B" w14:textId="77777777" w:rsidR="003E4216" w:rsidRPr="009E1F1D" w:rsidRDefault="003E4216" w:rsidP="003E4216">
            <w:pPr>
              <w:rPr>
                <w:rFonts w:ascii="Calibri" w:hAnsi="Calibri" w:cs="Calibri"/>
                <w:color w:val="000000"/>
                <w:sz w:val="22"/>
                <w:szCs w:val="22"/>
              </w:rPr>
            </w:pPr>
            <w:r w:rsidRPr="009E1F1D">
              <w:rPr>
                <w:rFonts w:ascii="Calibri" w:hAnsi="Calibri" w:cs="Calibri"/>
                <w:color w:val="000000"/>
                <w:sz w:val="22"/>
                <w:szCs w:val="22"/>
              </w:rPr>
              <w:t>Compensation plan choice reflects control, uncertainty and sales task characteristics</w:t>
            </w:r>
          </w:p>
        </w:tc>
        <w:tc>
          <w:tcPr>
            <w:tcW w:w="1440" w:type="dxa"/>
            <w:tcBorders>
              <w:top w:val="nil"/>
              <w:left w:val="nil"/>
              <w:bottom w:val="single" w:sz="4" w:space="0" w:color="auto"/>
              <w:right w:val="single" w:sz="4" w:space="0" w:color="auto"/>
            </w:tcBorders>
          </w:tcPr>
          <w:p w14:paraId="4CF09180" w14:textId="3D477075" w:rsidR="003E4216" w:rsidRPr="009E1F1D" w:rsidRDefault="003E4216" w:rsidP="003E4216">
            <w:pPr>
              <w:rPr>
                <w:rFonts w:ascii="Calibri" w:hAnsi="Calibri" w:cs="Calibri"/>
                <w:color w:val="000000"/>
                <w:sz w:val="22"/>
                <w:szCs w:val="22"/>
              </w:rPr>
            </w:pPr>
            <w:r w:rsidRPr="004B62CF">
              <w:rPr>
                <w:rFonts w:ascii="Calibri" w:hAnsi="Calibri" w:cs="Calibri"/>
                <w:color w:val="000000"/>
                <w:sz w:val="22"/>
                <w:szCs w:val="22"/>
              </w:rPr>
              <w:t>Sales performance, compensation</w:t>
            </w:r>
          </w:p>
        </w:tc>
        <w:tc>
          <w:tcPr>
            <w:tcW w:w="236" w:type="dxa"/>
            <w:tcBorders>
              <w:top w:val="nil"/>
              <w:left w:val="nil"/>
              <w:bottom w:val="single" w:sz="4" w:space="0" w:color="auto"/>
              <w:right w:val="single" w:sz="4" w:space="0" w:color="auto"/>
            </w:tcBorders>
          </w:tcPr>
          <w:p w14:paraId="440ABD48" w14:textId="4A898EFE" w:rsidR="003E4216" w:rsidRPr="009E1F1D" w:rsidRDefault="003E4216" w:rsidP="003E4216">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6B0C4E91" w14:textId="2E395433" w:rsidR="003E4216" w:rsidRPr="009E1F1D" w:rsidRDefault="003E4216" w:rsidP="003E4216">
            <w:pPr>
              <w:rPr>
                <w:rFonts w:ascii="Calibri" w:hAnsi="Calibri" w:cs="Calibri"/>
                <w:color w:val="000000"/>
                <w:sz w:val="22"/>
                <w:szCs w:val="22"/>
              </w:rPr>
            </w:pPr>
          </w:p>
        </w:tc>
      </w:tr>
      <w:tr w:rsidR="002A58DC" w:rsidRPr="009E1F1D" w14:paraId="46EB0510"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705CF3DD" w14:textId="77777777" w:rsidR="00F20A3D" w:rsidRPr="009E1F1D" w:rsidRDefault="00F20A3D" w:rsidP="00F20A3D">
            <w:pPr>
              <w:jc w:val="right"/>
              <w:rPr>
                <w:rFonts w:ascii="Calibri" w:hAnsi="Calibri" w:cs="Calibri"/>
                <w:color w:val="000000"/>
                <w:sz w:val="22"/>
                <w:szCs w:val="22"/>
              </w:rPr>
            </w:pPr>
            <w:r w:rsidRPr="009E1F1D">
              <w:rPr>
                <w:rFonts w:ascii="Calibri" w:hAnsi="Calibri" w:cs="Calibri"/>
                <w:color w:val="000000"/>
                <w:sz w:val="22"/>
                <w:szCs w:val="22"/>
              </w:rPr>
              <w:t>98</w:t>
            </w:r>
          </w:p>
        </w:tc>
        <w:tc>
          <w:tcPr>
            <w:tcW w:w="1260" w:type="dxa"/>
            <w:tcBorders>
              <w:top w:val="nil"/>
              <w:left w:val="nil"/>
              <w:bottom w:val="single" w:sz="4" w:space="0" w:color="auto"/>
              <w:right w:val="single" w:sz="4" w:space="0" w:color="auto"/>
            </w:tcBorders>
            <w:hideMark/>
          </w:tcPr>
          <w:p w14:paraId="390468B6" w14:textId="4BA746D7" w:rsidR="00F20A3D" w:rsidRPr="009E1F1D" w:rsidRDefault="00F20A3D" w:rsidP="00F20A3D">
            <w:pPr>
              <w:rPr>
                <w:rFonts w:ascii="Calibri" w:hAnsi="Calibri" w:cs="Calibri"/>
                <w:color w:val="000000"/>
                <w:sz w:val="22"/>
                <w:szCs w:val="22"/>
              </w:rPr>
            </w:pPr>
            <w:r w:rsidRPr="002E476A">
              <w:rPr>
                <w:color w:val="000000"/>
                <w:sz w:val="22"/>
                <w:szCs w:val="22"/>
              </w:rPr>
              <w:t xml:space="preserve">An empirical investigation of the antecedents of sales force </w:t>
            </w:r>
            <w:r w:rsidRPr="002E476A">
              <w:rPr>
                <w:color w:val="000000"/>
                <w:sz w:val="22"/>
                <w:szCs w:val="22"/>
              </w:rPr>
              <w:lastRenderedPageBreak/>
              <w:t>control systems</w:t>
            </w:r>
          </w:p>
        </w:tc>
        <w:tc>
          <w:tcPr>
            <w:tcW w:w="1530" w:type="dxa"/>
            <w:tcBorders>
              <w:top w:val="nil"/>
              <w:left w:val="nil"/>
              <w:bottom w:val="single" w:sz="4" w:space="0" w:color="auto"/>
              <w:right w:val="single" w:sz="4" w:space="0" w:color="auto"/>
            </w:tcBorders>
            <w:hideMark/>
          </w:tcPr>
          <w:p w14:paraId="7931D8AB"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lastRenderedPageBreak/>
              <w:t>Krafft, M.</w:t>
            </w:r>
          </w:p>
        </w:tc>
        <w:tc>
          <w:tcPr>
            <w:tcW w:w="720" w:type="dxa"/>
            <w:tcBorders>
              <w:top w:val="nil"/>
              <w:left w:val="nil"/>
              <w:bottom w:val="single" w:sz="4" w:space="0" w:color="auto"/>
              <w:right w:val="single" w:sz="4" w:space="0" w:color="auto"/>
            </w:tcBorders>
            <w:hideMark/>
          </w:tcPr>
          <w:p w14:paraId="08520E10"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t>1999</w:t>
            </w:r>
          </w:p>
        </w:tc>
        <w:tc>
          <w:tcPr>
            <w:tcW w:w="1710" w:type="dxa"/>
            <w:tcBorders>
              <w:top w:val="nil"/>
              <w:left w:val="nil"/>
              <w:bottom w:val="single" w:sz="4" w:space="0" w:color="auto"/>
              <w:right w:val="single" w:sz="4" w:space="0" w:color="auto"/>
            </w:tcBorders>
          </w:tcPr>
          <w:p w14:paraId="4EF22BB1" w14:textId="0770806D" w:rsidR="00F20A3D" w:rsidRPr="009E1F1D" w:rsidRDefault="00F20A3D" w:rsidP="00F20A3D">
            <w:pPr>
              <w:rPr>
                <w:rFonts w:ascii="Calibri" w:hAnsi="Calibri" w:cs="Calibri"/>
                <w:color w:val="000000"/>
                <w:sz w:val="22"/>
                <w:szCs w:val="22"/>
              </w:rPr>
            </w:pPr>
            <w:r w:rsidRPr="00F0534D">
              <w:rPr>
                <w:rFonts w:ascii="Calibri" w:hAnsi="Calibri" w:cs="Calibri"/>
                <w:color w:val="000000"/>
                <w:sz w:val="22"/>
                <w:szCs w:val="22"/>
              </w:rPr>
              <w:t>Agency; expectancy</w:t>
            </w:r>
          </w:p>
        </w:tc>
        <w:tc>
          <w:tcPr>
            <w:tcW w:w="1710" w:type="dxa"/>
            <w:tcBorders>
              <w:top w:val="nil"/>
              <w:left w:val="nil"/>
              <w:bottom w:val="single" w:sz="4" w:space="0" w:color="auto"/>
              <w:right w:val="single" w:sz="4" w:space="0" w:color="auto"/>
            </w:tcBorders>
            <w:vAlign w:val="center"/>
          </w:tcPr>
          <w:p w14:paraId="3B8301C3" w14:textId="567E4050" w:rsidR="00F20A3D" w:rsidRPr="009E1F1D" w:rsidRDefault="00F20A3D" w:rsidP="00F20A3D">
            <w:pPr>
              <w:rPr>
                <w:rFonts w:ascii="Calibri" w:hAnsi="Calibri" w:cs="Calibri"/>
                <w:color w:val="000000"/>
                <w:sz w:val="22"/>
                <w:szCs w:val="22"/>
              </w:rPr>
            </w:pPr>
            <w:r w:rsidRPr="00D0217E">
              <w:rPr>
                <w:color w:val="000000"/>
              </w:rPr>
              <w:t>Sales control</w:t>
            </w:r>
          </w:p>
        </w:tc>
        <w:tc>
          <w:tcPr>
            <w:tcW w:w="1980" w:type="dxa"/>
            <w:tcBorders>
              <w:top w:val="nil"/>
              <w:left w:val="nil"/>
              <w:bottom w:val="single" w:sz="4" w:space="0" w:color="auto"/>
              <w:right w:val="single" w:sz="4" w:space="0" w:color="auto"/>
            </w:tcBorders>
            <w:vAlign w:val="center"/>
          </w:tcPr>
          <w:p w14:paraId="2BE7753A" w14:textId="44763253" w:rsidR="00F20A3D" w:rsidRPr="009E1F1D" w:rsidRDefault="00F20A3D" w:rsidP="00F20A3D">
            <w:pPr>
              <w:rPr>
                <w:rFonts w:ascii="Calibri" w:hAnsi="Calibri" w:cs="Calibri"/>
                <w:color w:val="000000"/>
                <w:sz w:val="22"/>
                <w:szCs w:val="22"/>
              </w:rPr>
            </w:pPr>
            <w:r w:rsidRPr="00D0217E">
              <w:rPr>
                <w:color w:val="000000"/>
              </w:rPr>
              <w:t>Control costs</w:t>
            </w:r>
          </w:p>
        </w:tc>
        <w:tc>
          <w:tcPr>
            <w:tcW w:w="1260" w:type="dxa"/>
            <w:tcBorders>
              <w:top w:val="nil"/>
              <w:left w:val="nil"/>
              <w:bottom w:val="single" w:sz="4" w:space="0" w:color="auto"/>
              <w:right w:val="single" w:sz="4" w:space="0" w:color="auto"/>
            </w:tcBorders>
            <w:vAlign w:val="center"/>
          </w:tcPr>
          <w:p w14:paraId="6988EE4F" w14:textId="05757E43" w:rsidR="00F20A3D" w:rsidRPr="009E1F1D" w:rsidRDefault="00F20A3D" w:rsidP="00F20A3D">
            <w:pPr>
              <w:rPr>
                <w:rFonts w:ascii="Calibri" w:hAnsi="Calibri" w:cs="Calibri"/>
                <w:color w:val="000000"/>
                <w:sz w:val="22"/>
                <w:szCs w:val="22"/>
              </w:rPr>
            </w:pPr>
            <w:r w:rsidRPr="00D0217E">
              <w:rPr>
                <w:color w:val="000000"/>
              </w:rPr>
              <w:t>Sales performance</w:t>
            </w:r>
          </w:p>
        </w:tc>
        <w:tc>
          <w:tcPr>
            <w:tcW w:w="1530" w:type="dxa"/>
            <w:tcBorders>
              <w:top w:val="nil"/>
              <w:left w:val="nil"/>
              <w:bottom w:val="single" w:sz="4" w:space="0" w:color="auto"/>
              <w:right w:val="single" w:sz="4" w:space="0" w:color="auto"/>
            </w:tcBorders>
            <w:hideMark/>
          </w:tcPr>
          <w:p w14:paraId="452B4E66"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t>Compensation design affects salesperson effort and outcomes</w:t>
            </w:r>
          </w:p>
        </w:tc>
        <w:tc>
          <w:tcPr>
            <w:tcW w:w="1440" w:type="dxa"/>
            <w:tcBorders>
              <w:top w:val="nil"/>
              <w:left w:val="nil"/>
              <w:bottom w:val="single" w:sz="4" w:space="0" w:color="auto"/>
              <w:right w:val="single" w:sz="4" w:space="0" w:color="auto"/>
            </w:tcBorders>
          </w:tcPr>
          <w:p w14:paraId="1D73BF10" w14:textId="7859A8F3" w:rsidR="00F20A3D" w:rsidRPr="009E1F1D" w:rsidRDefault="00F20A3D" w:rsidP="00F20A3D">
            <w:pPr>
              <w:rPr>
                <w:rFonts w:ascii="Calibri" w:hAnsi="Calibri" w:cs="Calibri"/>
                <w:color w:val="000000"/>
                <w:sz w:val="22"/>
                <w:szCs w:val="22"/>
              </w:rPr>
            </w:pPr>
            <w:r w:rsidRPr="004B62CF">
              <w:rPr>
                <w:rFonts w:ascii="Calibri" w:hAnsi="Calibri" w:cs="Calibri"/>
                <w:color w:val="000000"/>
                <w:sz w:val="22"/>
                <w:szCs w:val="22"/>
              </w:rPr>
              <w:t>Sales</w:t>
            </w:r>
            <w:r w:rsidR="002A58DC">
              <w:rPr>
                <w:rFonts w:ascii="Calibri" w:hAnsi="Calibri" w:cs="Calibri"/>
                <w:color w:val="000000"/>
                <w:sz w:val="22"/>
                <w:szCs w:val="22"/>
              </w:rPr>
              <w:t xml:space="preserve"> </w:t>
            </w:r>
            <w:proofErr w:type="spellStart"/>
            <w:proofErr w:type="gramStart"/>
            <w:r w:rsidR="002A58DC">
              <w:rPr>
                <w:rFonts w:ascii="Calibri" w:hAnsi="Calibri" w:cs="Calibri"/>
                <w:color w:val="000000"/>
                <w:sz w:val="22"/>
                <w:szCs w:val="22"/>
              </w:rPr>
              <w:t>performance,</w:t>
            </w:r>
            <w:r w:rsidRPr="004B62CF">
              <w:rPr>
                <w:rFonts w:ascii="Calibri" w:hAnsi="Calibri" w:cs="Calibri"/>
                <w:color w:val="000000"/>
                <w:sz w:val="22"/>
                <w:szCs w:val="22"/>
              </w:rPr>
              <w:t>strategy</w:t>
            </w:r>
            <w:proofErr w:type="spellEnd"/>
            <w:proofErr w:type="gramEnd"/>
          </w:p>
        </w:tc>
        <w:tc>
          <w:tcPr>
            <w:tcW w:w="236" w:type="dxa"/>
            <w:tcBorders>
              <w:top w:val="nil"/>
              <w:left w:val="nil"/>
              <w:bottom w:val="single" w:sz="4" w:space="0" w:color="auto"/>
              <w:right w:val="single" w:sz="4" w:space="0" w:color="auto"/>
            </w:tcBorders>
          </w:tcPr>
          <w:p w14:paraId="7C75782A" w14:textId="1A3F7E04" w:rsidR="00F20A3D" w:rsidRPr="009E1F1D" w:rsidRDefault="00F20A3D" w:rsidP="00F20A3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418FDBAB" w14:textId="685FFA59" w:rsidR="00F20A3D" w:rsidRPr="009E1F1D" w:rsidRDefault="00F20A3D" w:rsidP="00F20A3D">
            <w:pPr>
              <w:rPr>
                <w:rFonts w:ascii="Calibri" w:hAnsi="Calibri" w:cs="Calibri"/>
                <w:color w:val="000000"/>
                <w:sz w:val="22"/>
                <w:szCs w:val="22"/>
              </w:rPr>
            </w:pPr>
          </w:p>
        </w:tc>
      </w:tr>
      <w:tr w:rsidR="002A58DC" w:rsidRPr="009E1F1D" w14:paraId="06EA8C05"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412E1DC4" w14:textId="77777777" w:rsidR="00F20A3D" w:rsidRPr="009E1F1D" w:rsidRDefault="00F20A3D" w:rsidP="00F20A3D">
            <w:pPr>
              <w:jc w:val="right"/>
              <w:rPr>
                <w:rFonts w:ascii="Calibri" w:hAnsi="Calibri" w:cs="Calibri"/>
                <w:color w:val="000000"/>
                <w:sz w:val="22"/>
                <w:szCs w:val="22"/>
              </w:rPr>
            </w:pPr>
            <w:r w:rsidRPr="009E1F1D">
              <w:rPr>
                <w:rFonts w:ascii="Calibri" w:hAnsi="Calibri" w:cs="Calibri"/>
                <w:color w:val="000000"/>
                <w:sz w:val="22"/>
                <w:szCs w:val="22"/>
              </w:rPr>
              <w:t>99</w:t>
            </w:r>
          </w:p>
        </w:tc>
        <w:tc>
          <w:tcPr>
            <w:tcW w:w="1260" w:type="dxa"/>
            <w:tcBorders>
              <w:top w:val="nil"/>
              <w:left w:val="nil"/>
              <w:bottom w:val="single" w:sz="4" w:space="0" w:color="auto"/>
              <w:right w:val="single" w:sz="4" w:space="0" w:color="auto"/>
            </w:tcBorders>
            <w:hideMark/>
          </w:tcPr>
          <w:p w14:paraId="2138B1B6"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t>Sales Compensation and the Balanced Scorecard</w:t>
            </w:r>
          </w:p>
        </w:tc>
        <w:tc>
          <w:tcPr>
            <w:tcW w:w="1530" w:type="dxa"/>
            <w:tcBorders>
              <w:top w:val="nil"/>
              <w:left w:val="nil"/>
              <w:bottom w:val="single" w:sz="4" w:space="0" w:color="auto"/>
              <w:right w:val="single" w:sz="4" w:space="0" w:color="auto"/>
            </w:tcBorders>
            <w:hideMark/>
          </w:tcPr>
          <w:p w14:paraId="17064DDD"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t>Cravens, D.W. et al.</w:t>
            </w:r>
          </w:p>
        </w:tc>
        <w:tc>
          <w:tcPr>
            <w:tcW w:w="720" w:type="dxa"/>
            <w:tcBorders>
              <w:top w:val="nil"/>
              <w:left w:val="nil"/>
              <w:bottom w:val="single" w:sz="4" w:space="0" w:color="auto"/>
              <w:right w:val="single" w:sz="4" w:space="0" w:color="auto"/>
            </w:tcBorders>
            <w:hideMark/>
          </w:tcPr>
          <w:p w14:paraId="67E5DA58"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t>1996</w:t>
            </w:r>
          </w:p>
        </w:tc>
        <w:tc>
          <w:tcPr>
            <w:tcW w:w="1710" w:type="dxa"/>
            <w:tcBorders>
              <w:top w:val="nil"/>
              <w:left w:val="nil"/>
              <w:bottom w:val="single" w:sz="4" w:space="0" w:color="auto"/>
              <w:right w:val="single" w:sz="4" w:space="0" w:color="auto"/>
            </w:tcBorders>
          </w:tcPr>
          <w:p w14:paraId="77F6519C" w14:textId="12BD62DF" w:rsidR="00F20A3D" w:rsidRPr="009E1F1D" w:rsidRDefault="00F20A3D" w:rsidP="00F20A3D">
            <w:pPr>
              <w:rPr>
                <w:rFonts w:ascii="Calibri" w:hAnsi="Calibri" w:cs="Calibri"/>
                <w:color w:val="000000"/>
                <w:sz w:val="22"/>
                <w:szCs w:val="22"/>
              </w:rPr>
            </w:pPr>
            <w:r w:rsidRPr="00F0534D">
              <w:rPr>
                <w:rFonts w:ascii="Calibri" w:hAnsi="Calibri" w:cs="Calibri"/>
                <w:color w:val="000000"/>
                <w:sz w:val="22"/>
                <w:szCs w:val="22"/>
              </w:rPr>
              <w:t>Strategic compensation</w:t>
            </w:r>
          </w:p>
        </w:tc>
        <w:tc>
          <w:tcPr>
            <w:tcW w:w="1710" w:type="dxa"/>
            <w:tcBorders>
              <w:top w:val="nil"/>
              <w:left w:val="nil"/>
              <w:bottom w:val="single" w:sz="4" w:space="0" w:color="auto"/>
              <w:right w:val="single" w:sz="4" w:space="0" w:color="auto"/>
            </w:tcBorders>
            <w:vAlign w:val="center"/>
          </w:tcPr>
          <w:p w14:paraId="3FA5C03D" w14:textId="4E49D76A" w:rsidR="00F20A3D" w:rsidRPr="009E1F1D" w:rsidRDefault="00F20A3D" w:rsidP="00F20A3D">
            <w:pPr>
              <w:rPr>
                <w:rFonts w:ascii="Calibri" w:hAnsi="Calibri" w:cs="Calibri"/>
                <w:color w:val="000000"/>
                <w:sz w:val="22"/>
                <w:szCs w:val="22"/>
              </w:rPr>
            </w:pPr>
            <w:r w:rsidRPr="00D0217E">
              <w:rPr>
                <w:color w:val="000000"/>
              </w:rPr>
              <w:t>Flexible management</w:t>
            </w:r>
          </w:p>
        </w:tc>
        <w:tc>
          <w:tcPr>
            <w:tcW w:w="1980" w:type="dxa"/>
            <w:tcBorders>
              <w:top w:val="nil"/>
              <w:left w:val="nil"/>
              <w:bottom w:val="single" w:sz="4" w:space="0" w:color="auto"/>
              <w:right w:val="single" w:sz="4" w:space="0" w:color="auto"/>
            </w:tcBorders>
            <w:vAlign w:val="center"/>
          </w:tcPr>
          <w:p w14:paraId="54CCB3A8" w14:textId="01D9D148" w:rsidR="00F20A3D" w:rsidRPr="009E1F1D" w:rsidRDefault="00F20A3D" w:rsidP="00F20A3D">
            <w:pPr>
              <w:rPr>
                <w:rFonts w:ascii="Calibri" w:hAnsi="Calibri" w:cs="Calibri"/>
                <w:color w:val="000000"/>
                <w:sz w:val="22"/>
                <w:szCs w:val="22"/>
              </w:rPr>
            </w:pPr>
            <w:r w:rsidRPr="00D0217E">
              <w:rPr>
                <w:color w:val="000000"/>
              </w:rPr>
              <w:t>Coordination challenges</w:t>
            </w:r>
          </w:p>
        </w:tc>
        <w:tc>
          <w:tcPr>
            <w:tcW w:w="1260" w:type="dxa"/>
            <w:tcBorders>
              <w:top w:val="nil"/>
              <w:left w:val="nil"/>
              <w:bottom w:val="single" w:sz="4" w:space="0" w:color="auto"/>
              <w:right w:val="single" w:sz="4" w:space="0" w:color="auto"/>
            </w:tcBorders>
            <w:vAlign w:val="center"/>
          </w:tcPr>
          <w:p w14:paraId="4C152985" w14:textId="1C3E6D7B" w:rsidR="00F20A3D" w:rsidRPr="009E1F1D" w:rsidRDefault="00F20A3D" w:rsidP="00F20A3D">
            <w:pPr>
              <w:rPr>
                <w:rFonts w:ascii="Calibri" w:hAnsi="Calibri" w:cs="Calibri"/>
                <w:color w:val="000000"/>
                <w:sz w:val="22"/>
                <w:szCs w:val="22"/>
              </w:rPr>
            </w:pPr>
            <w:r w:rsidRPr="00D0217E">
              <w:rPr>
                <w:color w:val="000000"/>
              </w:rPr>
              <w:t>Sales effectiveness</w:t>
            </w:r>
          </w:p>
        </w:tc>
        <w:tc>
          <w:tcPr>
            <w:tcW w:w="1530" w:type="dxa"/>
            <w:tcBorders>
              <w:top w:val="nil"/>
              <w:left w:val="nil"/>
              <w:bottom w:val="single" w:sz="4" w:space="0" w:color="auto"/>
              <w:right w:val="single" w:sz="4" w:space="0" w:color="auto"/>
            </w:tcBorders>
            <w:hideMark/>
          </w:tcPr>
          <w:p w14:paraId="62E6A5F6" w14:textId="77777777" w:rsidR="00F20A3D" w:rsidRPr="009E1F1D" w:rsidRDefault="00F20A3D" w:rsidP="00F20A3D">
            <w:pPr>
              <w:rPr>
                <w:rFonts w:ascii="Calibri" w:hAnsi="Calibri" w:cs="Calibri"/>
                <w:color w:val="000000"/>
                <w:sz w:val="22"/>
                <w:szCs w:val="22"/>
              </w:rPr>
            </w:pPr>
            <w:r w:rsidRPr="009E1F1D">
              <w:rPr>
                <w:rFonts w:ascii="Calibri" w:hAnsi="Calibri" w:cs="Calibri"/>
                <w:color w:val="000000"/>
                <w:sz w:val="22"/>
                <w:szCs w:val="22"/>
              </w:rPr>
              <w:t>Compensation measures should align with broader strategic outcomes</w:t>
            </w:r>
          </w:p>
        </w:tc>
        <w:tc>
          <w:tcPr>
            <w:tcW w:w="1440" w:type="dxa"/>
            <w:tcBorders>
              <w:top w:val="nil"/>
              <w:left w:val="nil"/>
              <w:bottom w:val="single" w:sz="4" w:space="0" w:color="auto"/>
              <w:right w:val="single" w:sz="4" w:space="0" w:color="auto"/>
            </w:tcBorders>
          </w:tcPr>
          <w:p w14:paraId="693953C6" w14:textId="748F159F" w:rsidR="00F20A3D" w:rsidRPr="009E1F1D" w:rsidRDefault="001567E5" w:rsidP="00F20A3D">
            <w:pPr>
              <w:rPr>
                <w:rFonts w:ascii="Calibri" w:hAnsi="Calibri" w:cs="Calibri"/>
                <w:color w:val="000000"/>
                <w:sz w:val="22"/>
                <w:szCs w:val="22"/>
              </w:rPr>
            </w:pPr>
            <w:r w:rsidRPr="004B62CF">
              <w:rPr>
                <w:rFonts w:ascii="Calibri" w:hAnsi="Calibri" w:cs="Calibri"/>
                <w:color w:val="000000"/>
                <w:sz w:val="22"/>
                <w:szCs w:val="22"/>
              </w:rPr>
              <w:t>Sales incentives, strategy</w:t>
            </w:r>
          </w:p>
        </w:tc>
        <w:tc>
          <w:tcPr>
            <w:tcW w:w="236" w:type="dxa"/>
            <w:tcBorders>
              <w:top w:val="nil"/>
              <w:left w:val="nil"/>
              <w:bottom w:val="single" w:sz="4" w:space="0" w:color="auto"/>
              <w:right w:val="single" w:sz="4" w:space="0" w:color="auto"/>
            </w:tcBorders>
          </w:tcPr>
          <w:p w14:paraId="574FC9EA" w14:textId="10D22DD5" w:rsidR="00F20A3D" w:rsidRPr="009E1F1D" w:rsidRDefault="00F20A3D" w:rsidP="00F20A3D">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2B0200EF" w14:textId="45140FA8" w:rsidR="00F20A3D" w:rsidRPr="009E1F1D" w:rsidRDefault="00F20A3D" w:rsidP="00F20A3D">
            <w:pPr>
              <w:rPr>
                <w:rFonts w:ascii="Calibri" w:hAnsi="Calibri" w:cs="Calibri"/>
                <w:color w:val="000000"/>
                <w:sz w:val="22"/>
                <w:szCs w:val="22"/>
              </w:rPr>
            </w:pPr>
          </w:p>
        </w:tc>
      </w:tr>
      <w:tr w:rsidR="002A58DC" w:rsidRPr="009E1F1D" w14:paraId="146BF0AD" w14:textId="77777777" w:rsidTr="00487C8D">
        <w:trPr>
          <w:trHeight w:val="1440"/>
        </w:trPr>
        <w:tc>
          <w:tcPr>
            <w:tcW w:w="360" w:type="dxa"/>
            <w:gridSpan w:val="2"/>
            <w:tcBorders>
              <w:top w:val="nil"/>
              <w:left w:val="single" w:sz="4" w:space="0" w:color="auto"/>
              <w:bottom w:val="single" w:sz="4" w:space="0" w:color="auto"/>
              <w:right w:val="single" w:sz="4" w:space="0" w:color="auto"/>
            </w:tcBorders>
            <w:hideMark/>
          </w:tcPr>
          <w:p w14:paraId="6F0A6252" w14:textId="77777777" w:rsidR="00E013B8" w:rsidRPr="009E1F1D" w:rsidRDefault="00E013B8" w:rsidP="00E013B8">
            <w:pPr>
              <w:jc w:val="right"/>
              <w:rPr>
                <w:rFonts w:ascii="Calibri" w:hAnsi="Calibri" w:cs="Calibri"/>
                <w:color w:val="000000"/>
                <w:sz w:val="22"/>
                <w:szCs w:val="22"/>
              </w:rPr>
            </w:pPr>
            <w:r w:rsidRPr="009E1F1D">
              <w:rPr>
                <w:rFonts w:ascii="Calibri" w:hAnsi="Calibri" w:cs="Calibri"/>
                <w:color w:val="000000"/>
                <w:sz w:val="22"/>
                <w:szCs w:val="22"/>
              </w:rPr>
              <w:t>100</w:t>
            </w:r>
          </w:p>
        </w:tc>
        <w:tc>
          <w:tcPr>
            <w:tcW w:w="1260" w:type="dxa"/>
            <w:tcBorders>
              <w:top w:val="nil"/>
              <w:left w:val="nil"/>
              <w:bottom w:val="single" w:sz="4" w:space="0" w:color="auto"/>
              <w:right w:val="single" w:sz="4" w:space="0" w:color="auto"/>
            </w:tcBorders>
            <w:hideMark/>
          </w:tcPr>
          <w:p w14:paraId="7C6AE111" w14:textId="77777777" w:rsidR="00E013B8" w:rsidRPr="009E1F1D" w:rsidRDefault="00E013B8" w:rsidP="00E013B8">
            <w:pPr>
              <w:rPr>
                <w:rFonts w:ascii="Calibri" w:hAnsi="Calibri" w:cs="Calibri"/>
                <w:color w:val="000000"/>
                <w:sz w:val="22"/>
                <w:szCs w:val="22"/>
              </w:rPr>
            </w:pPr>
            <w:r w:rsidRPr="009E1F1D">
              <w:rPr>
                <w:rFonts w:ascii="Calibri" w:hAnsi="Calibri" w:cs="Calibri"/>
                <w:color w:val="000000"/>
                <w:sz w:val="22"/>
                <w:szCs w:val="22"/>
              </w:rPr>
              <w:t>Salesperson Performance: A Meta-Analysis</w:t>
            </w:r>
          </w:p>
        </w:tc>
        <w:tc>
          <w:tcPr>
            <w:tcW w:w="1530" w:type="dxa"/>
            <w:tcBorders>
              <w:top w:val="nil"/>
              <w:left w:val="nil"/>
              <w:bottom w:val="single" w:sz="4" w:space="0" w:color="auto"/>
              <w:right w:val="single" w:sz="4" w:space="0" w:color="auto"/>
            </w:tcBorders>
            <w:hideMark/>
          </w:tcPr>
          <w:p w14:paraId="2B493DFE" w14:textId="77777777" w:rsidR="00E013B8" w:rsidRPr="009E1F1D" w:rsidRDefault="00E013B8" w:rsidP="00E013B8">
            <w:pPr>
              <w:rPr>
                <w:rFonts w:ascii="Calibri" w:hAnsi="Calibri" w:cs="Calibri"/>
                <w:color w:val="000000"/>
                <w:sz w:val="22"/>
                <w:szCs w:val="22"/>
              </w:rPr>
            </w:pPr>
            <w:r w:rsidRPr="009E1F1D">
              <w:rPr>
                <w:rFonts w:ascii="Calibri" w:hAnsi="Calibri" w:cs="Calibri"/>
                <w:color w:val="000000"/>
                <w:sz w:val="22"/>
                <w:szCs w:val="22"/>
              </w:rPr>
              <w:t>Churchill, G.A., Ford, N.M., Hartley, S.W. &amp; Walker, O.C.</w:t>
            </w:r>
          </w:p>
        </w:tc>
        <w:tc>
          <w:tcPr>
            <w:tcW w:w="720" w:type="dxa"/>
            <w:tcBorders>
              <w:top w:val="nil"/>
              <w:left w:val="nil"/>
              <w:bottom w:val="single" w:sz="4" w:space="0" w:color="auto"/>
              <w:right w:val="single" w:sz="4" w:space="0" w:color="auto"/>
            </w:tcBorders>
            <w:hideMark/>
          </w:tcPr>
          <w:p w14:paraId="33DBF3A5" w14:textId="77777777" w:rsidR="00E013B8" w:rsidRPr="009E1F1D" w:rsidRDefault="00E013B8" w:rsidP="00E013B8">
            <w:pPr>
              <w:rPr>
                <w:rFonts w:ascii="Calibri" w:hAnsi="Calibri" w:cs="Calibri"/>
                <w:color w:val="000000"/>
                <w:sz w:val="22"/>
                <w:szCs w:val="22"/>
              </w:rPr>
            </w:pPr>
            <w:r w:rsidRPr="009E1F1D">
              <w:rPr>
                <w:rFonts w:ascii="Calibri" w:hAnsi="Calibri" w:cs="Calibri"/>
                <w:color w:val="000000"/>
                <w:sz w:val="22"/>
                <w:szCs w:val="22"/>
              </w:rPr>
              <w:t>1985</w:t>
            </w:r>
          </w:p>
        </w:tc>
        <w:tc>
          <w:tcPr>
            <w:tcW w:w="1710" w:type="dxa"/>
            <w:tcBorders>
              <w:top w:val="nil"/>
              <w:left w:val="nil"/>
              <w:bottom w:val="single" w:sz="4" w:space="0" w:color="auto"/>
              <w:right w:val="single" w:sz="4" w:space="0" w:color="auto"/>
            </w:tcBorders>
          </w:tcPr>
          <w:p w14:paraId="181EC787" w14:textId="3C2CF182" w:rsidR="00E013B8" w:rsidRPr="009E1F1D" w:rsidRDefault="00E013B8" w:rsidP="00E013B8">
            <w:pPr>
              <w:rPr>
                <w:rFonts w:ascii="Calibri" w:hAnsi="Calibri" w:cs="Calibri"/>
                <w:color w:val="000000"/>
                <w:sz w:val="22"/>
                <w:szCs w:val="22"/>
              </w:rPr>
            </w:pPr>
            <w:r w:rsidRPr="00F0534D">
              <w:rPr>
                <w:rFonts w:ascii="Calibri" w:hAnsi="Calibri" w:cs="Calibri"/>
                <w:color w:val="000000"/>
                <w:sz w:val="22"/>
                <w:szCs w:val="22"/>
              </w:rPr>
              <w:t>Expectancy Theory</w:t>
            </w:r>
          </w:p>
        </w:tc>
        <w:tc>
          <w:tcPr>
            <w:tcW w:w="1710" w:type="dxa"/>
            <w:tcBorders>
              <w:top w:val="nil"/>
              <w:left w:val="nil"/>
              <w:bottom w:val="single" w:sz="4" w:space="0" w:color="auto"/>
              <w:right w:val="single" w:sz="4" w:space="0" w:color="auto"/>
            </w:tcBorders>
            <w:vAlign w:val="center"/>
          </w:tcPr>
          <w:p w14:paraId="6FD93D90" w14:textId="67CDC324" w:rsidR="00E013B8" w:rsidRPr="009E1F1D" w:rsidRDefault="00E013B8" w:rsidP="00E013B8">
            <w:pPr>
              <w:rPr>
                <w:rFonts w:ascii="Calibri" w:hAnsi="Calibri" w:cs="Calibri"/>
                <w:color w:val="000000"/>
                <w:sz w:val="22"/>
                <w:szCs w:val="22"/>
              </w:rPr>
            </w:pPr>
            <w:r w:rsidRPr="00D0217E">
              <w:rPr>
                <w:color w:val="000000"/>
              </w:rPr>
              <w:t>Performance focus</w:t>
            </w:r>
          </w:p>
        </w:tc>
        <w:tc>
          <w:tcPr>
            <w:tcW w:w="1980" w:type="dxa"/>
            <w:tcBorders>
              <w:top w:val="nil"/>
              <w:left w:val="nil"/>
              <w:bottom w:val="single" w:sz="4" w:space="0" w:color="auto"/>
              <w:right w:val="single" w:sz="4" w:space="0" w:color="auto"/>
            </w:tcBorders>
            <w:vAlign w:val="center"/>
          </w:tcPr>
          <w:p w14:paraId="7C1BAE00" w14:textId="5BC42AAC" w:rsidR="00E013B8" w:rsidRPr="009E1F1D" w:rsidRDefault="00E013B8" w:rsidP="00E013B8">
            <w:pPr>
              <w:rPr>
                <w:rFonts w:ascii="Calibri" w:hAnsi="Calibri" w:cs="Calibri"/>
                <w:color w:val="000000"/>
                <w:sz w:val="22"/>
                <w:szCs w:val="22"/>
              </w:rPr>
            </w:pPr>
            <w:r w:rsidRPr="00D0217E">
              <w:rPr>
                <w:color w:val="000000"/>
              </w:rPr>
              <w:t>Measurement challenges</w:t>
            </w:r>
          </w:p>
        </w:tc>
        <w:tc>
          <w:tcPr>
            <w:tcW w:w="1260" w:type="dxa"/>
            <w:tcBorders>
              <w:top w:val="nil"/>
              <w:left w:val="nil"/>
              <w:bottom w:val="single" w:sz="4" w:space="0" w:color="auto"/>
              <w:right w:val="single" w:sz="4" w:space="0" w:color="auto"/>
            </w:tcBorders>
            <w:vAlign w:val="center"/>
          </w:tcPr>
          <w:p w14:paraId="4CEF3D65" w14:textId="0FA5E639" w:rsidR="00E013B8" w:rsidRPr="009E1F1D" w:rsidRDefault="00E013B8" w:rsidP="00E013B8">
            <w:pPr>
              <w:rPr>
                <w:rFonts w:ascii="Calibri" w:hAnsi="Calibri" w:cs="Calibri"/>
                <w:color w:val="000000"/>
                <w:sz w:val="22"/>
                <w:szCs w:val="22"/>
              </w:rPr>
            </w:pPr>
            <w:r w:rsidRPr="00D0217E">
              <w:rPr>
                <w:color w:val="000000"/>
              </w:rPr>
              <w:t>Sales performance</w:t>
            </w:r>
          </w:p>
        </w:tc>
        <w:tc>
          <w:tcPr>
            <w:tcW w:w="1530" w:type="dxa"/>
            <w:tcBorders>
              <w:top w:val="nil"/>
              <w:left w:val="nil"/>
              <w:bottom w:val="single" w:sz="4" w:space="0" w:color="auto"/>
              <w:right w:val="single" w:sz="4" w:space="0" w:color="auto"/>
            </w:tcBorders>
            <w:hideMark/>
          </w:tcPr>
          <w:p w14:paraId="11132E3A" w14:textId="77777777" w:rsidR="00E013B8" w:rsidRPr="009E1F1D" w:rsidRDefault="00E013B8" w:rsidP="00E013B8">
            <w:pPr>
              <w:rPr>
                <w:rFonts w:ascii="Calibri" w:hAnsi="Calibri" w:cs="Calibri"/>
                <w:color w:val="000000"/>
                <w:sz w:val="22"/>
                <w:szCs w:val="22"/>
              </w:rPr>
            </w:pPr>
            <w:r w:rsidRPr="009E1F1D">
              <w:rPr>
                <w:rFonts w:ascii="Calibri" w:hAnsi="Calibri" w:cs="Calibri"/>
                <w:color w:val="000000"/>
                <w:sz w:val="22"/>
                <w:szCs w:val="22"/>
              </w:rPr>
              <w:t>Role perceptions and motivation contribute to sales performance</w:t>
            </w:r>
          </w:p>
        </w:tc>
        <w:tc>
          <w:tcPr>
            <w:tcW w:w="1440" w:type="dxa"/>
            <w:tcBorders>
              <w:top w:val="nil"/>
              <w:left w:val="nil"/>
              <w:bottom w:val="single" w:sz="4" w:space="0" w:color="auto"/>
              <w:right w:val="single" w:sz="4" w:space="0" w:color="auto"/>
            </w:tcBorders>
          </w:tcPr>
          <w:p w14:paraId="00F267FA" w14:textId="5B3D656F" w:rsidR="00E013B8" w:rsidRPr="009E1F1D" w:rsidRDefault="00E013B8" w:rsidP="00E013B8">
            <w:pPr>
              <w:rPr>
                <w:rFonts w:ascii="Calibri" w:hAnsi="Calibri" w:cs="Calibri"/>
                <w:color w:val="000000"/>
                <w:sz w:val="22"/>
                <w:szCs w:val="22"/>
              </w:rPr>
            </w:pPr>
            <w:r w:rsidRPr="004B62CF">
              <w:rPr>
                <w:rFonts w:ascii="Calibri" w:hAnsi="Calibri" w:cs="Calibri"/>
                <w:color w:val="000000"/>
                <w:sz w:val="22"/>
                <w:szCs w:val="22"/>
              </w:rPr>
              <w:t>Sales performance, motivation</w:t>
            </w:r>
          </w:p>
        </w:tc>
        <w:tc>
          <w:tcPr>
            <w:tcW w:w="236" w:type="dxa"/>
            <w:tcBorders>
              <w:top w:val="nil"/>
              <w:left w:val="nil"/>
              <w:bottom w:val="single" w:sz="4" w:space="0" w:color="auto"/>
              <w:right w:val="single" w:sz="4" w:space="0" w:color="auto"/>
            </w:tcBorders>
          </w:tcPr>
          <w:p w14:paraId="6E8B8EC6" w14:textId="6A34F7B4" w:rsidR="00E013B8" w:rsidRPr="009E1F1D" w:rsidRDefault="00E013B8" w:rsidP="00E013B8">
            <w:pPr>
              <w:rPr>
                <w:rFonts w:ascii="Calibri" w:hAnsi="Calibri" w:cs="Calibri"/>
                <w:color w:val="000000"/>
                <w:sz w:val="22"/>
                <w:szCs w:val="22"/>
              </w:rPr>
            </w:pPr>
          </w:p>
        </w:tc>
        <w:tc>
          <w:tcPr>
            <w:tcW w:w="236" w:type="dxa"/>
            <w:tcBorders>
              <w:top w:val="nil"/>
              <w:left w:val="nil"/>
              <w:bottom w:val="single" w:sz="4" w:space="0" w:color="auto"/>
              <w:right w:val="single" w:sz="4" w:space="0" w:color="auto"/>
            </w:tcBorders>
          </w:tcPr>
          <w:p w14:paraId="7AF14188" w14:textId="2DA98C61" w:rsidR="00E013B8" w:rsidRPr="009E1F1D" w:rsidRDefault="00E013B8" w:rsidP="00E013B8">
            <w:pPr>
              <w:rPr>
                <w:rFonts w:ascii="Calibri" w:hAnsi="Calibri" w:cs="Calibri"/>
                <w:color w:val="000000"/>
                <w:sz w:val="22"/>
                <w:szCs w:val="22"/>
              </w:rPr>
            </w:pPr>
          </w:p>
        </w:tc>
      </w:tr>
    </w:tbl>
    <w:p w14:paraId="04093015" w14:textId="77777777" w:rsidR="00543305" w:rsidRDefault="00543305"/>
    <w:p w14:paraId="6C5A8261" w14:textId="77777777" w:rsidR="0016774B" w:rsidRDefault="0016774B"/>
    <w:p w14:paraId="6959E797" w14:textId="77777777" w:rsidR="0016774B" w:rsidRDefault="0016774B"/>
    <w:p w14:paraId="24E91EE2" w14:textId="57EB27CC" w:rsidR="0016774B" w:rsidRPr="0054504A" w:rsidRDefault="0016774B">
      <w:pPr>
        <w:rPr>
          <w:sz w:val="40"/>
          <w:szCs w:val="40"/>
        </w:rPr>
      </w:pPr>
      <w:r w:rsidRPr="0054504A">
        <w:rPr>
          <w:sz w:val="40"/>
          <w:szCs w:val="40"/>
        </w:rPr>
        <w:t>Word</w:t>
      </w:r>
      <w:r w:rsidR="0054504A" w:rsidRPr="0054504A">
        <w:rPr>
          <w:sz w:val="40"/>
          <w:szCs w:val="40"/>
        </w:rPr>
        <w:t>: 3566</w:t>
      </w:r>
    </w:p>
    <w:p w14:paraId="73147C0D" w14:textId="77777777" w:rsidR="00611254" w:rsidRDefault="00611254"/>
    <w:p w14:paraId="22DE81DE" w14:textId="77777777" w:rsidR="00611254" w:rsidRDefault="00611254"/>
    <w:p w14:paraId="36DA8C61" w14:textId="77777777" w:rsidR="00611254" w:rsidRDefault="00611254"/>
    <w:p w14:paraId="60EB537E" w14:textId="77777777" w:rsidR="00611254" w:rsidRDefault="00611254"/>
    <w:p w14:paraId="6350F73D" w14:textId="77777777" w:rsidR="00204B8B" w:rsidRDefault="008E0EF7" w:rsidP="008E0EF7">
      <w:pPr>
        <w:spacing w:before="100" w:beforeAutospacing="1" w:after="100" w:afterAutospacing="1"/>
        <w:rPr>
          <w:b/>
          <w:bCs/>
          <w:color w:val="000000"/>
          <w:sz w:val="44"/>
          <w:szCs w:val="44"/>
        </w:rPr>
      </w:pPr>
      <w:r>
        <w:rPr>
          <w:b/>
          <w:bCs/>
          <w:color w:val="000000"/>
          <w:sz w:val="44"/>
          <w:szCs w:val="44"/>
        </w:rPr>
        <w:t xml:space="preserve">                                        </w:t>
      </w:r>
    </w:p>
    <w:p w14:paraId="7703AE08" w14:textId="77777777" w:rsidR="004D1017" w:rsidRDefault="00EA45D6" w:rsidP="008E0EF7">
      <w:pPr>
        <w:spacing w:before="100" w:beforeAutospacing="1" w:after="100" w:afterAutospacing="1"/>
        <w:rPr>
          <w:b/>
          <w:bCs/>
          <w:color w:val="000000"/>
          <w:sz w:val="56"/>
          <w:szCs w:val="56"/>
        </w:rPr>
      </w:pPr>
      <w:r w:rsidRPr="008263D8">
        <w:rPr>
          <w:b/>
          <w:bCs/>
          <w:color w:val="000000"/>
          <w:sz w:val="56"/>
          <w:szCs w:val="56"/>
        </w:rPr>
        <w:t xml:space="preserve">                                  </w:t>
      </w:r>
    </w:p>
    <w:p w14:paraId="0293120C" w14:textId="77777777" w:rsidR="004D1017" w:rsidRDefault="004D1017" w:rsidP="008E0EF7">
      <w:pPr>
        <w:spacing w:before="100" w:beforeAutospacing="1" w:after="100" w:afterAutospacing="1"/>
        <w:rPr>
          <w:b/>
          <w:bCs/>
          <w:color w:val="000000"/>
          <w:sz w:val="56"/>
          <w:szCs w:val="56"/>
        </w:rPr>
      </w:pPr>
    </w:p>
    <w:p w14:paraId="5947F700" w14:textId="77777777" w:rsidR="004D1017" w:rsidRDefault="004D1017" w:rsidP="008E0EF7">
      <w:pPr>
        <w:spacing w:before="100" w:beforeAutospacing="1" w:after="100" w:afterAutospacing="1"/>
        <w:rPr>
          <w:b/>
          <w:bCs/>
          <w:color w:val="000000"/>
          <w:sz w:val="72"/>
          <w:szCs w:val="72"/>
        </w:rPr>
      </w:pPr>
      <w:r w:rsidRPr="004D1017">
        <w:rPr>
          <w:b/>
          <w:bCs/>
          <w:color w:val="000000"/>
          <w:sz w:val="72"/>
          <w:szCs w:val="72"/>
        </w:rPr>
        <w:t xml:space="preserve">                         </w:t>
      </w:r>
    </w:p>
    <w:p w14:paraId="5F171DAB" w14:textId="77777777" w:rsidR="004D1017" w:rsidRDefault="004D1017" w:rsidP="008E0EF7">
      <w:pPr>
        <w:spacing w:before="100" w:beforeAutospacing="1" w:after="100" w:afterAutospacing="1"/>
        <w:rPr>
          <w:b/>
          <w:bCs/>
          <w:color w:val="000000"/>
          <w:sz w:val="72"/>
          <w:szCs w:val="72"/>
        </w:rPr>
      </w:pPr>
    </w:p>
    <w:p w14:paraId="4C38DCC2" w14:textId="2ABE50FE" w:rsidR="008E0EF7" w:rsidRPr="004D1017" w:rsidRDefault="004D1017" w:rsidP="008E0EF7">
      <w:pPr>
        <w:spacing w:before="100" w:beforeAutospacing="1" w:after="100" w:afterAutospacing="1"/>
        <w:rPr>
          <w:b/>
          <w:bCs/>
          <w:color w:val="000000"/>
          <w:sz w:val="72"/>
          <w:szCs w:val="72"/>
        </w:rPr>
      </w:pPr>
      <w:r>
        <w:rPr>
          <w:b/>
          <w:bCs/>
          <w:color w:val="000000"/>
          <w:sz w:val="72"/>
          <w:szCs w:val="72"/>
        </w:rPr>
        <w:t xml:space="preserve">                          </w:t>
      </w:r>
      <w:r w:rsidR="008E0EF7" w:rsidRPr="004D1017">
        <w:rPr>
          <w:b/>
          <w:bCs/>
          <w:color w:val="000000"/>
          <w:sz w:val="72"/>
          <w:szCs w:val="72"/>
        </w:rPr>
        <w:t xml:space="preserve"> Part 3</w:t>
      </w:r>
    </w:p>
    <w:p w14:paraId="3C79D95D" w14:textId="1321A744" w:rsidR="008E0EF7" w:rsidRPr="008263D8" w:rsidRDefault="008E0EF7" w:rsidP="008E0EF7">
      <w:pPr>
        <w:spacing w:before="100" w:beforeAutospacing="1" w:after="100" w:afterAutospacing="1"/>
        <w:rPr>
          <w:b/>
          <w:bCs/>
          <w:color w:val="000000"/>
          <w:sz w:val="56"/>
          <w:szCs w:val="56"/>
        </w:rPr>
      </w:pPr>
      <w:r w:rsidRPr="008263D8">
        <w:rPr>
          <w:b/>
          <w:bCs/>
          <w:color w:val="000000"/>
          <w:sz w:val="56"/>
          <w:szCs w:val="56"/>
        </w:rPr>
        <w:t xml:space="preserve">               Preliminary Review of Literature</w:t>
      </w:r>
    </w:p>
    <w:p w14:paraId="020455D1" w14:textId="77777777" w:rsidR="00EA45D6" w:rsidRDefault="00EA45D6" w:rsidP="008E0EF7">
      <w:pPr>
        <w:spacing w:before="100" w:beforeAutospacing="1" w:after="100" w:afterAutospacing="1"/>
        <w:rPr>
          <w:b/>
          <w:bCs/>
          <w:color w:val="000000"/>
          <w:sz w:val="36"/>
          <w:szCs w:val="36"/>
        </w:rPr>
      </w:pPr>
    </w:p>
    <w:p w14:paraId="533A4CDD" w14:textId="77777777" w:rsidR="008263D8" w:rsidRDefault="008263D8" w:rsidP="001D70A1">
      <w:pPr>
        <w:spacing w:before="100" w:beforeAutospacing="1" w:after="100" w:afterAutospacing="1"/>
        <w:outlineLvl w:val="2"/>
        <w:rPr>
          <w:b/>
          <w:bCs/>
          <w:color w:val="000000"/>
          <w:sz w:val="27"/>
          <w:szCs w:val="27"/>
        </w:rPr>
      </w:pPr>
    </w:p>
    <w:p w14:paraId="6789FDDC" w14:textId="77777777" w:rsidR="008263D8" w:rsidRDefault="008263D8" w:rsidP="001D70A1">
      <w:pPr>
        <w:spacing w:before="100" w:beforeAutospacing="1" w:after="100" w:afterAutospacing="1"/>
        <w:outlineLvl w:val="2"/>
        <w:rPr>
          <w:b/>
          <w:bCs/>
          <w:color w:val="000000"/>
          <w:sz w:val="27"/>
          <w:szCs w:val="27"/>
        </w:rPr>
      </w:pPr>
    </w:p>
    <w:p w14:paraId="3925F7C9" w14:textId="77777777" w:rsidR="008263D8" w:rsidRDefault="008263D8" w:rsidP="001D70A1">
      <w:pPr>
        <w:spacing w:before="100" w:beforeAutospacing="1" w:after="100" w:afterAutospacing="1"/>
        <w:outlineLvl w:val="2"/>
        <w:rPr>
          <w:b/>
          <w:bCs/>
          <w:color w:val="000000"/>
          <w:sz w:val="27"/>
          <w:szCs w:val="27"/>
        </w:rPr>
      </w:pPr>
    </w:p>
    <w:p w14:paraId="06C73300" w14:textId="77777777" w:rsidR="008263D8" w:rsidRDefault="008263D8" w:rsidP="001D70A1">
      <w:pPr>
        <w:spacing w:before="100" w:beforeAutospacing="1" w:after="100" w:afterAutospacing="1"/>
        <w:outlineLvl w:val="2"/>
        <w:rPr>
          <w:b/>
          <w:bCs/>
          <w:color w:val="000000"/>
          <w:sz w:val="27"/>
          <w:szCs w:val="27"/>
        </w:rPr>
      </w:pPr>
    </w:p>
    <w:p w14:paraId="3ED85477" w14:textId="77777777" w:rsidR="008263D8" w:rsidRDefault="008263D8" w:rsidP="001D70A1">
      <w:pPr>
        <w:spacing w:before="100" w:beforeAutospacing="1" w:after="100" w:afterAutospacing="1"/>
        <w:outlineLvl w:val="2"/>
        <w:rPr>
          <w:b/>
          <w:bCs/>
          <w:color w:val="000000"/>
          <w:sz w:val="27"/>
          <w:szCs w:val="27"/>
        </w:rPr>
      </w:pPr>
    </w:p>
    <w:p w14:paraId="3EA27B41" w14:textId="77777777" w:rsidR="004D1017" w:rsidRDefault="004D1017" w:rsidP="00A51077">
      <w:pPr>
        <w:spacing w:before="100" w:beforeAutospacing="1" w:after="100" w:afterAutospacing="1"/>
        <w:outlineLvl w:val="2"/>
        <w:rPr>
          <w:b/>
          <w:bCs/>
          <w:color w:val="000000"/>
          <w:sz w:val="27"/>
          <w:szCs w:val="27"/>
        </w:rPr>
      </w:pPr>
    </w:p>
    <w:p w14:paraId="18F3E1DF" w14:textId="1884EDC6" w:rsidR="00A51077" w:rsidRPr="00EC7ED0" w:rsidRDefault="0009783E" w:rsidP="00A51077">
      <w:pPr>
        <w:spacing w:before="100" w:beforeAutospacing="1" w:after="100" w:afterAutospacing="1"/>
        <w:outlineLvl w:val="2"/>
        <w:rPr>
          <w:b/>
          <w:bCs/>
          <w:color w:val="000000"/>
          <w:sz w:val="32"/>
          <w:szCs w:val="32"/>
        </w:rPr>
      </w:pPr>
      <w:bookmarkStart w:id="17" w:name="_Toc241526674"/>
      <w:bookmarkStart w:id="18" w:name="_Toc241527083"/>
      <w:r w:rsidRPr="00EC7ED0">
        <w:rPr>
          <w:b/>
          <w:bCs/>
          <w:color w:val="000000"/>
          <w:sz w:val="32"/>
          <w:szCs w:val="32"/>
        </w:rPr>
        <w:lastRenderedPageBreak/>
        <w:t>3.</w:t>
      </w:r>
      <w:r w:rsidR="00A51077" w:rsidRPr="00EC7ED0">
        <w:rPr>
          <w:b/>
          <w:bCs/>
          <w:color w:val="000000"/>
          <w:sz w:val="32"/>
          <w:szCs w:val="32"/>
        </w:rPr>
        <w:t>1. Introduction</w:t>
      </w:r>
      <w:bookmarkEnd w:id="17"/>
      <w:bookmarkEnd w:id="18"/>
    </w:p>
    <w:p w14:paraId="5A01CD87" w14:textId="3941B596" w:rsidR="00EF6555" w:rsidRPr="00EC7ED0" w:rsidRDefault="00A51077" w:rsidP="00A51077">
      <w:pPr>
        <w:spacing w:before="100" w:beforeAutospacing="1" w:after="100" w:afterAutospacing="1"/>
        <w:rPr>
          <w:color w:val="000000"/>
          <w:sz w:val="32"/>
          <w:szCs w:val="32"/>
        </w:rPr>
      </w:pPr>
      <w:r w:rsidRPr="00EC7ED0">
        <w:rPr>
          <w:color w:val="000000"/>
          <w:sz w:val="32"/>
          <w:szCs w:val="32"/>
        </w:rPr>
        <w:t>Employee motivation is an important issue in organi</w:t>
      </w:r>
      <w:r w:rsidR="0009783E" w:rsidRPr="00EC7ED0">
        <w:rPr>
          <w:color w:val="000000"/>
          <w:sz w:val="32"/>
          <w:szCs w:val="32"/>
        </w:rPr>
        <w:t>z</w:t>
      </w:r>
      <w:r w:rsidRPr="00EC7ED0">
        <w:rPr>
          <w:color w:val="000000"/>
          <w:sz w:val="32"/>
          <w:szCs w:val="32"/>
        </w:rPr>
        <w:t>ations because it influences how employees approach their work, the effort they provide and their willingness to contribute to organi</w:t>
      </w:r>
      <w:r w:rsidR="00940DDE" w:rsidRPr="00EC7ED0">
        <w:rPr>
          <w:color w:val="000000"/>
          <w:sz w:val="32"/>
          <w:szCs w:val="32"/>
        </w:rPr>
        <w:t>z</w:t>
      </w:r>
      <w:r w:rsidRPr="00EC7ED0">
        <w:rPr>
          <w:color w:val="000000"/>
          <w:sz w:val="32"/>
          <w:szCs w:val="32"/>
        </w:rPr>
        <w:t>ational objectives</w:t>
      </w:r>
      <w:r w:rsidR="00D91F86" w:rsidRPr="00EC7ED0">
        <w:rPr>
          <w:color w:val="000000"/>
          <w:sz w:val="32"/>
          <w:szCs w:val="32"/>
        </w:rPr>
        <w:t xml:space="preserve"> </w:t>
      </w:r>
      <w:r w:rsidR="00703582" w:rsidRPr="00EC7ED0">
        <w:rPr>
          <w:color w:val="000000"/>
          <w:sz w:val="32"/>
          <w:szCs w:val="32"/>
        </w:rPr>
        <w:t>(</w:t>
      </w:r>
      <w:r w:rsidR="00D91F86" w:rsidRPr="00EC7ED0">
        <w:rPr>
          <w:color w:val="000000"/>
          <w:sz w:val="32"/>
          <w:szCs w:val="32"/>
        </w:rPr>
        <w:t>Pinder</w:t>
      </w:r>
      <w:r w:rsidR="00703582" w:rsidRPr="00EC7ED0">
        <w:rPr>
          <w:color w:val="000000"/>
          <w:sz w:val="32"/>
          <w:szCs w:val="32"/>
        </w:rPr>
        <w:t>,</w:t>
      </w:r>
      <w:r w:rsidR="00D91F86" w:rsidRPr="00EC7ED0">
        <w:rPr>
          <w:color w:val="000000"/>
          <w:sz w:val="32"/>
          <w:szCs w:val="32"/>
        </w:rPr>
        <w:t>2014</w:t>
      </w:r>
      <w:proofErr w:type="gramStart"/>
      <w:r w:rsidR="00D91F86" w:rsidRPr="00EC7ED0">
        <w:rPr>
          <w:color w:val="000000"/>
          <w:sz w:val="32"/>
          <w:szCs w:val="32"/>
        </w:rPr>
        <w:t>).</w:t>
      </w:r>
      <w:proofErr w:type="spellStart"/>
      <w:r w:rsidR="00D91F86" w:rsidRPr="00EC7ED0">
        <w:rPr>
          <w:color w:val="000000"/>
          <w:sz w:val="32"/>
          <w:szCs w:val="32"/>
        </w:rPr>
        <w:t>Pay</w:t>
      </w:r>
      <w:r w:rsidRPr="00EC7ED0">
        <w:rPr>
          <w:color w:val="000000"/>
          <w:sz w:val="32"/>
          <w:szCs w:val="32"/>
        </w:rPr>
        <w:t>is</w:t>
      </w:r>
      <w:proofErr w:type="spellEnd"/>
      <w:proofErr w:type="gramEnd"/>
      <w:r w:rsidRPr="00EC7ED0">
        <w:rPr>
          <w:color w:val="000000"/>
          <w:sz w:val="32"/>
          <w:szCs w:val="32"/>
        </w:rPr>
        <w:t xml:space="preserve"> one of the most visible ways in which organi</w:t>
      </w:r>
      <w:r w:rsidR="00DF378B" w:rsidRPr="00EC7ED0">
        <w:rPr>
          <w:color w:val="000000"/>
          <w:sz w:val="32"/>
          <w:szCs w:val="32"/>
        </w:rPr>
        <w:t>z</w:t>
      </w:r>
      <w:r w:rsidRPr="00EC7ED0">
        <w:rPr>
          <w:color w:val="000000"/>
          <w:sz w:val="32"/>
          <w:szCs w:val="32"/>
        </w:rPr>
        <w:t>ations attempt to influence employee behavior. However, the relationship between pay and motivation is more complex than simply assuming that higher or performance-related pay will always produce better motivation. Pinder (2014) explains that work motivation is influenced by both psychological processes and the context in which employees work. Similarly, Gerhart and Rynes (200</w:t>
      </w:r>
      <w:r w:rsidR="00015F0F" w:rsidRPr="00EC7ED0">
        <w:rPr>
          <w:color w:val="000000"/>
          <w:sz w:val="32"/>
          <w:szCs w:val="32"/>
        </w:rPr>
        <w:t>4</w:t>
      </w:r>
      <w:r w:rsidRPr="00EC7ED0">
        <w:rPr>
          <w:color w:val="000000"/>
          <w:sz w:val="32"/>
          <w:szCs w:val="32"/>
        </w:rPr>
        <w:t>) argue that pay can be an important motivator when employees understand and value the connection between their performance and rewards.</w:t>
      </w:r>
      <w:r w:rsidR="00DE7847" w:rsidRPr="00EC7ED0">
        <w:rPr>
          <w:color w:val="000000"/>
          <w:sz w:val="32"/>
          <w:szCs w:val="32"/>
        </w:rPr>
        <w:t xml:space="preserve"> </w:t>
      </w:r>
    </w:p>
    <w:p w14:paraId="2FF974D6" w14:textId="2AFD7F1A" w:rsidR="00313CFD" w:rsidRPr="00EC7ED0" w:rsidRDefault="00A51077" w:rsidP="00A51077">
      <w:pPr>
        <w:spacing w:before="100" w:beforeAutospacing="1" w:after="100" w:afterAutospacing="1"/>
        <w:rPr>
          <w:color w:val="000000"/>
          <w:sz w:val="32"/>
          <w:szCs w:val="32"/>
        </w:rPr>
      </w:pPr>
      <w:r w:rsidRPr="00EC7ED0">
        <w:rPr>
          <w:color w:val="000000"/>
          <w:sz w:val="32"/>
          <w:szCs w:val="32"/>
        </w:rPr>
        <w:t>Two common approaches are performance-based pay (PFP) and fixed salary. Performance-based pay links some part of an employee's earnings to individual, team or organi</w:t>
      </w:r>
      <w:r w:rsidR="00DF378B" w:rsidRPr="00EC7ED0">
        <w:rPr>
          <w:color w:val="000000"/>
          <w:sz w:val="32"/>
          <w:szCs w:val="32"/>
        </w:rPr>
        <w:t>z</w:t>
      </w:r>
      <w:r w:rsidRPr="00EC7ED0">
        <w:rPr>
          <w:color w:val="000000"/>
          <w:sz w:val="32"/>
          <w:szCs w:val="32"/>
        </w:rPr>
        <w:t>ational performance. Examples include bonuses, commissions, merit pay, piece rates and team incentives. Fixed salary provides employees with a more stable level of income that is not directly linked to short-term performance. Both systems can influence employee motivation in different ways (Gerhart and Rynes, 2003; Gupta and Shaw, 2014).</w:t>
      </w:r>
      <w:r w:rsidR="003D4C35" w:rsidRPr="00EC7ED0">
        <w:rPr>
          <w:color w:val="000000"/>
          <w:sz w:val="32"/>
          <w:szCs w:val="32"/>
        </w:rPr>
        <w:t xml:space="preserve"> </w:t>
      </w:r>
    </w:p>
    <w:p w14:paraId="6AC57BAF" w14:textId="3526E3AF" w:rsidR="00313CFD" w:rsidRPr="00EC7ED0" w:rsidRDefault="00A51077" w:rsidP="00A51077">
      <w:pPr>
        <w:spacing w:before="100" w:beforeAutospacing="1" w:after="100" w:afterAutospacing="1"/>
        <w:rPr>
          <w:color w:val="000000"/>
          <w:sz w:val="32"/>
          <w:szCs w:val="32"/>
        </w:rPr>
      </w:pPr>
      <w:r w:rsidRPr="00EC7ED0">
        <w:rPr>
          <w:color w:val="000000"/>
          <w:sz w:val="32"/>
          <w:szCs w:val="32"/>
        </w:rPr>
        <w:t xml:space="preserve">The literature does not provide a simple answer that one system is always better than the other. For example, Lazear (2000) found that introducing performance pay was associated with substantial productivity improvements. </w:t>
      </w:r>
      <w:proofErr w:type="spellStart"/>
      <w:r w:rsidRPr="00EC7ED0">
        <w:rPr>
          <w:color w:val="000000"/>
          <w:sz w:val="32"/>
          <w:szCs w:val="32"/>
        </w:rPr>
        <w:t>Condly</w:t>
      </w:r>
      <w:proofErr w:type="spellEnd"/>
      <w:r w:rsidRPr="00EC7ED0">
        <w:rPr>
          <w:color w:val="000000"/>
          <w:sz w:val="32"/>
          <w:szCs w:val="32"/>
        </w:rPr>
        <w:t xml:space="preserve">, Clark and </w:t>
      </w:r>
      <w:proofErr w:type="spellStart"/>
      <w:r w:rsidRPr="00EC7ED0">
        <w:rPr>
          <w:color w:val="000000"/>
          <w:sz w:val="32"/>
          <w:szCs w:val="32"/>
        </w:rPr>
        <w:t>Stolovitch</w:t>
      </w:r>
      <w:proofErr w:type="spellEnd"/>
      <w:r w:rsidRPr="00EC7ED0">
        <w:rPr>
          <w:color w:val="000000"/>
          <w:sz w:val="32"/>
          <w:szCs w:val="32"/>
        </w:rPr>
        <w:t xml:space="preserve"> (2003) similarly found generally positive effects from financial incentives, although they noted differences across contexts. However, research based on Self-Determination Theory suggests that performance-related rewards can sometimes create controlled motivation or reduce autonomous motivation when employees experience the system as controlling (Deci, 1971; </w:t>
      </w:r>
      <w:proofErr w:type="spellStart"/>
      <w:r w:rsidRPr="00EC7ED0">
        <w:rPr>
          <w:color w:val="000000"/>
          <w:sz w:val="32"/>
          <w:szCs w:val="32"/>
        </w:rPr>
        <w:t>Kuvaas</w:t>
      </w:r>
      <w:proofErr w:type="spellEnd"/>
      <w:r w:rsidRPr="00EC7ED0">
        <w:rPr>
          <w:color w:val="000000"/>
          <w:sz w:val="32"/>
          <w:szCs w:val="32"/>
        </w:rPr>
        <w:t xml:space="preserve"> et al., 2016).</w:t>
      </w:r>
      <w:r w:rsidRPr="00EC7ED0">
        <w:rPr>
          <w:color w:val="000000"/>
          <w:sz w:val="32"/>
          <w:szCs w:val="32"/>
        </w:rPr>
        <w:br/>
      </w:r>
      <w:r w:rsidRPr="00EC7ED0">
        <w:rPr>
          <w:color w:val="000000"/>
          <w:sz w:val="32"/>
          <w:szCs w:val="32"/>
        </w:rPr>
        <w:lastRenderedPageBreak/>
        <w:t xml:space="preserve">This issue is particularly relevant to retail </w:t>
      </w:r>
      <w:proofErr w:type="spellStart"/>
      <w:r w:rsidRPr="00EC7ED0">
        <w:rPr>
          <w:color w:val="000000"/>
          <w:sz w:val="32"/>
          <w:szCs w:val="32"/>
        </w:rPr>
        <w:t>organisations</w:t>
      </w:r>
      <w:proofErr w:type="spellEnd"/>
      <w:r w:rsidRPr="00EC7ED0">
        <w:rPr>
          <w:color w:val="000000"/>
          <w:sz w:val="32"/>
          <w:szCs w:val="32"/>
        </w:rPr>
        <w:t>. Retail employees may have measurable sales targets, but their work also involves customer service, teamwork, communication and maintaining relationships with customers. A compensation system that focuses heavily on individual sales may encourage effort but may also create competition or pressure. A fixed salary can provide financial stability and encourage cooperation, but it may offer less direct financial recognition for additional performance.</w:t>
      </w:r>
      <w:r w:rsidR="00DE7847" w:rsidRPr="00EC7ED0">
        <w:rPr>
          <w:color w:val="000000"/>
          <w:sz w:val="32"/>
          <w:szCs w:val="32"/>
        </w:rPr>
        <w:t xml:space="preserve"> </w:t>
      </w:r>
    </w:p>
    <w:p w14:paraId="3B54EF8D" w14:textId="6BDBCFF3" w:rsidR="00A51077" w:rsidRPr="00EC7ED0" w:rsidRDefault="00A51077" w:rsidP="00A51077">
      <w:pPr>
        <w:spacing w:before="100" w:beforeAutospacing="1" w:after="100" w:afterAutospacing="1"/>
        <w:rPr>
          <w:color w:val="000000"/>
          <w:sz w:val="32"/>
          <w:szCs w:val="32"/>
        </w:rPr>
      </w:pPr>
      <w:r w:rsidRPr="00EC7ED0">
        <w:rPr>
          <w:color w:val="000000"/>
          <w:sz w:val="32"/>
          <w:szCs w:val="32"/>
        </w:rPr>
        <w:t xml:space="preserve">Therefore, this narrative literature review explores the factors influencing both systems, their advantages and disadvantages, and their relationship with employee motivation. The </w:t>
      </w:r>
      <w:proofErr w:type="gramStart"/>
      <w:r w:rsidRPr="00EC7ED0">
        <w:rPr>
          <w:color w:val="000000"/>
          <w:sz w:val="32"/>
          <w:szCs w:val="32"/>
        </w:rPr>
        <w:t>100</w:t>
      </w:r>
      <w:r w:rsidR="003D4C35" w:rsidRPr="00EC7ED0">
        <w:rPr>
          <w:color w:val="000000"/>
          <w:sz w:val="32"/>
          <w:szCs w:val="32"/>
        </w:rPr>
        <w:t xml:space="preserve"> </w:t>
      </w:r>
      <w:r w:rsidRPr="00EC7ED0">
        <w:rPr>
          <w:color w:val="000000"/>
          <w:sz w:val="32"/>
          <w:szCs w:val="32"/>
        </w:rPr>
        <w:t>study</w:t>
      </w:r>
      <w:proofErr w:type="gramEnd"/>
      <w:r w:rsidRPr="00EC7ED0">
        <w:rPr>
          <w:color w:val="000000"/>
          <w:sz w:val="32"/>
          <w:szCs w:val="32"/>
        </w:rPr>
        <w:t xml:space="preserve"> literature matrix used for this review brings together research on performance pay, fixed pay, incentives, motivation, fairness, performance measurement, productivity and organi</w:t>
      </w:r>
      <w:r w:rsidR="00CD40F5" w:rsidRPr="00EC7ED0">
        <w:rPr>
          <w:color w:val="000000"/>
          <w:sz w:val="32"/>
          <w:szCs w:val="32"/>
        </w:rPr>
        <w:t>z</w:t>
      </w:r>
      <w:r w:rsidRPr="00EC7ED0">
        <w:rPr>
          <w:color w:val="000000"/>
          <w:sz w:val="32"/>
          <w:szCs w:val="32"/>
        </w:rPr>
        <w:t>ational outcomes.</w:t>
      </w:r>
    </w:p>
    <w:p w14:paraId="60871BC7" w14:textId="36E2960C" w:rsidR="00FB3124" w:rsidRPr="00EC7ED0" w:rsidRDefault="00EB6C9D" w:rsidP="00FB3124">
      <w:pPr>
        <w:spacing w:before="100" w:beforeAutospacing="1" w:after="100" w:afterAutospacing="1"/>
        <w:outlineLvl w:val="1"/>
        <w:rPr>
          <w:b/>
          <w:bCs/>
          <w:color w:val="000000"/>
          <w:sz w:val="32"/>
          <w:szCs w:val="32"/>
        </w:rPr>
      </w:pPr>
      <w:bookmarkStart w:id="19" w:name="_Toc241526675"/>
      <w:bookmarkStart w:id="20" w:name="_Toc241527084"/>
      <w:r w:rsidRPr="00EC7ED0">
        <w:rPr>
          <w:b/>
          <w:bCs/>
          <w:color w:val="000000"/>
          <w:sz w:val="32"/>
          <w:szCs w:val="32"/>
        </w:rPr>
        <w:t>3.</w:t>
      </w:r>
      <w:r w:rsidR="00A51077" w:rsidRPr="00EC7ED0">
        <w:rPr>
          <w:b/>
          <w:bCs/>
          <w:color w:val="000000"/>
          <w:sz w:val="32"/>
          <w:szCs w:val="32"/>
        </w:rPr>
        <w:t xml:space="preserve">2. </w:t>
      </w:r>
      <w:r w:rsidR="00FB3124" w:rsidRPr="00EC7ED0">
        <w:rPr>
          <w:b/>
          <w:bCs/>
          <w:color w:val="000000"/>
          <w:sz w:val="32"/>
          <w:szCs w:val="32"/>
        </w:rPr>
        <w:t>Methodology</w:t>
      </w:r>
      <w:bookmarkEnd w:id="19"/>
      <w:bookmarkEnd w:id="20"/>
    </w:p>
    <w:p w14:paraId="3A419356" w14:textId="4B22B573" w:rsidR="00FB3124" w:rsidRPr="00EC7ED0" w:rsidRDefault="00470C19" w:rsidP="00FB3124">
      <w:pPr>
        <w:spacing w:before="100" w:beforeAutospacing="1" w:after="100" w:afterAutospacing="1"/>
        <w:outlineLvl w:val="2"/>
        <w:rPr>
          <w:b/>
          <w:bCs/>
          <w:color w:val="000000"/>
          <w:sz w:val="32"/>
          <w:szCs w:val="32"/>
        </w:rPr>
      </w:pPr>
      <w:bookmarkStart w:id="21" w:name="_Toc241526676"/>
      <w:bookmarkStart w:id="22" w:name="_Toc241527085"/>
      <w:r w:rsidRPr="00EC7ED0">
        <w:rPr>
          <w:b/>
          <w:bCs/>
          <w:color w:val="000000"/>
          <w:sz w:val="32"/>
          <w:szCs w:val="32"/>
        </w:rPr>
        <w:t>3.2.1</w:t>
      </w:r>
      <w:r w:rsidR="000E2F6F" w:rsidRPr="00EC7ED0">
        <w:rPr>
          <w:b/>
          <w:bCs/>
          <w:color w:val="000000"/>
          <w:sz w:val="32"/>
          <w:szCs w:val="32"/>
        </w:rPr>
        <w:t>.</w:t>
      </w:r>
      <w:r w:rsidR="00FB3124" w:rsidRPr="00EC7ED0">
        <w:rPr>
          <w:b/>
          <w:bCs/>
          <w:color w:val="000000"/>
          <w:sz w:val="32"/>
          <w:szCs w:val="32"/>
        </w:rPr>
        <w:t xml:space="preserve"> Research approach</w:t>
      </w:r>
      <w:bookmarkEnd w:id="21"/>
      <w:bookmarkEnd w:id="22"/>
    </w:p>
    <w:p w14:paraId="00BE0F41" w14:textId="6D0B5CBF" w:rsidR="00FB3124" w:rsidRPr="00EC7ED0" w:rsidRDefault="00FB3124" w:rsidP="00FB3124">
      <w:pPr>
        <w:spacing w:before="100" w:beforeAutospacing="1" w:after="100" w:afterAutospacing="1"/>
        <w:rPr>
          <w:color w:val="000000"/>
          <w:sz w:val="32"/>
          <w:szCs w:val="32"/>
        </w:rPr>
      </w:pPr>
      <w:r w:rsidRPr="00EC7ED0">
        <w:rPr>
          <w:color w:val="000000"/>
          <w:sz w:val="32"/>
          <w:szCs w:val="32"/>
        </w:rPr>
        <w:t xml:space="preserve">This study uses a narrative literature review. A narrative review </w:t>
      </w:r>
      <w:r w:rsidR="00E425DE" w:rsidRPr="00EC7ED0">
        <w:rPr>
          <w:color w:val="000000"/>
          <w:sz w:val="32"/>
          <w:szCs w:val="32"/>
        </w:rPr>
        <w:t xml:space="preserve">is </w:t>
      </w:r>
      <w:r w:rsidRPr="00EC7ED0">
        <w:rPr>
          <w:color w:val="000000"/>
          <w:sz w:val="32"/>
          <w:szCs w:val="32"/>
        </w:rPr>
        <w:t xml:space="preserve">selected because the purpose is not to calculate one overall statistical effect but to explore, compare and interpret findings from different studies concerning performance-based pay, fixed salary and employee motivation. The literature includes theoretical papers, reviews and empirical research conducted in different </w:t>
      </w:r>
      <w:proofErr w:type="spellStart"/>
      <w:r w:rsidRPr="00EC7ED0">
        <w:rPr>
          <w:color w:val="000000"/>
          <w:sz w:val="32"/>
          <w:szCs w:val="32"/>
        </w:rPr>
        <w:t>organisational</w:t>
      </w:r>
      <w:proofErr w:type="spellEnd"/>
      <w:r w:rsidRPr="00EC7ED0">
        <w:rPr>
          <w:color w:val="000000"/>
          <w:sz w:val="32"/>
          <w:szCs w:val="32"/>
        </w:rPr>
        <w:t xml:space="preserve"> contexts. </w:t>
      </w:r>
    </w:p>
    <w:p w14:paraId="5FF664C2" w14:textId="7F7F2105" w:rsidR="00FB3124" w:rsidRPr="00EC7ED0" w:rsidRDefault="008E6D68" w:rsidP="00FB3124">
      <w:pPr>
        <w:spacing w:before="100" w:beforeAutospacing="1" w:after="100" w:afterAutospacing="1"/>
        <w:outlineLvl w:val="2"/>
        <w:rPr>
          <w:b/>
          <w:bCs/>
          <w:color w:val="000000"/>
          <w:sz w:val="32"/>
          <w:szCs w:val="32"/>
        </w:rPr>
      </w:pPr>
      <w:bookmarkStart w:id="23" w:name="_Toc241526677"/>
      <w:bookmarkStart w:id="24" w:name="_Toc241527086"/>
      <w:r w:rsidRPr="00EC7ED0">
        <w:rPr>
          <w:b/>
          <w:bCs/>
          <w:color w:val="000000"/>
          <w:sz w:val="32"/>
          <w:szCs w:val="32"/>
        </w:rPr>
        <w:t>3.2.2</w:t>
      </w:r>
      <w:r w:rsidR="000E2F6F" w:rsidRPr="00EC7ED0">
        <w:rPr>
          <w:b/>
          <w:bCs/>
          <w:color w:val="000000"/>
          <w:sz w:val="32"/>
          <w:szCs w:val="32"/>
        </w:rPr>
        <w:t>.</w:t>
      </w:r>
      <w:r w:rsidR="00FB3124" w:rsidRPr="00EC7ED0">
        <w:rPr>
          <w:b/>
          <w:bCs/>
          <w:color w:val="000000"/>
          <w:sz w:val="32"/>
          <w:szCs w:val="32"/>
        </w:rPr>
        <w:t xml:space="preserve"> Identification of the 100 studies</w:t>
      </w:r>
      <w:bookmarkEnd w:id="23"/>
      <w:bookmarkEnd w:id="24"/>
    </w:p>
    <w:p w14:paraId="17A8FE69" w14:textId="6C39B5B0" w:rsidR="00FB3124" w:rsidRPr="00EC7ED0" w:rsidRDefault="00FB3124" w:rsidP="00FB3124">
      <w:pPr>
        <w:spacing w:before="100" w:beforeAutospacing="1" w:after="100" w:afterAutospacing="1"/>
        <w:rPr>
          <w:color w:val="000000"/>
          <w:sz w:val="32"/>
          <w:szCs w:val="32"/>
        </w:rPr>
      </w:pPr>
      <w:r w:rsidRPr="00EC7ED0">
        <w:rPr>
          <w:color w:val="000000"/>
          <w:sz w:val="32"/>
          <w:szCs w:val="32"/>
        </w:rPr>
        <w:lastRenderedPageBreak/>
        <w:t>The literature</w:t>
      </w:r>
      <w:r w:rsidR="000E2F6F" w:rsidRPr="00EC7ED0">
        <w:rPr>
          <w:color w:val="000000"/>
          <w:sz w:val="32"/>
          <w:szCs w:val="32"/>
        </w:rPr>
        <w:t xml:space="preserve"> is </w:t>
      </w:r>
      <w:r w:rsidRPr="00EC7ED0">
        <w:rPr>
          <w:color w:val="000000"/>
          <w:sz w:val="32"/>
          <w:szCs w:val="32"/>
        </w:rPr>
        <w:t xml:space="preserve">identified primarily through Google Scholar, because it provides broad access to academic literature across management, human resource management, </w:t>
      </w:r>
      <w:proofErr w:type="spellStart"/>
      <w:r w:rsidRPr="00EC7ED0">
        <w:rPr>
          <w:color w:val="000000"/>
          <w:sz w:val="32"/>
          <w:szCs w:val="32"/>
        </w:rPr>
        <w:t>organisational</w:t>
      </w:r>
      <w:proofErr w:type="spellEnd"/>
      <w:r w:rsidRPr="00EC7ED0">
        <w:rPr>
          <w:color w:val="000000"/>
          <w:sz w:val="32"/>
          <w:szCs w:val="32"/>
        </w:rPr>
        <w:t xml:space="preserve"> </w:t>
      </w:r>
      <w:proofErr w:type="spellStart"/>
      <w:r w:rsidRPr="00EC7ED0">
        <w:rPr>
          <w:color w:val="000000"/>
          <w:sz w:val="32"/>
          <w:szCs w:val="32"/>
        </w:rPr>
        <w:t>behaviour</w:t>
      </w:r>
      <w:proofErr w:type="spellEnd"/>
      <w:r w:rsidRPr="00EC7ED0">
        <w:rPr>
          <w:color w:val="000000"/>
          <w:sz w:val="32"/>
          <w:szCs w:val="32"/>
        </w:rPr>
        <w:t xml:space="preserve">, economics and psychology. Google Scholar </w:t>
      </w:r>
      <w:r w:rsidR="003C2103" w:rsidRPr="00EC7ED0">
        <w:rPr>
          <w:color w:val="000000"/>
          <w:sz w:val="32"/>
          <w:szCs w:val="32"/>
        </w:rPr>
        <w:t>is</w:t>
      </w:r>
      <w:r w:rsidRPr="00EC7ED0">
        <w:rPr>
          <w:color w:val="000000"/>
          <w:sz w:val="32"/>
          <w:szCs w:val="32"/>
        </w:rPr>
        <w:t xml:space="preserve"> selected as the main search platform because the topic crosses several academic disciplines and therefore cannot easily be captured through one narrow subject </w:t>
      </w:r>
      <w:proofErr w:type="spellStart"/>
      <w:proofErr w:type="gramStart"/>
      <w:r w:rsidRPr="00EC7ED0">
        <w:rPr>
          <w:color w:val="000000"/>
          <w:sz w:val="32"/>
          <w:szCs w:val="32"/>
        </w:rPr>
        <w:t>database.The</w:t>
      </w:r>
      <w:proofErr w:type="spellEnd"/>
      <w:proofErr w:type="gramEnd"/>
      <w:r w:rsidRPr="00EC7ED0">
        <w:rPr>
          <w:color w:val="000000"/>
          <w:sz w:val="32"/>
          <w:szCs w:val="32"/>
        </w:rPr>
        <w:t xml:space="preserve"> search </w:t>
      </w:r>
      <w:r w:rsidR="003C747C" w:rsidRPr="00EC7ED0">
        <w:rPr>
          <w:color w:val="000000"/>
          <w:sz w:val="32"/>
          <w:szCs w:val="32"/>
        </w:rPr>
        <w:t xml:space="preserve">is </w:t>
      </w:r>
      <w:r w:rsidRPr="00EC7ED0">
        <w:rPr>
          <w:color w:val="000000"/>
          <w:sz w:val="32"/>
          <w:szCs w:val="32"/>
        </w:rPr>
        <w:t>used combinations of keywords</w:t>
      </w:r>
      <w:r w:rsidR="003C2103" w:rsidRPr="00EC7ED0">
        <w:rPr>
          <w:color w:val="000000"/>
          <w:sz w:val="32"/>
          <w:szCs w:val="32"/>
        </w:rPr>
        <w:t xml:space="preserve"> </w:t>
      </w:r>
      <w:r w:rsidR="003C747C" w:rsidRPr="00EC7ED0">
        <w:rPr>
          <w:color w:val="000000"/>
          <w:sz w:val="32"/>
          <w:szCs w:val="32"/>
        </w:rPr>
        <w:t xml:space="preserve">mentioned in the </w:t>
      </w:r>
      <w:r w:rsidR="007413A6" w:rsidRPr="00EC7ED0">
        <w:rPr>
          <w:color w:val="000000"/>
          <w:sz w:val="32"/>
          <w:szCs w:val="32"/>
        </w:rPr>
        <w:t xml:space="preserve">above </w:t>
      </w:r>
      <w:proofErr w:type="spellStart"/>
      <w:proofErr w:type="gramStart"/>
      <w:r w:rsidR="007413A6" w:rsidRPr="00EC7ED0">
        <w:rPr>
          <w:color w:val="000000"/>
          <w:sz w:val="32"/>
          <w:szCs w:val="32"/>
        </w:rPr>
        <w:t>table.</w:t>
      </w:r>
      <w:r w:rsidRPr="00EC7ED0">
        <w:rPr>
          <w:color w:val="000000"/>
          <w:sz w:val="32"/>
          <w:szCs w:val="32"/>
        </w:rPr>
        <w:t>Search</w:t>
      </w:r>
      <w:proofErr w:type="spellEnd"/>
      <w:proofErr w:type="gramEnd"/>
      <w:r w:rsidRPr="00EC7ED0">
        <w:rPr>
          <w:color w:val="000000"/>
          <w:sz w:val="32"/>
          <w:szCs w:val="32"/>
        </w:rPr>
        <w:t xml:space="preserve"> terms </w:t>
      </w:r>
      <w:r w:rsidR="00BB46E0" w:rsidRPr="00EC7ED0">
        <w:rPr>
          <w:color w:val="000000"/>
          <w:sz w:val="32"/>
          <w:szCs w:val="32"/>
        </w:rPr>
        <w:t xml:space="preserve">are </w:t>
      </w:r>
      <w:r w:rsidRPr="00EC7ED0">
        <w:rPr>
          <w:color w:val="000000"/>
          <w:sz w:val="32"/>
          <w:szCs w:val="32"/>
        </w:rPr>
        <w:t xml:space="preserve">combined in different ways. For example, searches </w:t>
      </w:r>
      <w:proofErr w:type="gramStart"/>
      <w:r w:rsidRPr="00EC7ED0">
        <w:rPr>
          <w:color w:val="000000"/>
          <w:sz w:val="32"/>
          <w:szCs w:val="32"/>
        </w:rPr>
        <w:t>include</w:t>
      </w:r>
      <w:r w:rsidR="00BB46E0" w:rsidRPr="00EC7ED0">
        <w:rPr>
          <w:color w:val="000000"/>
          <w:sz w:val="32"/>
          <w:szCs w:val="32"/>
        </w:rPr>
        <w:t>s</w:t>
      </w:r>
      <w:proofErr w:type="gramEnd"/>
      <w:r w:rsidR="00BB46E0" w:rsidRPr="00EC7ED0">
        <w:rPr>
          <w:color w:val="000000"/>
          <w:sz w:val="32"/>
          <w:szCs w:val="32"/>
        </w:rPr>
        <w:t xml:space="preserve"> </w:t>
      </w:r>
      <w:r w:rsidRPr="00EC7ED0">
        <w:rPr>
          <w:color w:val="000000"/>
          <w:sz w:val="32"/>
          <w:szCs w:val="32"/>
        </w:rPr>
        <w:t>combinations such as “performance-based pay AND employee motivation,” “pay for performance AND work motivation,” “fixed salary AND employee motivation” and “retail sales incentives AND employee performance.” This hel</w:t>
      </w:r>
      <w:r w:rsidR="00BB46E0" w:rsidRPr="00EC7ED0">
        <w:rPr>
          <w:color w:val="000000"/>
          <w:sz w:val="32"/>
          <w:szCs w:val="32"/>
        </w:rPr>
        <w:t>p</w:t>
      </w:r>
      <w:r w:rsidR="00BF49DD" w:rsidRPr="00EC7ED0">
        <w:rPr>
          <w:color w:val="000000"/>
          <w:sz w:val="32"/>
          <w:szCs w:val="32"/>
        </w:rPr>
        <w:t>s to</w:t>
      </w:r>
      <w:r w:rsidRPr="00EC7ED0">
        <w:rPr>
          <w:color w:val="000000"/>
          <w:sz w:val="32"/>
          <w:szCs w:val="32"/>
        </w:rPr>
        <w:t xml:space="preserve"> identify studies examining the two pay systems directly as well as studies explaining the motivational mechanisms behind them.</w:t>
      </w:r>
    </w:p>
    <w:p w14:paraId="0816D031" w14:textId="7D1CE961" w:rsidR="00FB3124" w:rsidRPr="00EC7ED0" w:rsidRDefault="00AE7E3E" w:rsidP="00FB3124">
      <w:pPr>
        <w:spacing w:before="100" w:beforeAutospacing="1" w:after="100" w:afterAutospacing="1"/>
        <w:outlineLvl w:val="2"/>
        <w:rPr>
          <w:b/>
          <w:bCs/>
          <w:color w:val="000000"/>
          <w:sz w:val="32"/>
          <w:szCs w:val="32"/>
        </w:rPr>
      </w:pPr>
      <w:bookmarkStart w:id="25" w:name="_Toc241526678"/>
      <w:bookmarkStart w:id="26" w:name="_Toc241527087"/>
      <w:r w:rsidRPr="00EC7ED0">
        <w:rPr>
          <w:b/>
          <w:bCs/>
          <w:color w:val="000000"/>
          <w:sz w:val="32"/>
          <w:szCs w:val="32"/>
        </w:rPr>
        <w:t>3.</w:t>
      </w:r>
      <w:r w:rsidR="00FB3124" w:rsidRPr="00EC7ED0">
        <w:rPr>
          <w:b/>
          <w:bCs/>
          <w:color w:val="000000"/>
          <w:sz w:val="32"/>
          <w:szCs w:val="32"/>
        </w:rPr>
        <w:t>2.3</w:t>
      </w:r>
      <w:r w:rsidRPr="00EC7ED0">
        <w:rPr>
          <w:b/>
          <w:bCs/>
          <w:color w:val="000000"/>
          <w:sz w:val="32"/>
          <w:szCs w:val="32"/>
        </w:rPr>
        <w:t>.</w:t>
      </w:r>
      <w:r w:rsidR="004B0A5B" w:rsidRPr="00EC7ED0">
        <w:rPr>
          <w:b/>
          <w:bCs/>
          <w:color w:val="000000"/>
          <w:sz w:val="32"/>
          <w:szCs w:val="32"/>
        </w:rPr>
        <w:t xml:space="preserve"> </w:t>
      </w:r>
      <w:r w:rsidR="00FB3124" w:rsidRPr="00EC7ED0">
        <w:rPr>
          <w:b/>
          <w:bCs/>
          <w:color w:val="000000"/>
          <w:sz w:val="32"/>
          <w:szCs w:val="32"/>
        </w:rPr>
        <w:t>Publication-year criteria</w:t>
      </w:r>
      <w:bookmarkEnd w:id="25"/>
      <w:bookmarkEnd w:id="26"/>
    </w:p>
    <w:p w14:paraId="4F6BE295" w14:textId="44541812" w:rsidR="00FB3124" w:rsidRPr="00EC7ED0" w:rsidRDefault="00FB3124" w:rsidP="00FB3124">
      <w:pPr>
        <w:spacing w:before="100" w:beforeAutospacing="1" w:after="100" w:afterAutospacing="1"/>
        <w:rPr>
          <w:color w:val="000000"/>
          <w:sz w:val="32"/>
          <w:szCs w:val="32"/>
        </w:rPr>
      </w:pPr>
      <w:r w:rsidRPr="00EC7ED0">
        <w:rPr>
          <w:color w:val="000000"/>
          <w:sz w:val="32"/>
          <w:szCs w:val="32"/>
        </w:rPr>
        <w:t xml:space="preserve">Publication year </w:t>
      </w:r>
      <w:r w:rsidR="00AE7E3E" w:rsidRPr="00EC7ED0">
        <w:rPr>
          <w:color w:val="000000"/>
          <w:sz w:val="32"/>
          <w:szCs w:val="32"/>
        </w:rPr>
        <w:t>is</w:t>
      </w:r>
      <w:r w:rsidRPr="00EC7ED0">
        <w:rPr>
          <w:color w:val="000000"/>
          <w:sz w:val="32"/>
          <w:szCs w:val="32"/>
        </w:rPr>
        <w:t xml:space="preserve"> considered during the selection process.</w:t>
      </w:r>
      <w:r w:rsidR="00BD632E" w:rsidRPr="00EC7ED0">
        <w:rPr>
          <w:color w:val="000000"/>
          <w:sz w:val="32"/>
          <w:szCs w:val="32"/>
        </w:rPr>
        <w:t xml:space="preserve"> A</w:t>
      </w:r>
      <w:r w:rsidRPr="00EC7ED0">
        <w:rPr>
          <w:color w:val="000000"/>
          <w:sz w:val="32"/>
          <w:szCs w:val="32"/>
        </w:rPr>
        <w:t>ttention</w:t>
      </w:r>
      <w:r w:rsidR="00BD632E" w:rsidRPr="00EC7ED0">
        <w:rPr>
          <w:color w:val="000000"/>
          <w:sz w:val="32"/>
          <w:szCs w:val="32"/>
        </w:rPr>
        <w:t xml:space="preserve"> is </w:t>
      </w:r>
      <w:r w:rsidRPr="00EC7ED0">
        <w:rPr>
          <w:color w:val="000000"/>
          <w:sz w:val="32"/>
          <w:szCs w:val="32"/>
        </w:rPr>
        <w:t xml:space="preserve">given to recent </w:t>
      </w:r>
      <w:r w:rsidR="00896435" w:rsidRPr="00EC7ED0">
        <w:rPr>
          <w:color w:val="000000"/>
          <w:sz w:val="32"/>
          <w:szCs w:val="32"/>
        </w:rPr>
        <w:t xml:space="preserve">and older </w:t>
      </w:r>
      <w:r w:rsidRPr="00EC7ED0">
        <w:rPr>
          <w:color w:val="000000"/>
          <w:sz w:val="32"/>
          <w:szCs w:val="32"/>
        </w:rPr>
        <w:t>research</w:t>
      </w:r>
      <w:r w:rsidR="003E12CE" w:rsidRPr="00EC7ED0">
        <w:rPr>
          <w:b/>
          <w:bCs/>
          <w:color w:val="000000"/>
          <w:sz w:val="32"/>
          <w:szCs w:val="32"/>
        </w:rPr>
        <w:t>.</w:t>
      </w:r>
      <w:r w:rsidR="001F5B71" w:rsidRPr="00EC7ED0">
        <w:rPr>
          <w:b/>
          <w:bCs/>
          <w:color w:val="000000"/>
          <w:sz w:val="32"/>
          <w:szCs w:val="32"/>
        </w:rPr>
        <w:t xml:space="preserve"> </w:t>
      </w:r>
      <w:r w:rsidRPr="00EC7ED0">
        <w:rPr>
          <w:color w:val="000000"/>
          <w:sz w:val="32"/>
          <w:szCs w:val="32"/>
        </w:rPr>
        <w:t>However, older publications</w:t>
      </w:r>
      <w:r w:rsidR="004F6862" w:rsidRPr="00EC7ED0">
        <w:rPr>
          <w:color w:val="000000"/>
          <w:sz w:val="32"/>
          <w:szCs w:val="32"/>
        </w:rPr>
        <w:t xml:space="preserve"> are</w:t>
      </w:r>
      <w:r w:rsidRPr="00EC7ED0">
        <w:rPr>
          <w:color w:val="000000"/>
          <w:sz w:val="32"/>
          <w:szCs w:val="32"/>
        </w:rPr>
        <w:t xml:space="preserve"> not automatically excluded. Foundational theoretical studies </w:t>
      </w:r>
      <w:r w:rsidR="007E6454" w:rsidRPr="00EC7ED0">
        <w:rPr>
          <w:color w:val="000000"/>
          <w:sz w:val="32"/>
          <w:szCs w:val="32"/>
        </w:rPr>
        <w:t>are</w:t>
      </w:r>
      <w:r w:rsidRPr="00EC7ED0">
        <w:rPr>
          <w:color w:val="000000"/>
          <w:sz w:val="32"/>
          <w:szCs w:val="32"/>
        </w:rPr>
        <w:t xml:space="preserve"> retained where they </w:t>
      </w:r>
      <w:r w:rsidR="00BD632E" w:rsidRPr="00EC7ED0">
        <w:rPr>
          <w:color w:val="000000"/>
          <w:sz w:val="32"/>
          <w:szCs w:val="32"/>
        </w:rPr>
        <w:t>are</w:t>
      </w:r>
      <w:r w:rsidRPr="00EC7ED0">
        <w:rPr>
          <w:color w:val="000000"/>
          <w:sz w:val="32"/>
          <w:szCs w:val="32"/>
        </w:rPr>
        <w:t xml:space="preserve"> necessary for understanding the theoretical basis of the topic. For example, Vroom's Expectancy Theory, Adams' Equity Theory, Herzberg's motivation-hygiene theory, and Deci and Ryan's work on intrinsic motivation remain important for explaining why employees may respond differently to financial rewards. Therefore, the review combines recent empirical evidence with selected foundational theoretical sources.</w:t>
      </w:r>
    </w:p>
    <w:p w14:paraId="78E041F8" w14:textId="77777777" w:rsidR="00FB3124" w:rsidRPr="00EC7ED0" w:rsidRDefault="00FB3124" w:rsidP="00FB3124">
      <w:pPr>
        <w:spacing w:before="100" w:beforeAutospacing="1" w:after="100" w:afterAutospacing="1"/>
        <w:rPr>
          <w:color w:val="000000"/>
          <w:sz w:val="32"/>
          <w:szCs w:val="32"/>
        </w:rPr>
      </w:pPr>
      <w:r w:rsidRPr="00EC7ED0">
        <w:rPr>
          <w:color w:val="000000"/>
          <w:sz w:val="32"/>
          <w:szCs w:val="32"/>
        </w:rPr>
        <w:t>This distinction is important because a publication's age does not automatically determine its relevance. A recent empirical study may provide contemporary evidence, whereas an older theoretical publication may provide the original foundation for an important concept.</w:t>
      </w:r>
    </w:p>
    <w:p w14:paraId="1AB3FB70" w14:textId="267B86A7" w:rsidR="00F31289" w:rsidRPr="00EC7ED0" w:rsidRDefault="00B4048F" w:rsidP="00F31289">
      <w:pPr>
        <w:spacing w:before="100" w:beforeAutospacing="1" w:after="100" w:afterAutospacing="1"/>
        <w:outlineLvl w:val="2"/>
        <w:rPr>
          <w:b/>
          <w:bCs/>
          <w:color w:val="000000"/>
          <w:sz w:val="32"/>
          <w:szCs w:val="32"/>
        </w:rPr>
      </w:pPr>
      <w:bookmarkStart w:id="27" w:name="_Toc241526679"/>
      <w:bookmarkStart w:id="28" w:name="_Toc241527088"/>
      <w:r>
        <w:rPr>
          <w:b/>
          <w:bCs/>
          <w:color w:val="000000"/>
          <w:sz w:val="32"/>
          <w:szCs w:val="32"/>
        </w:rPr>
        <w:t>3.2.4.</w:t>
      </w:r>
      <w:r w:rsidR="00D72215">
        <w:rPr>
          <w:b/>
          <w:bCs/>
          <w:color w:val="000000"/>
          <w:sz w:val="32"/>
          <w:szCs w:val="32"/>
        </w:rPr>
        <w:t xml:space="preserve"> </w:t>
      </w:r>
      <w:r>
        <w:rPr>
          <w:b/>
          <w:bCs/>
          <w:color w:val="000000"/>
          <w:sz w:val="32"/>
          <w:szCs w:val="32"/>
        </w:rPr>
        <w:t>Findings</w:t>
      </w:r>
      <w:r w:rsidR="00F31289" w:rsidRPr="00EC7ED0">
        <w:rPr>
          <w:b/>
          <w:bCs/>
          <w:color w:val="000000"/>
          <w:sz w:val="32"/>
          <w:szCs w:val="32"/>
        </w:rPr>
        <w:t xml:space="preserve"> and analysis</w:t>
      </w:r>
      <w:bookmarkEnd w:id="27"/>
      <w:bookmarkEnd w:id="28"/>
    </w:p>
    <w:p w14:paraId="05C1B7AE" w14:textId="4A32951A" w:rsidR="00F31289" w:rsidRPr="00EC7ED0" w:rsidRDefault="00F31289" w:rsidP="00F31289">
      <w:pPr>
        <w:spacing w:before="100" w:beforeAutospacing="1" w:after="100" w:afterAutospacing="1"/>
        <w:rPr>
          <w:color w:val="000000"/>
          <w:sz w:val="32"/>
          <w:szCs w:val="32"/>
        </w:rPr>
      </w:pPr>
      <w:r w:rsidRPr="00EC7ED0">
        <w:rPr>
          <w:color w:val="000000"/>
          <w:sz w:val="32"/>
          <w:szCs w:val="32"/>
        </w:rPr>
        <w:lastRenderedPageBreak/>
        <w:t xml:space="preserve">Information from the selected studies </w:t>
      </w:r>
      <w:r w:rsidR="00EA530C" w:rsidRPr="00EC7ED0">
        <w:rPr>
          <w:color w:val="000000"/>
          <w:sz w:val="32"/>
          <w:szCs w:val="32"/>
        </w:rPr>
        <w:t>is</w:t>
      </w:r>
      <w:r w:rsidRPr="00EC7ED0">
        <w:rPr>
          <w:color w:val="000000"/>
          <w:sz w:val="32"/>
          <w:szCs w:val="32"/>
        </w:rPr>
        <w:t xml:space="preserve"> organi</w:t>
      </w:r>
      <w:r w:rsidR="00EA530C" w:rsidRPr="00EC7ED0">
        <w:rPr>
          <w:color w:val="000000"/>
          <w:sz w:val="32"/>
          <w:szCs w:val="32"/>
        </w:rPr>
        <w:t>z</w:t>
      </w:r>
      <w:r w:rsidRPr="00EC7ED0">
        <w:rPr>
          <w:color w:val="000000"/>
          <w:sz w:val="32"/>
          <w:szCs w:val="32"/>
        </w:rPr>
        <w:t>ed into a literature matrix. The matrix record</w:t>
      </w:r>
      <w:r w:rsidR="00B3680C" w:rsidRPr="00EC7ED0">
        <w:rPr>
          <w:color w:val="000000"/>
          <w:sz w:val="32"/>
          <w:szCs w:val="32"/>
        </w:rPr>
        <w:t xml:space="preserve">s </w:t>
      </w:r>
      <w:r w:rsidRPr="00EC7ED0">
        <w:rPr>
          <w:color w:val="000000"/>
          <w:sz w:val="32"/>
          <w:szCs w:val="32"/>
        </w:rPr>
        <w:t>the title, authors, publication year, theories, advantages, disadvantages, impact and factors </w:t>
      </w:r>
      <w:r w:rsidR="00B3680C" w:rsidRPr="00EC7ED0">
        <w:rPr>
          <w:color w:val="000000"/>
          <w:sz w:val="32"/>
          <w:szCs w:val="32"/>
        </w:rPr>
        <w:t xml:space="preserve">which are </w:t>
      </w:r>
      <w:r w:rsidRPr="00EC7ED0">
        <w:rPr>
          <w:color w:val="000000"/>
          <w:sz w:val="32"/>
          <w:szCs w:val="32"/>
        </w:rPr>
        <w:t>associated with the pay systems. This structure was directly connected to the three research objectives.</w:t>
      </w:r>
    </w:p>
    <w:p w14:paraId="73B04654" w14:textId="0FD80A26" w:rsidR="00F31289" w:rsidRPr="00EC7ED0" w:rsidRDefault="003E0ADD" w:rsidP="00D20653">
      <w:pPr>
        <w:pStyle w:val="NormalWeb"/>
        <w:rPr>
          <w:color w:val="000000"/>
          <w:sz w:val="32"/>
          <w:szCs w:val="32"/>
        </w:rPr>
      </w:pPr>
      <w:r w:rsidRPr="00EC7ED0">
        <w:rPr>
          <w:color w:val="000000"/>
          <w:sz w:val="32"/>
          <w:szCs w:val="32"/>
        </w:rPr>
        <w:t xml:space="preserve">The analysis </w:t>
      </w:r>
      <w:r w:rsidR="001F5B71" w:rsidRPr="00EC7ED0">
        <w:rPr>
          <w:color w:val="000000"/>
          <w:sz w:val="32"/>
          <w:szCs w:val="32"/>
        </w:rPr>
        <w:t>is</w:t>
      </w:r>
      <w:r w:rsidRPr="00EC7ED0">
        <w:rPr>
          <w:color w:val="000000"/>
          <w:sz w:val="32"/>
          <w:szCs w:val="32"/>
        </w:rPr>
        <w:t xml:space="preserve"> conducted through a</w:t>
      </w:r>
      <w:r w:rsidRPr="00EC7ED0">
        <w:rPr>
          <w:rStyle w:val="apple-converted-space"/>
          <w:rFonts w:eastAsiaTheme="majorEastAsia"/>
          <w:color w:val="000000"/>
          <w:sz w:val="32"/>
          <w:szCs w:val="32"/>
        </w:rPr>
        <w:t> </w:t>
      </w:r>
      <w:r w:rsidRPr="00EC7ED0">
        <w:rPr>
          <w:rStyle w:val="Strong"/>
          <w:rFonts w:eastAsiaTheme="majorEastAsia"/>
          <w:b w:val="0"/>
          <w:bCs w:val="0"/>
          <w:color w:val="000000"/>
          <w:sz w:val="32"/>
          <w:szCs w:val="32"/>
        </w:rPr>
        <w:t>thematic analysis of the literature</w:t>
      </w:r>
      <w:r w:rsidRPr="00EC7ED0">
        <w:rPr>
          <w:color w:val="000000"/>
          <w:sz w:val="32"/>
          <w:szCs w:val="32"/>
        </w:rPr>
        <w:t xml:space="preserve">. Findings from the selected studies </w:t>
      </w:r>
      <w:r w:rsidR="001F5B71" w:rsidRPr="00EC7ED0">
        <w:rPr>
          <w:color w:val="000000"/>
          <w:sz w:val="32"/>
          <w:szCs w:val="32"/>
        </w:rPr>
        <w:t xml:space="preserve">are </w:t>
      </w:r>
      <w:r w:rsidRPr="00EC7ED0">
        <w:rPr>
          <w:color w:val="000000"/>
          <w:sz w:val="32"/>
          <w:szCs w:val="32"/>
        </w:rPr>
        <w:t xml:space="preserve">compared and grouped according to recurring themes relevant to the research objectives. </w:t>
      </w:r>
      <w:r w:rsidR="00F31289" w:rsidRPr="00EC7ED0">
        <w:rPr>
          <w:color w:val="000000"/>
          <w:sz w:val="32"/>
          <w:szCs w:val="32"/>
        </w:rPr>
        <w:t xml:space="preserve">The main themes identified </w:t>
      </w:r>
      <w:r w:rsidR="00D20653" w:rsidRPr="00EC7ED0">
        <w:rPr>
          <w:color w:val="000000"/>
          <w:sz w:val="32"/>
          <w:szCs w:val="32"/>
        </w:rPr>
        <w:t>ar</w:t>
      </w:r>
      <w:r w:rsidR="00B22421" w:rsidRPr="00EC7ED0">
        <w:rPr>
          <w:color w:val="000000"/>
          <w:sz w:val="32"/>
          <w:szCs w:val="32"/>
        </w:rPr>
        <w:t xml:space="preserve">e </w:t>
      </w:r>
      <w:r w:rsidR="00DC5FB3">
        <w:rPr>
          <w:color w:val="000000"/>
          <w:sz w:val="32"/>
          <w:szCs w:val="32"/>
        </w:rPr>
        <w:t>g</w:t>
      </w:r>
      <w:r w:rsidR="00B22421" w:rsidRPr="00EC7ED0">
        <w:rPr>
          <w:color w:val="000000"/>
          <w:sz w:val="32"/>
          <w:szCs w:val="32"/>
        </w:rPr>
        <w:t>iven below</w:t>
      </w:r>
      <w:r w:rsidR="00A955BF">
        <w:rPr>
          <w:color w:val="000000"/>
          <w:sz w:val="32"/>
          <w:szCs w:val="32"/>
        </w:rPr>
        <w:t>,</w:t>
      </w:r>
    </w:p>
    <w:p w14:paraId="4C870697" w14:textId="77777777"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Motivational benefits of performance-based pay.</w:t>
      </w:r>
    </w:p>
    <w:p w14:paraId="7314B548" w14:textId="77777777"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Disadvantages and risks of performance-based pay.</w:t>
      </w:r>
    </w:p>
    <w:p w14:paraId="7C7B709B" w14:textId="77777777"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Motivational benefits of fixed salary.</w:t>
      </w:r>
    </w:p>
    <w:p w14:paraId="269BE86A" w14:textId="77777777"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Fairness and employee perceptions.</w:t>
      </w:r>
    </w:p>
    <w:p w14:paraId="462FF8F5" w14:textId="77777777"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Intrinsic and extrinsic motivation.</w:t>
      </w:r>
    </w:p>
    <w:p w14:paraId="396EAFAA" w14:textId="77777777"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Individual versus collective incentives.</w:t>
      </w:r>
    </w:p>
    <w:p w14:paraId="048E3A86" w14:textId="6A90F7B5" w:rsidR="00F31289" w:rsidRPr="00EC7ED0" w:rsidRDefault="00F31289" w:rsidP="00F31289">
      <w:pPr>
        <w:numPr>
          <w:ilvl w:val="0"/>
          <w:numId w:val="13"/>
        </w:numPr>
        <w:spacing w:before="100" w:beforeAutospacing="1" w:after="100" w:afterAutospacing="1"/>
        <w:rPr>
          <w:color w:val="000000"/>
          <w:sz w:val="32"/>
          <w:szCs w:val="32"/>
        </w:rPr>
      </w:pPr>
      <w:r w:rsidRPr="00EC7ED0">
        <w:rPr>
          <w:color w:val="000000"/>
          <w:sz w:val="32"/>
          <w:szCs w:val="32"/>
        </w:rPr>
        <w:t>Organi</w:t>
      </w:r>
      <w:r w:rsidR="00B22421" w:rsidRPr="00EC7ED0">
        <w:rPr>
          <w:color w:val="000000"/>
          <w:sz w:val="32"/>
          <w:szCs w:val="32"/>
        </w:rPr>
        <w:t>z</w:t>
      </w:r>
      <w:r w:rsidRPr="00EC7ED0">
        <w:rPr>
          <w:color w:val="000000"/>
          <w:sz w:val="32"/>
          <w:szCs w:val="32"/>
        </w:rPr>
        <w:t>ational and job-related factors.</w:t>
      </w:r>
    </w:p>
    <w:p w14:paraId="0753241A" w14:textId="77777777" w:rsidR="00A955BF" w:rsidRDefault="00A955BF" w:rsidP="00B22421">
      <w:pPr>
        <w:spacing w:before="100" w:beforeAutospacing="1" w:after="100" w:afterAutospacing="1"/>
        <w:outlineLvl w:val="2"/>
        <w:rPr>
          <w:color w:val="000000"/>
          <w:sz w:val="32"/>
          <w:szCs w:val="32"/>
        </w:rPr>
      </w:pPr>
    </w:p>
    <w:p w14:paraId="3764BC92" w14:textId="743744B1" w:rsidR="00B22421" w:rsidRPr="00EC7ED0" w:rsidRDefault="006F0F75" w:rsidP="00B22421">
      <w:pPr>
        <w:spacing w:before="100" w:beforeAutospacing="1" w:after="100" w:afterAutospacing="1"/>
        <w:outlineLvl w:val="2"/>
        <w:rPr>
          <w:b/>
          <w:bCs/>
          <w:color w:val="000000"/>
          <w:sz w:val="32"/>
          <w:szCs w:val="32"/>
        </w:rPr>
      </w:pPr>
      <w:bookmarkStart w:id="29" w:name="_Toc241526680"/>
      <w:bookmarkStart w:id="30" w:name="_Toc241527089"/>
      <w:r w:rsidRPr="00EC7ED0">
        <w:rPr>
          <w:b/>
          <w:bCs/>
          <w:color w:val="000000"/>
          <w:sz w:val="32"/>
          <w:szCs w:val="32"/>
        </w:rPr>
        <w:t>3.</w:t>
      </w:r>
      <w:r w:rsidR="00A91BAB" w:rsidRPr="00EC7ED0">
        <w:rPr>
          <w:b/>
          <w:bCs/>
          <w:color w:val="000000"/>
          <w:sz w:val="32"/>
          <w:szCs w:val="32"/>
        </w:rPr>
        <w:t>3</w:t>
      </w:r>
      <w:r w:rsidR="00A51077" w:rsidRPr="00EC7ED0">
        <w:rPr>
          <w:b/>
          <w:bCs/>
          <w:color w:val="000000"/>
          <w:sz w:val="32"/>
          <w:szCs w:val="32"/>
        </w:rPr>
        <w:t>. Definition of Key Terms</w:t>
      </w:r>
      <w:bookmarkEnd w:id="29"/>
      <w:bookmarkEnd w:id="30"/>
    </w:p>
    <w:p w14:paraId="2B1EB2B8" w14:textId="1CE6E656" w:rsidR="004A376D" w:rsidRPr="00EC7ED0" w:rsidRDefault="00A51077" w:rsidP="00B22421">
      <w:pPr>
        <w:spacing w:before="100" w:beforeAutospacing="1" w:after="100" w:afterAutospacing="1"/>
        <w:outlineLvl w:val="2"/>
        <w:rPr>
          <w:b/>
          <w:bCs/>
          <w:color w:val="000000"/>
          <w:sz w:val="32"/>
          <w:szCs w:val="32"/>
        </w:rPr>
      </w:pPr>
      <w:bookmarkStart w:id="31" w:name="_Toc241526681"/>
      <w:bookmarkStart w:id="32" w:name="_Toc241527090"/>
      <w:r w:rsidRPr="00EC7ED0">
        <w:rPr>
          <w:color w:val="000000"/>
          <w:sz w:val="32"/>
          <w:szCs w:val="32"/>
        </w:rPr>
        <w:t>Performance-based pay</w:t>
      </w:r>
      <w:r w:rsidR="0044646D" w:rsidRPr="00EC7ED0">
        <w:rPr>
          <w:color w:val="000000"/>
          <w:sz w:val="32"/>
          <w:szCs w:val="32"/>
        </w:rPr>
        <w:t xml:space="preserve"> (P</w:t>
      </w:r>
      <w:r w:rsidR="00537D89">
        <w:rPr>
          <w:color w:val="000000"/>
          <w:sz w:val="32"/>
          <w:szCs w:val="32"/>
        </w:rPr>
        <w:t>B</w:t>
      </w:r>
      <w:r w:rsidR="0044646D" w:rsidRPr="00EC7ED0">
        <w:rPr>
          <w:color w:val="000000"/>
          <w:sz w:val="32"/>
          <w:szCs w:val="32"/>
        </w:rPr>
        <w:t>P)</w:t>
      </w:r>
      <w:r w:rsidR="007B2740" w:rsidRPr="00EC7ED0">
        <w:rPr>
          <w:color w:val="000000"/>
          <w:sz w:val="32"/>
          <w:szCs w:val="32"/>
        </w:rPr>
        <w:t xml:space="preserve">: </w:t>
      </w:r>
      <w:r w:rsidRPr="00EC7ED0">
        <w:rPr>
          <w:color w:val="000000"/>
          <w:sz w:val="32"/>
          <w:szCs w:val="32"/>
        </w:rPr>
        <w:t>Performance-based pay is a compensation arrangement in which some part of employee earnings depends on performance. It may be based on individual performance, team performance or organi</w:t>
      </w:r>
      <w:r w:rsidR="00E65A47" w:rsidRPr="00EC7ED0">
        <w:rPr>
          <w:color w:val="000000"/>
          <w:sz w:val="32"/>
          <w:szCs w:val="32"/>
        </w:rPr>
        <w:t>z</w:t>
      </w:r>
      <w:r w:rsidRPr="00EC7ED0">
        <w:rPr>
          <w:color w:val="000000"/>
          <w:sz w:val="32"/>
          <w:szCs w:val="32"/>
        </w:rPr>
        <w:t>ational results. Examples include commissions, bonuses, merit pay and piece-rate systems (Lazear, 20</w:t>
      </w:r>
      <w:r w:rsidR="00DB3A0E" w:rsidRPr="00EC7ED0">
        <w:rPr>
          <w:color w:val="000000"/>
          <w:sz w:val="32"/>
          <w:szCs w:val="32"/>
        </w:rPr>
        <w:t>1</w:t>
      </w:r>
      <w:r w:rsidRPr="00EC7ED0">
        <w:rPr>
          <w:color w:val="000000"/>
          <w:sz w:val="32"/>
          <w:szCs w:val="32"/>
        </w:rPr>
        <w:t>0; Garbers and Konradt, 2014).</w:t>
      </w:r>
      <w:bookmarkEnd w:id="31"/>
      <w:bookmarkEnd w:id="32"/>
    </w:p>
    <w:p w14:paraId="22CFED26" w14:textId="35D0ECF1" w:rsidR="00A51077" w:rsidRPr="00EC7ED0" w:rsidRDefault="00A51077" w:rsidP="00A51077">
      <w:pPr>
        <w:spacing w:before="100" w:beforeAutospacing="1" w:after="100" w:afterAutospacing="1"/>
        <w:rPr>
          <w:color w:val="000000"/>
          <w:sz w:val="32"/>
          <w:szCs w:val="32"/>
        </w:rPr>
      </w:pPr>
      <w:r w:rsidRPr="00EC7ED0">
        <w:rPr>
          <w:color w:val="000000"/>
          <w:sz w:val="32"/>
          <w:szCs w:val="32"/>
        </w:rPr>
        <w:lastRenderedPageBreak/>
        <w:t>Fixed salary</w:t>
      </w:r>
      <w:r w:rsidR="007B2740" w:rsidRPr="00EC7ED0">
        <w:rPr>
          <w:b/>
          <w:bCs/>
          <w:color w:val="000000"/>
          <w:sz w:val="32"/>
          <w:szCs w:val="32"/>
        </w:rPr>
        <w:t>:</w:t>
      </w:r>
      <w:r w:rsidR="002325D3" w:rsidRPr="00EC7ED0">
        <w:rPr>
          <w:b/>
          <w:bCs/>
          <w:color w:val="000000"/>
          <w:sz w:val="32"/>
          <w:szCs w:val="32"/>
        </w:rPr>
        <w:t xml:space="preserve"> </w:t>
      </w:r>
      <w:r w:rsidRPr="00EC7ED0">
        <w:rPr>
          <w:color w:val="000000"/>
          <w:sz w:val="32"/>
          <w:szCs w:val="32"/>
        </w:rPr>
        <w:t>Fixed salary refers to a stable level of regular pay provided for performing an agreed job role. Unlike performance pay, the employee's basic earnings are not normally directly dependent on short-term performance. The literature suggests that the stability of pay can be important for employees, particularly when security and predictability are valued (Herzberg, Mausner and Snyderman, 1959).</w:t>
      </w:r>
    </w:p>
    <w:p w14:paraId="1DC9A073" w14:textId="305691D8" w:rsidR="00A51077" w:rsidRPr="00EC7ED0" w:rsidRDefault="00A51077" w:rsidP="00A51077">
      <w:pPr>
        <w:spacing w:before="100" w:beforeAutospacing="1" w:after="100" w:afterAutospacing="1"/>
        <w:rPr>
          <w:color w:val="000000"/>
          <w:sz w:val="32"/>
          <w:szCs w:val="32"/>
        </w:rPr>
      </w:pPr>
      <w:r w:rsidRPr="00EC7ED0">
        <w:rPr>
          <w:color w:val="000000"/>
          <w:sz w:val="32"/>
          <w:szCs w:val="32"/>
        </w:rPr>
        <w:t>Employee motivation</w:t>
      </w:r>
      <w:r w:rsidR="007B2740" w:rsidRPr="00EC7ED0">
        <w:rPr>
          <w:color w:val="000000"/>
          <w:sz w:val="32"/>
          <w:szCs w:val="32"/>
        </w:rPr>
        <w:t>:</w:t>
      </w:r>
      <w:r w:rsidRPr="00EC7ED0">
        <w:rPr>
          <w:color w:val="000000"/>
          <w:sz w:val="32"/>
          <w:szCs w:val="32"/>
        </w:rPr>
        <w:t> Employee motivation refers to the psychological and contextual processes that influence employees' willingness to initiate and maintain effort at work. Pinder (2014) highlights the importance of both individual and workplace factors in understanding work motivation.</w:t>
      </w:r>
    </w:p>
    <w:p w14:paraId="15713DE6" w14:textId="18D7C9F7" w:rsidR="00790E25" w:rsidRPr="00EC7ED0" w:rsidRDefault="00275060" w:rsidP="00A51077">
      <w:pPr>
        <w:spacing w:before="100" w:beforeAutospacing="1" w:after="100" w:afterAutospacing="1"/>
        <w:rPr>
          <w:color w:val="000000"/>
          <w:sz w:val="32"/>
          <w:szCs w:val="32"/>
        </w:rPr>
      </w:pPr>
      <w:r w:rsidRPr="00EC7ED0">
        <w:rPr>
          <w:rStyle w:val="Strong"/>
          <w:b w:val="0"/>
          <w:bCs w:val="0"/>
          <w:color w:val="000000"/>
          <w:sz w:val="32"/>
          <w:szCs w:val="32"/>
        </w:rPr>
        <w:t xml:space="preserve">Effective: </w:t>
      </w:r>
      <w:r w:rsidR="00790E25" w:rsidRPr="00EC7ED0">
        <w:rPr>
          <w:rStyle w:val="Strong"/>
          <w:b w:val="0"/>
          <w:bCs w:val="0"/>
          <w:color w:val="000000"/>
          <w:sz w:val="32"/>
          <w:szCs w:val="32"/>
        </w:rPr>
        <w:t>Effective</w:t>
      </w:r>
      <w:r w:rsidR="00790E25" w:rsidRPr="00EC7ED0">
        <w:rPr>
          <w:rStyle w:val="apple-converted-space"/>
          <w:color w:val="000000"/>
          <w:sz w:val="32"/>
          <w:szCs w:val="32"/>
        </w:rPr>
        <w:t> </w:t>
      </w:r>
      <w:r w:rsidR="00790E25" w:rsidRPr="00EC7ED0">
        <w:rPr>
          <w:color w:val="000000"/>
          <w:sz w:val="32"/>
          <w:szCs w:val="32"/>
        </w:rPr>
        <w:t>means something that works well and achieves the result it is intended to achieve. In this research, an effective pay system means a system that can encourage employee motivation, support better work performance and help employees contribute towards organi</w:t>
      </w:r>
      <w:r w:rsidRPr="00EC7ED0">
        <w:rPr>
          <w:color w:val="000000"/>
          <w:sz w:val="32"/>
          <w:szCs w:val="32"/>
        </w:rPr>
        <w:t>z</w:t>
      </w:r>
      <w:r w:rsidR="00790E25" w:rsidRPr="00EC7ED0">
        <w:rPr>
          <w:color w:val="000000"/>
          <w:sz w:val="32"/>
          <w:szCs w:val="32"/>
        </w:rPr>
        <w:t>ational goals (Locke and Latham, 2002).</w:t>
      </w:r>
    </w:p>
    <w:p w14:paraId="5B1D26DB" w14:textId="3C22E1A6" w:rsidR="00A51077" w:rsidRPr="00EC7ED0" w:rsidRDefault="00A51077" w:rsidP="00A51077">
      <w:pPr>
        <w:spacing w:before="100" w:beforeAutospacing="1" w:after="100" w:afterAutospacing="1"/>
        <w:rPr>
          <w:color w:val="000000"/>
          <w:sz w:val="32"/>
          <w:szCs w:val="32"/>
        </w:rPr>
      </w:pPr>
      <w:r w:rsidRPr="00EC7ED0">
        <w:rPr>
          <w:color w:val="000000"/>
          <w:sz w:val="32"/>
          <w:szCs w:val="32"/>
        </w:rPr>
        <w:t>Intrinsic motivation</w:t>
      </w:r>
      <w:r w:rsidR="007B2740" w:rsidRPr="00EC7ED0">
        <w:rPr>
          <w:color w:val="000000"/>
          <w:sz w:val="32"/>
          <w:szCs w:val="32"/>
        </w:rPr>
        <w:t>:</w:t>
      </w:r>
      <w:r w:rsidRPr="00EC7ED0">
        <w:rPr>
          <w:color w:val="000000"/>
          <w:sz w:val="32"/>
          <w:szCs w:val="32"/>
        </w:rPr>
        <w:t> Intrinsic motivation occurs when employees engage in work because they find it interesting, meaningful or satisfying. Deci and Ryan (1985) associate high-quality intrinsic motivation with autonomy, competence and relatedness.</w:t>
      </w:r>
    </w:p>
    <w:p w14:paraId="0868798D" w14:textId="2C75CD3A" w:rsidR="00A51077" w:rsidRPr="00EC7ED0" w:rsidRDefault="00A51077" w:rsidP="00A51077">
      <w:pPr>
        <w:spacing w:before="100" w:beforeAutospacing="1" w:after="100" w:afterAutospacing="1"/>
        <w:rPr>
          <w:color w:val="000000"/>
          <w:sz w:val="32"/>
          <w:szCs w:val="32"/>
        </w:rPr>
      </w:pPr>
      <w:r w:rsidRPr="00EC7ED0">
        <w:rPr>
          <w:color w:val="000000"/>
          <w:sz w:val="32"/>
          <w:szCs w:val="32"/>
        </w:rPr>
        <w:t>Extrinsic motivation</w:t>
      </w:r>
      <w:r w:rsidR="007B2740" w:rsidRPr="00EC7ED0">
        <w:rPr>
          <w:color w:val="000000"/>
          <w:sz w:val="32"/>
          <w:szCs w:val="32"/>
        </w:rPr>
        <w:t>:</w:t>
      </w:r>
      <w:r w:rsidRPr="00EC7ED0">
        <w:rPr>
          <w:color w:val="000000"/>
          <w:sz w:val="32"/>
          <w:szCs w:val="32"/>
        </w:rPr>
        <w:t xml:space="preserve"> motivation occurs when behavior is influenced by external outcomes, such as financial rewards, recognition or avoiding negative consequences. Performance pay is therefore an important form of extrinsic motivation (Cerasoli, Nicklin and Ford, 2014).</w:t>
      </w:r>
    </w:p>
    <w:p w14:paraId="2B0BCF78" w14:textId="54D9393D" w:rsidR="00A51077" w:rsidRPr="00EC7ED0" w:rsidRDefault="00A51077" w:rsidP="00A51077">
      <w:pPr>
        <w:spacing w:before="100" w:beforeAutospacing="1" w:after="100" w:afterAutospacing="1"/>
        <w:rPr>
          <w:color w:val="000000"/>
          <w:sz w:val="32"/>
          <w:szCs w:val="32"/>
        </w:rPr>
      </w:pPr>
      <w:r w:rsidRPr="00EC7ED0">
        <w:rPr>
          <w:color w:val="000000"/>
          <w:sz w:val="32"/>
          <w:szCs w:val="32"/>
        </w:rPr>
        <w:lastRenderedPageBreak/>
        <w:t>Pay structure</w:t>
      </w:r>
      <w:r w:rsidR="002325D3" w:rsidRPr="00EC7ED0">
        <w:rPr>
          <w:color w:val="000000"/>
          <w:sz w:val="32"/>
          <w:szCs w:val="32"/>
        </w:rPr>
        <w:t>:</w:t>
      </w:r>
      <w:r w:rsidRPr="00EC7ED0">
        <w:rPr>
          <w:color w:val="000000"/>
          <w:sz w:val="32"/>
          <w:szCs w:val="32"/>
        </w:rPr>
        <w:t> Pay structure refers to how employee compensation is organi</w:t>
      </w:r>
      <w:r w:rsidR="002325D3" w:rsidRPr="00EC7ED0">
        <w:rPr>
          <w:color w:val="000000"/>
          <w:sz w:val="32"/>
          <w:szCs w:val="32"/>
        </w:rPr>
        <w:t>z</w:t>
      </w:r>
      <w:r w:rsidRPr="00EC7ED0">
        <w:rPr>
          <w:color w:val="000000"/>
          <w:sz w:val="32"/>
          <w:szCs w:val="32"/>
        </w:rPr>
        <w:t>ed and distributed. Gupta and Shaw (2014) show that employee motivation can depend on pay structure and perceptions of fairness rather than simply the absolute level of pay.</w:t>
      </w:r>
    </w:p>
    <w:p w14:paraId="7F22FFBD" w14:textId="3C60FB8C" w:rsidR="00A51077" w:rsidRPr="00EC7ED0" w:rsidRDefault="006F0F75" w:rsidP="00A51077">
      <w:pPr>
        <w:spacing w:before="100" w:beforeAutospacing="1" w:after="100" w:afterAutospacing="1"/>
        <w:outlineLvl w:val="2"/>
        <w:rPr>
          <w:b/>
          <w:bCs/>
          <w:color w:val="000000"/>
          <w:sz w:val="32"/>
          <w:szCs w:val="32"/>
        </w:rPr>
      </w:pPr>
      <w:bookmarkStart w:id="33" w:name="_Toc241526682"/>
      <w:bookmarkStart w:id="34" w:name="_Toc241527091"/>
      <w:r w:rsidRPr="00EC7ED0">
        <w:rPr>
          <w:b/>
          <w:bCs/>
          <w:color w:val="000000"/>
          <w:sz w:val="32"/>
          <w:szCs w:val="32"/>
        </w:rPr>
        <w:t>3.</w:t>
      </w:r>
      <w:r w:rsidR="00C11933" w:rsidRPr="00EC7ED0">
        <w:rPr>
          <w:b/>
          <w:bCs/>
          <w:color w:val="000000"/>
          <w:sz w:val="32"/>
          <w:szCs w:val="32"/>
        </w:rPr>
        <w:t>4</w:t>
      </w:r>
      <w:r w:rsidR="00A51077" w:rsidRPr="00EC7ED0">
        <w:rPr>
          <w:b/>
          <w:bCs/>
          <w:color w:val="000000"/>
          <w:sz w:val="32"/>
          <w:szCs w:val="32"/>
        </w:rPr>
        <w:t xml:space="preserve">. </w:t>
      </w:r>
      <w:r w:rsidR="00274C41" w:rsidRPr="00EC7ED0">
        <w:rPr>
          <w:b/>
          <w:bCs/>
          <w:color w:val="000000"/>
          <w:sz w:val="32"/>
          <w:szCs w:val="32"/>
        </w:rPr>
        <w:t xml:space="preserve">Thematic </w:t>
      </w:r>
      <w:r w:rsidR="00A51077" w:rsidRPr="00EC7ED0">
        <w:rPr>
          <w:b/>
          <w:bCs/>
          <w:color w:val="000000"/>
          <w:sz w:val="32"/>
          <w:szCs w:val="32"/>
        </w:rPr>
        <w:t>Discussion</w:t>
      </w:r>
      <w:bookmarkEnd w:id="33"/>
      <w:bookmarkEnd w:id="34"/>
    </w:p>
    <w:p w14:paraId="0E2904A7" w14:textId="6F9F0F76" w:rsidR="00EF75C5" w:rsidRPr="00EC7ED0" w:rsidRDefault="00EF75C5" w:rsidP="00EF75C5">
      <w:pPr>
        <w:spacing w:before="100" w:beforeAutospacing="1" w:after="100" w:afterAutospacing="1"/>
        <w:outlineLvl w:val="2"/>
        <w:rPr>
          <w:b/>
          <w:bCs/>
          <w:color w:val="000000"/>
          <w:sz w:val="32"/>
          <w:szCs w:val="32"/>
        </w:rPr>
      </w:pPr>
      <w:bookmarkStart w:id="35" w:name="_Toc241526683"/>
      <w:bookmarkStart w:id="36" w:name="_Toc241527092"/>
      <w:r w:rsidRPr="00EC7ED0">
        <w:rPr>
          <w:b/>
          <w:bCs/>
          <w:color w:val="000000"/>
          <w:sz w:val="32"/>
          <w:szCs w:val="32"/>
        </w:rPr>
        <w:t>Theme 1: Motivational benefits of performance-based pay</w:t>
      </w:r>
      <w:bookmarkEnd w:id="35"/>
      <w:bookmarkEnd w:id="36"/>
    </w:p>
    <w:p w14:paraId="56A43A35" w14:textId="02E66634" w:rsidR="00EF75C5" w:rsidRPr="00EC7ED0" w:rsidRDefault="00EF75C5" w:rsidP="00EF75C5">
      <w:pPr>
        <w:spacing w:before="100" w:beforeAutospacing="1" w:after="100" w:afterAutospacing="1"/>
        <w:rPr>
          <w:color w:val="000000"/>
          <w:sz w:val="32"/>
          <w:szCs w:val="32"/>
        </w:rPr>
      </w:pPr>
      <w:r w:rsidRPr="00EC7ED0">
        <w:rPr>
          <w:color w:val="000000"/>
          <w:sz w:val="32"/>
          <w:szCs w:val="32"/>
        </w:rPr>
        <w:t xml:space="preserve">A major theme in the literature is that performance-based pay can provide employees with a direct financial reason to increase effort. Expectancy Theory suggests that motivation is stronger when employees believe that effort will improve performance and that improved performance will result in valued rewards (Vroom, 1964). </w:t>
      </w:r>
    </w:p>
    <w:p w14:paraId="13B1B153" w14:textId="18CCA46D" w:rsidR="00EF75C5" w:rsidRPr="00EC7ED0" w:rsidRDefault="00EF75C5" w:rsidP="00EF75C5">
      <w:pPr>
        <w:spacing w:before="100" w:beforeAutospacing="1" w:after="100" w:afterAutospacing="1"/>
        <w:rPr>
          <w:color w:val="000000"/>
          <w:sz w:val="32"/>
          <w:szCs w:val="32"/>
        </w:rPr>
      </w:pPr>
      <w:r w:rsidRPr="00EC7ED0">
        <w:rPr>
          <w:color w:val="000000"/>
          <w:sz w:val="32"/>
          <w:szCs w:val="32"/>
        </w:rPr>
        <w:t xml:space="preserve">Research generally indicates that incentives can improve performance under appropriate conditions. </w:t>
      </w:r>
      <w:proofErr w:type="spellStart"/>
      <w:r w:rsidRPr="00EC7ED0">
        <w:rPr>
          <w:color w:val="000000"/>
          <w:sz w:val="32"/>
          <w:szCs w:val="32"/>
        </w:rPr>
        <w:t>Condly</w:t>
      </w:r>
      <w:proofErr w:type="spellEnd"/>
      <w:r w:rsidRPr="00EC7ED0">
        <w:rPr>
          <w:color w:val="000000"/>
          <w:sz w:val="32"/>
          <w:szCs w:val="32"/>
        </w:rPr>
        <w:t xml:space="preserve">, Clark and </w:t>
      </w:r>
      <w:proofErr w:type="spellStart"/>
      <w:r w:rsidRPr="00EC7ED0">
        <w:rPr>
          <w:color w:val="000000"/>
          <w:sz w:val="32"/>
          <w:szCs w:val="32"/>
        </w:rPr>
        <w:t>Stolovitch</w:t>
      </w:r>
      <w:proofErr w:type="spellEnd"/>
      <w:r w:rsidRPr="00EC7ED0">
        <w:rPr>
          <w:color w:val="000000"/>
          <w:sz w:val="32"/>
          <w:szCs w:val="32"/>
        </w:rPr>
        <w:t xml:space="preserve"> (2003), for example, found positive performance effects from workplace incentives across a large body of research. More recent research indicates that the design of the incentive system matters. Performance pay may be more useful where employees understand the performance requirements and believe that the reward is genuinely connected to their </w:t>
      </w:r>
      <w:proofErr w:type="spellStart"/>
      <w:proofErr w:type="gramStart"/>
      <w:r w:rsidRPr="00EC7ED0">
        <w:rPr>
          <w:color w:val="000000"/>
          <w:sz w:val="32"/>
          <w:szCs w:val="32"/>
        </w:rPr>
        <w:t>results.However</w:t>
      </w:r>
      <w:proofErr w:type="spellEnd"/>
      <w:proofErr w:type="gramEnd"/>
      <w:r w:rsidRPr="00EC7ED0">
        <w:rPr>
          <w:color w:val="000000"/>
          <w:sz w:val="32"/>
          <w:szCs w:val="32"/>
        </w:rPr>
        <w:t>, PBP should not be understood as automatically increasing motivation. Gerhart (2017) notes that workplace performance-pay arrangements are often more complex than the simple individual piece-rate systems frequently examined in psychological research. Actual organi</w:t>
      </w:r>
      <w:r w:rsidR="00836382" w:rsidRPr="00EC7ED0">
        <w:rPr>
          <w:color w:val="000000"/>
          <w:sz w:val="32"/>
          <w:szCs w:val="32"/>
        </w:rPr>
        <w:t>z</w:t>
      </w:r>
      <w:r w:rsidRPr="00EC7ED0">
        <w:rPr>
          <w:color w:val="000000"/>
          <w:sz w:val="32"/>
          <w:szCs w:val="32"/>
        </w:rPr>
        <w:t>ations may use subjective assessments, organi</w:t>
      </w:r>
      <w:r w:rsidR="00836382" w:rsidRPr="00EC7ED0">
        <w:rPr>
          <w:color w:val="000000"/>
          <w:sz w:val="32"/>
          <w:szCs w:val="32"/>
        </w:rPr>
        <w:t>z</w:t>
      </w:r>
      <w:r w:rsidRPr="00EC7ED0">
        <w:rPr>
          <w:color w:val="000000"/>
          <w:sz w:val="32"/>
          <w:szCs w:val="32"/>
        </w:rPr>
        <w:t>ational performance measures and combinations of individual and team rewards.</w:t>
      </w:r>
    </w:p>
    <w:p w14:paraId="22EC7B1F" w14:textId="55761086" w:rsidR="00EF75C5" w:rsidRPr="00EC7ED0" w:rsidRDefault="00EF75C5" w:rsidP="00EF75C5">
      <w:pPr>
        <w:spacing w:before="100" w:beforeAutospacing="1" w:after="100" w:afterAutospacing="1"/>
        <w:outlineLvl w:val="2"/>
        <w:rPr>
          <w:b/>
          <w:bCs/>
          <w:color w:val="000000"/>
          <w:sz w:val="32"/>
          <w:szCs w:val="32"/>
        </w:rPr>
      </w:pPr>
      <w:bookmarkStart w:id="37" w:name="_Toc241526684"/>
      <w:bookmarkStart w:id="38" w:name="_Toc241527093"/>
      <w:r w:rsidRPr="00EC7ED0">
        <w:rPr>
          <w:b/>
          <w:bCs/>
          <w:color w:val="000000"/>
          <w:sz w:val="32"/>
          <w:szCs w:val="32"/>
        </w:rPr>
        <w:t>Theme 2: Disadvantages and risks of performance-based pay</w:t>
      </w:r>
      <w:bookmarkEnd w:id="37"/>
      <w:bookmarkEnd w:id="38"/>
    </w:p>
    <w:p w14:paraId="653C100D" w14:textId="410759B2" w:rsidR="00EF75C5" w:rsidRPr="00EC7ED0" w:rsidRDefault="00EF75C5" w:rsidP="00EF75C5">
      <w:pPr>
        <w:spacing w:before="100" w:beforeAutospacing="1" w:after="100" w:afterAutospacing="1"/>
        <w:rPr>
          <w:color w:val="000000"/>
          <w:sz w:val="32"/>
          <w:szCs w:val="32"/>
        </w:rPr>
      </w:pPr>
      <w:r w:rsidRPr="00EC7ED0">
        <w:rPr>
          <w:color w:val="000000"/>
          <w:sz w:val="32"/>
          <w:szCs w:val="32"/>
        </w:rPr>
        <w:lastRenderedPageBreak/>
        <w:t>The literature identifies several potential disadvantages. Employees may experience stress when targets are difficult or when income becomes uncertain. Strong individual incentives can also encourage competition between employees, potentially reducing cooperation.</w:t>
      </w:r>
    </w:p>
    <w:p w14:paraId="2C836898" w14:textId="77777777" w:rsidR="008E0731" w:rsidRPr="00EC7ED0" w:rsidRDefault="00EF75C5" w:rsidP="008E0731">
      <w:pPr>
        <w:spacing w:before="100" w:beforeAutospacing="1" w:after="100" w:afterAutospacing="1"/>
        <w:rPr>
          <w:color w:val="000000"/>
          <w:sz w:val="32"/>
          <w:szCs w:val="32"/>
        </w:rPr>
      </w:pPr>
      <w:r w:rsidRPr="00EC7ED0">
        <w:rPr>
          <w:color w:val="000000"/>
          <w:sz w:val="32"/>
          <w:szCs w:val="32"/>
        </w:rPr>
        <w:t xml:space="preserve">Another concern is that employees may concentrate on measurable outcomes while giving less attention to activities that are difficult to measure. There is also a risk of gaming </w:t>
      </w:r>
      <w:proofErr w:type="spellStart"/>
      <w:r w:rsidRPr="00EC7ED0">
        <w:rPr>
          <w:color w:val="000000"/>
          <w:sz w:val="32"/>
          <w:szCs w:val="32"/>
        </w:rPr>
        <w:t>behaviour</w:t>
      </w:r>
      <w:proofErr w:type="spellEnd"/>
      <w:r w:rsidRPr="00EC7ED0">
        <w:rPr>
          <w:color w:val="000000"/>
          <w:sz w:val="32"/>
          <w:szCs w:val="32"/>
        </w:rPr>
        <w:t xml:space="preserve"> when employees believe that the performance measurement system can be manipulated. The effectiveness of PBP therefore depends partly on whether performance can be measured accurately and fairly. A recent review of individual and collective performance-related pay similarly identifies concerns surrounding quality, gaming, intrinsic motivation and cooperation.</w:t>
      </w:r>
    </w:p>
    <w:p w14:paraId="6142D0CC" w14:textId="71A6F149" w:rsidR="00EF75C5" w:rsidRPr="00EC7ED0" w:rsidRDefault="00EF75C5" w:rsidP="008E0731">
      <w:pPr>
        <w:spacing w:before="100" w:beforeAutospacing="1" w:after="100" w:afterAutospacing="1"/>
        <w:rPr>
          <w:color w:val="000000"/>
          <w:sz w:val="32"/>
          <w:szCs w:val="32"/>
        </w:rPr>
      </w:pPr>
      <w:r w:rsidRPr="00EC7ED0">
        <w:rPr>
          <w:b/>
          <w:bCs/>
          <w:color w:val="000000"/>
          <w:sz w:val="32"/>
          <w:szCs w:val="32"/>
        </w:rPr>
        <w:t>Theme 3: Motivational benefits of fixed salary</w:t>
      </w:r>
    </w:p>
    <w:p w14:paraId="427014BD" w14:textId="4D5D12D5" w:rsidR="00EF75C5" w:rsidRPr="00EC7ED0" w:rsidRDefault="00EF75C5" w:rsidP="00EF75C5">
      <w:pPr>
        <w:spacing w:before="100" w:beforeAutospacing="1" w:after="100" w:afterAutospacing="1"/>
        <w:rPr>
          <w:color w:val="000000"/>
          <w:sz w:val="32"/>
          <w:szCs w:val="32"/>
        </w:rPr>
      </w:pPr>
      <w:r w:rsidRPr="00EC7ED0">
        <w:rPr>
          <w:color w:val="000000"/>
          <w:sz w:val="32"/>
          <w:szCs w:val="32"/>
        </w:rPr>
        <w:t>Fixed salary offers a different motivational mechanism. Rather than providing a direct incentive for every additional performance outcome, it provides predictable financial security. This may reduce uncertainty and allow employees to focus on wider aspects of their work.</w:t>
      </w:r>
      <w:r w:rsidR="008E0731" w:rsidRPr="00EC7ED0">
        <w:rPr>
          <w:color w:val="000000"/>
          <w:sz w:val="32"/>
          <w:szCs w:val="32"/>
        </w:rPr>
        <w:t xml:space="preserve"> </w:t>
      </w:r>
      <w:r w:rsidRPr="00EC7ED0">
        <w:rPr>
          <w:color w:val="000000"/>
          <w:sz w:val="32"/>
          <w:szCs w:val="32"/>
        </w:rPr>
        <w:t>Fixed salary can be particularly relevant where performance is difficult to measure accurately or where teamwork is important. In such circumstances, employees may cooperate without worrying that helping another employee will reduce their own financial reward.</w:t>
      </w:r>
      <w:r w:rsidR="008E0731" w:rsidRPr="00EC7ED0">
        <w:rPr>
          <w:color w:val="000000"/>
          <w:sz w:val="32"/>
          <w:szCs w:val="32"/>
        </w:rPr>
        <w:t xml:space="preserve"> </w:t>
      </w:r>
      <w:r w:rsidRPr="00EC7ED0">
        <w:rPr>
          <w:color w:val="000000"/>
          <w:sz w:val="32"/>
          <w:szCs w:val="32"/>
        </w:rPr>
        <w:t>A fixed salary can also provide a foundation for intrinsic motivation because employees may experience less pressure from direct performance contingencies. However, this does not mean that fixed salary is always more motivating. A weakness of a purely fixed system is that employees may have fewer direct financial incentives to exceed expected performance levels.</w:t>
      </w:r>
    </w:p>
    <w:p w14:paraId="60D86D93" w14:textId="77777777" w:rsidR="00EF75C5" w:rsidRPr="00EC7ED0" w:rsidRDefault="00EF75C5" w:rsidP="00EF75C5">
      <w:pPr>
        <w:spacing w:before="100" w:beforeAutospacing="1" w:after="100" w:afterAutospacing="1"/>
        <w:outlineLvl w:val="2"/>
        <w:rPr>
          <w:b/>
          <w:bCs/>
          <w:color w:val="000000"/>
          <w:sz w:val="32"/>
          <w:szCs w:val="32"/>
        </w:rPr>
      </w:pPr>
      <w:bookmarkStart w:id="39" w:name="_Toc241526685"/>
      <w:bookmarkStart w:id="40" w:name="_Toc241527094"/>
      <w:r w:rsidRPr="00EC7ED0">
        <w:rPr>
          <w:b/>
          <w:bCs/>
          <w:color w:val="000000"/>
          <w:sz w:val="32"/>
          <w:szCs w:val="32"/>
        </w:rPr>
        <w:t>Theme 4: Fairness and employee perceptions</w:t>
      </w:r>
      <w:bookmarkEnd w:id="39"/>
      <w:bookmarkEnd w:id="40"/>
    </w:p>
    <w:p w14:paraId="0B2B3632" w14:textId="33F3533A" w:rsidR="00EF75C5" w:rsidRPr="00EC7ED0" w:rsidRDefault="00EF75C5" w:rsidP="00EF75C5">
      <w:pPr>
        <w:spacing w:before="100" w:beforeAutospacing="1" w:after="100" w:afterAutospacing="1"/>
        <w:rPr>
          <w:color w:val="000000"/>
          <w:sz w:val="32"/>
          <w:szCs w:val="32"/>
        </w:rPr>
      </w:pPr>
      <w:r w:rsidRPr="00EC7ED0">
        <w:rPr>
          <w:color w:val="000000"/>
          <w:sz w:val="32"/>
          <w:szCs w:val="32"/>
        </w:rPr>
        <w:lastRenderedPageBreak/>
        <w:t>Fairness is an important factor influencing the success of both systems. Adams' (1965) Equity Theory suggests that employees compare the relationship between their inputs and outcomes with those of other people. Therefore, employees may respond negatively when they believe that rewards are distributed unfairly.</w:t>
      </w:r>
      <w:r w:rsidR="00472024" w:rsidRPr="00EC7ED0">
        <w:rPr>
          <w:color w:val="000000"/>
          <w:sz w:val="32"/>
          <w:szCs w:val="32"/>
        </w:rPr>
        <w:t xml:space="preserve"> </w:t>
      </w:r>
      <w:r w:rsidRPr="00EC7ED0">
        <w:rPr>
          <w:color w:val="000000"/>
          <w:sz w:val="32"/>
          <w:szCs w:val="32"/>
        </w:rPr>
        <w:t>For PBP, perceived fairness depends on whether performance targets are achievable, whether employees have similar opportunities to achieve them, and whether performance is assessed consistently</w:t>
      </w:r>
      <w:r w:rsidR="00366DAE" w:rsidRPr="00EC7ED0">
        <w:rPr>
          <w:color w:val="000000"/>
          <w:sz w:val="32"/>
          <w:szCs w:val="32"/>
        </w:rPr>
        <w:t>.</w:t>
      </w:r>
      <w:r w:rsidR="00D153BD">
        <w:rPr>
          <w:color w:val="000000"/>
          <w:sz w:val="32"/>
          <w:szCs w:val="32"/>
        </w:rPr>
        <w:t xml:space="preserve"> </w:t>
      </w:r>
      <w:r w:rsidRPr="00EC7ED0">
        <w:rPr>
          <w:color w:val="000000"/>
          <w:sz w:val="32"/>
          <w:szCs w:val="32"/>
        </w:rPr>
        <w:t xml:space="preserve">For fixed salary, fairness </w:t>
      </w:r>
      <w:proofErr w:type="gramStart"/>
      <w:r w:rsidRPr="00EC7ED0">
        <w:rPr>
          <w:color w:val="000000"/>
          <w:sz w:val="32"/>
          <w:szCs w:val="32"/>
        </w:rPr>
        <w:t>depend</w:t>
      </w:r>
      <w:proofErr w:type="gramEnd"/>
      <w:r w:rsidRPr="00EC7ED0">
        <w:rPr>
          <w:color w:val="000000"/>
          <w:sz w:val="32"/>
          <w:szCs w:val="32"/>
        </w:rPr>
        <w:t xml:space="preserve"> on whether employees believe their salary appropriately reflects their responsibilities, experience and contribution. Thus, the type of pay system alone does not determine employee motivation; employees' perceptions of fairness and transparency also matter.</w:t>
      </w:r>
    </w:p>
    <w:p w14:paraId="40621EB2" w14:textId="77777777" w:rsidR="00472024" w:rsidRPr="00EC7ED0" w:rsidRDefault="00472024" w:rsidP="00EF75C5">
      <w:pPr>
        <w:spacing w:before="100" w:beforeAutospacing="1" w:after="100" w:afterAutospacing="1"/>
        <w:outlineLvl w:val="2"/>
        <w:rPr>
          <w:b/>
          <w:bCs/>
          <w:color w:val="000000"/>
          <w:sz w:val="32"/>
          <w:szCs w:val="32"/>
        </w:rPr>
      </w:pPr>
    </w:p>
    <w:p w14:paraId="13CAD7CF" w14:textId="5875F5C3" w:rsidR="00EF75C5" w:rsidRPr="00EC7ED0" w:rsidRDefault="00EF75C5" w:rsidP="00EF75C5">
      <w:pPr>
        <w:spacing w:before="100" w:beforeAutospacing="1" w:after="100" w:afterAutospacing="1"/>
        <w:outlineLvl w:val="2"/>
        <w:rPr>
          <w:b/>
          <w:bCs/>
          <w:color w:val="000000"/>
          <w:sz w:val="32"/>
          <w:szCs w:val="32"/>
        </w:rPr>
      </w:pPr>
      <w:bookmarkStart w:id="41" w:name="_Toc241526686"/>
      <w:bookmarkStart w:id="42" w:name="_Toc241527095"/>
      <w:r w:rsidRPr="00EC7ED0">
        <w:rPr>
          <w:b/>
          <w:bCs/>
          <w:color w:val="000000"/>
          <w:sz w:val="32"/>
          <w:szCs w:val="32"/>
        </w:rPr>
        <w:t>Theme 5: Intrinsic and extrinsic motivation</w:t>
      </w:r>
      <w:bookmarkEnd w:id="41"/>
      <w:bookmarkEnd w:id="42"/>
    </w:p>
    <w:p w14:paraId="67058FE7" w14:textId="28F4ECB2" w:rsidR="00EF75C5" w:rsidRPr="00EC7ED0" w:rsidRDefault="00EF75C5" w:rsidP="00EF75C5">
      <w:pPr>
        <w:spacing w:before="100" w:beforeAutospacing="1" w:after="100" w:afterAutospacing="1"/>
        <w:rPr>
          <w:color w:val="000000"/>
          <w:sz w:val="32"/>
          <w:szCs w:val="32"/>
        </w:rPr>
      </w:pPr>
      <w:r w:rsidRPr="00EC7ED0">
        <w:rPr>
          <w:color w:val="000000"/>
          <w:sz w:val="32"/>
          <w:szCs w:val="32"/>
        </w:rPr>
        <w:t xml:space="preserve">The relationship between financial rewards and intrinsic motivation remains one of the most debated areas of the literature. Self-Determination Theory distinguishes between externally controlled </w:t>
      </w:r>
      <w:proofErr w:type="spellStart"/>
      <w:r w:rsidRPr="00EC7ED0">
        <w:rPr>
          <w:color w:val="000000"/>
          <w:sz w:val="32"/>
          <w:szCs w:val="32"/>
        </w:rPr>
        <w:t>behaviour</w:t>
      </w:r>
      <w:proofErr w:type="spellEnd"/>
      <w:r w:rsidRPr="00EC7ED0">
        <w:rPr>
          <w:color w:val="000000"/>
          <w:sz w:val="32"/>
          <w:szCs w:val="32"/>
        </w:rPr>
        <w:t xml:space="preserve"> and more autonomous forms of motivation (Deci and Ryan, 2000</w:t>
      </w:r>
      <w:proofErr w:type="gramStart"/>
      <w:r w:rsidRPr="00EC7ED0">
        <w:rPr>
          <w:color w:val="000000"/>
          <w:sz w:val="32"/>
          <w:szCs w:val="32"/>
        </w:rPr>
        <w:t>).Cerasoli</w:t>
      </w:r>
      <w:proofErr w:type="gramEnd"/>
      <w:r w:rsidRPr="00EC7ED0">
        <w:rPr>
          <w:color w:val="000000"/>
          <w:sz w:val="32"/>
          <w:szCs w:val="32"/>
        </w:rPr>
        <w:t>, Nicklin and Ford (2014), based on a large meta-analysis, found that intrinsic motivation was an important predictor of performance and that incentives and intrinsic motivation were not necessarily incompatible. They also found that incentives were more strongly related to quantity of performance, whereas intrinsic motivation was particularly relevant to quality.</w:t>
      </w:r>
      <w:r w:rsidR="00011453" w:rsidRPr="00EC7ED0">
        <w:rPr>
          <w:color w:val="000000"/>
          <w:sz w:val="32"/>
          <w:szCs w:val="32"/>
        </w:rPr>
        <w:t xml:space="preserve"> </w:t>
      </w:r>
      <w:r w:rsidRPr="00EC7ED0">
        <w:rPr>
          <w:color w:val="000000"/>
          <w:sz w:val="32"/>
          <w:szCs w:val="32"/>
        </w:rPr>
        <w:t>This distinction is important for retail organi</w:t>
      </w:r>
      <w:r w:rsidR="00227EF4" w:rsidRPr="00EC7ED0">
        <w:rPr>
          <w:color w:val="000000"/>
          <w:sz w:val="32"/>
          <w:szCs w:val="32"/>
        </w:rPr>
        <w:t>z</w:t>
      </w:r>
      <w:r w:rsidRPr="00EC7ED0">
        <w:rPr>
          <w:color w:val="000000"/>
          <w:sz w:val="32"/>
          <w:szCs w:val="32"/>
        </w:rPr>
        <w:t>ations. Sales quantity may respond positively to commissions or bonuses, but customer service quality, problem-solving and long-term customer relationships may depend more heavily on intrinsic motivation and organi</w:t>
      </w:r>
      <w:r w:rsidR="00227EF4" w:rsidRPr="00EC7ED0">
        <w:rPr>
          <w:color w:val="000000"/>
          <w:sz w:val="32"/>
          <w:szCs w:val="32"/>
        </w:rPr>
        <w:t>z</w:t>
      </w:r>
      <w:r w:rsidRPr="00EC7ED0">
        <w:rPr>
          <w:color w:val="000000"/>
          <w:sz w:val="32"/>
          <w:szCs w:val="32"/>
        </w:rPr>
        <w:t>ational support.</w:t>
      </w:r>
    </w:p>
    <w:p w14:paraId="741999D0" w14:textId="77777777" w:rsidR="00237651" w:rsidRDefault="00237651" w:rsidP="00EF75C5">
      <w:pPr>
        <w:spacing w:before="100" w:beforeAutospacing="1" w:after="100" w:afterAutospacing="1"/>
        <w:outlineLvl w:val="2"/>
        <w:rPr>
          <w:b/>
          <w:bCs/>
          <w:color w:val="000000"/>
          <w:sz w:val="32"/>
          <w:szCs w:val="32"/>
        </w:rPr>
      </w:pPr>
    </w:p>
    <w:p w14:paraId="5B6E82CF" w14:textId="57E7D66B" w:rsidR="00EF75C5" w:rsidRPr="00EC7ED0" w:rsidRDefault="00EF75C5" w:rsidP="00EF75C5">
      <w:pPr>
        <w:spacing w:before="100" w:beforeAutospacing="1" w:after="100" w:afterAutospacing="1"/>
        <w:outlineLvl w:val="2"/>
        <w:rPr>
          <w:b/>
          <w:bCs/>
          <w:color w:val="000000"/>
          <w:sz w:val="32"/>
          <w:szCs w:val="32"/>
        </w:rPr>
      </w:pPr>
      <w:bookmarkStart w:id="43" w:name="_Toc241526687"/>
      <w:bookmarkStart w:id="44" w:name="_Toc241527096"/>
      <w:r w:rsidRPr="00EC7ED0">
        <w:rPr>
          <w:b/>
          <w:bCs/>
          <w:color w:val="000000"/>
          <w:sz w:val="32"/>
          <w:szCs w:val="32"/>
        </w:rPr>
        <w:lastRenderedPageBreak/>
        <w:t>Theme 6: Individual versus collective incentives</w:t>
      </w:r>
      <w:bookmarkEnd w:id="43"/>
      <w:bookmarkEnd w:id="44"/>
    </w:p>
    <w:p w14:paraId="1B53727B" w14:textId="12001A12" w:rsidR="00EF75C5" w:rsidRPr="00EC7ED0" w:rsidRDefault="00EF75C5" w:rsidP="00EF75C5">
      <w:pPr>
        <w:spacing w:before="100" w:beforeAutospacing="1" w:after="100" w:afterAutospacing="1"/>
        <w:rPr>
          <w:color w:val="000000"/>
          <w:sz w:val="32"/>
          <w:szCs w:val="32"/>
        </w:rPr>
      </w:pPr>
      <w:r w:rsidRPr="00EC7ED0">
        <w:rPr>
          <w:color w:val="000000"/>
          <w:sz w:val="32"/>
          <w:szCs w:val="32"/>
        </w:rPr>
        <w:t>The literature distinguishes between individual and collective incentives. Individual PBP rewards employees according to their own performance, whereas collective incentives reward employees based on team or organi</w:t>
      </w:r>
      <w:r w:rsidR="00227EF4" w:rsidRPr="00EC7ED0">
        <w:rPr>
          <w:color w:val="000000"/>
          <w:sz w:val="32"/>
          <w:szCs w:val="32"/>
        </w:rPr>
        <w:t>z</w:t>
      </w:r>
      <w:r w:rsidRPr="00EC7ED0">
        <w:rPr>
          <w:color w:val="000000"/>
          <w:sz w:val="32"/>
          <w:szCs w:val="32"/>
        </w:rPr>
        <w:t>ational performance.</w:t>
      </w:r>
      <w:r w:rsidR="00011453" w:rsidRPr="00EC7ED0">
        <w:rPr>
          <w:color w:val="000000"/>
          <w:sz w:val="32"/>
          <w:szCs w:val="32"/>
        </w:rPr>
        <w:t xml:space="preserve"> </w:t>
      </w:r>
      <w:r w:rsidRPr="00EC7ED0">
        <w:rPr>
          <w:color w:val="000000"/>
          <w:sz w:val="32"/>
          <w:szCs w:val="32"/>
        </w:rPr>
        <w:t>Individual incentives</w:t>
      </w:r>
      <w:r w:rsidR="00366DAE" w:rsidRPr="00EC7ED0">
        <w:rPr>
          <w:color w:val="000000"/>
          <w:sz w:val="32"/>
          <w:szCs w:val="32"/>
        </w:rPr>
        <w:t xml:space="preserve"> </w:t>
      </w:r>
      <w:proofErr w:type="gramStart"/>
      <w:r w:rsidR="00366DAE" w:rsidRPr="00EC7ED0">
        <w:rPr>
          <w:color w:val="000000"/>
          <w:sz w:val="32"/>
          <w:szCs w:val="32"/>
        </w:rPr>
        <w:t>is</w:t>
      </w:r>
      <w:proofErr w:type="gramEnd"/>
      <w:r w:rsidRPr="00EC7ED0">
        <w:rPr>
          <w:color w:val="000000"/>
          <w:sz w:val="32"/>
          <w:szCs w:val="32"/>
        </w:rPr>
        <w:t xml:space="preserve"> appropriate where individual performance can be clearly measured. Collective rewards </w:t>
      </w:r>
      <w:r w:rsidR="00E72F0E" w:rsidRPr="00EC7ED0">
        <w:rPr>
          <w:color w:val="000000"/>
          <w:sz w:val="32"/>
          <w:szCs w:val="32"/>
        </w:rPr>
        <w:t>can</w:t>
      </w:r>
      <w:r w:rsidRPr="00EC7ED0">
        <w:rPr>
          <w:color w:val="000000"/>
          <w:sz w:val="32"/>
          <w:szCs w:val="32"/>
        </w:rPr>
        <w:t xml:space="preserve"> therefore support teamwork more effectively in some circumstances.</w:t>
      </w:r>
      <w:r w:rsidR="00011453" w:rsidRPr="00EC7ED0">
        <w:rPr>
          <w:color w:val="000000"/>
          <w:sz w:val="32"/>
          <w:szCs w:val="32"/>
        </w:rPr>
        <w:t xml:space="preserve"> </w:t>
      </w:r>
      <w:r w:rsidRPr="00EC7ED0">
        <w:rPr>
          <w:color w:val="000000"/>
          <w:sz w:val="32"/>
          <w:szCs w:val="32"/>
        </w:rPr>
        <w:t>Recent review evidence suggests that collective performance-related systems can be associated with higher performance in some settings, although the evidence base concerning mechanisms such as cooperation and free-riding remains limited.</w:t>
      </w:r>
    </w:p>
    <w:p w14:paraId="6B5B9287" w14:textId="186B7773" w:rsidR="00EF75C5" w:rsidRPr="00EC7ED0" w:rsidRDefault="00EF75C5" w:rsidP="00EF75C5">
      <w:pPr>
        <w:spacing w:before="100" w:beforeAutospacing="1" w:after="100" w:afterAutospacing="1"/>
        <w:outlineLvl w:val="2"/>
        <w:rPr>
          <w:b/>
          <w:bCs/>
          <w:color w:val="000000"/>
          <w:sz w:val="32"/>
          <w:szCs w:val="32"/>
        </w:rPr>
      </w:pPr>
      <w:bookmarkStart w:id="45" w:name="_Toc241526688"/>
      <w:bookmarkStart w:id="46" w:name="_Toc241527097"/>
      <w:r w:rsidRPr="00EC7ED0">
        <w:rPr>
          <w:b/>
          <w:bCs/>
          <w:color w:val="000000"/>
          <w:sz w:val="32"/>
          <w:szCs w:val="32"/>
        </w:rPr>
        <w:t>Theme 7: Organi</w:t>
      </w:r>
      <w:r w:rsidR="00131095" w:rsidRPr="00EC7ED0">
        <w:rPr>
          <w:b/>
          <w:bCs/>
          <w:color w:val="000000"/>
          <w:sz w:val="32"/>
          <w:szCs w:val="32"/>
        </w:rPr>
        <w:t>z</w:t>
      </w:r>
      <w:r w:rsidRPr="00EC7ED0">
        <w:rPr>
          <w:b/>
          <w:bCs/>
          <w:color w:val="000000"/>
          <w:sz w:val="32"/>
          <w:szCs w:val="32"/>
        </w:rPr>
        <w:t>ational and job-related factors</w:t>
      </w:r>
      <w:bookmarkEnd w:id="45"/>
      <w:bookmarkEnd w:id="46"/>
    </w:p>
    <w:p w14:paraId="7E9B8181" w14:textId="44F9FD0E" w:rsidR="00EF75C5" w:rsidRPr="00EC7ED0" w:rsidRDefault="00EF75C5" w:rsidP="00EF75C5">
      <w:pPr>
        <w:spacing w:before="100" w:beforeAutospacing="1" w:after="100" w:afterAutospacing="1"/>
        <w:rPr>
          <w:color w:val="000000"/>
          <w:sz w:val="32"/>
          <w:szCs w:val="32"/>
        </w:rPr>
      </w:pPr>
      <w:r w:rsidRPr="00EC7ED0">
        <w:rPr>
          <w:color w:val="000000"/>
          <w:sz w:val="32"/>
          <w:szCs w:val="32"/>
        </w:rPr>
        <w:t>The effectiveness of a pay system depends heavily on context. Important factors include the nature of the job, performance measurability, organi</w:t>
      </w:r>
      <w:r w:rsidR="00131095" w:rsidRPr="00EC7ED0">
        <w:rPr>
          <w:color w:val="000000"/>
          <w:sz w:val="32"/>
          <w:szCs w:val="32"/>
        </w:rPr>
        <w:t>z</w:t>
      </w:r>
      <w:r w:rsidRPr="00EC7ED0">
        <w:rPr>
          <w:color w:val="000000"/>
          <w:sz w:val="32"/>
          <w:szCs w:val="32"/>
        </w:rPr>
        <w:t>ational culture, management practices, employee preferences, teamwork, target difficulty and the transparency of reward decisions.</w:t>
      </w:r>
      <w:r w:rsidR="00986BB2">
        <w:rPr>
          <w:color w:val="000000"/>
          <w:sz w:val="32"/>
          <w:szCs w:val="32"/>
        </w:rPr>
        <w:t xml:space="preserve"> </w:t>
      </w:r>
      <w:r w:rsidRPr="00EC7ED0">
        <w:rPr>
          <w:color w:val="000000"/>
          <w:sz w:val="32"/>
          <w:szCs w:val="32"/>
        </w:rPr>
        <w:t xml:space="preserve">For example, PBP </w:t>
      </w:r>
      <w:r w:rsidR="00131095" w:rsidRPr="00EC7ED0">
        <w:rPr>
          <w:color w:val="000000"/>
          <w:sz w:val="32"/>
          <w:szCs w:val="32"/>
        </w:rPr>
        <w:t>is</w:t>
      </w:r>
      <w:r w:rsidRPr="00EC7ED0">
        <w:rPr>
          <w:color w:val="000000"/>
          <w:sz w:val="32"/>
          <w:szCs w:val="32"/>
        </w:rPr>
        <w:t xml:space="preserve"> easier to implement where sales performance can be measured objectively. In contrast, fixed salary</w:t>
      </w:r>
      <w:r w:rsidR="00131095" w:rsidRPr="00EC7ED0">
        <w:rPr>
          <w:color w:val="000000"/>
          <w:sz w:val="32"/>
          <w:szCs w:val="32"/>
        </w:rPr>
        <w:t xml:space="preserve"> is</w:t>
      </w:r>
      <w:r w:rsidRPr="00EC7ED0">
        <w:rPr>
          <w:color w:val="000000"/>
          <w:sz w:val="32"/>
          <w:szCs w:val="32"/>
        </w:rPr>
        <w:t xml:space="preserve"> more appropriate where performance depends on cooperation or where individual contributions are difficult to isolate.</w:t>
      </w:r>
      <w:r w:rsidR="00131095" w:rsidRPr="00EC7ED0">
        <w:rPr>
          <w:color w:val="000000"/>
          <w:sz w:val="32"/>
          <w:szCs w:val="32"/>
        </w:rPr>
        <w:t xml:space="preserve"> </w:t>
      </w:r>
      <w:r w:rsidRPr="00EC7ED0">
        <w:rPr>
          <w:color w:val="000000"/>
          <w:sz w:val="32"/>
          <w:szCs w:val="32"/>
        </w:rPr>
        <w:t>This supports the argument that the question should not simply be whether PBP or fixed salary is inherently effective. Instead, effectiveness depends on the fit between the reward system, the work and the motivational needs of employees.</w:t>
      </w:r>
    </w:p>
    <w:p w14:paraId="183736EA" w14:textId="647345D6" w:rsidR="00A51077" w:rsidRPr="00EC7ED0" w:rsidRDefault="006570DC" w:rsidP="00A51077">
      <w:pPr>
        <w:spacing w:before="100" w:beforeAutospacing="1" w:after="100" w:afterAutospacing="1"/>
        <w:outlineLvl w:val="2"/>
        <w:rPr>
          <w:b/>
          <w:bCs/>
          <w:color w:val="000000"/>
          <w:sz w:val="32"/>
          <w:szCs w:val="32"/>
        </w:rPr>
      </w:pPr>
      <w:bookmarkStart w:id="47" w:name="_Toc241526689"/>
      <w:bookmarkStart w:id="48" w:name="_Toc241527098"/>
      <w:r w:rsidRPr="00EC7ED0">
        <w:rPr>
          <w:b/>
          <w:bCs/>
          <w:color w:val="000000"/>
          <w:sz w:val="32"/>
          <w:szCs w:val="32"/>
        </w:rPr>
        <w:t>3.</w:t>
      </w:r>
      <w:r w:rsidR="00011453" w:rsidRPr="00EC7ED0">
        <w:rPr>
          <w:b/>
          <w:bCs/>
          <w:color w:val="000000"/>
          <w:sz w:val="32"/>
          <w:szCs w:val="32"/>
        </w:rPr>
        <w:t>5</w:t>
      </w:r>
      <w:r w:rsidR="00A51077" w:rsidRPr="00EC7ED0">
        <w:rPr>
          <w:b/>
          <w:bCs/>
          <w:color w:val="000000"/>
          <w:sz w:val="32"/>
          <w:szCs w:val="32"/>
        </w:rPr>
        <w:t>. Critical Comparison of Studies</w:t>
      </w:r>
      <w:bookmarkEnd w:id="47"/>
      <w:bookmarkEnd w:id="48"/>
    </w:p>
    <w:p w14:paraId="5A2D13C0" w14:textId="21BD8EBB" w:rsidR="00011453" w:rsidRPr="00EC7ED0" w:rsidRDefault="000A49E1" w:rsidP="000A49E1">
      <w:pPr>
        <w:spacing w:before="100" w:beforeAutospacing="1" w:after="100" w:afterAutospacing="1"/>
        <w:rPr>
          <w:color w:val="000000"/>
          <w:sz w:val="32"/>
          <w:szCs w:val="32"/>
        </w:rPr>
      </w:pPr>
      <w:r w:rsidRPr="00EC7ED0">
        <w:rPr>
          <w:color w:val="000000"/>
          <w:sz w:val="32"/>
          <w:szCs w:val="32"/>
        </w:rPr>
        <w:t>The literature does not provide a consistent argument that one pay system is universally effective. Instead, the findings reveal several areas of agreement and disagreement.</w:t>
      </w:r>
      <w:r w:rsidR="00986BB2">
        <w:rPr>
          <w:color w:val="000000"/>
          <w:sz w:val="32"/>
          <w:szCs w:val="32"/>
        </w:rPr>
        <w:t xml:space="preserve"> </w:t>
      </w:r>
      <w:r w:rsidRPr="00EC7ED0">
        <w:rPr>
          <w:color w:val="000000"/>
          <w:sz w:val="32"/>
          <w:szCs w:val="32"/>
        </w:rPr>
        <w:t>Some studies emphasi</w:t>
      </w:r>
      <w:r w:rsidR="00986BB2">
        <w:rPr>
          <w:color w:val="000000"/>
          <w:sz w:val="32"/>
          <w:szCs w:val="32"/>
        </w:rPr>
        <w:t>z</w:t>
      </w:r>
      <w:r w:rsidRPr="00EC7ED0">
        <w:rPr>
          <w:color w:val="000000"/>
          <w:sz w:val="32"/>
          <w:szCs w:val="32"/>
        </w:rPr>
        <w:t xml:space="preserve">e the incentive effect of PBP. From this perspective, financial rewards provide a clear signal about </w:t>
      </w:r>
      <w:r w:rsidRPr="00EC7ED0">
        <w:rPr>
          <w:color w:val="000000"/>
          <w:sz w:val="32"/>
          <w:szCs w:val="32"/>
        </w:rPr>
        <w:lastRenderedPageBreak/>
        <w:t>organi</w:t>
      </w:r>
      <w:r w:rsidR="00011453" w:rsidRPr="00EC7ED0">
        <w:rPr>
          <w:color w:val="000000"/>
          <w:sz w:val="32"/>
          <w:szCs w:val="32"/>
        </w:rPr>
        <w:t>z</w:t>
      </w:r>
      <w:r w:rsidRPr="00EC7ED0">
        <w:rPr>
          <w:color w:val="000000"/>
          <w:sz w:val="32"/>
          <w:szCs w:val="32"/>
        </w:rPr>
        <w:t>ational priorities and can encourage greater effort. Other research places greater emphasis on the possible negative consequences of excessive performance pressure and argues that intrinsic motivation, autonomy and fairness should not be overlooked.</w:t>
      </w:r>
    </w:p>
    <w:p w14:paraId="16D77792" w14:textId="57D32486" w:rsidR="000A49E1" w:rsidRPr="00EC7ED0" w:rsidRDefault="000A49E1" w:rsidP="000A49E1">
      <w:pPr>
        <w:spacing w:before="100" w:beforeAutospacing="1" w:after="100" w:afterAutospacing="1"/>
        <w:rPr>
          <w:color w:val="000000"/>
          <w:sz w:val="32"/>
          <w:szCs w:val="32"/>
        </w:rPr>
      </w:pPr>
      <w:r w:rsidRPr="00EC7ED0">
        <w:rPr>
          <w:color w:val="000000"/>
          <w:sz w:val="32"/>
          <w:szCs w:val="32"/>
        </w:rPr>
        <w:t>Gerhart and Fang (2015) critically challenge the idea that performance pay necessarily damages intrinsic motivation, arguing that workplace evidence does not provide strong support for some of the commonly repeated negative claims. In contrast, research informed by Self-Determination Theory highlights the possibility that controlling reward structures can affect psychological need satisfaction.</w:t>
      </w:r>
    </w:p>
    <w:p w14:paraId="64790392" w14:textId="13BED84C" w:rsidR="000A49E1" w:rsidRPr="00EC7ED0" w:rsidRDefault="000A49E1" w:rsidP="000A49E1">
      <w:pPr>
        <w:spacing w:before="100" w:beforeAutospacing="1" w:after="100" w:afterAutospacing="1"/>
        <w:rPr>
          <w:color w:val="000000"/>
          <w:sz w:val="32"/>
          <w:szCs w:val="32"/>
        </w:rPr>
      </w:pPr>
      <w:r w:rsidRPr="00EC7ED0">
        <w:rPr>
          <w:color w:val="000000"/>
          <w:sz w:val="32"/>
          <w:szCs w:val="32"/>
        </w:rPr>
        <w:t>The difference between these perspectives suggests that the design and context of PBP are important. A transparent reward system with achievable targets may produce different outcomes from a highly competitive system with poorly designed measures.</w:t>
      </w:r>
      <w:r w:rsidR="00986BB2">
        <w:rPr>
          <w:color w:val="000000"/>
          <w:sz w:val="32"/>
          <w:szCs w:val="32"/>
        </w:rPr>
        <w:t xml:space="preserve"> </w:t>
      </w:r>
      <w:r w:rsidRPr="00EC7ED0">
        <w:rPr>
          <w:color w:val="000000"/>
          <w:sz w:val="32"/>
          <w:szCs w:val="32"/>
        </w:rPr>
        <w:t>The evidence also suggests that performance quantity and performance quality should be distinguished. Cerasoli et al. (2014) found that incentives were particularly useful for quantity, whereas intrinsic motivation was more strongly related to quality. This distinction has direct relevance to retail because increasing sales volume is not necessarily the same as improving customer service.</w:t>
      </w:r>
    </w:p>
    <w:p w14:paraId="118AE3DD" w14:textId="57AB0F42" w:rsidR="000A49E1" w:rsidRPr="00EC7ED0" w:rsidRDefault="000A49E1" w:rsidP="000A49E1">
      <w:pPr>
        <w:spacing w:before="100" w:beforeAutospacing="1" w:after="100" w:afterAutospacing="1"/>
        <w:rPr>
          <w:color w:val="000000"/>
          <w:sz w:val="32"/>
          <w:szCs w:val="32"/>
        </w:rPr>
      </w:pPr>
      <w:r w:rsidRPr="00EC7ED0">
        <w:rPr>
          <w:color w:val="000000"/>
          <w:sz w:val="32"/>
          <w:szCs w:val="32"/>
        </w:rPr>
        <w:t>Fixed salary has its own advantages and disadvantages. It provides stability and may encourage cooperation, but it offer</w:t>
      </w:r>
      <w:r w:rsidR="00C41CDD" w:rsidRPr="00EC7ED0">
        <w:rPr>
          <w:color w:val="000000"/>
          <w:sz w:val="32"/>
          <w:szCs w:val="32"/>
        </w:rPr>
        <w:t xml:space="preserve">s </w:t>
      </w:r>
      <w:r w:rsidRPr="00EC7ED0">
        <w:rPr>
          <w:color w:val="000000"/>
          <w:sz w:val="32"/>
          <w:szCs w:val="32"/>
        </w:rPr>
        <w:t>fewer direct incentives for employees to exceed expected performance levels. Therefore, the comparison should be understood as a trade-off between different motivational mechanisms rather than a simple choice between a “good” and “bad” system.</w:t>
      </w:r>
    </w:p>
    <w:p w14:paraId="7D8C71CC" w14:textId="77777777" w:rsidR="00B06BCB" w:rsidRDefault="00B06BCB" w:rsidP="00A51077">
      <w:pPr>
        <w:spacing w:before="100" w:beforeAutospacing="1" w:after="100" w:afterAutospacing="1"/>
        <w:outlineLvl w:val="2"/>
        <w:rPr>
          <w:b/>
          <w:bCs/>
          <w:color w:val="000000"/>
          <w:sz w:val="32"/>
          <w:szCs w:val="32"/>
        </w:rPr>
      </w:pPr>
    </w:p>
    <w:p w14:paraId="04644524" w14:textId="77777777" w:rsidR="00B06BCB" w:rsidRDefault="00B06BCB" w:rsidP="00A51077">
      <w:pPr>
        <w:spacing w:before="100" w:beforeAutospacing="1" w:after="100" w:afterAutospacing="1"/>
        <w:outlineLvl w:val="2"/>
        <w:rPr>
          <w:b/>
          <w:bCs/>
          <w:color w:val="000000"/>
          <w:sz w:val="32"/>
          <w:szCs w:val="32"/>
        </w:rPr>
      </w:pPr>
    </w:p>
    <w:p w14:paraId="4F933191" w14:textId="1DD7FD71" w:rsidR="00A51077" w:rsidRPr="00EC7ED0" w:rsidRDefault="006570DC" w:rsidP="00A51077">
      <w:pPr>
        <w:spacing w:before="100" w:beforeAutospacing="1" w:after="100" w:afterAutospacing="1"/>
        <w:outlineLvl w:val="2"/>
        <w:rPr>
          <w:b/>
          <w:bCs/>
          <w:color w:val="000000"/>
          <w:sz w:val="32"/>
          <w:szCs w:val="32"/>
        </w:rPr>
      </w:pPr>
      <w:bookmarkStart w:id="49" w:name="_Toc241526690"/>
      <w:bookmarkStart w:id="50" w:name="_Toc241527099"/>
      <w:r w:rsidRPr="00EC7ED0">
        <w:rPr>
          <w:b/>
          <w:bCs/>
          <w:color w:val="000000"/>
          <w:sz w:val="32"/>
          <w:szCs w:val="32"/>
        </w:rPr>
        <w:lastRenderedPageBreak/>
        <w:t>3.</w:t>
      </w:r>
      <w:r w:rsidR="005F58F2">
        <w:rPr>
          <w:b/>
          <w:bCs/>
          <w:color w:val="000000"/>
          <w:sz w:val="32"/>
          <w:szCs w:val="32"/>
        </w:rPr>
        <w:t>6</w:t>
      </w:r>
      <w:r w:rsidR="00A51077" w:rsidRPr="00EC7ED0">
        <w:rPr>
          <w:b/>
          <w:bCs/>
          <w:color w:val="000000"/>
          <w:sz w:val="32"/>
          <w:szCs w:val="32"/>
        </w:rPr>
        <w:t xml:space="preserve">. </w:t>
      </w:r>
      <w:r w:rsidR="00983890" w:rsidRPr="00EC7ED0">
        <w:rPr>
          <w:b/>
          <w:bCs/>
          <w:color w:val="000000"/>
          <w:sz w:val="32"/>
          <w:szCs w:val="32"/>
        </w:rPr>
        <w:t>Discussion</w:t>
      </w:r>
      <w:bookmarkEnd w:id="49"/>
      <w:bookmarkEnd w:id="50"/>
    </w:p>
    <w:p w14:paraId="0A62F3E7" w14:textId="169977D6" w:rsidR="009F03E4" w:rsidRPr="00EC7ED0" w:rsidRDefault="009F03E4" w:rsidP="00983890">
      <w:pPr>
        <w:spacing w:before="100" w:beforeAutospacing="1" w:after="100" w:afterAutospacing="1"/>
        <w:outlineLvl w:val="2"/>
        <w:rPr>
          <w:color w:val="000000"/>
          <w:sz w:val="32"/>
          <w:szCs w:val="32"/>
        </w:rPr>
      </w:pPr>
      <w:bookmarkStart w:id="51" w:name="_Toc241526691"/>
      <w:bookmarkStart w:id="52" w:name="_Toc241527100"/>
      <w:r w:rsidRPr="00EC7ED0">
        <w:rPr>
          <w:color w:val="000000"/>
          <w:sz w:val="32"/>
          <w:szCs w:val="32"/>
        </w:rPr>
        <w:t>Objective 1</w:t>
      </w:r>
      <w:r w:rsidR="00983890" w:rsidRPr="00EC7ED0">
        <w:rPr>
          <w:color w:val="000000"/>
          <w:sz w:val="32"/>
          <w:szCs w:val="32"/>
        </w:rPr>
        <w:t>,</w:t>
      </w:r>
      <w:r w:rsidRPr="00EC7ED0">
        <w:rPr>
          <w:color w:val="000000"/>
          <w:sz w:val="32"/>
          <w:szCs w:val="32"/>
        </w:rPr>
        <w:t xml:space="preserve"> The findings identify several factors associated with the effectiveness of both systems. These include performance measurement, reward transparency, fairness, target difficulty, job design, organi</w:t>
      </w:r>
      <w:r w:rsidR="00983890" w:rsidRPr="00EC7ED0">
        <w:rPr>
          <w:color w:val="000000"/>
          <w:sz w:val="32"/>
          <w:szCs w:val="32"/>
        </w:rPr>
        <w:t>z</w:t>
      </w:r>
      <w:r w:rsidRPr="00EC7ED0">
        <w:rPr>
          <w:color w:val="000000"/>
          <w:sz w:val="32"/>
          <w:szCs w:val="32"/>
        </w:rPr>
        <w:t>ational culture, teamwork, employee preferences, management practices and the type of performance being measured.</w:t>
      </w:r>
      <w:r w:rsidR="008D4B55" w:rsidRPr="00EC7ED0">
        <w:rPr>
          <w:color w:val="000000"/>
          <w:sz w:val="32"/>
          <w:szCs w:val="32"/>
        </w:rPr>
        <w:t xml:space="preserve"> </w:t>
      </w:r>
      <w:r w:rsidRPr="00EC7ED0">
        <w:rPr>
          <w:color w:val="000000"/>
          <w:sz w:val="32"/>
          <w:szCs w:val="32"/>
        </w:rPr>
        <w:t>For PBP, the connection between effort, performance and reward is particularly important. Employees need to understand what is expected and believe that they have a realistic opportunity to achieve the reward. For fixed salary, factors such as job security, fairness, salary adequacy and opportunities for development are particularly relevant.</w:t>
      </w:r>
      <w:r w:rsidR="008D4B55" w:rsidRPr="00EC7ED0">
        <w:rPr>
          <w:color w:val="000000"/>
          <w:sz w:val="32"/>
          <w:szCs w:val="32"/>
        </w:rPr>
        <w:t xml:space="preserve"> </w:t>
      </w:r>
      <w:r w:rsidRPr="00EC7ED0">
        <w:rPr>
          <w:color w:val="000000"/>
          <w:sz w:val="32"/>
          <w:szCs w:val="32"/>
        </w:rPr>
        <w:t>Therefore, the findings suggest that organi</w:t>
      </w:r>
      <w:r w:rsidR="00983890" w:rsidRPr="00EC7ED0">
        <w:rPr>
          <w:color w:val="000000"/>
          <w:sz w:val="32"/>
          <w:szCs w:val="32"/>
        </w:rPr>
        <w:t>z</w:t>
      </w:r>
      <w:r w:rsidRPr="00EC7ED0">
        <w:rPr>
          <w:color w:val="000000"/>
          <w:sz w:val="32"/>
          <w:szCs w:val="32"/>
        </w:rPr>
        <w:t>ational and job-related factors can influence the motivational consequences of either system.</w:t>
      </w:r>
      <w:bookmarkEnd w:id="51"/>
      <w:bookmarkEnd w:id="52"/>
    </w:p>
    <w:p w14:paraId="5A7F8D5B" w14:textId="37C73FE6" w:rsidR="009F03E4" w:rsidRPr="00EC7ED0" w:rsidRDefault="009F03E4" w:rsidP="008D4B55">
      <w:pPr>
        <w:spacing w:before="100" w:beforeAutospacing="1" w:after="100" w:afterAutospacing="1"/>
        <w:outlineLvl w:val="2"/>
        <w:rPr>
          <w:color w:val="000000"/>
          <w:sz w:val="32"/>
          <w:szCs w:val="32"/>
        </w:rPr>
      </w:pPr>
      <w:bookmarkStart w:id="53" w:name="_Toc241526692"/>
      <w:bookmarkStart w:id="54" w:name="_Toc241527101"/>
      <w:r w:rsidRPr="00EC7ED0">
        <w:rPr>
          <w:color w:val="000000"/>
          <w:sz w:val="32"/>
          <w:szCs w:val="32"/>
        </w:rPr>
        <w:t>Objective 2</w:t>
      </w:r>
      <w:r w:rsidR="00983890" w:rsidRPr="00EC7ED0">
        <w:rPr>
          <w:color w:val="000000"/>
          <w:sz w:val="32"/>
          <w:szCs w:val="32"/>
        </w:rPr>
        <w:t>,</w:t>
      </w:r>
      <w:r w:rsidR="00FD5B5D" w:rsidRPr="00EC7ED0">
        <w:rPr>
          <w:color w:val="000000"/>
          <w:sz w:val="32"/>
          <w:szCs w:val="32"/>
        </w:rPr>
        <w:t xml:space="preserve"> </w:t>
      </w:r>
      <w:r w:rsidRPr="00EC7ED0">
        <w:rPr>
          <w:color w:val="000000"/>
          <w:sz w:val="32"/>
          <w:szCs w:val="32"/>
        </w:rPr>
        <w:t>The comparison indicates that PBP can provide stronger direct incentives, target focus and potentially higher effort, while its risks include pressure, competition, gaming, perceived unfairness and excessive focus on measurable outcomes.</w:t>
      </w:r>
      <w:r w:rsidR="00FD5B5D" w:rsidRPr="00EC7ED0">
        <w:rPr>
          <w:color w:val="000000"/>
          <w:sz w:val="32"/>
          <w:szCs w:val="32"/>
        </w:rPr>
        <w:t xml:space="preserve"> </w:t>
      </w:r>
      <w:r w:rsidRPr="00EC7ED0">
        <w:rPr>
          <w:color w:val="000000"/>
          <w:sz w:val="32"/>
          <w:szCs w:val="32"/>
        </w:rPr>
        <w:t>Fixed salary provides stability, predictability, reduced income uncertainty and potentially stronger support for cooperation, but it may provide fewer direct incentives for exceptional performance.</w:t>
      </w:r>
      <w:bookmarkEnd w:id="53"/>
      <w:bookmarkEnd w:id="54"/>
    </w:p>
    <w:p w14:paraId="0499DFB0" w14:textId="5C95A093" w:rsidR="009F03E4" w:rsidRPr="00EC7ED0" w:rsidRDefault="009F03E4" w:rsidP="00FD5B5D">
      <w:pPr>
        <w:spacing w:before="100" w:beforeAutospacing="1" w:after="100" w:afterAutospacing="1"/>
        <w:outlineLvl w:val="2"/>
        <w:rPr>
          <w:color w:val="000000"/>
          <w:sz w:val="32"/>
          <w:szCs w:val="32"/>
        </w:rPr>
      </w:pPr>
      <w:bookmarkStart w:id="55" w:name="_Toc241526693"/>
      <w:bookmarkStart w:id="56" w:name="_Toc241527102"/>
      <w:r w:rsidRPr="00EC7ED0">
        <w:rPr>
          <w:color w:val="000000"/>
          <w:sz w:val="32"/>
          <w:szCs w:val="32"/>
        </w:rPr>
        <w:t>Objective 3</w:t>
      </w:r>
      <w:r w:rsidR="00FD5B5D" w:rsidRPr="00EC7ED0">
        <w:rPr>
          <w:color w:val="000000"/>
          <w:sz w:val="32"/>
          <w:szCs w:val="32"/>
        </w:rPr>
        <w:t>,</w:t>
      </w:r>
      <w:r w:rsidR="00861ECC" w:rsidRPr="00EC7ED0">
        <w:rPr>
          <w:color w:val="000000"/>
          <w:sz w:val="32"/>
          <w:szCs w:val="32"/>
        </w:rPr>
        <w:t xml:space="preserve"> </w:t>
      </w:r>
      <w:r w:rsidRPr="00EC7ED0">
        <w:rPr>
          <w:color w:val="000000"/>
          <w:sz w:val="32"/>
          <w:szCs w:val="32"/>
        </w:rPr>
        <w:t>The findings indicate that both systems can influence motivation through different mechanisms. PBP mainly provides an external incentive and may strengthen extrinsic motivation when employees value the reward and perceive the system as fair and achievable.</w:t>
      </w:r>
      <w:r w:rsidR="00861ECC" w:rsidRPr="00EC7ED0">
        <w:rPr>
          <w:color w:val="000000"/>
          <w:sz w:val="32"/>
          <w:szCs w:val="32"/>
        </w:rPr>
        <w:t xml:space="preserve"> </w:t>
      </w:r>
      <w:r w:rsidRPr="00EC7ED0">
        <w:rPr>
          <w:color w:val="000000"/>
          <w:sz w:val="32"/>
          <w:szCs w:val="32"/>
        </w:rPr>
        <w:t>Fixed salary influences motivation more indirectly through financial security, predictability and the employment relationship. However, fixed salary alone does not guarantee high motivation. Employees may still require recognition, autonomy, development opportunities, supportive management and meaningful work.</w:t>
      </w:r>
      <w:bookmarkEnd w:id="55"/>
      <w:bookmarkEnd w:id="56"/>
    </w:p>
    <w:p w14:paraId="1E270E53" w14:textId="77777777" w:rsidR="009F03E4" w:rsidRPr="00EC7ED0" w:rsidRDefault="009F03E4" w:rsidP="009F03E4">
      <w:pPr>
        <w:spacing w:before="100" w:beforeAutospacing="1" w:after="100" w:afterAutospacing="1"/>
        <w:rPr>
          <w:color w:val="000000"/>
          <w:sz w:val="32"/>
          <w:szCs w:val="32"/>
        </w:rPr>
      </w:pPr>
      <w:r w:rsidRPr="00EC7ED0">
        <w:rPr>
          <w:color w:val="000000"/>
          <w:sz w:val="32"/>
          <w:szCs w:val="32"/>
        </w:rPr>
        <w:lastRenderedPageBreak/>
        <w:t>Overall, the literature indicates that motivation is multidimensional. The impact of pay cannot be separated completely from the wider work environment.</w:t>
      </w:r>
    </w:p>
    <w:p w14:paraId="3384ABEC" w14:textId="77777777" w:rsidR="00537D89" w:rsidRDefault="00537D89" w:rsidP="009F03E4">
      <w:pPr>
        <w:spacing w:before="100" w:beforeAutospacing="1" w:after="100" w:afterAutospacing="1"/>
        <w:outlineLvl w:val="1"/>
        <w:rPr>
          <w:b/>
          <w:bCs/>
          <w:color w:val="000000"/>
          <w:sz w:val="32"/>
          <w:szCs w:val="32"/>
        </w:rPr>
      </w:pPr>
    </w:p>
    <w:p w14:paraId="2372BBE9" w14:textId="074EB22B" w:rsidR="009F03E4" w:rsidRPr="00EC7ED0" w:rsidRDefault="00051D74" w:rsidP="009F03E4">
      <w:pPr>
        <w:spacing w:before="100" w:beforeAutospacing="1" w:after="100" w:afterAutospacing="1"/>
        <w:outlineLvl w:val="1"/>
        <w:rPr>
          <w:b/>
          <w:bCs/>
          <w:color w:val="000000"/>
          <w:sz w:val="32"/>
          <w:szCs w:val="32"/>
        </w:rPr>
      </w:pPr>
      <w:bookmarkStart w:id="57" w:name="_Toc241526694"/>
      <w:bookmarkStart w:id="58" w:name="_Toc241527103"/>
      <w:r>
        <w:rPr>
          <w:b/>
          <w:bCs/>
          <w:color w:val="000000"/>
          <w:sz w:val="32"/>
          <w:szCs w:val="32"/>
        </w:rPr>
        <w:t>3.</w:t>
      </w:r>
      <w:r w:rsidR="005F58F2">
        <w:rPr>
          <w:b/>
          <w:bCs/>
          <w:color w:val="000000"/>
          <w:sz w:val="32"/>
          <w:szCs w:val="32"/>
        </w:rPr>
        <w:t>7</w:t>
      </w:r>
      <w:r w:rsidR="009F03E4" w:rsidRPr="00EC7ED0">
        <w:rPr>
          <w:b/>
          <w:bCs/>
          <w:color w:val="000000"/>
          <w:sz w:val="32"/>
          <w:szCs w:val="32"/>
        </w:rPr>
        <w:t>. Research Gaps</w:t>
      </w:r>
      <w:bookmarkEnd w:id="57"/>
      <w:bookmarkEnd w:id="58"/>
    </w:p>
    <w:p w14:paraId="5BD6F317" w14:textId="131F0A98" w:rsidR="009F03E4" w:rsidRPr="00EC7ED0" w:rsidRDefault="009F03E4" w:rsidP="00111278">
      <w:pPr>
        <w:spacing w:before="100" w:beforeAutospacing="1" w:after="100" w:afterAutospacing="1"/>
        <w:rPr>
          <w:color w:val="000000"/>
          <w:sz w:val="32"/>
          <w:szCs w:val="32"/>
        </w:rPr>
      </w:pPr>
      <w:r w:rsidRPr="00EC7ED0">
        <w:rPr>
          <w:color w:val="000000"/>
          <w:sz w:val="32"/>
          <w:szCs w:val="32"/>
        </w:rPr>
        <w:t>More research is needed to understand how employees experience different pay systems in their everyday working lives.</w:t>
      </w:r>
      <w:r w:rsidR="00A15EF2" w:rsidRPr="00EC7ED0">
        <w:rPr>
          <w:color w:val="000000"/>
          <w:sz w:val="32"/>
          <w:szCs w:val="32"/>
        </w:rPr>
        <w:t xml:space="preserve"> Furthermore,</w:t>
      </w:r>
      <w:r w:rsidRPr="00EC7ED0">
        <w:rPr>
          <w:color w:val="000000"/>
          <w:sz w:val="32"/>
          <w:szCs w:val="32"/>
        </w:rPr>
        <w:t xml:space="preserve"> there is a need for more research on service quality and customer relationships, rather than focusing primarily on sales quantity. This is particularly important in retail because successful performance involves more than simply achieving sales targets.</w:t>
      </w:r>
      <w:r w:rsidR="000F46DD" w:rsidRPr="00EC7ED0">
        <w:rPr>
          <w:color w:val="000000"/>
          <w:sz w:val="32"/>
          <w:szCs w:val="32"/>
        </w:rPr>
        <w:t xml:space="preserve"> </w:t>
      </w:r>
      <w:r w:rsidR="00A15EF2" w:rsidRPr="00EC7ED0">
        <w:rPr>
          <w:color w:val="000000"/>
          <w:sz w:val="32"/>
          <w:szCs w:val="32"/>
        </w:rPr>
        <w:t>T</w:t>
      </w:r>
      <w:r w:rsidRPr="00EC7ED0">
        <w:rPr>
          <w:color w:val="000000"/>
          <w:sz w:val="32"/>
          <w:szCs w:val="32"/>
        </w:rPr>
        <w:t>he literature could provide greater attention to employee perceptions of fairness and transparency. Two organi</w:t>
      </w:r>
      <w:r w:rsidR="00A15EF2" w:rsidRPr="00EC7ED0">
        <w:rPr>
          <w:color w:val="000000"/>
          <w:sz w:val="32"/>
          <w:szCs w:val="32"/>
        </w:rPr>
        <w:t>z</w:t>
      </w:r>
      <w:r w:rsidRPr="00EC7ED0">
        <w:rPr>
          <w:color w:val="000000"/>
          <w:sz w:val="32"/>
          <w:szCs w:val="32"/>
        </w:rPr>
        <w:t>ations may use similar incentive systems but produce different motivational outcomes because employees perceive the systems differently.</w:t>
      </w:r>
      <w:r w:rsidR="000F46DD" w:rsidRPr="00EC7ED0">
        <w:rPr>
          <w:color w:val="000000"/>
          <w:sz w:val="32"/>
          <w:szCs w:val="32"/>
        </w:rPr>
        <w:t xml:space="preserve"> </w:t>
      </w:r>
      <w:r w:rsidRPr="00EC7ED0">
        <w:rPr>
          <w:color w:val="000000"/>
          <w:sz w:val="32"/>
          <w:szCs w:val="32"/>
        </w:rPr>
        <w:t>Finally, there is a need for more research examining hybrid reward systems that combine a stable salary with performance-related incentives. Such systems may be particularly relevant to retail because they can potentially address both financial security and performance incentives.</w:t>
      </w:r>
    </w:p>
    <w:p w14:paraId="60388DA6" w14:textId="6DC7EE76" w:rsidR="009F03E4" w:rsidRPr="00EC7ED0" w:rsidRDefault="00051D74" w:rsidP="009F03E4">
      <w:pPr>
        <w:spacing w:before="100" w:beforeAutospacing="1" w:after="100" w:afterAutospacing="1"/>
        <w:outlineLvl w:val="1"/>
        <w:rPr>
          <w:b/>
          <w:bCs/>
          <w:color w:val="000000"/>
          <w:sz w:val="32"/>
          <w:szCs w:val="32"/>
        </w:rPr>
      </w:pPr>
      <w:bookmarkStart w:id="59" w:name="_Toc241526695"/>
      <w:bookmarkStart w:id="60" w:name="_Toc241527104"/>
      <w:r>
        <w:rPr>
          <w:b/>
          <w:bCs/>
          <w:color w:val="000000"/>
          <w:sz w:val="32"/>
          <w:szCs w:val="32"/>
        </w:rPr>
        <w:t>3.</w:t>
      </w:r>
      <w:r w:rsidR="005F58F2">
        <w:rPr>
          <w:b/>
          <w:bCs/>
          <w:color w:val="000000"/>
          <w:sz w:val="32"/>
          <w:szCs w:val="32"/>
        </w:rPr>
        <w:t>8</w:t>
      </w:r>
      <w:r w:rsidR="009F03E4" w:rsidRPr="00EC7ED0">
        <w:rPr>
          <w:b/>
          <w:bCs/>
          <w:color w:val="000000"/>
          <w:sz w:val="32"/>
          <w:szCs w:val="32"/>
        </w:rPr>
        <w:t>. Future Research Directions</w:t>
      </w:r>
      <w:bookmarkEnd w:id="59"/>
      <w:bookmarkEnd w:id="60"/>
    </w:p>
    <w:p w14:paraId="12DF6D3A" w14:textId="4613B437" w:rsidR="009F03E4" w:rsidRPr="00EC7ED0" w:rsidRDefault="009F03E4" w:rsidP="009F03E4">
      <w:pPr>
        <w:spacing w:before="100" w:beforeAutospacing="1" w:after="100" w:afterAutospacing="1"/>
        <w:rPr>
          <w:color w:val="000000"/>
          <w:sz w:val="32"/>
          <w:szCs w:val="32"/>
        </w:rPr>
      </w:pPr>
      <w:r w:rsidRPr="00EC7ED0">
        <w:rPr>
          <w:color w:val="000000"/>
          <w:sz w:val="32"/>
          <w:szCs w:val="32"/>
        </w:rPr>
        <w:t>Future research could investigate how employees experience PBP and fixed salary systems through qualitative interviews and focus groups. This would provide deeper insight into how employees understand fairness, pressure, security and motivation.</w:t>
      </w:r>
      <w:r w:rsidR="002829AB" w:rsidRPr="00EC7ED0">
        <w:rPr>
          <w:color w:val="000000"/>
          <w:sz w:val="32"/>
          <w:szCs w:val="32"/>
        </w:rPr>
        <w:t xml:space="preserve"> </w:t>
      </w:r>
      <w:r w:rsidRPr="00EC7ED0">
        <w:rPr>
          <w:color w:val="000000"/>
          <w:sz w:val="32"/>
          <w:szCs w:val="32"/>
        </w:rPr>
        <w:t xml:space="preserve">Longitudinal studies </w:t>
      </w:r>
      <w:r w:rsidR="002829AB" w:rsidRPr="00EC7ED0">
        <w:rPr>
          <w:color w:val="000000"/>
          <w:sz w:val="32"/>
          <w:szCs w:val="32"/>
        </w:rPr>
        <w:t>will</w:t>
      </w:r>
      <w:r w:rsidR="00F36F28">
        <w:rPr>
          <w:color w:val="000000"/>
          <w:sz w:val="32"/>
          <w:szCs w:val="32"/>
        </w:rPr>
        <w:t xml:space="preserve"> </w:t>
      </w:r>
      <w:r w:rsidRPr="00EC7ED0">
        <w:rPr>
          <w:color w:val="000000"/>
          <w:sz w:val="32"/>
          <w:szCs w:val="32"/>
        </w:rPr>
        <w:t xml:space="preserve">also be useful because motivation </w:t>
      </w:r>
      <w:r w:rsidR="00205612" w:rsidRPr="00EC7ED0">
        <w:rPr>
          <w:color w:val="000000"/>
          <w:sz w:val="32"/>
          <w:szCs w:val="32"/>
        </w:rPr>
        <w:t xml:space="preserve">can </w:t>
      </w:r>
      <w:r w:rsidRPr="00EC7ED0">
        <w:rPr>
          <w:color w:val="000000"/>
          <w:sz w:val="32"/>
          <w:szCs w:val="32"/>
        </w:rPr>
        <w:t>change over time. A performance bonus</w:t>
      </w:r>
      <w:r w:rsidR="00F36F28">
        <w:rPr>
          <w:color w:val="000000"/>
          <w:sz w:val="32"/>
          <w:szCs w:val="32"/>
        </w:rPr>
        <w:t xml:space="preserve"> </w:t>
      </w:r>
      <w:r w:rsidRPr="00EC7ED0">
        <w:rPr>
          <w:color w:val="000000"/>
          <w:sz w:val="32"/>
          <w:szCs w:val="32"/>
        </w:rPr>
        <w:t>initially increase effort but have different consequences if employees experience continuous target pressure.</w:t>
      </w:r>
    </w:p>
    <w:p w14:paraId="3C88051C" w14:textId="28FBCC25" w:rsidR="009F03E4" w:rsidRPr="00EC7ED0" w:rsidRDefault="009F03E4" w:rsidP="009F03E4">
      <w:pPr>
        <w:spacing w:before="100" w:beforeAutospacing="1" w:after="100" w:afterAutospacing="1"/>
        <w:rPr>
          <w:color w:val="000000"/>
          <w:sz w:val="32"/>
          <w:szCs w:val="32"/>
        </w:rPr>
      </w:pPr>
      <w:r w:rsidRPr="00EC7ED0">
        <w:rPr>
          <w:color w:val="000000"/>
          <w:sz w:val="32"/>
          <w:szCs w:val="32"/>
        </w:rPr>
        <w:lastRenderedPageBreak/>
        <w:t xml:space="preserve">Future studies </w:t>
      </w:r>
      <w:r w:rsidR="002829AB" w:rsidRPr="00EC7ED0">
        <w:rPr>
          <w:color w:val="000000"/>
          <w:sz w:val="32"/>
          <w:szCs w:val="32"/>
        </w:rPr>
        <w:t>will</w:t>
      </w:r>
      <w:r w:rsidRPr="00EC7ED0">
        <w:rPr>
          <w:color w:val="000000"/>
          <w:sz w:val="32"/>
          <w:szCs w:val="32"/>
        </w:rPr>
        <w:t xml:space="preserve"> compare different </w:t>
      </w:r>
      <w:r w:rsidR="002829AB" w:rsidRPr="00EC7ED0">
        <w:rPr>
          <w:color w:val="000000"/>
          <w:sz w:val="32"/>
          <w:szCs w:val="32"/>
        </w:rPr>
        <w:t xml:space="preserve">organizational </w:t>
      </w:r>
      <w:r w:rsidRPr="00EC7ED0">
        <w:rPr>
          <w:color w:val="000000"/>
          <w:sz w:val="32"/>
          <w:szCs w:val="32"/>
        </w:rPr>
        <w:t>environments including supermarkets, fashion retailers, department stores</w:t>
      </w:r>
      <w:r w:rsidR="004D2659" w:rsidRPr="00EC7ED0">
        <w:rPr>
          <w:color w:val="000000"/>
          <w:sz w:val="32"/>
          <w:szCs w:val="32"/>
        </w:rPr>
        <w:t>,</w:t>
      </w:r>
      <w:r w:rsidR="00152549" w:rsidRPr="00EC7ED0">
        <w:rPr>
          <w:color w:val="000000"/>
          <w:sz w:val="32"/>
          <w:szCs w:val="32"/>
        </w:rPr>
        <w:t xml:space="preserve"> </w:t>
      </w:r>
      <w:r w:rsidR="00FD4BAC" w:rsidRPr="00EC7ED0">
        <w:rPr>
          <w:color w:val="000000"/>
          <w:sz w:val="32"/>
          <w:szCs w:val="32"/>
        </w:rPr>
        <w:t>factory</w:t>
      </w:r>
      <w:r w:rsidR="004D2659" w:rsidRPr="00EC7ED0">
        <w:rPr>
          <w:color w:val="000000"/>
          <w:sz w:val="32"/>
          <w:szCs w:val="32"/>
        </w:rPr>
        <w:t xml:space="preserve"> and industry</w:t>
      </w:r>
      <w:r w:rsidRPr="00EC7ED0">
        <w:rPr>
          <w:color w:val="000000"/>
          <w:sz w:val="32"/>
          <w:szCs w:val="32"/>
        </w:rPr>
        <w:t>. Such research could examine whether the effectiveness of different pay systems changes according to job type, customer interaction and the measurability of performance.</w:t>
      </w:r>
      <w:r w:rsidR="00152549" w:rsidRPr="00EC7ED0">
        <w:rPr>
          <w:color w:val="000000"/>
          <w:sz w:val="32"/>
          <w:szCs w:val="32"/>
        </w:rPr>
        <w:t xml:space="preserve">  </w:t>
      </w:r>
      <w:r w:rsidRPr="00EC7ED0">
        <w:rPr>
          <w:color w:val="000000"/>
          <w:sz w:val="32"/>
          <w:szCs w:val="32"/>
        </w:rPr>
        <w:t xml:space="preserve">Another important direction is research into hybrid </w:t>
      </w:r>
      <w:proofErr w:type="gramStart"/>
      <w:r w:rsidRPr="00EC7ED0">
        <w:rPr>
          <w:color w:val="000000"/>
          <w:sz w:val="32"/>
          <w:szCs w:val="32"/>
        </w:rPr>
        <w:t>pay</w:t>
      </w:r>
      <w:proofErr w:type="gramEnd"/>
      <w:r w:rsidRPr="00EC7ED0">
        <w:rPr>
          <w:color w:val="000000"/>
          <w:sz w:val="32"/>
          <w:szCs w:val="32"/>
        </w:rPr>
        <w:t xml:space="preserve"> systems. Future studies </w:t>
      </w:r>
      <w:r w:rsidR="00670044" w:rsidRPr="00EC7ED0">
        <w:rPr>
          <w:color w:val="000000"/>
          <w:sz w:val="32"/>
          <w:szCs w:val="32"/>
        </w:rPr>
        <w:t>will</w:t>
      </w:r>
      <w:r w:rsidRPr="00EC7ED0">
        <w:rPr>
          <w:color w:val="000000"/>
          <w:sz w:val="32"/>
          <w:szCs w:val="32"/>
        </w:rPr>
        <w:t xml:space="preserve"> examine whether combining fixed salary with moderate performance-based rewards </w:t>
      </w:r>
      <w:r w:rsidR="00670044" w:rsidRPr="00EC7ED0">
        <w:rPr>
          <w:color w:val="000000"/>
          <w:sz w:val="32"/>
          <w:szCs w:val="32"/>
        </w:rPr>
        <w:t>will be able to</w:t>
      </w:r>
      <w:r w:rsidRPr="00EC7ED0">
        <w:rPr>
          <w:color w:val="000000"/>
          <w:sz w:val="32"/>
          <w:szCs w:val="32"/>
        </w:rPr>
        <w:t xml:space="preserve"> provide both financial security and incentives for improved performance.</w:t>
      </w:r>
      <w:r w:rsidR="00670044" w:rsidRPr="00EC7ED0">
        <w:rPr>
          <w:color w:val="000000"/>
          <w:sz w:val="32"/>
          <w:szCs w:val="32"/>
        </w:rPr>
        <w:t xml:space="preserve"> </w:t>
      </w:r>
      <w:r w:rsidRPr="00EC7ED0">
        <w:rPr>
          <w:color w:val="000000"/>
          <w:sz w:val="32"/>
          <w:szCs w:val="32"/>
        </w:rPr>
        <w:t xml:space="preserve">Finally, future research </w:t>
      </w:r>
      <w:r w:rsidR="00670044" w:rsidRPr="00EC7ED0">
        <w:rPr>
          <w:color w:val="000000"/>
          <w:sz w:val="32"/>
          <w:szCs w:val="32"/>
        </w:rPr>
        <w:t xml:space="preserve">will </w:t>
      </w:r>
      <w:r w:rsidRPr="00EC7ED0">
        <w:rPr>
          <w:color w:val="000000"/>
          <w:sz w:val="32"/>
          <w:szCs w:val="32"/>
        </w:rPr>
        <w:t>distinguish between quantity and quality of performance. This distinction is supported by Cerasoli et al. (2014), whose findings suggest that incentives and intrinsic motivation may contribute differently to different forms of performance.</w:t>
      </w:r>
    </w:p>
    <w:p w14:paraId="23198992" w14:textId="224476D8" w:rsidR="009F03E4" w:rsidRDefault="005F58F2" w:rsidP="009F03E4">
      <w:pPr>
        <w:spacing w:before="100" w:beforeAutospacing="1" w:after="100" w:afterAutospacing="1"/>
        <w:outlineLvl w:val="1"/>
        <w:rPr>
          <w:b/>
          <w:bCs/>
          <w:color w:val="000000"/>
          <w:sz w:val="32"/>
          <w:szCs w:val="32"/>
        </w:rPr>
      </w:pPr>
      <w:bookmarkStart w:id="61" w:name="_Toc241526696"/>
      <w:bookmarkStart w:id="62" w:name="_Toc241527105"/>
      <w:r>
        <w:rPr>
          <w:b/>
          <w:bCs/>
          <w:color w:val="000000"/>
          <w:sz w:val="32"/>
          <w:szCs w:val="32"/>
        </w:rPr>
        <w:t>3.9</w:t>
      </w:r>
      <w:r w:rsidR="009F03E4" w:rsidRPr="00EC7ED0">
        <w:rPr>
          <w:b/>
          <w:bCs/>
          <w:color w:val="000000"/>
          <w:sz w:val="32"/>
          <w:szCs w:val="32"/>
        </w:rPr>
        <w:t>. Conclusion</w:t>
      </w:r>
      <w:bookmarkEnd w:id="61"/>
      <w:bookmarkEnd w:id="62"/>
    </w:p>
    <w:p w14:paraId="159881FD" w14:textId="354A1C4E" w:rsidR="00DC25D6" w:rsidRPr="00BE5471" w:rsidRDefault="00DC25D6" w:rsidP="00DC25D6">
      <w:pPr>
        <w:pStyle w:val="NormalWeb"/>
        <w:rPr>
          <w:color w:val="000000"/>
          <w:sz w:val="32"/>
          <w:szCs w:val="32"/>
        </w:rPr>
      </w:pPr>
      <w:r w:rsidRPr="00BE5471">
        <w:rPr>
          <w:color w:val="000000"/>
          <w:sz w:val="32"/>
          <w:szCs w:val="32"/>
        </w:rPr>
        <w:t>This narrative literature review examined how performance-based pay and fixed salary systems influence employee motivation. The review of 100 studies shows that neither system is effective in every situation.</w:t>
      </w:r>
      <w:r w:rsidR="00BE5471">
        <w:rPr>
          <w:color w:val="000000"/>
          <w:sz w:val="32"/>
          <w:szCs w:val="32"/>
        </w:rPr>
        <w:t xml:space="preserve"> </w:t>
      </w:r>
      <w:r w:rsidRPr="00BE5471">
        <w:rPr>
          <w:color w:val="000000"/>
          <w:sz w:val="32"/>
          <w:szCs w:val="32"/>
        </w:rPr>
        <w:t>Performance-based pay can encourage employee effort, target achievement and extrinsic motivation when rewards are clear and fair. However, it may also create pressure, unhealthy competition and a focus on short-term results. In contrast, fixed salary provides greater income stability and may support teamwork and employee well-being, although it provides fewer direct financial incentives for improving measurable performance.</w:t>
      </w:r>
    </w:p>
    <w:p w14:paraId="4EAF4CA1" w14:textId="04F75D8B" w:rsidR="00DC25D6" w:rsidRPr="00BE5471" w:rsidRDefault="00DC25D6" w:rsidP="00DC25D6">
      <w:pPr>
        <w:pStyle w:val="NormalWeb"/>
        <w:rPr>
          <w:color w:val="000000"/>
          <w:sz w:val="32"/>
          <w:szCs w:val="32"/>
        </w:rPr>
      </w:pPr>
      <w:r w:rsidRPr="00BE5471">
        <w:rPr>
          <w:color w:val="000000"/>
          <w:sz w:val="32"/>
          <w:szCs w:val="32"/>
        </w:rPr>
        <w:t>Overall, the findings suggest that employee motivation is influenced by more than pay alone. Factors such as fairness, recognition, autonomy, job design and organi</w:t>
      </w:r>
      <w:r w:rsidR="00BE5471">
        <w:rPr>
          <w:color w:val="000000"/>
          <w:sz w:val="32"/>
          <w:szCs w:val="32"/>
        </w:rPr>
        <w:t>z</w:t>
      </w:r>
      <w:r w:rsidRPr="00BE5471">
        <w:rPr>
          <w:color w:val="000000"/>
          <w:sz w:val="32"/>
          <w:szCs w:val="32"/>
        </w:rPr>
        <w:t xml:space="preserve">ational culture also matter. This is particularly relevant in retail, where employees need to balance sales targets with customer service and </w:t>
      </w:r>
      <w:proofErr w:type="spellStart"/>
      <w:proofErr w:type="gramStart"/>
      <w:r w:rsidRPr="00BE5471">
        <w:rPr>
          <w:color w:val="000000"/>
          <w:sz w:val="32"/>
          <w:szCs w:val="32"/>
        </w:rPr>
        <w:t>teamwork.Therefore</w:t>
      </w:r>
      <w:proofErr w:type="spellEnd"/>
      <w:proofErr w:type="gramEnd"/>
      <w:r w:rsidRPr="00BE5471">
        <w:rPr>
          <w:color w:val="000000"/>
          <w:sz w:val="32"/>
          <w:szCs w:val="32"/>
        </w:rPr>
        <w:t>, the key issue is not which pay system is universally better, but</w:t>
      </w:r>
      <w:r w:rsidRPr="00BE5471">
        <w:rPr>
          <w:rStyle w:val="apple-converted-space"/>
          <w:rFonts w:eastAsiaTheme="majorEastAsia"/>
          <w:color w:val="000000"/>
          <w:sz w:val="32"/>
          <w:szCs w:val="32"/>
        </w:rPr>
        <w:t> </w:t>
      </w:r>
      <w:r w:rsidRPr="00BE5471">
        <w:rPr>
          <w:rStyle w:val="Strong"/>
          <w:rFonts w:eastAsiaTheme="majorEastAsia"/>
          <w:b w:val="0"/>
          <w:bCs w:val="0"/>
          <w:color w:val="000000"/>
          <w:sz w:val="32"/>
          <w:szCs w:val="32"/>
        </w:rPr>
        <w:t>how and when each system can support employee motivation and organi</w:t>
      </w:r>
      <w:r w:rsidR="00BE5471">
        <w:rPr>
          <w:rStyle w:val="Strong"/>
          <w:rFonts w:eastAsiaTheme="majorEastAsia"/>
          <w:b w:val="0"/>
          <w:bCs w:val="0"/>
          <w:color w:val="000000"/>
          <w:sz w:val="32"/>
          <w:szCs w:val="32"/>
        </w:rPr>
        <w:t>z</w:t>
      </w:r>
      <w:r w:rsidRPr="00BE5471">
        <w:rPr>
          <w:rStyle w:val="Strong"/>
          <w:rFonts w:eastAsiaTheme="majorEastAsia"/>
          <w:b w:val="0"/>
          <w:bCs w:val="0"/>
          <w:color w:val="000000"/>
          <w:sz w:val="32"/>
          <w:szCs w:val="32"/>
        </w:rPr>
        <w:t>ational outcomes</w:t>
      </w:r>
      <w:r w:rsidRPr="00BE5471">
        <w:rPr>
          <w:b/>
          <w:bCs/>
          <w:color w:val="000000"/>
          <w:sz w:val="32"/>
          <w:szCs w:val="32"/>
        </w:rPr>
        <w:t>.</w:t>
      </w:r>
    </w:p>
    <w:p w14:paraId="2152D8DC" w14:textId="77777777" w:rsidR="00DC25D6" w:rsidRPr="00EC7ED0" w:rsidRDefault="00DC25D6" w:rsidP="009F03E4">
      <w:pPr>
        <w:spacing w:before="100" w:beforeAutospacing="1" w:after="100" w:afterAutospacing="1"/>
        <w:outlineLvl w:val="1"/>
        <w:rPr>
          <w:b/>
          <w:bCs/>
          <w:color w:val="000000"/>
          <w:sz w:val="32"/>
          <w:szCs w:val="32"/>
        </w:rPr>
      </w:pPr>
    </w:p>
    <w:p w14:paraId="0DCCFAEC" w14:textId="77777777" w:rsidR="00CA0CD3" w:rsidRPr="00EC7ED0" w:rsidRDefault="00CA0CD3" w:rsidP="00470B89">
      <w:pPr>
        <w:spacing w:before="100" w:beforeAutospacing="1" w:after="100" w:afterAutospacing="1"/>
        <w:outlineLvl w:val="1"/>
        <w:rPr>
          <w:b/>
          <w:bCs/>
          <w:color w:val="000000"/>
          <w:sz w:val="32"/>
          <w:szCs w:val="32"/>
        </w:rPr>
      </w:pPr>
    </w:p>
    <w:p w14:paraId="490A3F7E" w14:textId="77777777" w:rsidR="00177292" w:rsidRPr="00EC7ED0" w:rsidRDefault="00177292" w:rsidP="00470B89">
      <w:pPr>
        <w:spacing w:before="100" w:beforeAutospacing="1" w:after="100" w:afterAutospacing="1"/>
        <w:outlineLvl w:val="1"/>
        <w:rPr>
          <w:b/>
          <w:bCs/>
          <w:color w:val="000000"/>
          <w:sz w:val="32"/>
          <w:szCs w:val="32"/>
        </w:rPr>
      </w:pPr>
    </w:p>
    <w:p w14:paraId="6855CB62" w14:textId="07DA3F18" w:rsidR="00924A2F" w:rsidRPr="00C458A9" w:rsidRDefault="00C458A9" w:rsidP="00470B89">
      <w:pPr>
        <w:spacing w:before="100" w:beforeAutospacing="1" w:after="100" w:afterAutospacing="1"/>
        <w:outlineLvl w:val="1"/>
        <w:rPr>
          <w:color w:val="000000"/>
          <w:sz w:val="40"/>
          <w:szCs w:val="40"/>
        </w:rPr>
      </w:pPr>
      <w:bookmarkStart w:id="63" w:name="_Toc241526697"/>
      <w:bookmarkStart w:id="64" w:name="_Toc241527106"/>
      <w:r w:rsidRPr="00C458A9">
        <w:rPr>
          <w:color w:val="000000"/>
          <w:sz w:val="40"/>
          <w:szCs w:val="40"/>
        </w:rPr>
        <w:t>Word: 295</w:t>
      </w:r>
      <w:r w:rsidR="009039FB">
        <w:rPr>
          <w:color w:val="000000"/>
          <w:sz w:val="40"/>
          <w:szCs w:val="40"/>
        </w:rPr>
        <w:t>3</w:t>
      </w:r>
      <w:bookmarkEnd w:id="63"/>
      <w:bookmarkEnd w:id="64"/>
    </w:p>
    <w:p w14:paraId="29FA18DF" w14:textId="77777777" w:rsidR="004D1017" w:rsidRDefault="004D1017" w:rsidP="00470B89">
      <w:pPr>
        <w:spacing w:before="100" w:beforeAutospacing="1" w:after="100" w:afterAutospacing="1"/>
        <w:outlineLvl w:val="1"/>
        <w:rPr>
          <w:b/>
          <w:bCs/>
          <w:color w:val="000000"/>
          <w:sz w:val="32"/>
          <w:szCs w:val="32"/>
        </w:rPr>
      </w:pPr>
    </w:p>
    <w:p w14:paraId="579F6618" w14:textId="77777777" w:rsidR="004D1017" w:rsidRDefault="004D1017" w:rsidP="00470B89">
      <w:pPr>
        <w:spacing w:before="100" w:beforeAutospacing="1" w:after="100" w:afterAutospacing="1"/>
        <w:outlineLvl w:val="1"/>
        <w:rPr>
          <w:b/>
          <w:bCs/>
          <w:color w:val="000000"/>
          <w:sz w:val="32"/>
          <w:szCs w:val="32"/>
        </w:rPr>
      </w:pPr>
    </w:p>
    <w:p w14:paraId="55CB1616" w14:textId="7A98EBEA" w:rsidR="00470B89" w:rsidRPr="00957608" w:rsidRDefault="00470B89" w:rsidP="00470B89">
      <w:pPr>
        <w:spacing w:before="100" w:beforeAutospacing="1" w:after="100" w:afterAutospacing="1"/>
        <w:outlineLvl w:val="1"/>
        <w:rPr>
          <w:b/>
          <w:bCs/>
          <w:color w:val="000000"/>
          <w:sz w:val="32"/>
          <w:szCs w:val="32"/>
        </w:rPr>
      </w:pPr>
      <w:bookmarkStart w:id="65" w:name="_Toc241526698"/>
      <w:bookmarkStart w:id="66" w:name="_Toc241527107"/>
      <w:r w:rsidRPr="00957608">
        <w:rPr>
          <w:b/>
          <w:bCs/>
          <w:color w:val="000000"/>
          <w:sz w:val="32"/>
          <w:szCs w:val="32"/>
        </w:rPr>
        <w:t>References</w:t>
      </w:r>
      <w:bookmarkEnd w:id="65"/>
      <w:bookmarkEnd w:id="66"/>
    </w:p>
    <w:p w14:paraId="77ABCCF4"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Adams, J.S. (1965) ‘Inequity in social exchange’, in</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Advances in Experimental Social Psychology</w:t>
      </w:r>
      <w:r w:rsidRPr="00AC39BF">
        <w:rPr>
          <w:color w:val="000000"/>
          <w:sz w:val="32"/>
          <w:szCs w:val="32"/>
        </w:rPr>
        <w:t>, 2, pp. 267–299. Academic Press.</w:t>
      </w:r>
    </w:p>
    <w:p w14:paraId="14E2B0D1"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Allen, N.J. and Meyer, J.P. (1990) ‘The measurement and antecedents of affective, continuance and normative commitment to the organization’,</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Journal of Occupational Psychology</w:t>
      </w:r>
      <w:r w:rsidRPr="00AC39BF">
        <w:rPr>
          <w:color w:val="000000"/>
          <w:sz w:val="32"/>
          <w:szCs w:val="32"/>
        </w:rPr>
        <w:t>, 63(1), pp. 1–18.</w:t>
      </w:r>
    </w:p>
    <w:p w14:paraId="57A60549"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Baker, G.P., Jensen, M.C. and Murphy, K.J. (1988) ‘Compensation and incentives: Practice vs. theory’,</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Journal of Finance</w:t>
      </w:r>
      <w:r w:rsidRPr="00AC39BF">
        <w:rPr>
          <w:color w:val="000000"/>
          <w:sz w:val="32"/>
          <w:szCs w:val="32"/>
        </w:rPr>
        <w:t>, 43(3), pp. 593–616.</w:t>
      </w:r>
    </w:p>
    <w:p w14:paraId="1725A6AD"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Baker, G., Gibbons, R. and Murphy, K.J. (1994) ‘Subjective performance measures in optimal incentive contracts’,</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Quarterly Journal of Economics</w:t>
      </w:r>
      <w:r w:rsidRPr="00AC39BF">
        <w:rPr>
          <w:color w:val="000000"/>
          <w:sz w:val="32"/>
          <w:szCs w:val="32"/>
        </w:rPr>
        <w:t>, 109(4), pp. 1125–1156.</w:t>
      </w:r>
    </w:p>
    <w:p w14:paraId="1A77F691"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Banker, R.D., Lee, S.-Y. and Potter, G. (1996) ‘A field study of the impact of a performance-based incentive plan’,</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Journal of Accounting and Economics</w:t>
      </w:r>
      <w:r w:rsidRPr="00AC39BF">
        <w:rPr>
          <w:color w:val="000000"/>
          <w:sz w:val="32"/>
          <w:szCs w:val="32"/>
        </w:rPr>
        <w:t>, 21(2), pp. 195–226.</w:t>
      </w:r>
    </w:p>
    <w:p w14:paraId="073AE99A"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lastRenderedPageBreak/>
        <w:t>Banker, R.D., Lee, S.Y., Potter, G. and Srinivasan, D. (2000) ‘An empirical analysis of continuing improvements following the implementation of a performance-based compensation plan’,</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Journal of Accounting and Economics</w:t>
      </w:r>
      <w:r w:rsidRPr="00AC39BF">
        <w:rPr>
          <w:color w:val="000000"/>
          <w:sz w:val="32"/>
          <w:szCs w:val="32"/>
        </w:rPr>
        <w:t>, 30(3), pp. 315–350.</w:t>
      </w:r>
    </w:p>
    <w:p w14:paraId="7A207303"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 xml:space="preserve">Bandiera, O., </w:t>
      </w:r>
      <w:proofErr w:type="spellStart"/>
      <w:r w:rsidRPr="00AC39BF">
        <w:rPr>
          <w:color w:val="000000"/>
          <w:sz w:val="32"/>
          <w:szCs w:val="32"/>
        </w:rPr>
        <w:t>Barankay</w:t>
      </w:r>
      <w:proofErr w:type="spellEnd"/>
      <w:r w:rsidRPr="00AC39BF">
        <w:rPr>
          <w:color w:val="000000"/>
          <w:sz w:val="32"/>
          <w:szCs w:val="32"/>
        </w:rPr>
        <w:t>, I. and Rasul, I. (2005) ‘Social preferences and the response to incentives: Evidence from personnel data’,</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Quarterly Journal of Economics</w:t>
      </w:r>
      <w:r w:rsidRPr="00AC39BF">
        <w:rPr>
          <w:color w:val="000000"/>
          <w:sz w:val="32"/>
          <w:szCs w:val="32"/>
        </w:rPr>
        <w:t>, 120(3), pp. 917–962.</w:t>
      </w:r>
    </w:p>
    <w:p w14:paraId="49E93186"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 xml:space="preserve">Bandiera, O., </w:t>
      </w:r>
      <w:proofErr w:type="spellStart"/>
      <w:r w:rsidRPr="00AC39BF">
        <w:rPr>
          <w:color w:val="000000"/>
          <w:sz w:val="32"/>
          <w:szCs w:val="32"/>
        </w:rPr>
        <w:t>Barankay</w:t>
      </w:r>
      <w:proofErr w:type="spellEnd"/>
      <w:r w:rsidRPr="00AC39BF">
        <w:rPr>
          <w:color w:val="000000"/>
          <w:sz w:val="32"/>
          <w:szCs w:val="32"/>
        </w:rPr>
        <w:t>, I. and Rasul, I. (2010) ‘Social incentives in the workplace’,</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Review of Economic Studies</w:t>
      </w:r>
      <w:r w:rsidRPr="00AC39BF">
        <w:rPr>
          <w:color w:val="000000"/>
          <w:sz w:val="32"/>
          <w:szCs w:val="32"/>
        </w:rPr>
        <w:t>, 77(2), pp. 417–458.</w:t>
      </w:r>
    </w:p>
    <w:p w14:paraId="121DD034" w14:textId="77777777" w:rsidR="00867027" w:rsidRPr="00AC39BF" w:rsidRDefault="00867027" w:rsidP="00867027">
      <w:pPr>
        <w:pStyle w:val="NormalWeb"/>
        <w:numPr>
          <w:ilvl w:val="0"/>
          <w:numId w:val="5"/>
        </w:numPr>
        <w:rPr>
          <w:color w:val="000000"/>
          <w:sz w:val="32"/>
          <w:szCs w:val="32"/>
        </w:rPr>
      </w:pPr>
      <w:r w:rsidRPr="00AC39BF">
        <w:rPr>
          <w:color w:val="000000"/>
          <w:sz w:val="32"/>
          <w:szCs w:val="32"/>
        </w:rPr>
        <w:t>Bakker, A.B. and Demerouti, E. (2017) ‘Job demands–resources theory: Taking stock and looking forward’,</w:t>
      </w:r>
      <w:r w:rsidRPr="00AC39BF">
        <w:rPr>
          <w:rStyle w:val="apple-converted-space"/>
          <w:rFonts w:eastAsiaTheme="majorEastAsia"/>
          <w:color w:val="000000"/>
          <w:sz w:val="32"/>
          <w:szCs w:val="32"/>
        </w:rPr>
        <w:t> </w:t>
      </w:r>
      <w:r w:rsidRPr="00AC39BF">
        <w:rPr>
          <w:rStyle w:val="Emphasis"/>
          <w:rFonts w:eastAsiaTheme="majorEastAsia"/>
          <w:color w:val="000000"/>
          <w:sz w:val="32"/>
          <w:szCs w:val="32"/>
        </w:rPr>
        <w:t>Journal of Occupational Health Psychology</w:t>
      </w:r>
      <w:r w:rsidRPr="00AC39BF">
        <w:rPr>
          <w:color w:val="000000"/>
          <w:sz w:val="32"/>
          <w:szCs w:val="32"/>
        </w:rPr>
        <w:t>, 22(3), pp. 273–285.</w:t>
      </w:r>
    </w:p>
    <w:p w14:paraId="1CC90B4C" w14:textId="7B22B12F" w:rsidR="00867027" w:rsidRPr="00AC39BF" w:rsidRDefault="00557A53" w:rsidP="00557A53">
      <w:pPr>
        <w:pStyle w:val="NormalWeb"/>
        <w:ind w:left="360"/>
        <w:rPr>
          <w:color w:val="000000"/>
          <w:sz w:val="32"/>
          <w:szCs w:val="32"/>
        </w:rPr>
      </w:pPr>
      <w:r>
        <w:rPr>
          <w:color w:val="000000"/>
          <w:sz w:val="32"/>
          <w:szCs w:val="32"/>
        </w:rPr>
        <w:t>10.</w:t>
      </w:r>
      <w:r w:rsidR="00867027" w:rsidRPr="00AC39BF">
        <w:rPr>
          <w:color w:val="000000"/>
          <w:sz w:val="32"/>
          <w:szCs w:val="32"/>
        </w:rPr>
        <w:t>Bakker, A.B., Demerouti, E. and Verbeke, W. (2004) ‘Using the job demands–resources model to predict burnout and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Human Resource Management</w:t>
      </w:r>
      <w:r w:rsidR="00867027" w:rsidRPr="00AC39BF">
        <w:rPr>
          <w:color w:val="000000"/>
          <w:sz w:val="32"/>
          <w:szCs w:val="32"/>
        </w:rPr>
        <w:t>, 43(1), pp. 83–104.</w:t>
      </w:r>
    </w:p>
    <w:p w14:paraId="67C3231F" w14:textId="3AB27657" w:rsidR="00867027" w:rsidRPr="00AC39BF" w:rsidRDefault="002C77D2" w:rsidP="002C77D2">
      <w:pPr>
        <w:pStyle w:val="NormalWeb"/>
        <w:rPr>
          <w:color w:val="000000"/>
          <w:sz w:val="32"/>
          <w:szCs w:val="32"/>
        </w:rPr>
      </w:pPr>
      <w:r>
        <w:rPr>
          <w:color w:val="000000"/>
          <w:sz w:val="32"/>
          <w:szCs w:val="32"/>
        </w:rPr>
        <w:t>11.</w:t>
      </w:r>
      <w:r w:rsidR="00867027" w:rsidRPr="00AC39BF">
        <w:rPr>
          <w:color w:val="000000"/>
          <w:sz w:val="32"/>
          <w:szCs w:val="32"/>
        </w:rPr>
        <w:t xml:space="preserve">Basu, A.K., Lal, R., Srinivasan, V. and </w:t>
      </w:r>
      <w:proofErr w:type="spellStart"/>
      <w:r w:rsidR="00867027" w:rsidRPr="00AC39BF">
        <w:rPr>
          <w:color w:val="000000"/>
          <w:sz w:val="32"/>
          <w:szCs w:val="32"/>
        </w:rPr>
        <w:t>Staelin</w:t>
      </w:r>
      <w:proofErr w:type="spellEnd"/>
      <w:r w:rsidR="00867027" w:rsidRPr="00AC39BF">
        <w:rPr>
          <w:color w:val="000000"/>
          <w:sz w:val="32"/>
          <w:szCs w:val="32"/>
        </w:rPr>
        <w:t>, R. (1985) ‘Salesforce compensation plans: An agency theoretic perspective’,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Marketing Research</w:t>
      </w:r>
      <w:r w:rsidR="00867027" w:rsidRPr="00AC39BF">
        <w:rPr>
          <w:color w:val="000000"/>
          <w:sz w:val="32"/>
          <w:szCs w:val="32"/>
        </w:rPr>
        <w:t>, 22(3), pp. 267–291.</w:t>
      </w:r>
    </w:p>
    <w:p w14:paraId="44274529" w14:textId="68C3CE4F" w:rsidR="00867027" w:rsidRPr="00AC39BF" w:rsidRDefault="002C77D2" w:rsidP="002C77D2">
      <w:pPr>
        <w:pStyle w:val="NormalWeb"/>
        <w:rPr>
          <w:color w:val="000000"/>
          <w:sz w:val="32"/>
          <w:szCs w:val="32"/>
        </w:rPr>
      </w:pPr>
      <w:r>
        <w:rPr>
          <w:color w:val="000000"/>
          <w:sz w:val="32"/>
          <w:szCs w:val="32"/>
        </w:rPr>
        <w:t>12.</w:t>
      </w:r>
      <w:r w:rsidR="00867027" w:rsidRPr="00AC39BF">
        <w:rPr>
          <w:color w:val="000000"/>
          <w:sz w:val="32"/>
          <w:szCs w:val="32"/>
        </w:rPr>
        <w:t>Becker, B.E. and Gerhart, B. (1996) ‘The impact of human resource management on organizational performance: Progress and prospects’,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39(4), pp. 779–801.</w:t>
      </w:r>
    </w:p>
    <w:p w14:paraId="31951B20" w14:textId="19D6C69E" w:rsidR="00867027" w:rsidRPr="00AC39BF" w:rsidRDefault="002E4F50" w:rsidP="002E4F50">
      <w:pPr>
        <w:pStyle w:val="NormalWeb"/>
        <w:rPr>
          <w:color w:val="000000"/>
          <w:sz w:val="32"/>
          <w:szCs w:val="32"/>
        </w:rPr>
      </w:pPr>
      <w:r>
        <w:rPr>
          <w:color w:val="000000"/>
          <w:sz w:val="32"/>
          <w:szCs w:val="32"/>
        </w:rPr>
        <w:t>13.</w:t>
      </w:r>
      <w:r w:rsidR="00867027" w:rsidRPr="00AC39BF">
        <w:rPr>
          <w:color w:val="000000"/>
          <w:sz w:val="32"/>
          <w:szCs w:val="32"/>
        </w:rPr>
        <w:t xml:space="preserve">Blanes </w:t>
      </w:r>
      <w:proofErr w:type="spellStart"/>
      <w:r w:rsidR="00867027" w:rsidRPr="00AC39BF">
        <w:rPr>
          <w:color w:val="000000"/>
          <w:sz w:val="32"/>
          <w:szCs w:val="32"/>
        </w:rPr>
        <w:t>i</w:t>
      </w:r>
      <w:proofErr w:type="spellEnd"/>
      <w:r w:rsidR="00867027" w:rsidRPr="00AC39BF">
        <w:rPr>
          <w:color w:val="000000"/>
          <w:sz w:val="32"/>
          <w:szCs w:val="32"/>
        </w:rPr>
        <w:t xml:space="preserve"> Vidal, J. and </w:t>
      </w:r>
      <w:proofErr w:type="spellStart"/>
      <w:r w:rsidR="00867027" w:rsidRPr="00AC39BF">
        <w:rPr>
          <w:color w:val="000000"/>
          <w:sz w:val="32"/>
          <w:szCs w:val="32"/>
        </w:rPr>
        <w:t>Nossol</w:t>
      </w:r>
      <w:proofErr w:type="spellEnd"/>
      <w:r w:rsidR="00867027" w:rsidRPr="00AC39BF">
        <w:rPr>
          <w:color w:val="000000"/>
          <w:sz w:val="32"/>
          <w:szCs w:val="32"/>
        </w:rPr>
        <w:t>, M. (2011) ‘Tournaments without prizes: Evidence from personnel records’,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Management Science</w:t>
      </w:r>
      <w:r w:rsidR="00867027" w:rsidRPr="00AC39BF">
        <w:rPr>
          <w:color w:val="000000"/>
          <w:sz w:val="32"/>
          <w:szCs w:val="32"/>
        </w:rPr>
        <w:t>, 57(12), pp. 2171–2185.</w:t>
      </w:r>
    </w:p>
    <w:p w14:paraId="403E5D50" w14:textId="6191F34A" w:rsidR="00867027" w:rsidRPr="00AC39BF" w:rsidRDefault="002E4F50" w:rsidP="002E4F50">
      <w:pPr>
        <w:pStyle w:val="NormalWeb"/>
        <w:rPr>
          <w:color w:val="000000"/>
          <w:sz w:val="32"/>
          <w:szCs w:val="32"/>
        </w:rPr>
      </w:pPr>
      <w:r>
        <w:rPr>
          <w:color w:val="000000"/>
          <w:sz w:val="32"/>
          <w:szCs w:val="32"/>
        </w:rPr>
        <w:t>14.</w:t>
      </w:r>
      <w:r w:rsidR="00867027" w:rsidRPr="00AC39BF">
        <w:rPr>
          <w:color w:val="000000"/>
          <w:sz w:val="32"/>
          <w:szCs w:val="32"/>
        </w:rPr>
        <w:t>Blau, P.M. (1964)</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Exchange and Power in Social Life</w:t>
      </w:r>
      <w:r w:rsidR="00867027" w:rsidRPr="00AC39BF">
        <w:rPr>
          <w:color w:val="000000"/>
          <w:sz w:val="32"/>
          <w:szCs w:val="32"/>
        </w:rPr>
        <w:t>. New York: Wiley.</w:t>
      </w:r>
    </w:p>
    <w:p w14:paraId="338E92DD" w14:textId="45EAAC19" w:rsidR="00867027" w:rsidRPr="00AC39BF" w:rsidRDefault="002E4F50" w:rsidP="002E4F50">
      <w:pPr>
        <w:pStyle w:val="NormalWeb"/>
        <w:rPr>
          <w:color w:val="000000"/>
          <w:sz w:val="32"/>
          <w:szCs w:val="32"/>
        </w:rPr>
      </w:pPr>
      <w:r>
        <w:rPr>
          <w:color w:val="000000"/>
          <w:sz w:val="32"/>
          <w:szCs w:val="32"/>
        </w:rPr>
        <w:lastRenderedPageBreak/>
        <w:t>15.</w:t>
      </w:r>
      <w:r w:rsidR="00867027" w:rsidRPr="00AC39BF">
        <w:rPr>
          <w:color w:val="000000"/>
          <w:sz w:val="32"/>
          <w:szCs w:val="32"/>
        </w:rPr>
        <w:t>Bloom, M. (1999) ‘The performance effects of pay dispersion on individuals and organizations’,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42(1), pp. 25–40.</w:t>
      </w:r>
    </w:p>
    <w:p w14:paraId="7FA50917" w14:textId="39C1E329" w:rsidR="00867027" w:rsidRPr="00AC39BF" w:rsidRDefault="002E4F50" w:rsidP="002E4F50">
      <w:pPr>
        <w:pStyle w:val="NormalWeb"/>
        <w:rPr>
          <w:color w:val="000000"/>
          <w:sz w:val="32"/>
          <w:szCs w:val="32"/>
        </w:rPr>
      </w:pPr>
      <w:r>
        <w:rPr>
          <w:color w:val="000000"/>
          <w:sz w:val="32"/>
          <w:szCs w:val="32"/>
        </w:rPr>
        <w:t>16.</w:t>
      </w:r>
      <w:r w:rsidR="00867027" w:rsidRPr="00AC39BF">
        <w:rPr>
          <w:color w:val="000000"/>
          <w:sz w:val="32"/>
          <w:szCs w:val="32"/>
        </w:rPr>
        <w:t>Bonner, S.E., Hastie, R., Sprinkle, G.B. and Young, S.M. (2000) ‘A review of the effects of financial incentives on performance in organizations’,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Accounting, Organizations and Society</w:t>
      </w:r>
      <w:r w:rsidR="00867027" w:rsidRPr="00AC39BF">
        <w:rPr>
          <w:color w:val="000000"/>
          <w:sz w:val="32"/>
          <w:szCs w:val="32"/>
        </w:rPr>
        <w:t>, 25(5), pp. 447–477.</w:t>
      </w:r>
    </w:p>
    <w:p w14:paraId="795AAB44" w14:textId="4C8592D6" w:rsidR="00867027" w:rsidRPr="00AC39BF" w:rsidRDefault="002E4F50" w:rsidP="002E4F50">
      <w:pPr>
        <w:pStyle w:val="NormalWeb"/>
        <w:rPr>
          <w:color w:val="000000"/>
          <w:sz w:val="32"/>
          <w:szCs w:val="32"/>
        </w:rPr>
      </w:pPr>
      <w:r>
        <w:rPr>
          <w:color w:val="000000"/>
          <w:sz w:val="32"/>
          <w:szCs w:val="32"/>
        </w:rPr>
        <w:t>17.</w:t>
      </w:r>
      <w:r w:rsidR="00867027" w:rsidRPr="00AC39BF">
        <w:rPr>
          <w:color w:val="000000"/>
          <w:sz w:val="32"/>
          <w:szCs w:val="32"/>
        </w:rPr>
        <w:t>Bonner, S.E. and Sprinkle, G.B. (2002) ‘The effects of monetary incentives on effort and task performance: Theories, evidence, and a framework for research’,</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Accounting, Organizations and Society</w:t>
      </w:r>
      <w:r w:rsidR="00867027" w:rsidRPr="00AC39BF">
        <w:rPr>
          <w:color w:val="000000"/>
          <w:sz w:val="32"/>
          <w:szCs w:val="32"/>
        </w:rPr>
        <w:t>, 27(4–5), pp. 303–345.</w:t>
      </w:r>
    </w:p>
    <w:p w14:paraId="26694FE8" w14:textId="4D76C19C" w:rsidR="00867027" w:rsidRPr="00AC39BF" w:rsidRDefault="002E4F50" w:rsidP="002E4F50">
      <w:pPr>
        <w:pStyle w:val="NormalWeb"/>
        <w:rPr>
          <w:color w:val="000000"/>
          <w:sz w:val="32"/>
          <w:szCs w:val="32"/>
        </w:rPr>
      </w:pPr>
      <w:r>
        <w:rPr>
          <w:color w:val="000000"/>
          <w:sz w:val="32"/>
          <w:szCs w:val="32"/>
        </w:rPr>
        <w:t>18.</w:t>
      </w:r>
      <w:r w:rsidR="00867027" w:rsidRPr="00AC39BF">
        <w:rPr>
          <w:color w:val="000000"/>
          <w:sz w:val="32"/>
          <w:szCs w:val="32"/>
        </w:rPr>
        <w:t>Cadsby, C.B., Song, F. and Tapon, F. (2007) ‘Sorting and incentive effects of pay for performance: An experimental investigation’,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50(2), pp. 387–405.</w:t>
      </w:r>
    </w:p>
    <w:p w14:paraId="312B4907" w14:textId="78ED31F2" w:rsidR="00867027" w:rsidRPr="00AC39BF" w:rsidRDefault="002E4F50" w:rsidP="002E4F50">
      <w:pPr>
        <w:pStyle w:val="NormalWeb"/>
        <w:rPr>
          <w:color w:val="000000"/>
          <w:sz w:val="32"/>
          <w:szCs w:val="32"/>
        </w:rPr>
      </w:pPr>
      <w:r>
        <w:rPr>
          <w:color w:val="000000"/>
          <w:sz w:val="32"/>
          <w:szCs w:val="32"/>
        </w:rPr>
        <w:t>19.</w:t>
      </w:r>
      <w:r w:rsidR="00867027" w:rsidRPr="00AC39BF">
        <w:rPr>
          <w:color w:val="000000"/>
          <w:sz w:val="32"/>
          <w:szCs w:val="32"/>
        </w:rPr>
        <w:t>Cerasoli, C.P., Nicklin, J.M. and Ford, M.T. (2014) ‘Intrinsic motivation and extrinsic incentives jointly predict performance: A 40-year meta-analysis’,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Psychological Bulletin</w:t>
      </w:r>
      <w:r w:rsidR="00867027" w:rsidRPr="00AC39BF">
        <w:rPr>
          <w:color w:val="000000"/>
          <w:sz w:val="32"/>
          <w:szCs w:val="32"/>
        </w:rPr>
        <w:t>, 140(4), pp. 980–1008.</w:t>
      </w:r>
    </w:p>
    <w:p w14:paraId="649D71E6" w14:textId="7A4D38EF" w:rsidR="00867027" w:rsidRPr="00AC39BF" w:rsidRDefault="002E4F50" w:rsidP="002E4F50">
      <w:pPr>
        <w:pStyle w:val="NormalWeb"/>
        <w:rPr>
          <w:color w:val="000000"/>
          <w:sz w:val="32"/>
          <w:szCs w:val="32"/>
        </w:rPr>
      </w:pPr>
      <w:r>
        <w:rPr>
          <w:color w:val="000000"/>
          <w:sz w:val="32"/>
          <w:szCs w:val="32"/>
        </w:rPr>
        <w:t>20.</w:t>
      </w:r>
      <w:r w:rsidR="00867027" w:rsidRPr="00AC39BF">
        <w:rPr>
          <w:color w:val="000000"/>
          <w:sz w:val="32"/>
          <w:szCs w:val="32"/>
        </w:rPr>
        <w:t>Churchill, G.A., Ford, N.M., Hartley, S.W. and Walker, O.C. (1985) ‘The determinants of salesperson performance: A meta-analysis’,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Marketing Research</w:t>
      </w:r>
      <w:r w:rsidR="00867027" w:rsidRPr="00AC39BF">
        <w:rPr>
          <w:color w:val="000000"/>
          <w:sz w:val="32"/>
          <w:szCs w:val="32"/>
        </w:rPr>
        <w:t>, 22(2), pp. 103–118.</w:t>
      </w:r>
    </w:p>
    <w:p w14:paraId="07277507" w14:textId="2985D674" w:rsidR="00867027" w:rsidRPr="00AC39BF" w:rsidRDefault="002E4F50" w:rsidP="002E4F50">
      <w:pPr>
        <w:pStyle w:val="NormalWeb"/>
        <w:rPr>
          <w:color w:val="000000"/>
          <w:sz w:val="32"/>
          <w:szCs w:val="32"/>
        </w:rPr>
      </w:pPr>
      <w:r>
        <w:rPr>
          <w:color w:val="000000"/>
          <w:sz w:val="32"/>
          <w:szCs w:val="32"/>
        </w:rPr>
        <w:t>21.</w:t>
      </w:r>
      <w:r w:rsidR="00867027" w:rsidRPr="00AC39BF">
        <w:rPr>
          <w:color w:val="000000"/>
          <w:sz w:val="32"/>
          <w:szCs w:val="32"/>
        </w:rPr>
        <w:t>Combs, J., Liu, Y., Hall, A. and Ketchen, D. (2006) ‘How much do high-performance work practices matter? A meta-analysis of their effects on organizational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Personnel Psychology</w:t>
      </w:r>
      <w:r w:rsidR="00867027" w:rsidRPr="00AC39BF">
        <w:rPr>
          <w:color w:val="000000"/>
          <w:sz w:val="32"/>
          <w:szCs w:val="32"/>
        </w:rPr>
        <w:t>, 59(3), pp. 501–528.</w:t>
      </w:r>
    </w:p>
    <w:p w14:paraId="0FC1334F" w14:textId="1CA8C376" w:rsidR="00867027" w:rsidRPr="00AC39BF" w:rsidRDefault="002E4F50" w:rsidP="002E4F50">
      <w:pPr>
        <w:pStyle w:val="NormalWeb"/>
        <w:rPr>
          <w:color w:val="000000"/>
          <w:sz w:val="32"/>
          <w:szCs w:val="32"/>
        </w:rPr>
      </w:pPr>
      <w:r>
        <w:rPr>
          <w:color w:val="000000"/>
          <w:sz w:val="32"/>
          <w:szCs w:val="32"/>
        </w:rPr>
        <w:t>22.</w:t>
      </w:r>
      <w:r w:rsidR="00867027" w:rsidRPr="00AC39BF">
        <w:rPr>
          <w:color w:val="000000"/>
          <w:sz w:val="32"/>
          <w:szCs w:val="32"/>
        </w:rPr>
        <w:t xml:space="preserve">Condly, S.J., Clark, R.E. and </w:t>
      </w:r>
      <w:proofErr w:type="spellStart"/>
      <w:r w:rsidR="00867027" w:rsidRPr="00AC39BF">
        <w:rPr>
          <w:color w:val="000000"/>
          <w:sz w:val="32"/>
          <w:szCs w:val="32"/>
        </w:rPr>
        <w:t>Stolovitch</w:t>
      </w:r>
      <w:proofErr w:type="spellEnd"/>
      <w:r w:rsidR="00867027" w:rsidRPr="00AC39BF">
        <w:rPr>
          <w:color w:val="000000"/>
          <w:sz w:val="32"/>
          <w:szCs w:val="32"/>
        </w:rPr>
        <w:t>, H.D. (2003) ‘The effects of incentives on workplace performance: A meta-analytic review’,</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Performance Improvement Quarterly</w:t>
      </w:r>
      <w:r w:rsidR="00867027" w:rsidRPr="00AC39BF">
        <w:rPr>
          <w:color w:val="000000"/>
          <w:sz w:val="32"/>
          <w:szCs w:val="32"/>
        </w:rPr>
        <w:t>, 16(3), pp. 46–63.</w:t>
      </w:r>
    </w:p>
    <w:p w14:paraId="01DA2629" w14:textId="3EE2F4C0" w:rsidR="00867027" w:rsidRPr="00AC39BF" w:rsidRDefault="002E4F50" w:rsidP="002E4F50">
      <w:pPr>
        <w:pStyle w:val="NormalWeb"/>
        <w:rPr>
          <w:color w:val="000000"/>
          <w:sz w:val="32"/>
          <w:szCs w:val="32"/>
        </w:rPr>
      </w:pPr>
      <w:r>
        <w:rPr>
          <w:color w:val="000000"/>
          <w:sz w:val="32"/>
          <w:szCs w:val="32"/>
        </w:rPr>
        <w:lastRenderedPageBreak/>
        <w:t>23.</w:t>
      </w:r>
      <w:r w:rsidR="00867027" w:rsidRPr="00AC39BF">
        <w:rPr>
          <w:color w:val="000000"/>
          <w:sz w:val="32"/>
          <w:szCs w:val="32"/>
        </w:rPr>
        <w:t>Coughlan, A.T. and Sen, S.K. (1989) ‘Salesforce compensation: Theory and evidence’,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Marketing Science</w:t>
      </w:r>
      <w:r w:rsidR="00867027" w:rsidRPr="00AC39BF">
        <w:rPr>
          <w:color w:val="000000"/>
          <w:sz w:val="32"/>
          <w:szCs w:val="32"/>
        </w:rPr>
        <w:t>, 8(4), pp. 324–342.</w:t>
      </w:r>
    </w:p>
    <w:p w14:paraId="28F698CF" w14:textId="13406582" w:rsidR="00867027" w:rsidRPr="00AC39BF" w:rsidRDefault="002E4F50" w:rsidP="002E4F50">
      <w:pPr>
        <w:pStyle w:val="NormalWeb"/>
        <w:rPr>
          <w:color w:val="000000"/>
          <w:sz w:val="32"/>
          <w:szCs w:val="32"/>
        </w:rPr>
      </w:pPr>
      <w:r>
        <w:rPr>
          <w:color w:val="000000"/>
          <w:sz w:val="32"/>
          <w:szCs w:val="32"/>
        </w:rPr>
        <w:t>24.</w:t>
      </w:r>
      <w:r w:rsidR="00867027" w:rsidRPr="00AC39BF">
        <w:rPr>
          <w:color w:val="000000"/>
          <w:sz w:val="32"/>
          <w:szCs w:val="32"/>
        </w:rPr>
        <w:t>Cravens, D.W. et al. (1996) ‘New organizational forms for managing the sales function’,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Marketing</w:t>
      </w:r>
      <w:r w:rsidR="00867027" w:rsidRPr="00AC39BF">
        <w:rPr>
          <w:color w:val="000000"/>
          <w:sz w:val="32"/>
          <w:szCs w:val="32"/>
        </w:rPr>
        <w:t>, 60(4), pp. 23–46.</w:t>
      </w:r>
    </w:p>
    <w:p w14:paraId="17511399" w14:textId="35F5333F" w:rsidR="00867027" w:rsidRPr="00AC39BF" w:rsidRDefault="002E4F50" w:rsidP="002E4F50">
      <w:pPr>
        <w:pStyle w:val="NormalWeb"/>
        <w:rPr>
          <w:color w:val="000000"/>
          <w:sz w:val="32"/>
          <w:szCs w:val="32"/>
        </w:rPr>
      </w:pPr>
      <w:r>
        <w:rPr>
          <w:color w:val="000000"/>
          <w:sz w:val="32"/>
          <w:szCs w:val="32"/>
        </w:rPr>
        <w:t>25.</w:t>
      </w:r>
      <w:r w:rsidR="00867027" w:rsidRPr="00AC39BF">
        <w:rPr>
          <w:color w:val="000000"/>
          <w:sz w:val="32"/>
          <w:szCs w:val="32"/>
        </w:rPr>
        <w:t>Deci, E.L. (1971) ‘The effects of externally mediated rewards on intrinsic motivation’,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Personality and Social Psychology</w:t>
      </w:r>
      <w:r w:rsidR="00867027" w:rsidRPr="00AC39BF">
        <w:rPr>
          <w:color w:val="000000"/>
          <w:sz w:val="32"/>
          <w:szCs w:val="32"/>
        </w:rPr>
        <w:t>, 18(1), pp. 105–115.</w:t>
      </w:r>
    </w:p>
    <w:p w14:paraId="1C698942" w14:textId="06C7CCE1" w:rsidR="00867027" w:rsidRPr="00AC39BF" w:rsidRDefault="00A8271D" w:rsidP="00A8271D">
      <w:pPr>
        <w:pStyle w:val="NormalWeb"/>
        <w:rPr>
          <w:color w:val="000000"/>
          <w:sz w:val="32"/>
          <w:szCs w:val="32"/>
        </w:rPr>
      </w:pPr>
      <w:r>
        <w:rPr>
          <w:color w:val="000000"/>
          <w:sz w:val="32"/>
          <w:szCs w:val="32"/>
        </w:rPr>
        <w:t>26.</w:t>
      </w:r>
      <w:r w:rsidR="00867027" w:rsidRPr="00AC39BF">
        <w:rPr>
          <w:color w:val="000000"/>
          <w:sz w:val="32"/>
          <w:szCs w:val="32"/>
        </w:rPr>
        <w:t>Deci, E.L., Koestner, R. and Ryan, R.M. (1999) ‘A meta-analytic review of experiments examining the effects of extrinsic rewards on intrinsic motivation’,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Psychological Bulletin</w:t>
      </w:r>
      <w:r w:rsidR="00867027" w:rsidRPr="00AC39BF">
        <w:rPr>
          <w:color w:val="000000"/>
          <w:sz w:val="32"/>
          <w:szCs w:val="32"/>
        </w:rPr>
        <w:t>, 125(6), pp. 627–668.</w:t>
      </w:r>
    </w:p>
    <w:p w14:paraId="17C3770E" w14:textId="6C8501C2" w:rsidR="00867027" w:rsidRPr="00AC39BF" w:rsidRDefault="00A8271D" w:rsidP="00A8271D">
      <w:pPr>
        <w:pStyle w:val="NormalWeb"/>
        <w:rPr>
          <w:color w:val="000000"/>
          <w:sz w:val="32"/>
          <w:szCs w:val="32"/>
        </w:rPr>
      </w:pPr>
      <w:r>
        <w:rPr>
          <w:color w:val="000000"/>
          <w:sz w:val="32"/>
          <w:szCs w:val="32"/>
        </w:rPr>
        <w:t>27.</w:t>
      </w:r>
      <w:r w:rsidR="00867027" w:rsidRPr="00AC39BF">
        <w:rPr>
          <w:color w:val="000000"/>
          <w:sz w:val="32"/>
          <w:szCs w:val="32"/>
        </w:rPr>
        <w:t>Deci, E.L., Koestner, R. and Ryan, R.M. (2001) ‘Extrinsic rewards and intrinsic motivation in education: Reconsidered once again’,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Review of Educational Research</w:t>
      </w:r>
      <w:r w:rsidR="00867027" w:rsidRPr="00AC39BF">
        <w:rPr>
          <w:color w:val="000000"/>
          <w:sz w:val="32"/>
          <w:szCs w:val="32"/>
        </w:rPr>
        <w:t>, 71(1), pp. 1–27.</w:t>
      </w:r>
    </w:p>
    <w:p w14:paraId="40BB11E7" w14:textId="453E670E" w:rsidR="00867027" w:rsidRPr="00AC39BF" w:rsidRDefault="00A8271D" w:rsidP="00A8271D">
      <w:pPr>
        <w:pStyle w:val="NormalWeb"/>
        <w:rPr>
          <w:color w:val="000000"/>
          <w:sz w:val="32"/>
          <w:szCs w:val="32"/>
        </w:rPr>
      </w:pPr>
      <w:r>
        <w:rPr>
          <w:color w:val="000000"/>
          <w:sz w:val="32"/>
          <w:szCs w:val="32"/>
        </w:rPr>
        <w:t>28.</w:t>
      </w:r>
      <w:r w:rsidR="00867027" w:rsidRPr="00AC39BF">
        <w:rPr>
          <w:color w:val="000000"/>
          <w:sz w:val="32"/>
          <w:szCs w:val="32"/>
        </w:rPr>
        <w:t>Deci, E.L. and Ryan, R.M. (1985)</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Intrinsic Motivation and Self-Determination in Human Behavior</w:t>
      </w:r>
      <w:r w:rsidR="00867027" w:rsidRPr="00AC39BF">
        <w:rPr>
          <w:color w:val="000000"/>
          <w:sz w:val="32"/>
          <w:szCs w:val="32"/>
        </w:rPr>
        <w:t>. New York: Plenum Press.</w:t>
      </w:r>
    </w:p>
    <w:p w14:paraId="63AA9F23" w14:textId="2CCFC8B9" w:rsidR="00867027" w:rsidRPr="00AC39BF" w:rsidRDefault="00A8271D" w:rsidP="00A8271D">
      <w:pPr>
        <w:pStyle w:val="NormalWeb"/>
        <w:rPr>
          <w:color w:val="000000"/>
          <w:sz w:val="32"/>
          <w:szCs w:val="32"/>
        </w:rPr>
      </w:pPr>
      <w:r>
        <w:rPr>
          <w:color w:val="000000"/>
          <w:sz w:val="32"/>
          <w:szCs w:val="32"/>
        </w:rPr>
        <w:t>29.</w:t>
      </w:r>
      <w:r w:rsidR="00867027" w:rsidRPr="00AC39BF">
        <w:rPr>
          <w:color w:val="000000"/>
          <w:sz w:val="32"/>
          <w:szCs w:val="32"/>
        </w:rPr>
        <w:t>Demerouti, E. et al. (2001) ‘The job demands, job resources, and relationship with burnout and engagement’,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Applied Psychology</w:t>
      </w:r>
      <w:r w:rsidR="00867027" w:rsidRPr="00AC39BF">
        <w:rPr>
          <w:color w:val="000000"/>
          <w:sz w:val="32"/>
          <w:szCs w:val="32"/>
        </w:rPr>
        <w:t>, 86(3), pp. 499–512.</w:t>
      </w:r>
    </w:p>
    <w:p w14:paraId="23A7E1DA" w14:textId="2F425C94" w:rsidR="00867027" w:rsidRPr="00AC39BF" w:rsidRDefault="00A8271D" w:rsidP="00A8271D">
      <w:pPr>
        <w:pStyle w:val="NormalWeb"/>
        <w:rPr>
          <w:color w:val="000000"/>
          <w:sz w:val="32"/>
          <w:szCs w:val="32"/>
        </w:rPr>
      </w:pPr>
      <w:r>
        <w:rPr>
          <w:color w:val="000000"/>
          <w:sz w:val="32"/>
          <w:szCs w:val="32"/>
        </w:rPr>
        <w:t>30.</w:t>
      </w:r>
      <w:r w:rsidR="00867027" w:rsidRPr="00AC39BF">
        <w:rPr>
          <w:color w:val="000000"/>
          <w:sz w:val="32"/>
          <w:szCs w:val="32"/>
        </w:rPr>
        <w:t>Eisenberger, R. and Cameron, J. (1996) ‘Detrimental effects of reward: Reality or myth?’,</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Psychologist</w:t>
      </w:r>
      <w:r w:rsidR="00867027" w:rsidRPr="00AC39BF">
        <w:rPr>
          <w:color w:val="000000"/>
          <w:sz w:val="32"/>
          <w:szCs w:val="32"/>
        </w:rPr>
        <w:t>, 51(11), pp. 1153–1166.</w:t>
      </w:r>
    </w:p>
    <w:p w14:paraId="7A901D64" w14:textId="70EECE44" w:rsidR="00867027" w:rsidRPr="00AC39BF" w:rsidRDefault="00A8271D" w:rsidP="00A8271D">
      <w:pPr>
        <w:pStyle w:val="NormalWeb"/>
        <w:rPr>
          <w:color w:val="000000"/>
          <w:sz w:val="32"/>
          <w:szCs w:val="32"/>
        </w:rPr>
      </w:pPr>
      <w:r>
        <w:rPr>
          <w:color w:val="000000"/>
          <w:sz w:val="32"/>
          <w:szCs w:val="32"/>
        </w:rPr>
        <w:t>31.</w:t>
      </w:r>
      <w:r w:rsidR="00867027" w:rsidRPr="00AC39BF">
        <w:rPr>
          <w:color w:val="000000"/>
          <w:sz w:val="32"/>
          <w:szCs w:val="32"/>
        </w:rPr>
        <w:t>Eisenberger, R., Pierce, W.D. and Cameron, J. (1999) ‘Effects of reward on intrinsic motivation: Negative, neutral, and positive’,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Psychological Bulletin</w:t>
      </w:r>
      <w:r w:rsidR="00867027" w:rsidRPr="00AC39BF">
        <w:rPr>
          <w:color w:val="000000"/>
          <w:sz w:val="32"/>
          <w:szCs w:val="32"/>
        </w:rPr>
        <w:t>, 125(6), pp. 677–691.</w:t>
      </w:r>
    </w:p>
    <w:p w14:paraId="05C48430" w14:textId="0D1446B3" w:rsidR="00867027" w:rsidRPr="00AC39BF" w:rsidRDefault="00A8271D" w:rsidP="00A8271D">
      <w:pPr>
        <w:pStyle w:val="NormalWeb"/>
        <w:rPr>
          <w:color w:val="000000"/>
          <w:sz w:val="32"/>
          <w:szCs w:val="32"/>
        </w:rPr>
      </w:pPr>
      <w:r>
        <w:rPr>
          <w:color w:val="000000"/>
          <w:sz w:val="32"/>
          <w:szCs w:val="32"/>
        </w:rPr>
        <w:lastRenderedPageBreak/>
        <w:t>32.</w:t>
      </w:r>
      <w:r w:rsidR="00867027" w:rsidRPr="00AC39BF">
        <w:rPr>
          <w:color w:val="000000"/>
          <w:sz w:val="32"/>
          <w:szCs w:val="32"/>
        </w:rPr>
        <w:t>Eisenhardt, K.M. (1988) ‘Agency- and institutional-theory explanations: The case of retail sales compensation’,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31(3), pp. 488–511.</w:t>
      </w:r>
    </w:p>
    <w:p w14:paraId="5F0FC67B" w14:textId="15253E82" w:rsidR="00867027" w:rsidRPr="00AC39BF" w:rsidRDefault="00A8271D" w:rsidP="00A8271D">
      <w:pPr>
        <w:pStyle w:val="NormalWeb"/>
        <w:rPr>
          <w:color w:val="000000"/>
          <w:sz w:val="32"/>
          <w:szCs w:val="32"/>
        </w:rPr>
      </w:pPr>
      <w:r>
        <w:rPr>
          <w:color w:val="000000"/>
          <w:sz w:val="32"/>
          <w:szCs w:val="32"/>
        </w:rPr>
        <w:t>33.</w:t>
      </w:r>
      <w:r w:rsidR="00867027" w:rsidRPr="00AC39BF">
        <w:rPr>
          <w:color w:val="000000"/>
          <w:sz w:val="32"/>
          <w:szCs w:val="32"/>
        </w:rPr>
        <w:t>Fang, M. and Gerhart, B. (2012) ‘Does pay-for-performance diminish intrinsic interest?’,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International Journal of Human Resource Management</w:t>
      </w:r>
      <w:r w:rsidR="00867027" w:rsidRPr="00AC39BF">
        <w:rPr>
          <w:color w:val="000000"/>
          <w:sz w:val="32"/>
          <w:szCs w:val="32"/>
        </w:rPr>
        <w:t>, 23(6), pp. 1176–1196.</w:t>
      </w:r>
    </w:p>
    <w:p w14:paraId="7B3E3A7E" w14:textId="12D2935B" w:rsidR="00867027" w:rsidRPr="00AC39BF" w:rsidRDefault="00A8271D" w:rsidP="00A8271D">
      <w:pPr>
        <w:pStyle w:val="NormalWeb"/>
        <w:rPr>
          <w:color w:val="000000"/>
          <w:sz w:val="32"/>
          <w:szCs w:val="32"/>
        </w:rPr>
      </w:pPr>
      <w:r>
        <w:rPr>
          <w:color w:val="000000"/>
          <w:sz w:val="32"/>
          <w:szCs w:val="32"/>
        </w:rPr>
        <w:t>34.</w:t>
      </w:r>
      <w:r w:rsidR="00867027" w:rsidRPr="00AC39BF">
        <w:rPr>
          <w:color w:val="000000"/>
          <w:sz w:val="32"/>
          <w:szCs w:val="32"/>
        </w:rPr>
        <w:t>Fulmer, I.S. and Shaw, J.D. (2018) ‘Person-based differences in pay reactions: A compensation-activation theory and integrative conceptual review’,</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Applied Psychology</w:t>
      </w:r>
      <w:r w:rsidR="00867027" w:rsidRPr="00AC39BF">
        <w:rPr>
          <w:color w:val="000000"/>
          <w:sz w:val="32"/>
          <w:szCs w:val="32"/>
        </w:rPr>
        <w:t>, 103(9), p. 939.</w:t>
      </w:r>
    </w:p>
    <w:p w14:paraId="1D56DD80" w14:textId="57F94B71" w:rsidR="00867027" w:rsidRPr="00AC39BF" w:rsidRDefault="00A8271D" w:rsidP="00A8271D">
      <w:pPr>
        <w:pStyle w:val="NormalWeb"/>
        <w:rPr>
          <w:color w:val="000000"/>
          <w:sz w:val="32"/>
          <w:szCs w:val="32"/>
        </w:rPr>
      </w:pPr>
      <w:r>
        <w:rPr>
          <w:color w:val="000000"/>
          <w:sz w:val="32"/>
          <w:szCs w:val="32"/>
        </w:rPr>
        <w:t>35.</w:t>
      </w:r>
      <w:r w:rsidR="00867027" w:rsidRPr="00AC39BF">
        <w:rPr>
          <w:color w:val="000000"/>
          <w:sz w:val="32"/>
          <w:szCs w:val="32"/>
        </w:rPr>
        <w:t>Gagné, M. and Deci, E.L. (2005) ‘Self-determination theory and work motivation’,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Organizational Behavior</w:t>
      </w:r>
      <w:r w:rsidR="00867027" w:rsidRPr="00AC39BF">
        <w:rPr>
          <w:color w:val="000000"/>
          <w:sz w:val="32"/>
          <w:szCs w:val="32"/>
        </w:rPr>
        <w:t>, 26(4), pp. 331–362.</w:t>
      </w:r>
    </w:p>
    <w:p w14:paraId="287C365E" w14:textId="02A22A8F" w:rsidR="00867027" w:rsidRPr="00AC39BF" w:rsidRDefault="00A8271D" w:rsidP="00A8271D">
      <w:pPr>
        <w:pStyle w:val="NormalWeb"/>
        <w:rPr>
          <w:color w:val="000000"/>
          <w:sz w:val="32"/>
          <w:szCs w:val="32"/>
        </w:rPr>
      </w:pPr>
      <w:r>
        <w:rPr>
          <w:color w:val="000000"/>
          <w:sz w:val="32"/>
          <w:szCs w:val="32"/>
        </w:rPr>
        <w:t>36.</w:t>
      </w:r>
      <w:r w:rsidR="00867027" w:rsidRPr="00AC39BF">
        <w:rPr>
          <w:color w:val="000000"/>
          <w:sz w:val="32"/>
          <w:szCs w:val="32"/>
        </w:rPr>
        <w:t>Gagné, M. et al. (2018) ‘Self-determination theory in work organizations: The state of a science’,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Annual Review of Organizational Psychology and Organizational Behavior</w:t>
      </w:r>
      <w:r w:rsidR="00867027" w:rsidRPr="00AC39BF">
        <w:rPr>
          <w:color w:val="000000"/>
          <w:sz w:val="32"/>
          <w:szCs w:val="32"/>
        </w:rPr>
        <w:t>, 5, pp. 19–43.</w:t>
      </w:r>
    </w:p>
    <w:p w14:paraId="403E76D6" w14:textId="76122245" w:rsidR="00867027" w:rsidRPr="00AC39BF" w:rsidRDefault="00A8271D" w:rsidP="00A8271D">
      <w:pPr>
        <w:pStyle w:val="NormalWeb"/>
        <w:rPr>
          <w:color w:val="000000"/>
          <w:sz w:val="32"/>
          <w:szCs w:val="32"/>
        </w:rPr>
      </w:pPr>
      <w:r>
        <w:rPr>
          <w:color w:val="000000"/>
          <w:sz w:val="32"/>
          <w:szCs w:val="32"/>
        </w:rPr>
        <w:t>37.</w:t>
      </w:r>
      <w:r w:rsidR="00867027" w:rsidRPr="00AC39BF">
        <w:rPr>
          <w:color w:val="000000"/>
          <w:sz w:val="32"/>
          <w:szCs w:val="32"/>
        </w:rPr>
        <w:t>Garbers, Y. and Konradt, U. (2014) ‘The effect of financial incentives on performance: A quantitative review of individual and team-based financial incentives’,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Occupational and Organizational Psychology</w:t>
      </w:r>
      <w:r w:rsidR="00867027" w:rsidRPr="00AC39BF">
        <w:rPr>
          <w:color w:val="000000"/>
          <w:sz w:val="32"/>
          <w:szCs w:val="32"/>
        </w:rPr>
        <w:t>, 87(1), pp. 102–137.</w:t>
      </w:r>
    </w:p>
    <w:p w14:paraId="3761BC8B" w14:textId="6566510C" w:rsidR="00867027" w:rsidRPr="00AC39BF" w:rsidRDefault="00A8271D" w:rsidP="00A8271D">
      <w:pPr>
        <w:pStyle w:val="NormalWeb"/>
        <w:rPr>
          <w:color w:val="000000"/>
          <w:sz w:val="32"/>
          <w:szCs w:val="32"/>
        </w:rPr>
      </w:pPr>
      <w:r>
        <w:rPr>
          <w:color w:val="000000"/>
          <w:sz w:val="32"/>
          <w:szCs w:val="32"/>
        </w:rPr>
        <w:t>38.</w:t>
      </w:r>
      <w:r w:rsidR="00867027" w:rsidRPr="00AC39BF">
        <w:rPr>
          <w:color w:val="000000"/>
          <w:sz w:val="32"/>
          <w:szCs w:val="32"/>
        </w:rPr>
        <w:t>Gerhart, B. (2017) ‘Incentives and pay for performance in the workplace’,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Advances in Human Resource Management</w:t>
      </w:r>
      <w:r w:rsidR="00867027" w:rsidRPr="00AC39BF">
        <w:rPr>
          <w:color w:val="000000"/>
          <w:sz w:val="32"/>
          <w:szCs w:val="32"/>
        </w:rPr>
        <w:t>, 18, pp. 91–113.</w:t>
      </w:r>
    </w:p>
    <w:p w14:paraId="3B8B014E" w14:textId="47299EFA" w:rsidR="00867027" w:rsidRPr="00AC39BF" w:rsidRDefault="003856CA" w:rsidP="003856CA">
      <w:pPr>
        <w:pStyle w:val="NormalWeb"/>
        <w:rPr>
          <w:color w:val="000000"/>
          <w:sz w:val="32"/>
          <w:szCs w:val="32"/>
        </w:rPr>
      </w:pPr>
      <w:r>
        <w:rPr>
          <w:color w:val="000000"/>
          <w:sz w:val="32"/>
          <w:szCs w:val="32"/>
        </w:rPr>
        <w:t>39.</w:t>
      </w:r>
      <w:r w:rsidR="00867027" w:rsidRPr="00AC39BF">
        <w:rPr>
          <w:color w:val="000000"/>
          <w:sz w:val="32"/>
          <w:szCs w:val="32"/>
        </w:rPr>
        <w:t>Gerhart, B. and Fang, M. (2014) ‘Pay for individual performance: Issues, claims, evidence and the role of sorting effects’,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Human Resource Management Review</w:t>
      </w:r>
      <w:r w:rsidR="00867027" w:rsidRPr="00AC39BF">
        <w:rPr>
          <w:color w:val="000000"/>
          <w:sz w:val="32"/>
          <w:szCs w:val="32"/>
        </w:rPr>
        <w:t>, 24(1), pp. 45–63.</w:t>
      </w:r>
    </w:p>
    <w:p w14:paraId="5EBDDAE3" w14:textId="792B0494" w:rsidR="00867027" w:rsidRPr="00AC39BF" w:rsidRDefault="003856CA" w:rsidP="003856CA">
      <w:pPr>
        <w:pStyle w:val="NormalWeb"/>
        <w:rPr>
          <w:color w:val="000000"/>
          <w:sz w:val="32"/>
          <w:szCs w:val="32"/>
        </w:rPr>
      </w:pPr>
      <w:r>
        <w:rPr>
          <w:color w:val="000000"/>
          <w:sz w:val="32"/>
          <w:szCs w:val="32"/>
        </w:rPr>
        <w:lastRenderedPageBreak/>
        <w:t>40.</w:t>
      </w:r>
      <w:r w:rsidR="00867027" w:rsidRPr="00AC39BF">
        <w:rPr>
          <w:color w:val="000000"/>
          <w:sz w:val="32"/>
          <w:szCs w:val="32"/>
        </w:rPr>
        <w:t>Gerhart, B. and Fang, M. (2015) ‘Pay, intrinsic motivation, extrinsic motivation, performance, and creativity in the workplace: Revisiting long-held beliefs’,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Annual Review of Organizational Psychology and Organizational Behavior</w:t>
      </w:r>
      <w:r w:rsidR="00867027" w:rsidRPr="00AC39BF">
        <w:rPr>
          <w:color w:val="000000"/>
          <w:sz w:val="32"/>
          <w:szCs w:val="32"/>
        </w:rPr>
        <w:t>, 2, pp. 489–521.</w:t>
      </w:r>
    </w:p>
    <w:p w14:paraId="3483103B" w14:textId="53DC99D3" w:rsidR="00867027" w:rsidRPr="00AC39BF" w:rsidRDefault="003856CA" w:rsidP="003856CA">
      <w:pPr>
        <w:pStyle w:val="NormalWeb"/>
        <w:rPr>
          <w:color w:val="000000"/>
          <w:sz w:val="32"/>
          <w:szCs w:val="32"/>
        </w:rPr>
      </w:pPr>
      <w:r>
        <w:rPr>
          <w:color w:val="000000"/>
          <w:sz w:val="32"/>
          <w:szCs w:val="32"/>
        </w:rPr>
        <w:t>41.</w:t>
      </w:r>
      <w:r w:rsidR="00867027" w:rsidRPr="00AC39BF">
        <w:rPr>
          <w:color w:val="000000"/>
          <w:sz w:val="32"/>
          <w:szCs w:val="32"/>
        </w:rPr>
        <w:t>Gerhart, B. and Milkovich, G.T. (1990) ‘Organizational and human resource factors in compensation management’,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Research in Personnel and Human Resources Management</w:t>
      </w:r>
      <w:r w:rsidR="00867027" w:rsidRPr="00AC39BF">
        <w:rPr>
          <w:color w:val="000000"/>
          <w:sz w:val="32"/>
          <w:szCs w:val="32"/>
        </w:rPr>
        <w:t>, 8, pp. 1–40.</w:t>
      </w:r>
    </w:p>
    <w:p w14:paraId="23127224" w14:textId="030E2C7B" w:rsidR="00867027" w:rsidRPr="00AC39BF" w:rsidRDefault="003856CA" w:rsidP="003856CA">
      <w:pPr>
        <w:pStyle w:val="NormalWeb"/>
        <w:rPr>
          <w:color w:val="000000"/>
          <w:sz w:val="32"/>
          <w:szCs w:val="32"/>
        </w:rPr>
      </w:pPr>
      <w:r>
        <w:rPr>
          <w:color w:val="000000"/>
          <w:sz w:val="32"/>
          <w:szCs w:val="32"/>
        </w:rPr>
        <w:t>42.</w:t>
      </w:r>
      <w:r w:rsidR="00867027" w:rsidRPr="00AC39BF">
        <w:rPr>
          <w:color w:val="000000"/>
          <w:sz w:val="32"/>
          <w:szCs w:val="32"/>
        </w:rPr>
        <w:t>Gerhart, B. and Rynes, S.L. (2003)</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Compensation: Theory, Evidence, and Strategic Implications</w:t>
      </w:r>
      <w:r w:rsidR="00867027" w:rsidRPr="00AC39BF">
        <w:rPr>
          <w:color w:val="000000"/>
          <w:sz w:val="32"/>
          <w:szCs w:val="32"/>
        </w:rPr>
        <w:t>. Thousand Oaks, CA: Sage.</w:t>
      </w:r>
    </w:p>
    <w:p w14:paraId="15B1863A" w14:textId="77CB538A" w:rsidR="00867027" w:rsidRPr="00AC39BF" w:rsidRDefault="003856CA" w:rsidP="003856CA">
      <w:pPr>
        <w:pStyle w:val="NormalWeb"/>
        <w:rPr>
          <w:color w:val="000000"/>
          <w:sz w:val="32"/>
          <w:szCs w:val="32"/>
        </w:rPr>
      </w:pPr>
      <w:r>
        <w:rPr>
          <w:color w:val="000000"/>
          <w:sz w:val="32"/>
          <w:szCs w:val="32"/>
        </w:rPr>
        <w:t>43.</w:t>
      </w:r>
      <w:r w:rsidR="00867027" w:rsidRPr="00AC39BF">
        <w:rPr>
          <w:color w:val="000000"/>
          <w:sz w:val="32"/>
          <w:szCs w:val="32"/>
        </w:rPr>
        <w:t>Gerhart, B. and Rynes, S.L. (2003) ‘Pay basis: Theories of motivation and pay for performance’, in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Compensation: Theory, Evidence, and Strategic Implications</w:t>
      </w:r>
      <w:r w:rsidR="00867027" w:rsidRPr="00AC39BF">
        <w:rPr>
          <w:color w:val="000000"/>
          <w:sz w:val="32"/>
          <w:szCs w:val="32"/>
        </w:rPr>
        <w:t>. Thousand Oaks, CA: Sage, pp. 115–164.</w:t>
      </w:r>
    </w:p>
    <w:p w14:paraId="56772CEB" w14:textId="42C61E8E" w:rsidR="00867027" w:rsidRPr="00AC39BF" w:rsidRDefault="003856CA" w:rsidP="003856CA">
      <w:pPr>
        <w:pStyle w:val="NormalWeb"/>
        <w:rPr>
          <w:color w:val="000000"/>
          <w:sz w:val="32"/>
          <w:szCs w:val="32"/>
        </w:rPr>
      </w:pPr>
      <w:r>
        <w:rPr>
          <w:color w:val="000000"/>
          <w:sz w:val="32"/>
          <w:szCs w:val="32"/>
        </w:rPr>
        <w:t>44.</w:t>
      </w:r>
      <w:r w:rsidR="00867027" w:rsidRPr="00AC39BF">
        <w:rPr>
          <w:color w:val="000000"/>
          <w:sz w:val="32"/>
          <w:szCs w:val="32"/>
        </w:rPr>
        <w:t xml:space="preserve">Gerhart, B., Kim, J.H. and He, S. (2026) ‘How important is pay and what are the effects (positive and negative) of pay for </w:t>
      </w:r>
      <w:proofErr w:type="gramStart"/>
      <w:r w:rsidR="00867027" w:rsidRPr="00AC39BF">
        <w:rPr>
          <w:color w:val="000000"/>
          <w:sz w:val="32"/>
          <w:szCs w:val="32"/>
        </w:rPr>
        <w:t>performance?:</w:t>
      </w:r>
      <w:proofErr w:type="gramEnd"/>
      <w:r w:rsidR="00867027" w:rsidRPr="00AC39BF">
        <w:rPr>
          <w:color w:val="000000"/>
          <w:sz w:val="32"/>
          <w:szCs w:val="32"/>
        </w:rPr>
        <w:t xml:space="preserve"> Evaluating claims and evidence’,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Human Resource Management</w:t>
      </w:r>
      <w:r w:rsidR="00867027" w:rsidRPr="00AC39BF">
        <w:rPr>
          <w:color w:val="000000"/>
          <w:sz w:val="32"/>
          <w:szCs w:val="32"/>
        </w:rPr>
        <w:t>, 65(2), pp. 531–559.</w:t>
      </w:r>
    </w:p>
    <w:p w14:paraId="35032902" w14:textId="44158BCB" w:rsidR="00867027" w:rsidRPr="00AC39BF" w:rsidRDefault="003856CA" w:rsidP="003856CA">
      <w:pPr>
        <w:pStyle w:val="NormalWeb"/>
        <w:rPr>
          <w:color w:val="000000"/>
          <w:sz w:val="32"/>
          <w:szCs w:val="32"/>
        </w:rPr>
      </w:pPr>
      <w:r>
        <w:rPr>
          <w:color w:val="000000"/>
          <w:sz w:val="32"/>
          <w:szCs w:val="32"/>
        </w:rPr>
        <w:t>45.</w:t>
      </w:r>
      <w:r w:rsidR="00867027" w:rsidRPr="00AC39BF">
        <w:rPr>
          <w:color w:val="000000"/>
          <w:sz w:val="32"/>
          <w:szCs w:val="32"/>
        </w:rPr>
        <w:t>Gerhart, B., Rynes, S.L. and Fulmer, I.S. (2009) ‘Pay and performance: Individuals, groups, and executives’,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Annals</w:t>
      </w:r>
      <w:r w:rsidR="00867027" w:rsidRPr="00AC39BF">
        <w:rPr>
          <w:color w:val="000000"/>
          <w:sz w:val="32"/>
          <w:szCs w:val="32"/>
        </w:rPr>
        <w:t>, 3(1), pp. 251–315.</w:t>
      </w:r>
    </w:p>
    <w:p w14:paraId="5549124F" w14:textId="7C786F0F" w:rsidR="00867027" w:rsidRPr="00AC39BF" w:rsidRDefault="003856CA" w:rsidP="003856CA">
      <w:pPr>
        <w:pStyle w:val="NormalWeb"/>
        <w:rPr>
          <w:color w:val="000000"/>
          <w:sz w:val="32"/>
          <w:szCs w:val="32"/>
        </w:rPr>
      </w:pPr>
      <w:r>
        <w:rPr>
          <w:color w:val="000000"/>
          <w:sz w:val="32"/>
          <w:szCs w:val="32"/>
        </w:rPr>
        <w:t>46.</w:t>
      </w:r>
      <w:r w:rsidR="00867027" w:rsidRPr="00AC39BF">
        <w:rPr>
          <w:color w:val="000000"/>
          <w:sz w:val="32"/>
          <w:szCs w:val="32"/>
        </w:rPr>
        <w:t>Green, C. and Heywood, J.S. (2008) ‘Does performance pay increase job satisfaction?’,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Economica</w:t>
      </w:r>
      <w:r w:rsidR="00867027" w:rsidRPr="00AC39BF">
        <w:rPr>
          <w:color w:val="000000"/>
          <w:sz w:val="32"/>
          <w:szCs w:val="32"/>
        </w:rPr>
        <w:t>, 75(300), pp. 710–728.</w:t>
      </w:r>
    </w:p>
    <w:p w14:paraId="6F503FB5" w14:textId="6947A17B" w:rsidR="00867027" w:rsidRPr="00AC39BF" w:rsidRDefault="003856CA" w:rsidP="003856CA">
      <w:pPr>
        <w:pStyle w:val="NormalWeb"/>
        <w:rPr>
          <w:color w:val="000000"/>
          <w:sz w:val="32"/>
          <w:szCs w:val="32"/>
        </w:rPr>
      </w:pPr>
      <w:r>
        <w:rPr>
          <w:color w:val="000000"/>
          <w:sz w:val="32"/>
          <w:szCs w:val="32"/>
        </w:rPr>
        <w:t>47.</w:t>
      </w:r>
      <w:r w:rsidR="00867027" w:rsidRPr="00AC39BF">
        <w:rPr>
          <w:color w:val="000000"/>
          <w:sz w:val="32"/>
          <w:szCs w:val="32"/>
        </w:rPr>
        <w:t>Guest, D.E. (1997) ‘Human resource management and performance: A review and research agenda’,</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International Journal of Human Resource Management</w:t>
      </w:r>
      <w:r w:rsidR="00867027" w:rsidRPr="00AC39BF">
        <w:rPr>
          <w:color w:val="000000"/>
          <w:sz w:val="32"/>
          <w:szCs w:val="32"/>
        </w:rPr>
        <w:t>, 8(3), pp. 263–276.</w:t>
      </w:r>
    </w:p>
    <w:p w14:paraId="74A8E8E1" w14:textId="75B21A34" w:rsidR="00867027" w:rsidRPr="00AC39BF" w:rsidRDefault="003856CA" w:rsidP="003856CA">
      <w:pPr>
        <w:pStyle w:val="NormalWeb"/>
        <w:rPr>
          <w:color w:val="000000"/>
          <w:sz w:val="32"/>
          <w:szCs w:val="32"/>
        </w:rPr>
      </w:pPr>
      <w:r>
        <w:rPr>
          <w:color w:val="000000"/>
          <w:sz w:val="32"/>
          <w:szCs w:val="32"/>
        </w:rPr>
        <w:lastRenderedPageBreak/>
        <w:t>48.</w:t>
      </w:r>
      <w:r w:rsidR="00867027" w:rsidRPr="00AC39BF">
        <w:rPr>
          <w:color w:val="000000"/>
          <w:sz w:val="32"/>
          <w:szCs w:val="32"/>
        </w:rPr>
        <w:t>Gupta, N., Conroy, S.A. and Delery, J.E. (2012) ‘The many faces of pay dispersion: A review and future research agenda’,</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Research in Personnel and Human Resources Management</w:t>
      </w:r>
      <w:r w:rsidR="00867027" w:rsidRPr="00AC39BF">
        <w:rPr>
          <w:color w:val="000000"/>
          <w:sz w:val="32"/>
          <w:szCs w:val="32"/>
        </w:rPr>
        <w:t>, 31, pp. 1–56.</w:t>
      </w:r>
    </w:p>
    <w:p w14:paraId="0EFAEFC2" w14:textId="7D599402" w:rsidR="00867027" w:rsidRPr="00AC39BF" w:rsidRDefault="003856CA" w:rsidP="003856CA">
      <w:pPr>
        <w:pStyle w:val="NormalWeb"/>
        <w:rPr>
          <w:color w:val="000000"/>
          <w:sz w:val="32"/>
          <w:szCs w:val="32"/>
        </w:rPr>
      </w:pPr>
      <w:r>
        <w:rPr>
          <w:color w:val="000000"/>
          <w:sz w:val="32"/>
          <w:szCs w:val="32"/>
        </w:rPr>
        <w:t>49.</w:t>
      </w:r>
      <w:r w:rsidR="00867027" w:rsidRPr="00AC39BF">
        <w:rPr>
          <w:color w:val="000000"/>
          <w:sz w:val="32"/>
          <w:szCs w:val="32"/>
        </w:rPr>
        <w:t>Gupta, N. and Shaw, J.D. (2014) ‘Employee compensation: The role of pay level and pay structure in employee motivation’,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Organizational Behavior</w:t>
      </w:r>
      <w:r w:rsidR="00867027" w:rsidRPr="00AC39BF">
        <w:rPr>
          <w:color w:val="000000"/>
          <w:sz w:val="32"/>
          <w:szCs w:val="32"/>
        </w:rPr>
        <w:t>, 35(5), pp. 613–628.</w:t>
      </w:r>
    </w:p>
    <w:p w14:paraId="4BCCAE3B" w14:textId="209C8C80" w:rsidR="00867027" w:rsidRPr="00AC39BF" w:rsidRDefault="003856CA" w:rsidP="003856CA">
      <w:pPr>
        <w:pStyle w:val="NormalWeb"/>
        <w:rPr>
          <w:color w:val="000000"/>
          <w:sz w:val="32"/>
          <w:szCs w:val="32"/>
        </w:rPr>
      </w:pPr>
      <w:r>
        <w:rPr>
          <w:color w:val="000000"/>
          <w:sz w:val="32"/>
          <w:szCs w:val="32"/>
        </w:rPr>
        <w:t>50.</w:t>
      </w:r>
      <w:r w:rsidR="00867027" w:rsidRPr="00AC39BF">
        <w:rPr>
          <w:color w:val="000000"/>
          <w:sz w:val="32"/>
          <w:szCs w:val="32"/>
        </w:rPr>
        <w:t>Hackman, J.R. and Oldham, G.R. (1976) ‘Motivation through the design of work: Test of a theory’,</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Organizational Behavior and Human Performance</w:t>
      </w:r>
      <w:r w:rsidR="00867027" w:rsidRPr="00AC39BF">
        <w:rPr>
          <w:color w:val="000000"/>
          <w:sz w:val="32"/>
          <w:szCs w:val="32"/>
        </w:rPr>
        <w:t>, 16(2), pp. 250–279.</w:t>
      </w:r>
    </w:p>
    <w:p w14:paraId="0644F596" w14:textId="5BBED87A" w:rsidR="00867027" w:rsidRPr="00AC39BF" w:rsidRDefault="003856CA" w:rsidP="003856CA">
      <w:pPr>
        <w:pStyle w:val="NormalWeb"/>
        <w:rPr>
          <w:color w:val="000000"/>
          <w:sz w:val="32"/>
          <w:szCs w:val="32"/>
        </w:rPr>
      </w:pPr>
      <w:r>
        <w:rPr>
          <w:color w:val="000000"/>
          <w:sz w:val="32"/>
          <w:szCs w:val="32"/>
        </w:rPr>
        <w:t>51.</w:t>
      </w:r>
      <w:r w:rsidR="00867027" w:rsidRPr="00AC39BF">
        <w:rPr>
          <w:color w:val="000000"/>
          <w:sz w:val="32"/>
          <w:szCs w:val="32"/>
        </w:rPr>
        <w:t>Hackman, J.R. and Oldham, G.R. (1980)</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Work Redesign</w:t>
      </w:r>
      <w:r w:rsidR="00867027" w:rsidRPr="00AC39BF">
        <w:rPr>
          <w:color w:val="000000"/>
          <w:sz w:val="32"/>
          <w:szCs w:val="32"/>
        </w:rPr>
        <w:t>. Reading, MA: Addison-Wesley.</w:t>
      </w:r>
    </w:p>
    <w:p w14:paraId="1E8E4167" w14:textId="35F94C6E" w:rsidR="00867027" w:rsidRPr="00AC39BF" w:rsidRDefault="003856CA" w:rsidP="003856CA">
      <w:pPr>
        <w:pStyle w:val="NormalWeb"/>
        <w:rPr>
          <w:color w:val="000000"/>
          <w:sz w:val="32"/>
          <w:szCs w:val="32"/>
        </w:rPr>
      </w:pPr>
      <w:r>
        <w:rPr>
          <w:color w:val="000000"/>
          <w:sz w:val="32"/>
          <w:szCs w:val="32"/>
        </w:rPr>
        <w:t>52.</w:t>
      </w:r>
      <w:r w:rsidR="00867027" w:rsidRPr="00AC39BF">
        <w:rPr>
          <w:color w:val="000000"/>
          <w:sz w:val="32"/>
          <w:szCs w:val="32"/>
        </w:rPr>
        <w:t>Heneman, H.G. and Judge, T.A. (2000)</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Compensation in Organizations</w:t>
      </w:r>
      <w:r w:rsidR="00867027" w:rsidRPr="00AC39BF">
        <w:rPr>
          <w:color w:val="000000"/>
          <w:sz w:val="32"/>
          <w:szCs w:val="32"/>
        </w:rPr>
        <w:t>. New York: Addison-Wesley.</w:t>
      </w:r>
    </w:p>
    <w:p w14:paraId="526FD1F3" w14:textId="0A6B4884" w:rsidR="00867027" w:rsidRPr="00AC39BF" w:rsidRDefault="003856CA" w:rsidP="003856CA">
      <w:pPr>
        <w:pStyle w:val="NormalWeb"/>
        <w:rPr>
          <w:color w:val="000000"/>
          <w:sz w:val="32"/>
          <w:szCs w:val="32"/>
        </w:rPr>
      </w:pPr>
      <w:r>
        <w:rPr>
          <w:color w:val="000000"/>
          <w:sz w:val="32"/>
          <w:szCs w:val="32"/>
        </w:rPr>
        <w:t>53.</w:t>
      </w:r>
      <w:r w:rsidR="00867027" w:rsidRPr="00AC39BF">
        <w:rPr>
          <w:color w:val="000000"/>
          <w:sz w:val="32"/>
          <w:szCs w:val="32"/>
        </w:rPr>
        <w:t>Herzberg, F., Mausner, B. and Snyderman, B.B. (1959)</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The Motivation to Work</w:t>
      </w:r>
      <w:r w:rsidR="00867027" w:rsidRPr="00AC39BF">
        <w:rPr>
          <w:color w:val="000000"/>
          <w:sz w:val="32"/>
          <w:szCs w:val="32"/>
        </w:rPr>
        <w:t xml:space="preserve">. 2nd </w:t>
      </w:r>
      <w:proofErr w:type="spellStart"/>
      <w:r w:rsidR="00867027" w:rsidRPr="00AC39BF">
        <w:rPr>
          <w:color w:val="000000"/>
          <w:sz w:val="32"/>
          <w:szCs w:val="32"/>
        </w:rPr>
        <w:t>edn</w:t>
      </w:r>
      <w:proofErr w:type="spellEnd"/>
      <w:r w:rsidR="00867027" w:rsidRPr="00AC39BF">
        <w:rPr>
          <w:color w:val="000000"/>
          <w:sz w:val="32"/>
          <w:szCs w:val="32"/>
        </w:rPr>
        <w:t>. New York: Wiley.</w:t>
      </w:r>
    </w:p>
    <w:p w14:paraId="26D646B3" w14:textId="38A161B8" w:rsidR="00867027" w:rsidRPr="00AC39BF" w:rsidRDefault="00BA1660" w:rsidP="00BA1660">
      <w:pPr>
        <w:pStyle w:val="NormalWeb"/>
        <w:rPr>
          <w:color w:val="000000"/>
          <w:sz w:val="32"/>
          <w:szCs w:val="32"/>
        </w:rPr>
      </w:pPr>
      <w:r>
        <w:rPr>
          <w:color w:val="000000"/>
          <w:sz w:val="32"/>
          <w:szCs w:val="32"/>
        </w:rPr>
        <w:t>54.</w:t>
      </w:r>
      <w:r w:rsidR="00867027" w:rsidRPr="00AC39BF">
        <w:rPr>
          <w:color w:val="000000"/>
          <w:sz w:val="32"/>
          <w:szCs w:val="32"/>
        </w:rPr>
        <w:t>Herzberg, F. (1968) ‘One more time: How do you motivate employees?’,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Harvard Business Review</w:t>
      </w:r>
      <w:r w:rsidR="00867027" w:rsidRPr="00AC39BF">
        <w:rPr>
          <w:color w:val="000000"/>
          <w:sz w:val="32"/>
          <w:szCs w:val="32"/>
        </w:rPr>
        <w:t>, 46(1), pp. 53–62.</w:t>
      </w:r>
    </w:p>
    <w:p w14:paraId="0562F854" w14:textId="56B6D457" w:rsidR="00867027" w:rsidRPr="00AC39BF" w:rsidRDefault="00BA1660" w:rsidP="00BA1660">
      <w:pPr>
        <w:pStyle w:val="NormalWeb"/>
        <w:rPr>
          <w:color w:val="000000"/>
          <w:sz w:val="32"/>
          <w:szCs w:val="32"/>
        </w:rPr>
      </w:pPr>
      <w:r>
        <w:rPr>
          <w:color w:val="000000"/>
          <w:sz w:val="32"/>
          <w:szCs w:val="32"/>
        </w:rPr>
        <w:t>55.</w:t>
      </w:r>
      <w:r w:rsidR="00867027" w:rsidRPr="00AC39BF">
        <w:rPr>
          <w:color w:val="000000"/>
          <w:sz w:val="32"/>
          <w:szCs w:val="32"/>
        </w:rPr>
        <w:t>Huselid, M.A. (1995) ‘The impact of human resource management practices on turnover, productivity, and corporate financial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38(3), pp. 635–672.</w:t>
      </w:r>
    </w:p>
    <w:p w14:paraId="40DD63F1" w14:textId="3500A2B6" w:rsidR="00867027" w:rsidRPr="00AC39BF" w:rsidRDefault="00DF7270" w:rsidP="00DF7270">
      <w:pPr>
        <w:pStyle w:val="NormalWeb"/>
        <w:rPr>
          <w:color w:val="000000"/>
          <w:sz w:val="32"/>
          <w:szCs w:val="32"/>
        </w:rPr>
      </w:pPr>
      <w:r>
        <w:rPr>
          <w:color w:val="000000"/>
          <w:sz w:val="32"/>
          <w:szCs w:val="32"/>
        </w:rPr>
        <w:t>56.</w:t>
      </w:r>
      <w:r w:rsidR="00867027" w:rsidRPr="00AC39BF">
        <w:rPr>
          <w:color w:val="000000"/>
          <w:sz w:val="32"/>
          <w:szCs w:val="32"/>
        </w:rPr>
        <w:t>Jenkins, G.D., Mitra, A., Gupta, N. and Shaw, J.D. (1998) ‘Are financial incentives related to performance? A meta-analytic review of empirical research’,</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Applied Psychology</w:t>
      </w:r>
      <w:r w:rsidR="00867027" w:rsidRPr="00AC39BF">
        <w:rPr>
          <w:color w:val="000000"/>
          <w:sz w:val="32"/>
          <w:szCs w:val="32"/>
        </w:rPr>
        <w:t>, 83(5), pp. 777–787.</w:t>
      </w:r>
    </w:p>
    <w:p w14:paraId="084FDB96" w14:textId="7DDDBEF6" w:rsidR="00867027" w:rsidRPr="00AC39BF" w:rsidRDefault="00DF7270" w:rsidP="00DF7270">
      <w:pPr>
        <w:pStyle w:val="NormalWeb"/>
        <w:rPr>
          <w:color w:val="000000"/>
          <w:sz w:val="32"/>
          <w:szCs w:val="32"/>
        </w:rPr>
      </w:pPr>
      <w:r>
        <w:rPr>
          <w:color w:val="000000"/>
          <w:sz w:val="32"/>
          <w:szCs w:val="32"/>
        </w:rPr>
        <w:lastRenderedPageBreak/>
        <w:t>57.</w:t>
      </w:r>
      <w:r w:rsidR="00867027" w:rsidRPr="00AC39BF">
        <w:rPr>
          <w:color w:val="000000"/>
          <w:sz w:val="32"/>
          <w:szCs w:val="32"/>
        </w:rPr>
        <w:t>Jensen, M.C. and Meckling, W.H. (1976) ‘Theory of the firm: Managerial behavior, agency costs and ownership structure’,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Financial Economics</w:t>
      </w:r>
      <w:r w:rsidR="00867027" w:rsidRPr="00AC39BF">
        <w:rPr>
          <w:color w:val="000000"/>
          <w:sz w:val="32"/>
          <w:szCs w:val="32"/>
        </w:rPr>
        <w:t>, 3(4), pp. 305–360.</w:t>
      </w:r>
    </w:p>
    <w:p w14:paraId="7AA7C475" w14:textId="6B48AB93" w:rsidR="00867027" w:rsidRPr="00AC39BF" w:rsidRDefault="00DF7270" w:rsidP="00DF7270">
      <w:pPr>
        <w:pStyle w:val="NormalWeb"/>
        <w:rPr>
          <w:color w:val="000000"/>
          <w:sz w:val="32"/>
          <w:szCs w:val="32"/>
        </w:rPr>
      </w:pPr>
      <w:r>
        <w:rPr>
          <w:color w:val="000000"/>
          <w:sz w:val="32"/>
          <w:szCs w:val="32"/>
        </w:rPr>
        <w:t>58.</w:t>
      </w:r>
      <w:r w:rsidR="00867027" w:rsidRPr="00AC39BF">
        <w:rPr>
          <w:color w:val="000000"/>
          <w:sz w:val="32"/>
          <w:szCs w:val="32"/>
        </w:rPr>
        <w:t xml:space="preserve">Jensen, M.C. and Murphy, K.J. (1990) ‘Performance </w:t>
      </w:r>
      <w:proofErr w:type="gramStart"/>
      <w:r w:rsidR="00867027" w:rsidRPr="00AC39BF">
        <w:rPr>
          <w:color w:val="000000"/>
          <w:sz w:val="32"/>
          <w:szCs w:val="32"/>
        </w:rPr>
        <w:t>pay</w:t>
      </w:r>
      <w:proofErr w:type="gramEnd"/>
      <w:r w:rsidR="00867027" w:rsidRPr="00AC39BF">
        <w:rPr>
          <w:color w:val="000000"/>
          <w:sz w:val="32"/>
          <w:szCs w:val="32"/>
        </w:rPr>
        <w:t xml:space="preserve"> and top-management incentives’,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Political Economy</w:t>
      </w:r>
      <w:r w:rsidR="00867027" w:rsidRPr="00AC39BF">
        <w:rPr>
          <w:color w:val="000000"/>
          <w:sz w:val="32"/>
          <w:szCs w:val="32"/>
        </w:rPr>
        <w:t>, 98(2), pp. 225–264.</w:t>
      </w:r>
    </w:p>
    <w:p w14:paraId="1128BAD6" w14:textId="13390E3C" w:rsidR="00867027" w:rsidRPr="00AC39BF" w:rsidRDefault="00604C52" w:rsidP="00604C52">
      <w:pPr>
        <w:pStyle w:val="NormalWeb"/>
        <w:rPr>
          <w:color w:val="000000"/>
          <w:sz w:val="32"/>
          <w:szCs w:val="32"/>
        </w:rPr>
      </w:pPr>
      <w:r>
        <w:rPr>
          <w:color w:val="000000"/>
          <w:sz w:val="32"/>
          <w:szCs w:val="32"/>
        </w:rPr>
        <w:t>59.</w:t>
      </w:r>
      <w:r w:rsidR="00867027" w:rsidRPr="00AC39BF">
        <w:rPr>
          <w:color w:val="000000"/>
          <w:sz w:val="32"/>
          <w:szCs w:val="32"/>
        </w:rPr>
        <w:t>John, G. and Weitz, B.A. (1989) ‘Salesforce compensation: An empirical investigation of factors influencing plan design’,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Marketing Research</w:t>
      </w:r>
      <w:r w:rsidR="00867027" w:rsidRPr="00AC39BF">
        <w:rPr>
          <w:color w:val="000000"/>
          <w:sz w:val="32"/>
          <w:szCs w:val="32"/>
        </w:rPr>
        <w:t>, 26(3), pp. 324–336.</w:t>
      </w:r>
    </w:p>
    <w:p w14:paraId="629460CF" w14:textId="6C048DEA" w:rsidR="00867027" w:rsidRPr="00AC39BF" w:rsidRDefault="00604C52" w:rsidP="00604C52">
      <w:pPr>
        <w:pStyle w:val="NormalWeb"/>
        <w:rPr>
          <w:color w:val="000000"/>
          <w:sz w:val="32"/>
          <w:szCs w:val="32"/>
        </w:rPr>
      </w:pPr>
      <w:r>
        <w:rPr>
          <w:color w:val="000000"/>
          <w:sz w:val="32"/>
          <w:szCs w:val="32"/>
        </w:rPr>
        <w:t>60.</w:t>
      </w:r>
      <w:r w:rsidR="00867027" w:rsidRPr="00AC39BF">
        <w:rPr>
          <w:color w:val="000000"/>
          <w:sz w:val="32"/>
          <w:szCs w:val="32"/>
        </w:rPr>
        <w:t>Judge, T.A., Thoresen, C.J., Bono, J.E. and Patton, G.K. (2001) ‘The job satisfaction–job performance relationship: A qualitative and quantitative review’,</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Psychological Bulletin</w:t>
      </w:r>
      <w:r w:rsidR="00867027" w:rsidRPr="00AC39BF">
        <w:rPr>
          <w:color w:val="000000"/>
          <w:sz w:val="32"/>
          <w:szCs w:val="32"/>
        </w:rPr>
        <w:t>, 127(3), pp. 376–407.</w:t>
      </w:r>
    </w:p>
    <w:p w14:paraId="7152C076" w14:textId="625D346B" w:rsidR="00867027" w:rsidRPr="00AC39BF" w:rsidRDefault="00604C52" w:rsidP="00604C52">
      <w:pPr>
        <w:pStyle w:val="NormalWeb"/>
        <w:rPr>
          <w:color w:val="000000"/>
          <w:sz w:val="32"/>
          <w:szCs w:val="32"/>
        </w:rPr>
      </w:pPr>
      <w:r>
        <w:rPr>
          <w:color w:val="000000"/>
          <w:sz w:val="32"/>
          <w:szCs w:val="32"/>
        </w:rPr>
        <w:t>61.</w:t>
      </w:r>
      <w:r w:rsidR="00867027" w:rsidRPr="00AC39BF">
        <w:rPr>
          <w:color w:val="000000"/>
          <w:sz w:val="32"/>
          <w:szCs w:val="32"/>
        </w:rPr>
        <w:t>Kahn, W.A. (1990) ‘Psychological conditions of personal engagement and disengagement at work’,</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33(4), pp. 692–724.</w:t>
      </w:r>
    </w:p>
    <w:p w14:paraId="0EAE51DA" w14:textId="15B8DD27" w:rsidR="00867027" w:rsidRPr="00AC39BF" w:rsidRDefault="00604C52" w:rsidP="00604C52">
      <w:pPr>
        <w:pStyle w:val="NormalWeb"/>
        <w:rPr>
          <w:color w:val="000000"/>
          <w:sz w:val="32"/>
          <w:szCs w:val="32"/>
        </w:rPr>
      </w:pPr>
      <w:r>
        <w:rPr>
          <w:color w:val="000000"/>
          <w:sz w:val="32"/>
          <w:szCs w:val="32"/>
        </w:rPr>
        <w:t>62.</w:t>
      </w:r>
      <w:r w:rsidR="00867027" w:rsidRPr="00AC39BF">
        <w:rPr>
          <w:color w:val="000000"/>
          <w:sz w:val="32"/>
          <w:szCs w:val="32"/>
        </w:rPr>
        <w:t>Kanfer, R., Frese, M. and Johnson, R.E. (2017) ‘Motivation related to work: A century plus of change’,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Annual Review of Organizational Psychology and Organizational Behavior</w:t>
      </w:r>
      <w:r w:rsidR="00867027" w:rsidRPr="00AC39BF">
        <w:rPr>
          <w:color w:val="000000"/>
          <w:sz w:val="32"/>
          <w:szCs w:val="32"/>
        </w:rPr>
        <w:t>, 4, pp. 1–25.</w:t>
      </w:r>
    </w:p>
    <w:p w14:paraId="5086C9B9" w14:textId="1969EBDC" w:rsidR="00867027" w:rsidRPr="00AC39BF" w:rsidRDefault="00604C52" w:rsidP="00604C52">
      <w:pPr>
        <w:pStyle w:val="NormalWeb"/>
        <w:rPr>
          <w:color w:val="000000"/>
          <w:sz w:val="32"/>
          <w:szCs w:val="32"/>
        </w:rPr>
      </w:pPr>
      <w:r>
        <w:rPr>
          <w:color w:val="000000"/>
          <w:sz w:val="32"/>
          <w:szCs w:val="32"/>
        </w:rPr>
        <w:t>63.</w:t>
      </w:r>
      <w:r w:rsidR="00867027" w:rsidRPr="00AC39BF">
        <w:rPr>
          <w:color w:val="000000"/>
          <w:sz w:val="32"/>
          <w:szCs w:val="32"/>
        </w:rPr>
        <w:t xml:space="preserve">Knez, M. and </w:t>
      </w:r>
      <w:proofErr w:type="spellStart"/>
      <w:r w:rsidR="00867027" w:rsidRPr="00AC39BF">
        <w:rPr>
          <w:color w:val="000000"/>
          <w:sz w:val="32"/>
          <w:szCs w:val="32"/>
        </w:rPr>
        <w:t>Simester</w:t>
      </w:r>
      <w:proofErr w:type="spellEnd"/>
      <w:r w:rsidR="00867027" w:rsidRPr="00AC39BF">
        <w:rPr>
          <w:color w:val="000000"/>
          <w:sz w:val="32"/>
          <w:szCs w:val="32"/>
        </w:rPr>
        <w:t>, D. (2001) ‘Firm-wide incentives and individual performance: Evidence from a field experiment’,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Management Science</w:t>
      </w:r>
      <w:r w:rsidR="00867027" w:rsidRPr="00AC39BF">
        <w:rPr>
          <w:color w:val="000000"/>
          <w:sz w:val="32"/>
          <w:szCs w:val="32"/>
        </w:rPr>
        <w:t>, 47(7), pp. 959–969.</w:t>
      </w:r>
    </w:p>
    <w:p w14:paraId="5DF59A84" w14:textId="3A1D20CA" w:rsidR="00867027" w:rsidRPr="00AC39BF" w:rsidRDefault="00604C52" w:rsidP="00604C52">
      <w:pPr>
        <w:pStyle w:val="NormalWeb"/>
        <w:rPr>
          <w:color w:val="000000"/>
          <w:sz w:val="32"/>
          <w:szCs w:val="32"/>
        </w:rPr>
      </w:pPr>
      <w:r>
        <w:rPr>
          <w:color w:val="000000"/>
          <w:sz w:val="32"/>
          <w:szCs w:val="32"/>
        </w:rPr>
        <w:t>64.</w:t>
      </w:r>
      <w:r w:rsidR="00867027" w:rsidRPr="00AC39BF">
        <w:rPr>
          <w:color w:val="000000"/>
          <w:sz w:val="32"/>
          <w:szCs w:val="32"/>
        </w:rPr>
        <w:t>Krafft, M. (1999) ‘An empirical investigation of the antecedents of sales force control systems’,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Marketing</w:t>
      </w:r>
      <w:r w:rsidR="00867027" w:rsidRPr="00AC39BF">
        <w:rPr>
          <w:color w:val="000000"/>
          <w:sz w:val="32"/>
          <w:szCs w:val="32"/>
        </w:rPr>
        <w:t>, 63(2), pp. 120–134.</w:t>
      </w:r>
    </w:p>
    <w:p w14:paraId="3235B1C4" w14:textId="0C1BADB7" w:rsidR="00867027" w:rsidRPr="00AC39BF" w:rsidRDefault="00604C52" w:rsidP="00604C52">
      <w:pPr>
        <w:pStyle w:val="NormalWeb"/>
        <w:rPr>
          <w:color w:val="000000"/>
          <w:sz w:val="32"/>
          <w:szCs w:val="32"/>
        </w:rPr>
      </w:pPr>
      <w:r>
        <w:rPr>
          <w:color w:val="000000"/>
          <w:sz w:val="32"/>
          <w:szCs w:val="32"/>
        </w:rPr>
        <w:t>65.</w:t>
      </w:r>
      <w:r w:rsidR="00867027" w:rsidRPr="00AC39BF">
        <w:rPr>
          <w:color w:val="000000"/>
          <w:sz w:val="32"/>
          <w:szCs w:val="32"/>
        </w:rPr>
        <w:t xml:space="preserve">Kuvaas, B., Buch, R., </w:t>
      </w:r>
      <w:proofErr w:type="spellStart"/>
      <w:r w:rsidR="00867027" w:rsidRPr="00AC39BF">
        <w:rPr>
          <w:color w:val="000000"/>
          <w:sz w:val="32"/>
          <w:szCs w:val="32"/>
        </w:rPr>
        <w:t>Dysvik</w:t>
      </w:r>
      <w:proofErr w:type="spellEnd"/>
      <w:r w:rsidR="00867027" w:rsidRPr="00AC39BF">
        <w:rPr>
          <w:color w:val="000000"/>
          <w:sz w:val="32"/>
          <w:szCs w:val="32"/>
        </w:rPr>
        <w:t xml:space="preserve">, A. and </w:t>
      </w:r>
      <w:proofErr w:type="spellStart"/>
      <w:r w:rsidR="00867027" w:rsidRPr="00AC39BF">
        <w:rPr>
          <w:color w:val="000000"/>
          <w:sz w:val="32"/>
          <w:szCs w:val="32"/>
        </w:rPr>
        <w:t>Haerem</w:t>
      </w:r>
      <w:proofErr w:type="spellEnd"/>
      <w:r w:rsidR="00867027" w:rsidRPr="00AC39BF">
        <w:rPr>
          <w:color w:val="000000"/>
          <w:sz w:val="32"/>
          <w:szCs w:val="32"/>
        </w:rPr>
        <w:t>, T. (2016) ‘The effects of performance-based pay on employee attitudes and behaviors’,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Human Resource Management Journal</w:t>
      </w:r>
      <w:r w:rsidR="00867027" w:rsidRPr="00AC39BF">
        <w:rPr>
          <w:color w:val="000000"/>
          <w:sz w:val="32"/>
          <w:szCs w:val="32"/>
        </w:rPr>
        <w:t>, 26(1), pp. 1–17.</w:t>
      </w:r>
    </w:p>
    <w:p w14:paraId="50F170B0" w14:textId="5BA92073" w:rsidR="00867027" w:rsidRPr="00AC39BF" w:rsidRDefault="00604C52" w:rsidP="00604C52">
      <w:pPr>
        <w:pStyle w:val="NormalWeb"/>
        <w:rPr>
          <w:color w:val="000000"/>
          <w:sz w:val="32"/>
          <w:szCs w:val="32"/>
        </w:rPr>
      </w:pPr>
      <w:r>
        <w:rPr>
          <w:color w:val="000000"/>
          <w:sz w:val="32"/>
          <w:szCs w:val="32"/>
        </w:rPr>
        <w:lastRenderedPageBreak/>
        <w:t>66.</w:t>
      </w:r>
      <w:r w:rsidR="00867027" w:rsidRPr="00AC39BF">
        <w:rPr>
          <w:color w:val="000000"/>
          <w:sz w:val="32"/>
          <w:szCs w:val="32"/>
        </w:rPr>
        <w:t xml:space="preserve">Kuvaas, B., Buch, R. and </w:t>
      </w:r>
      <w:proofErr w:type="spellStart"/>
      <w:r w:rsidR="00867027" w:rsidRPr="00AC39BF">
        <w:rPr>
          <w:color w:val="000000"/>
          <w:sz w:val="32"/>
          <w:szCs w:val="32"/>
        </w:rPr>
        <w:t>Dysvik</w:t>
      </w:r>
      <w:proofErr w:type="spellEnd"/>
      <w:r w:rsidR="00867027" w:rsidRPr="00AC39BF">
        <w:rPr>
          <w:color w:val="000000"/>
          <w:sz w:val="32"/>
          <w:szCs w:val="32"/>
        </w:rPr>
        <w:t>, A. (2025) ‘Performance pay and employee outcomes: The mediating roles of controlling and informational perceptions of pay’,</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Occupational and Organizational Psychology</w:t>
      </w:r>
      <w:r w:rsidR="00867027" w:rsidRPr="00AC39BF">
        <w:rPr>
          <w:color w:val="000000"/>
          <w:sz w:val="32"/>
          <w:szCs w:val="32"/>
        </w:rPr>
        <w:t>.</w:t>
      </w:r>
    </w:p>
    <w:p w14:paraId="283E07AC" w14:textId="1D1BCBE1" w:rsidR="00867027" w:rsidRPr="00AC39BF" w:rsidRDefault="00604C52" w:rsidP="00604C52">
      <w:pPr>
        <w:pStyle w:val="NormalWeb"/>
        <w:rPr>
          <w:color w:val="000000"/>
          <w:sz w:val="32"/>
          <w:szCs w:val="32"/>
        </w:rPr>
      </w:pPr>
      <w:r>
        <w:rPr>
          <w:color w:val="000000"/>
          <w:sz w:val="32"/>
          <w:szCs w:val="32"/>
        </w:rPr>
        <w:t>67.</w:t>
      </w:r>
      <w:r w:rsidR="00867027" w:rsidRPr="00AC39BF">
        <w:rPr>
          <w:color w:val="000000"/>
          <w:sz w:val="32"/>
          <w:szCs w:val="32"/>
        </w:rPr>
        <w:t>Lazear, E.P. (1986) ‘Salaries and piece rates’,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Business</w:t>
      </w:r>
      <w:r w:rsidR="00867027" w:rsidRPr="00AC39BF">
        <w:rPr>
          <w:color w:val="000000"/>
          <w:sz w:val="32"/>
          <w:szCs w:val="32"/>
        </w:rPr>
        <w:t>, 59(3), pp. 405–431.</w:t>
      </w:r>
    </w:p>
    <w:p w14:paraId="6EB92806" w14:textId="23B9E6D7" w:rsidR="00867027" w:rsidRPr="00AC39BF" w:rsidRDefault="00604C52" w:rsidP="00604C52">
      <w:pPr>
        <w:pStyle w:val="NormalWeb"/>
        <w:rPr>
          <w:color w:val="000000"/>
          <w:sz w:val="32"/>
          <w:szCs w:val="32"/>
        </w:rPr>
      </w:pPr>
      <w:r>
        <w:rPr>
          <w:color w:val="000000"/>
          <w:sz w:val="32"/>
          <w:szCs w:val="32"/>
        </w:rPr>
        <w:t>68.</w:t>
      </w:r>
      <w:r w:rsidR="00867027" w:rsidRPr="00AC39BF">
        <w:rPr>
          <w:color w:val="000000"/>
          <w:sz w:val="32"/>
          <w:szCs w:val="32"/>
        </w:rPr>
        <w:t>Lazear, E.P. (1989) ‘Why do firms pay for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Political Economy</w:t>
      </w:r>
      <w:r w:rsidR="00867027" w:rsidRPr="00AC39BF">
        <w:rPr>
          <w:color w:val="000000"/>
          <w:sz w:val="32"/>
          <w:szCs w:val="32"/>
        </w:rPr>
        <w:t>, 97(6), pp. 1261–1284.</w:t>
      </w:r>
    </w:p>
    <w:p w14:paraId="50416684" w14:textId="05568B0B" w:rsidR="00867027" w:rsidRPr="00AC39BF" w:rsidRDefault="00604C52" w:rsidP="00604C52">
      <w:pPr>
        <w:pStyle w:val="NormalWeb"/>
        <w:rPr>
          <w:color w:val="000000"/>
          <w:sz w:val="32"/>
          <w:szCs w:val="32"/>
        </w:rPr>
      </w:pPr>
      <w:r>
        <w:rPr>
          <w:color w:val="000000"/>
          <w:sz w:val="32"/>
          <w:szCs w:val="32"/>
        </w:rPr>
        <w:t>69.</w:t>
      </w:r>
      <w:r w:rsidR="00867027" w:rsidRPr="00AC39BF">
        <w:rPr>
          <w:color w:val="000000"/>
          <w:sz w:val="32"/>
          <w:szCs w:val="32"/>
        </w:rPr>
        <w:t>Lazear, E.P. (2000) ‘Performance pay and productivity’,</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Economic Review</w:t>
      </w:r>
      <w:r w:rsidR="00867027" w:rsidRPr="00AC39BF">
        <w:rPr>
          <w:color w:val="000000"/>
          <w:sz w:val="32"/>
          <w:szCs w:val="32"/>
        </w:rPr>
        <w:t>, 90(5), pp. 1346–1361.</w:t>
      </w:r>
    </w:p>
    <w:p w14:paraId="7806A500" w14:textId="0F2F4B16" w:rsidR="00867027" w:rsidRPr="00AC39BF" w:rsidRDefault="00CD1B7E" w:rsidP="00604C52">
      <w:pPr>
        <w:pStyle w:val="NormalWeb"/>
        <w:rPr>
          <w:color w:val="000000"/>
          <w:sz w:val="32"/>
          <w:szCs w:val="32"/>
        </w:rPr>
      </w:pPr>
      <w:r>
        <w:rPr>
          <w:color w:val="000000"/>
          <w:sz w:val="32"/>
          <w:szCs w:val="32"/>
        </w:rPr>
        <w:t>70.</w:t>
      </w:r>
      <w:r w:rsidR="00867027" w:rsidRPr="00AC39BF">
        <w:rPr>
          <w:color w:val="000000"/>
          <w:sz w:val="32"/>
          <w:szCs w:val="32"/>
        </w:rPr>
        <w:t>Lazear, E.P. (2000) ‘The power of incentives’,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Economic Review</w:t>
      </w:r>
      <w:r w:rsidR="00867027" w:rsidRPr="00AC39BF">
        <w:rPr>
          <w:color w:val="000000"/>
          <w:sz w:val="32"/>
          <w:szCs w:val="32"/>
        </w:rPr>
        <w:t>, 90(2), pp. 410–414.</w:t>
      </w:r>
    </w:p>
    <w:p w14:paraId="31F4E30B" w14:textId="658F70F2" w:rsidR="00867027" w:rsidRPr="00AC39BF" w:rsidRDefault="00CD1B7E" w:rsidP="00CD1B7E">
      <w:pPr>
        <w:pStyle w:val="NormalWeb"/>
        <w:rPr>
          <w:color w:val="000000"/>
          <w:sz w:val="32"/>
          <w:szCs w:val="32"/>
        </w:rPr>
      </w:pPr>
      <w:r>
        <w:rPr>
          <w:color w:val="000000"/>
          <w:sz w:val="32"/>
          <w:szCs w:val="32"/>
        </w:rPr>
        <w:t>71.</w:t>
      </w:r>
      <w:r w:rsidR="00867027" w:rsidRPr="00AC39BF">
        <w:rPr>
          <w:color w:val="000000"/>
          <w:sz w:val="32"/>
          <w:szCs w:val="32"/>
        </w:rPr>
        <w:t>Lazear, E.P. and Rosen, S. (1981) ‘Rank-order tournaments as optimum labor contracts’,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Political Economy</w:t>
      </w:r>
      <w:r w:rsidR="00867027" w:rsidRPr="00AC39BF">
        <w:rPr>
          <w:color w:val="000000"/>
          <w:sz w:val="32"/>
          <w:szCs w:val="32"/>
        </w:rPr>
        <w:t>, 89(5), pp. 841–864.</w:t>
      </w:r>
    </w:p>
    <w:p w14:paraId="1AB6E228" w14:textId="059BAFDC" w:rsidR="00867027" w:rsidRPr="00AC39BF" w:rsidRDefault="00CD1B7E" w:rsidP="00CD1B7E">
      <w:pPr>
        <w:pStyle w:val="NormalWeb"/>
        <w:rPr>
          <w:color w:val="000000"/>
          <w:sz w:val="32"/>
          <w:szCs w:val="32"/>
        </w:rPr>
      </w:pPr>
      <w:r>
        <w:rPr>
          <w:color w:val="000000"/>
          <w:sz w:val="32"/>
          <w:szCs w:val="32"/>
        </w:rPr>
        <w:t>72.</w:t>
      </w:r>
      <w:r w:rsidR="00867027" w:rsidRPr="00AC39BF">
        <w:rPr>
          <w:color w:val="000000"/>
          <w:sz w:val="32"/>
          <w:szCs w:val="32"/>
        </w:rPr>
        <w:t>Lemieux, T., MacLeod, W.B. and Parent, D. (2009) ‘Performance pay and wage inequality’,</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Quarterly Journal of Economics</w:t>
      </w:r>
      <w:r w:rsidR="00867027" w:rsidRPr="00AC39BF">
        <w:rPr>
          <w:color w:val="000000"/>
          <w:sz w:val="32"/>
          <w:szCs w:val="32"/>
        </w:rPr>
        <w:t>, 124(1), pp. 1–49.</w:t>
      </w:r>
    </w:p>
    <w:p w14:paraId="750EE51B" w14:textId="7BDAAB52" w:rsidR="00867027" w:rsidRPr="00AC39BF" w:rsidRDefault="00CD1B7E" w:rsidP="00CD1B7E">
      <w:pPr>
        <w:pStyle w:val="NormalWeb"/>
        <w:rPr>
          <w:color w:val="000000"/>
          <w:sz w:val="32"/>
          <w:szCs w:val="32"/>
        </w:rPr>
      </w:pPr>
      <w:r>
        <w:rPr>
          <w:color w:val="000000"/>
          <w:sz w:val="32"/>
          <w:szCs w:val="32"/>
        </w:rPr>
        <w:t>73.</w:t>
      </w:r>
      <w:r w:rsidR="00867027" w:rsidRPr="00AC39BF">
        <w:rPr>
          <w:color w:val="000000"/>
          <w:sz w:val="32"/>
          <w:szCs w:val="32"/>
        </w:rPr>
        <w:t>Lemieux, T., MacLeod, W.B. and Parent, D. (2009) ‘The incidence and determinants of performance pay’,</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Labor Economics</w:t>
      </w:r>
      <w:r w:rsidR="00867027" w:rsidRPr="00AC39BF">
        <w:rPr>
          <w:color w:val="000000"/>
          <w:sz w:val="32"/>
          <w:szCs w:val="32"/>
        </w:rPr>
        <w:t>, 27(2), pp. 167–188.</w:t>
      </w:r>
    </w:p>
    <w:p w14:paraId="57782F13" w14:textId="0F0BE6D5" w:rsidR="00867027" w:rsidRPr="00AC39BF" w:rsidRDefault="00CD1B7E" w:rsidP="00CD1B7E">
      <w:pPr>
        <w:pStyle w:val="NormalWeb"/>
        <w:rPr>
          <w:color w:val="000000"/>
          <w:sz w:val="32"/>
          <w:szCs w:val="32"/>
        </w:rPr>
      </w:pPr>
      <w:r>
        <w:rPr>
          <w:color w:val="000000"/>
          <w:sz w:val="32"/>
          <w:szCs w:val="32"/>
        </w:rPr>
        <w:t>74.</w:t>
      </w:r>
      <w:r w:rsidR="00867027" w:rsidRPr="00AC39BF">
        <w:rPr>
          <w:color w:val="000000"/>
          <w:sz w:val="32"/>
          <w:szCs w:val="32"/>
        </w:rPr>
        <w:t>Lepak, D.P. and Snell, S.A. (1999) ‘The human resource architecture: Toward a theory of human capital allocation and development’,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Review</w:t>
      </w:r>
      <w:r w:rsidR="00867027" w:rsidRPr="00AC39BF">
        <w:rPr>
          <w:color w:val="000000"/>
          <w:sz w:val="32"/>
          <w:szCs w:val="32"/>
        </w:rPr>
        <w:t>, 24(1), pp. 31–48.</w:t>
      </w:r>
    </w:p>
    <w:p w14:paraId="38B2C5E4" w14:textId="3D45F615" w:rsidR="00867027" w:rsidRPr="00AC39BF" w:rsidRDefault="00CD1B7E" w:rsidP="00CD1B7E">
      <w:pPr>
        <w:pStyle w:val="NormalWeb"/>
        <w:rPr>
          <w:color w:val="000000"/>
          <w:sz w:val="32"/>
          <w:szCs w:val="32"/>
        </w:rPr>
      </w:pPr>
      <w:r>
        <w:rPr>
          <w:color w:val="000000"/>
          <w:sz w:val="32"/>
          <w:szCs w:val="32"/>
        </w:rPr>
        <w:lastRenderedPageBreak/>
        <w:t>75.</w:t>
      </w:r>
      <w:r w:rsidR="00867027" w:rsidRPr="00AC39BF">
        <w:rPr>
          <w:color w:val="000000"/>
          <w:sz w:val="32"/>
          <w:szCs w:val="32"/>
        </w:rPr>
        <w:t>Locke, E.A. and Latham, G.P. (1990)</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 Theory of Goal Setting and Task Performance</w:t>
      </w:r>
      <w:r w:rsidR="00867027" w:rsidRPr="00AC39BF">
        <w:rPr>
          <w:color w:val="000000"/>
          <w:sz w:val="32"/>
          <w:szCs w:val="32"/>
        </w:rPr>
        <w:t>. Englewood Cliffs, NJ: Prentice Hall.</w:t>
      </w:r>
    </w:p>
    <w:p w14:paraId="3D5E9B70" w14:textId="6BDE664D" w:rsidR="00867027" w:rsidRPr="00AC39BF" w:rsidRDefault="00CD1B7E" w:rsidP="00CD1B7E">
      <w:pPr>
        <w:pStyle w:val="NormalWeb"/>
        <w:rPr>
          <w:color w:val="000000"/>
          <w:sz w:val="32"/>
          <w:szCs w:val="32"/>
        </w:rPr>
      </w:pPr>
      <w:r>
        <w:rPr>
          <w:color w:val="000000"/>
          <w:sz w:val="32"/>
          <w:szCs w:val="32"/>
        </w:rPr>
        <w:t>76.</w:t>
      </w:r>
      <w:r w:rsidR="00867027" w:rsidRPr="00AC39BF">
        <w:rPr>
          <w:color w:val="000000"/>
          <w:sz w:val="32"/>
          <w:szCs w:val="32"/>
        </w:rPr>
        <w:t>Locke, E.A. and Latham, G.P. (2002) ‘Building a practically useful theory of goal setting and task motivation: A 35-year odyssey’,</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Psychologist</w:t>
      </w:r>
      <w:r w:rsidR="00867027" w:rsidRPr="00AC39BF">
        <w:rPr>
          <w:color w:val="000000"/>
          <w:sz w:val="32"/>
          <w:szCs w:val="32"/>
        </w:rPr>
        <w:t>, 57(9), pp. 705–717.</w:t>
      </w:r>
    </w:p>
    <w:p w14:paraId="717DE8D5" w14:textId="185CCB0A" w:rsidR="00867027" w:rsidRPr="00AC39BF" w:rsidRDefault="00CD1B7E" w:rsidP="00CD1B7E">
      <w:pPr>
        <w:pStyle w:val="NormalWeb"/>
        <w:rPr>
          <w:color w:val="000000"/>
          <w:sz w:val="32"/>
          <w:szCs w:val="32"/>
        </w:rPr>
      </w:pPr>
      <w:r>
        <w:rPr>
          <w:color w:val="000000"/>
          <w:sz w:val="32"/>
          <w:szCs w:val="32"/>
        </w:rPr>
        <w:t>77.</w:t>
      </w:r>
      <w:r w:rsidR="00867027" w:rsidRPr="00AC39BF">
        <w:rPr>
          <w:color w:val="000000"/>
          <w:sz w:val="32"/>
          <w:szCs w:val="32"/>
        </w:rPr>
        <w:t>Mas, A. and Moretti, E. (2009) ‘Peers at work’,</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Economic Review</w:t>
      </w:r>
      <w:r w:rsidR="00867027" w:rsidRPr="00AC39BF">
        <w:rPr>
          <w:color w:val="000000"/>
          <w:sz w:val="32"/>
          <w:szCs w:val="32"/>
        </w:rPr>
        <w:t>, 99(1), pp. 112–145.</w:t>
      </w:r>
    </w:p>
    <w:p w14:paraId="065A28B8" w14:textId="12E81DAC" w:rsidR="00867027" w:rsidRPr="00AC39BF" w:rsidRDefault="00CD1B7E" w:rsidP="00CD1B7E">
      <w:pPr>
        <w:pStyle w:val="NormalWeb"/>
        <w:rPr>
          <w:color w:val="000000"/>
          <w:sz w:val="32"/>
          <w:szCs w:val="32"/>
        </w:rPr>
      </w:pPr>
      <w:r>
        <w:rPr>
          <w:color w:val="000000"/>
          <w:sz w:val="32"/>
          <w:szCs w:val="32"/>
        </w:rPr>
        <w:t>78.</w:t>
      </w:r>
      <w:r w:rsidR="00867027" w:rsidRPr="00AC39BF">
        <w:rPr>
          <w:color w:val="000000"/>
          <w:sz w:val="32"/>
          <w:szCs w:val="32"/>
        </w:rPr>
        <w:t>Meyer, J.P. and Allen, N.J. (1991) ‘A three-component conceptualization of organizational commitment’,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Human Resource Management Review</w:t>
      </w:r>
      <w:r w:rsidR="00867027" w:rsidRPr="00AC39BF">
        <w:rPr>
          <w:color w:val="000000"/>
          <w:sz w:val="32"/>
          <w:szCs w:val="32"/>
        </w:rPr>
        <w:t>, 1(1), pp. 61–89.</w:t>
      </w:r>
    </w:p>
    <w:p w14:paraId="4BD8DFB4" w14:textId="7B7E291D" w:rsidR="00867027" w:rsidRPr="00AC39BF" w:rsidRDefault="00CD1B7E" w:rsidP="00CD1B7E">
      <w:pPr>
        <w:pStyle w:val="NormalWeb"/>
        <w:rPr>
          <w:color w:val="000000"/>
          <w:sz w:val="32"/>
          <w:szCs w:val="32"/>
        </w:rPr>
      </w:pPr>
      <w:r>
        <w:rPr>
          <w:color w:val="000000"/>
          <w:sz w:val="32"/>
          <w:szCs w:val="32"/>
        </w:rPr>
        <w:t>79.</w:t>
      </w:r>
      <w:r w:rsidR="00867027" w:rsidRPr="00AC39BF">
        <w:rPr>
          <w:color w:val="000000"/>
          <w:sz w:val="32"/>
          <w:szCs w:val="32"/>
        </w:rPr>
        <w:t>Morse, N.C. and Weiss, R.S. (1955) ‘The function and meaning of work and the job’,</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Sociological Review</w:t>
      </w:r>
      <w:r w:rsidR="00867027" w:rsidRPr="00AC39BF">
        <w:rPr>
          <w:color w:val="000000"/>
          <w:sz w:val="32"/>
          <w:szCs w:val="32"/>
        </w:rPr>
        <w:t>, 20(2), pp. 191–198.</w:t>
      </w:r>
    </w:p>
    <w:p w14:paraId="5A0AD375" w14:textId="600638DF" w:rsidR="00867027" w:rsidRPr="00AC39BF" w:rsidRDefault="00CD1B7E" w:rsidP="00CD1B7E">
      <w:pPr>
        <w:pStyle w:val="NormalWeb"/>
        <w:rPr>
          <w:color w:val="000000"/>
          <w:sz w:val="32"/>
          <w:szCs w:val="32"/>
        </w:rPr>
      </w:pPr>
      <w:r>
        <w:rPr>
          <w:color w:val="000000"/>
          <w:sz w:val="32"/>
          <w:szCs w:val="32"/>
        </w:rPr>
        <w:t>80.</w:t>
      </w:r>
      <w:r w:rsidR="00867027" w:rsidRPr="00AC39BF">
        <w:rPr>
          <w:color w:val="000000"/>
          <w:sz w:val="32"/>
          <w:szCs w:val="32"/>
        </w:rPr>
        <w:t>Mowday, R.T., Steers, R.M. and Porter, L.W. (1979) ‘The measurement of organizational commitment’,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Vocational Behavior</w:t>
      </w:r>
      <w:r w:rsidR="00867027" w:rsidRPr="00AC39BF">
        <w:rPr>
          <w:color w:val="000000"/>
          <w:sz w:val="32"/>
          <w:szCs w:val="32"/>
        </w:rPr>
        <w:t>, 14(2), pp. 224–247.</w:t>
      </w:r>
    </w:p>
    <w:p w14:paraId="6C5F0BE3" w14:textId="46469A55" w:rsidR="00867027" w:rsidRPr="00AC39BF" w:rsidRDefault="00CD1B7E" w:rsidP="00CD1B7E">
      <w:pPr>
        <w:pStyle w:val="NormalWeb"/>
        <w:rPr>
          <w:color w:val="000000"/>
          <w:sz w:val="32"/>
          <w:szCs w:val="32"/>
        </w:rPr>
      </w:pPr>
      <w:r>
        <w:rPr>
          <w:color w:val="000000"/>
          <w:sz w:val="32"/>
          <w:szCs w:val="32"/>
        </w:rPr>
        <w:t>81.</w:t>
      </w:r>
      <w:r w:rsidR="00867027" w:rsidRPr="00AC39BF">
        <w:rPr>
          <w:color w:val="000000"/>
          <w:sz w:val="32"/>
          <w:szCs w:val="32"/>
        </w:rPr>
        <w:t>Nyberg, A.J., Pieper, J.R. and Trevor, C.O. (2016) ‘Pay for performance’s effects on future employee outcomes: Integrating psychological and economic perspectives’,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Annual Review of Organizational Psychology and Organizational Behavior</w:t>
      </w:r>
      <w:r w:rsidR="00867027" w:rsidRPr="00AC39BF">
        <w:rPr>
          <w:color w:val="000000"/>
          <w:sz w:val="32"/>
          <w:szCs w:val="32"/>
        </w:rPr>
        <w:t>, 3, pp. 467–489.</w:t>
      </w:r>
    </w:p>
    <w:p w14:paraId="1558023F" w14:textId="74971A9D" w:rsidR="00867027" w:rsidRPr="00AC39BF" w:rsidRDefault="000320DD" w:rsidP="000320DD">
      <w:pPr>
        <w:pStyle w:val="NormalWeb"/>
        <w:rPr>
          <w:color w:val="000000"/>
          <w:sz w:val="32"/>
          <w:szCs w:val="32"/>
        </w:rPr>
      </w:pPr>
      <w:r>
        <w:rPr>
          <w:color w:val="000000"/>
          <w:sz w:val="32"/>
          <w:szCs w:val="32"/>
        </w:rPr>
        <w:t>82.</w:t>
      </w:r>
      <w:r w:rsidR="00867027" w:rsidRPr="00AC39BF">
        <w:rPr>
          <w:color w:val="000000"/>
          <w:sz w:val="32"/>
          <w:szCs w:val="32"/>
        </w:rPr>
        <w:t xml:space="preserve">Olafsen, A.H., </w:t>
      </w:r>
      <w:proofErr w:type="spellStart"/>
      <w:r w:rsidR="00867027" w:rsidRPr="00AC39BF">
        <w:rPr>
          <w:color w:val="000000"/>
          <w:sz w:val="32"/>
          <w:szCs w:val="32"/>
        </w:rPr>
        <w:t>Halvari</w:t>
      </w:r>
      <w:proofErr w:type="spellEnd"/>
      <w:r w:rsidR="00867027" w:rsidRPr="00AC39BF">
        <w:rPr>
          <w:color w:val="000000"/>
          <w:sz w:val="32"/>
          <w:szCs w:val="32"/>
        </w:rPr>
        <w:t>, H., Forest, J. and Deci, E.L. (2015) ‘Show them the money? The role of pay, managerial need support, and justice in a self-determination theory model of intrinsic work motivation’,</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Motivation and Emotion</w:t>
      </w:r>
      <w:r w:rsidR="00867027" w:rsidRPr="00AC39BF">
        <w:rPr>
          <w:color w:val="000000"/>
          <w:sz w:val="32"/>
          <w:szCs w:val="32"/>
        </w:rPr>
        <w:t>, 39, pp. 712–722.</w:t>
      </w:r>
    </w:p>
    <w:p w14:paraId="6C5AEB3F" w14:textId="0A9A8F4F" w:rsidR="00867027" w:rsidRPr="00AC39BF" w:rsidRDefault="000320DD" w:rsidP="000320DD">
      <w:pPr>
        <w:pStyle w:val="NormalWeb"/>
        <w:rPr>
          <w:color w:val="000000"/>
          <w:sz w:val="32"/>
          <w:szCs w:val="32"/>
        </w:rPr>
      </w:pPr>
      <w:r>
        <w:rPr>
          <w:color w:val="000000"/>
          <w:sz w:val="32"/>
          <w:szCs w:val="32"/>
        </w:rPr>
        <w:t>83.</w:t>
      </w:r>
      <w:r w:rsidR="00867027" w:rsidRPr="00AC39BF">
        <w:rPr>
          <w:color w:val="000000"/>
          <w:sz w:val="32"/>
          <w:szCs w:val="32"/>
        </w:rPr>
        <w:t>Paarsch, H.J. and Shearer, B. (2000) ‘Piece rates, fixed wages, and incentive effects: Statistical evidence from payroll records’,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International Economic Review</w:t>
      </w:r>
      <w:r w:rsidR="00867027" w:rsidRPr="00AC39BF">
        <w:rPr>
          <w:color w:val="000000"/>
          <w:sz w:val="32"/>
          <w:szCs w:val="32"/>
        </w:rPr>
        <w:t>, 41(1), pp. 59–92.</w:t>
      </w:r>
    </w:p>
    <w:p w14:paraId="76FFD136" w14:textId="71940A51" w:rsidR="00867027" w:rsidRPr="00AC39BF" w:rsidRDefault="000320DD" w:rsidP="000320DD">
      <w:pPr>
        <w:pStyle w:val="NormalWeb"/>
        <w:rPr>
          <w:color w:val="000000"/>
          <w:sz w:val="32"/>
          <w:szCs w:val="32"/>
        </w:rPr>
      </w:pPr>
      <w:r>
        <w:rPr>
          <w:color w:val="000000"/>
          <w:sz w:val="32"/>
          <w:szCs w:val="32"/>
        </w:rPr>
        <w:lastRenderedPageBreak/>
        <w:t>84.</w:t>
      </w:r>
      <w:r w:rsidR="00867027" w:rsidRPr="00AC39BF">
        <w:rPr>
          <w:color w:val="000000"/>
          <w:sz w:val="32"/>
          <w:szCs w:val="32"/>
        </w:rPr>
        <w:t>Parker, S.K., Morgeson, F.P. and Johns, G. (2017) ‘One hundred years of work design research: Looking back and looking forward’,</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Applied Psychology</w:t>
      </w:r>
      <w:r w:rsidR="00867027" w:rsidRPr="00AC39BF">
        <w:rPr>
          <w:color w:val="000000"/>
          <w:sz w:val="32"/>
          <w:szCs w:val="32"/>
        </w:rPr>
        <w:t>, 102(3), pp. 403–420.</w:t>
      </w:r>
    </w:p>
    <w:p w14:paraId="4F09F23D" w14:textId="14BBBCEF" w:rsidR="00867027" w:rsidRPr="00AC39BF" w:rsidRDefault="00D54AC5" w:rsidP="000320DD">
      <w:pPr>
        <w:pStyle w:val="NormalWeb"/>
        <w:rPr>
          <w:color w:val="000000"/>
          <w:sz w:val="32"/>
          <w:szCs w:val="32"/>
        </w:rPr>
      </w:pPr>
      <w:r>
        <w:rPr>
          <w:color w:val="000000"/>
          <w:sz w:val="32"/>
          <w:szCs w:val="32"/>
        </w:rPr>
        <w:t>85.</w:t>
      </w:r>
      <w:r w:rsidR="00867027" w:rsidRPr="00AC39BF">
        <w:rPr>
          <w:color w:val="000000"/>
          <w:sz w:val="32"/>
          <w:szCs w:val="32"/>
        </w:rPr>
        <w:t>Pinder, C.C. (1998)</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Work Motivation in Organizational Behavior</w:t>
      </w:r>
      <w:r w:rsidR="00867027" w:rsidRPr="00AC39BF">
        <w:rPr>
          <w:color w:val="000000"/>
          <w:sz w:val="32"/>
          <w:szCs w:val="32"/>
        </w:rPr>
        <w:t>. Upper Saddle River, NJ: Prentice Hall.</w:t>
      </w:r>
    </w:p>
    <w:p w14:paraId="4B9EDE1C" w14:textId="2C1F5241" w:rsidR="00867027" w:rsidRPr="00AC39BF" w:rsidRDefault="00D54AC5" w:rsidP="00D54AC5">
      <w:pPr>
        <w:pStyle w:val="NormalWeb"/>
        <w:rPr>
          <w:color w:val="000000"/>
          <w:sz w:val="32"/>
          <w:szCs w:val="32"/>
        </w:rPr>
      </w:pPr>
      <w:r>
        <w:rPr>
          <w:color w:val="000000"/>
          <w:sz w:val="32"/>
          <w:szCs w:val="32"/>
        </w:rPr>
        <w:t>86.</w:t>
      </w:r>
      <w:r w:rsidR="00867027" w:rsidRPr="00AC39BF">
        <w:rPr>
          <w:color w:val="000000"/>
          <w:sz w:val="32"/>
          <w:szCs w:val="32"/>
        </w:rPr>
        <w:t>Pinder, C.C. (2014)</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Work Motivation: Theory, Issues and Applications</w:t>
      </w:r>
      <w:r w:rsidR="00867027" w:rsidRPr="00AC39BF">
        <w:rPr>
          <w:color w:val="000000"/>
          <w:sz w:val="32"/>
          <w:szCs w:val="32"/>
        </w:rPr>
        <w:t>. New York: Psychology Press.</w:t>
      </w:r>
    </w:p>
    <w:p w14:paraId="28BBAABF" w14:textId="2BE41F9B" w:rsidR="00867027" w:rsidRPr="00AC39BF" w:rsidRDefault="00D54AC5" w:rsidP="00D54AC5">
      <w:pPr>
        <w:pStyle w:val="NormalWeb"/>
        <w:rPr>
          <w:color w:val="000000"/>
          <w:sz w:val="32"/>
          <w:szCs w:val="32"/>
        </w:rPr>
      </w:pPr>
      <w:r>
        <w:rPr>
          <w:color w:val="000000"/>
          <w:sz w:val="32"/>
          <w:szCs w:val="32"/>
        </w:rPr>
        <w:t>87.</w:t>
      </w:r>
      <w:r w:rsidR="00867027" w:rsidRPr="00AC39BF">
        <w:rPr>
          <w:color w:val="000000"/>
          <w:sz w:val="32"/>
          <w:szCs w:val="32"/>
        </w:rPr>
        <w:t>Prendergast, C. (1999) ‘The provision of incentives in firms’,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Economic Literature</w:t>
      </w:r>
      <w:r w:rsidR="00867027" w:rsidRPr="00AC39BF">
        <w:rPr>
          <w:color w:val="000000"/>
          <w:sz w:val="32"/>
          <w:szCs w:val="32"/>
        </w:rPr>
        <w:t>, 37(1), pp. 7–63.</w:t>
      </w:r>
    </w:p>
    <w:p w14:paraId="42921B4E" w14:textId="3F423F99" w:rsidR="00867027" w:rsidRPr="00AC39BF" w:rsidRDefault="00D54AC5" w:rsidP="00D54AC5">
      <w:pPr>
        <w:pStyle w:val="NormalWeb"/>
        <w:rPr>
          <w:color w:val="000000"/>
          <w:sz w:val="32"/>
          <w:szCs w:val="32"/>
        </w:rPr>
      </w:pPr>
      <w:r>
        <w:rPr>
          <w:color w:val="000000"/>
          <w:sz w:val="32"/>
          <w:szCs w:val="32"/>
        </w:rPr>
        <w:t>88.</w:t>
      </w:r>
      <w:r w:rsidR="00867027" w:rsidRPr="00AC39BF">
        <w:rPr>
          <w:color w:val="000000"/>
          <w:sz w:val="32"/>
          <w:szCs w:val="32"/>
        </w:rPr>
        <w:t>Rawls, J. (1971)</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 Theory of Justice</w:t>
      </w:r>
      <w:r w:rsidR="00867027" w:rsidRPr="00AC39BF">
        <w:rPr>
          <w:color w:val="000000"/>
          <w:sz w:val="32"/>
          <w:szCs w:val="32"/>
        </w:rPr>
        <w:t>. Cambridge, MA: Harvard University Press.</w:t>
      </w:r>
    </w:p>
    <w:p w14:paraId="7A2E68D5" w14:textId="1F86F05B" w:rsidR="00867027" w:rsidRPr="00AC39BF" w:rsidRDefault="00346E0D" w:rsidP="00D54AC5">
      <w:pPr>
        <w:pStyle w:val="NormalWeb"/>
        <w:rPr>
          <w:color w:val="000000"/>
          <w:sz w:val="32"/>
          <w:szCs w:val="32"/>
        </w:rPr>
      </w:pPr>
      <w:r>
        <w:rPr>
          <w:color w:val="000000"/>
          <w:sz w:val="32"/>
          <w:szCs w:val="32"/>
        </w:rPr>
        <w:t>89.</w:t>
      </w:r>
      <w:r w:rsidR="00867027" w:rsidRPr="00AC39BF">
        <w:rPr>
          <w:color w:val="000000"/>
          <w:sz w:val="32"/>
          <w:szCs w:val="32"/>
        </w:rPr>
        <w:t>Rynes, S.L., Gerhart, B. and Minette, K.A. (2004) ‘The importance of pay in employee motivation: Discrepancies between what people say and what they do’,</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Human Resource Management</w:t>
      </w:r>
      <w:r w:rsidR="00867027" w:rsidRPr="00AC39BF">
        <w:rPr>
          <w:color w:val="000000"/>
          <w:sz w:val="32"/>
          <w:szCs w:val="32"/>
        </w:rPr>
        <w:t>, 43(4), pp. 381–394.</w:t>
      </w:r>
    </w:p>
    <w:p w14:paraId="6178A9FD" w14:textId="1B9AB39C" w:rsidR="00867027" w:rsidRPr="00AC39BF" w:rsidRDefault="00346E0D" w:rsidP="00346E0D">
      <w:pPr>
        <w:pStyle w:val="NormalWeb"/>
        <w:rPr>
          <w:color w:val="000000"/>
          <w:sz w:val="32"/>
          <w:szCs w:val="32"/>
        </w:rPr>
      </w:pPr>
      <w:r>
        <w:rPr>
          <w:color w:val="000000"/>
          <w:sz w:val="32"/>
          <w:szCs w:val="32"/>
        </w:rPr>
        <w:t>90.</w:t>
      </w:r>
      <w:r w:rsidR="00867027" w:rsidRPr="00AC39BF">
        <w:rPr>
          <w:color w:val="000000"/>
          <w:sz w:val="32"/>
          <w:szCs w:val="32"/>
        </w:rPr>
        <w:t>Rynes, S.L., Gerhart, B. and Parks, L. (2005) ‘Personnel psychology: Performance evaluation and pay for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Annual Review of Psychology</w:t>
      </w:r>
      <w:r w:rsidR="00867027" w:rsidRPr="00AC39BF">
        <w:rPr>
          <w:color w:val="000000"/>
          <w:sz w:val="32"/>
          <w:szCs w:val="32"/>
        </w:rPr>
        <w:t>, 56, pp. 571–600.</w:t>
      </w:r>
    </w:p>
    <w:p w14:paraId="6D1E3D6D" w14:textId="42283CCA" w:rsidR="00867027" w:rsidRPr="00AC39BF" w:rsidRDefault="00346E0D" w:rsidP="00346E0D">
      <w:pPr>
        <w:pStyle w:val="NormalWeb"/>
        <w:rPr>
          <w:color w:val="000000"/>
          <w:sz w:val="32"/>
          <w:szCs w:val="32"/>
        </w:rPr>
      </w:pPr>
      <w:r>
        <w:rPr>
          <w:color w:val="000000"/>
          <w:sz w:val="32"/>
          <w:szCs w:val="32"/>
        </w:rPr>
        <w:t>91.</w:t>
      </w:r>
      <w:r w:rsidR="00867027" w:rsidRPr="00AC39BF">
        <w:rPr>
          <w:color w:val="000000"/>
          <w:sz w:val="32"/>
          <w:szCs w:val="32"/>
        </w:rPr>
        <w:t>Ryan, R.M. and Deci, E.L. (2000) ‘Self-determination theory and the facilitation of intrinsic motivation, social development, and well-being’,</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American Psychologist</w:t>
      </w:r>
      <w:r w:rsidR="00867027" w:rsidRPr="00AC39BF">
        <w:rPr>
          <w:color w:val="000000"/>
          <w:sz w:val="32"/>
          <w:szCs w:val="32"/>
        </w:rPr>
        <w:t>, 55(1), pp. 68–78.</w:t>
      </w:r>
    </w:p>
    <w:p w14:paraId="3C277BBA" w14:textId="12A31513" w:rsidR="00867027" w:rsidRPr="00AC39BF" w:rsidRDefault="00346E0D" w:rsidP="00346E0D">
      <w:pPr>
        <w:pStyle w:val="NormalWeb"/>
        <w:rPr>
          <w:color w:val="000000"/>
          <w:sz w:val="32"/>
          <w:szCs w:val="32"/>
        </w:rPr>
      </w:pPr>
      <w:r>
        <w:rPr>
          <w:color w:val="000000"/>
          <w:sz w:val="32"/>
          <w:szCs w:val="32"/>
        </w:rPr>
        <w:t>92.</w:t>
      </w:r>
      <w:r w:rsidR="00867027" w:rsidRPr="00AC39BF">
        <w:rPr>
          <w:color w:val="000000"/>
          <w:sz w:val="32"/>
          <w:szCs w:val="32"/>
        </w:rPr>
        <w:t>Schwab, D.P. and Dyer, L.D. (1973) ‘The motivational impact of a compensation system on employee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Organizational Behavior and Human Performance</w:t>
      </w:r>
      <w:r w:rsidR="00867027" w:rsidRPr="00AC39BF">
        <w:rPr>
          <w:color w:val="000000"/>
          <w:sz w:val="32"/>
          <w:szCs w:val="32"/>
        </w:rPr>
        <w:t>, 9(3), pp. 324–344.</w:t>
      </w:r>
    </w:p>
    <w:p w14:paraId="51C27599" w14:textId="5EBAB72F" w:rsidR="00867027" w:rsidRPr="00AC39BF" w:rsidRDefault="00346E0D" w:rsidP="00346E0D">
      <w:pPr>
        <w:pStyle w:val="NormalWeb"/>
        <w:rPr>
          <w:color w:val="000000"/>
          <w:sz w:val="32"/>
          <w:szCs w:val="32"/>
        </w:rPr>
      </w:pPr>
      <w:r>
        <w:rPr>
          <w:color w:val="000000"/>
          <w:sz w:val="32"/>
          <w:szCs w:val="32"/>
        </w:rPr>
        <w:lastRenderedPageBreak/>
        <w:t>93.</w:t>
      </w:r>
      <w:r w:rsidR="00867027" w:rsidRPr="00AC39BF">
        <w:rPr>
          <w:color w:val="000000"/>
          <w:sz w:val="32"/>
          <w:szCs w:val="32"/>
        </w:rPr>
        <w:t>Shaw, J.D., Gupta, N. and Delery, J.E. (2002) ‘Pay dispersion and workforce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45(1), pp. 6–23.</w:t>
      </w:r>
    </w:p>
    <w:p w14:paraId="2C263F0E" w14:textId="2E5D610C" w:rsidR="00867027" w:rsidRPr="00AC39BF" w:rsidRDefault="00346E0D" w:rsidP="00346E0D">
      <w:pPr>
        <w:pStyle w:val="NormalWeb"/>
        <w:rPr>
          <w:color w:val="000000"/>
          <w:sz w:val="32"/>
          <w:szCs w:val="32"/>
        </w:rPr>
      </w:pPr>
      <w:r>
        <w:rPr>
          <w:color w:val="000000"/>
          <w:sz w:val="32"/>
          <w:szCs w:val="32"/>
        </w:rPr>
        <w:t>94.</w:t>
      </w:r>
      <w:r w:rsidR="00867027" w:rsidRPr="00AC39BF">
        <w:rPr>
          <w:color w:val="000000"/>
          <w:sz w:val="32"/>
          <w:szCs w:val="32"/>
        </w:rPr>
        <w:t>Shearer, B. (2004) ‘Piece rates, fixed wages and incentive effects: Evidence from a field experiment’,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Review of Economic Studies</w:t>
      </w:r>
      <w:r w:rsidR="00867027" w:rsidRPr="00AC39BF">
        <w:rPr>
          <w:color w:val="000000"/>
          <w:sz w:val="32"/>
          <w:szCs w:val="32"/>
        </w:rPr>
        <w:t>, 71(2), pp. 513–534.</w:t>
      </w:r>
    </w:p>
    <w:p w14:paraId="524DD912" w14:textId="19F74D95" w:rsidR="00867027" w:rsidRPr="00AC39BF" w:rsidRDefault="00346E0D" w:rsidP="00346E0D">
      <w:pPr>
        <w:pStyle w:val="NormalWeb"/>
        <w:rPr>
          <w:color w:val="000000"/>
          <w:sz w:val="32"/>
          <w:szCs w:val="32"/>
        </w:rPr>
      </w:pPr>
      <w:r>
        <w:rPr>
          <w:color w:val="000000"/>
          <w:sz w:val="32"/>
          <w:szCs w:val="32"/>
        </w:rPr>
        <w:t>95.</w:t>
      </w:r>
      <w:r w:rsidR="00867027" w:rsidRPr="00AC39BF">
        <w:rPr>
          <w:color w:val="000000"/>
          <w:sz w:val="32"/>
          <w:szCs w:val="32"/>
        </w:rPr>
        <w:t>Stajkovic, A.D. and Luthans, F. (1997) ‘A meta-analysis of the effects of organizational behavior modification on task performance’,</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Academy of Management Journal</w:t>
      </w:r>
      <w:r w:rsidR="00867027" w:rsidRPr="00AC39BF">
        <w:rPr>
          <w:color w:val="000000"/>
          <w:sz w:val="32"/>
          <w:szCs w:val="32"/>
        </w:rPr>
        <w:t>, 40(5), pp. 1122–1149.</w:t>
      </w:r>
    </w:p>
    <w:p w14:paraId="0F8D7157" w14:textId="72479270" w:rsidR="00867027" w:rsidRPr="00AC39BF" w:rsidRDefault="002F2D2D" w:rsidP="002F2D2D">
      <w:pPr>
        <w:pStyle w:val="NormalWeb"/>
        <w:rPr>
          <w:color w:val="000000"/>
          <w:sz w:val="32"/>
          <w:szCs w:val="32"/>
        </w:rPr>
      </w:pPr>
      <w:r>
        <w:rPr>
          <w:color w:val="000000"/>
          <w:sz w:val="32"/>
          <w:szCs w:val="32"/>
        </w:rPr>
        <w:t>96.</w:t>
      </w:r>
      <w:r w:rsidR="00867027" w:rsidRPr="00AC39BF">
        <w:rPr>
          <w:color w:val="000000"/>
          <w:sz w:val="32"/>
          <w:szCs w:val="32"/>
        </w:rPr>
        <w:t>Stajkovic, A.D. and Luthans, F. (2003) ‘Behavioral management and task performance in organizations: Conceptual and empirical foundations’,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Organizational Behavior</w:t>
      </w:r>
      <w:r w:rsidR="00867027" w:rsidRPr="00AC39BF">
        <w:rPr>
          <w:color w:val="000000"/>
          <w:sz w:val="32"/>
          <w:szCs w:val="32"/>
        </w:rPr>
        <w:t>, 24(1), pp. 1–20.</w:t>
      </w:r>
    </w:p>
    <w:p w14:paraId="4041DC5D" w14:textId="43AED41B" w:rsidR="00867027" w:rsidRPr="00AC39BF" w:rsidRDefault="002F2D2D" w:rsidP="002F2D2D">
      <w:pPr>
        <w:pStyle w:val="NormalWeb"/>
        <w:rPr>
          <w:color w:val="000000"/>
          <w:sz w:val="32"/>
          <w:szCs w:val="32"/>
        </w:rPr>
      </w:pPr>
      <w:r>
        <w:rPr>
          <w:color w:val="000000"/>
          <w:sz w:val="32"/>
          <w:szCs w:val="32"/>
        </w:rPr>
        <w:t>97.</w:t>
      </w:r>
      <w:r w:rsidR="00867027" w:rsidRPr="00AC39BF">
        <w:rPr>
          <w:color w:val="000000"/>
          <w:sz w:val="32"/>
          <w:szCs w:val="32"/>
        </w:rPr>
        <w:t>Takeuchi, R., Lepak, D.P., Wang, H. and Takeuchi, K. (2007) ‘An empirical examination of the mechanisms mediating between high-performance work systems and the performance of Japanese organizations’,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Applied Psychology</w:t>
      </w:r>
      <w:r w:rsidR="00867027" w:rsidRPr="00AC39BF">
        <w:rPr>
          <w:color w:val="000000"/>
          <w:sz w:val="32"/>
          <w:szCs w:val="32"/>
        </w:rPr>
        <w:t>, 92(4), pp. 1069–1083.</w:t>
      </w:r>
    </w:p>
    <w:p w14:paraId="39AFB9BF" w14:textId="332DE96E" w:rsidR="00867027" w:rsidRPr="00AC39BF" w:rsidRDefault="002F2D2D" w:rsidP="002F2D2D">
      <w:pPr>
        <w:pStyle w:val="NormalWeb"/>
        <w:rPr>
          <w:color w:val="000000"/>
          <w:sz w:val="32"/>
          <w:szCs w:val="32"/>
        </w:rPr>
      </w:pPr>
      <w:r>
        <w:rPr>
          <w:color w:val="000000"/>
          <w:sz w:val="32"/>
          <w:szCs w:val="32"/>
        </w:rPr>
        <w:t>98.</w:t>
      </w:r>
      <w:r w:rsidR="00867027" w:rsidRPr="00AC39BF">
        <w:rPr>
          <w:color w:val="000000"/>
          <w:sz w:val="32"/>
          <w:szCs w:val="32"/>
        </w:rPr>
        <w:t>Vroom, V.H. (1964)</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Work and Motivation</w:t>
      </w:r>
      <w:r w:rsidR="00867027" w:rsidRPr="00AC39BF">
        <w:rPr>
          <w:color w:val="000000"/>
          <w:sz w:val="32"/>
          <w:szCs w:val="32"/>
        </w:rPr>
        <w:t>. New York: Wiley.</w:t>
      </w:r>
    </w:p>
    <w:p w14:paraId="2575A5B0" w14:textId="4A547BC4" w:rsidR="00867027" w:rsidRPr="00AC39BF" w:rsidRDefault="002F2D2D" w:rsidP="002F2D2D">
      <w:pPr>
        <w:pStyle w:val="NormalWeb"/>
        <w:rPr>
          <w:color w:val="000000"/>
          <w:sz w:val="32"/>
          <w:szCs w:val="32"/>
        </w:rPr>
      </w:pPr>
      <w:r>
        <w:rPr>
          <w:color w:val="000000"/>
          <w:sz w:val="32"/>
          <w:szCs w:val="32"/>
        </w:rPr>
        <w:t>99.</w:t>
      </w:r>
      <w:r w:rsidR="00867027" w:rsidRPr="00AC39BF">
        <w:rPr>
          <w:color w:val="000000"/>
          <w:sz w:val="32"/>
          <w:szCs w:val="32"/>
        </w:rPr>
        <w:t>Weibel, A., Rost, K. and Osterloh, M. (2010) ‘Pay for performance in the public sector: Benefits and (hidden) costs’,</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Public Administration Research and Theory</w:t>
      </w:r>
      <w:r w:rsidR="00867027" w:rsidRPr="00AC39BF">
        <w:rPr>
          <w:color w:val="000000"/>
          <w:sz w:val="32"/>
          <w:szCs w:val="32"/>
        </w:rPr>
        <w:t>, 20(2), pp. 387–412.</w:t>
      </w:r>
    </w:p>
    <w:p w14:paraId="2D62077D" w14:textId="336D7E62" w:rsidR="00867027" w:rsidRPr="00AC39BF" w:rsidRDefault="002F2D2D" w:rsidP="00532C0F">
      <w:pPr>
        <w:pStyle w:val="NormalWeb"/>
        <w:rPr>
          <w:color w:val="000000"/>
          <w:sz w:val="32"/>
          <w:szCs w:val="32"/>
        </w:rPr>
      </w:pPr>
      <w:r>
        <w:rPr>
          <w:color w:val="000000"/>
          <w:sz w:val="32"/>
          <w:szCs w:val="32"/>
        </w:rPr>
        <w:t>100.</w:t>
      </w:r>
      <w:r w:rsidR="00867027" w:rsidRPr="00AC39BF">
        <w:rPr>
          <w:color w:val="000000"/>
          <w:sz w:val="32"/>
          <w:szCs w:val="32"/>
        </w:rPr>
        <w:t>Wright, P.M. and McMahan, G.C. (1992) ‘Theoretical perspectives for strategic human resource management’,</w:t>
      </w:r>
      <w:r w:rsidR="00867027" w:rsidRPr="00AC39BF">
        <w:rPr>
          <w:rStyle w:val="apple-converted-space"/>
          <w:rFonts w:eastAsiaTheme="majorEastAsia"/>
          <w:color w:val="000000"/>
          <w:sz w:val="32"/>
          <w:szCs w:val="32"/>
        </w:rPr>
        <w:t> </w:t>
      </w:r>
      <w:r w:rsidR="00867027" w:rsidRPr="00AC39BF">
        <w:rPr>
          <w:rStyle w:val="Emphasis"/>
          <w:rFonts w:eastAsiaTheme="majorEastAsia"/>
          <w:color w:val="000000"/>
          <w:sz w:val="32"/>
          <w:szCs w:val="32"/>
        </w:rPr>
        <w:t>Journal of Management</w:t>
      </w:r>
      <w:r w:rsidR="00867027" w:rsidRPr="00AC39BF">
        <w:rPr>
          <w:color w:val="000000"/>
          <w:sz w:val="32"/>
          <w:szCs w:val="32"/>
        </w:rPr>
        <w:t>, 18(2), pp. 295–320.</w:t>
      </w:r>
    </w:p>
    <w:p w14:paraId="74C7A6D7" w14:textId="77777777" w:rsidR="00867027" w:rsidRPr="00AC39BF" w:rsidRDefault="00867027" w:rsidP="00A51077">
      <w:pPr>
        <w:spacing w:before="100" w:beforeAutospacing="1" w:after="100" w:afterAutospacing="1"/>
        <w:rPr>
          <w:color w:val="000000"/>
          <w:sz w:val="32"/>
          <w:szCs w:val="32"/>
        </w:rPr>
      </w:pPr>
    </w:p>
    <w:p w14:paraId="35F16FBD" w14:textId="77777777" w:rsidR="00EA45D6" w:rsidRPr="00957608" w:rsidRDefault="00EA45D6" w:rsidP="008E0EF7">
      <w:pPr>
        <w:spacing w:before="100" w:beforeAutospacing="1" w:after="100" w:afterAutospacing="1"/>
        <w:rPr>
          <w:b/>
          <w:bCs/>
          <w:color w:val="000000"/>
          <w:sz w:val="32"/>
          <w:szCs w:val="32"/>
        </w:rPr>
      </w:pPr>
    </w:p>
    <w:p w14:paraId="00D81AE6" w14:textId="77777777" w:rsidR="00EA45D6" w:rsidRPr="00957608" w:rsidRDefault="00EA45D6" w:rsidP="008E0EF7">
      <w:pPr>
        <w:spacing w:before="100" w:beforeAutospacing="1" w:after="100" w:afterAutospacing="1"/>
        <w:rPr>
          <w:b/>
          <w:bCs/>
          <w:color w:val="000000"/>
          <w:sz w:val="32"/>
          <w:szCs w:val="32"/>
        </w:rPr>
      </w:pPr>
    </w:p>
    <w:p w14:paraId="1717C615" w14:textId="77777777" w:rsidR="00EA45D6" w:rsidRPr="00957608" w:rsidRDefault="00EA45D6" w:rsidP="008E0EF7">
      <w:pPr>
        <w:spacing w:before="100" w:beforeAutospacing="1" w:after="100" w:afterAutospacing="1"/>
        <w:rPr>
          <w:b/>
          <w:bCs/>
          <w:color w:val="000000"/>
          <w:sz w:val="32"/>
          <w:szCs w:val="32"/>
        </w:rPr>
      </w:pPr>
    </w:p>
    <w:p w14:paraId="3337649A" w14:textId="77777777" w:rsidR="00EA45D6" w:rsidRPr="00957608" w:rsidRDefault="00EA45D6" w:rsidP="008E0EF7">
      <w:pPr>
        <w:spacing w:before="100" w:beforeAutospacing="1" w:after="100" w:afterAutospacing="1"/>
        <w:rPr>
          <w:b/>
          <w:bCs/>
          <w:color w:val="000000"/>
          <w:sz w:val="32"/>
          <w:szCs w:val="32"/>
        </w:rPr>
      </w:pPr>
    </w:p>
    <w:p w14:paraId="192300B4" w14:textId="77777777" w:rsidR="00EA45D6" w:rsidRPr="00AB6346" w:rsidRDefault="00EA45D6" w:rsidP="008E0EF7">
      <w:pPr>
        <w:spacing w:before="100" w:beforeAutospacing="1" w:after="100" w:afterAutospacing="1"/>
        <w:rPr>
          <w:b/>
          <w:bCs/>
          <w:color w:val="000000"/>
          <w:sz w:val="36"/>
          <w:szCs w:val="36"/>
        </w:rPr>
      </w:pPr>
    </w:p>
    <w:p w14:paraId="33F64EA8" w14:textId="77777777" w:rsidR="00611254" w:rsidRDefault="00611254"/>
    <w:p w14:paraId="732F04EE" w14:textId="77777777" w:rsidR="00611254" w:rsidRDefault="00611254"/>
    <w:p w14:paraId="563359FC" w14:textId="77777777" w:rsidR="00611254" w:rsidRDefault="00611254"/>
    <w:p w14:paraId="0EF15400" w14:textId="77777777" w:rsidR="00543305" w:rsidRDefault="00543305"/>
    <w:p w14:paraId="63939794" w14:textId="77777777" w:rsidR="00543305" w:rsidRDefault="00543305"/>
    <w:p w14:paraId="790D5CED" w14:textId="77777777" w:rsidR="00543305" w:rsidRDefault="00543305"/>
    <w:p w14:paraId="69D32247" w14:textId="77777777" w:rsidR="00CF37AE" w:rsidRDefault="00CF37AE"/>
    <w:sectPr w:rsidR="00CF37AE" w:rsidSect="009E1F1D">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32BAC" w14:textId="77777777" w:rsidR="002133B1" w:rsidRDefault="002133B1" w:rsidP="00513534">
      <w:r>
        <w:separator/>
      </w:r>
    </w:p>
  </w:endnote>
  <w:endnote w:type="continuationSeparator" w:id="0">
    <w:p w14:paraId="537F1657" w14:textId="77777777" w:rsidR="002133B1" w:rsidRDefault="002133B1" w:rsidP="00513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48142" w14:textId="77777777" w:rsidR="002133B1" w:rsidRDefault="002133B1" w:rsidP="00513534">
      <w:r>
        <w:separator/>
      </w:r>
    </w:p>
  </w:footnote>
  <w:footnote w:type="continuationSeparator" w:id="0">
    <w:p w14:paraId="6519A8BC" w14:textId="77777777" w:rsidR="002133B1" w:rsidRDefault="002133B1" w:rsidP="00513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B17EA"/>
    <w:multiLevelType w:val="multilevel"/>
    <w:tmpl w:val="4F6C3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59384C"/>
    <w:multiLevelType w:val="hybridMultilevel"/>
    <w:tmpl w:val="4E56D054"/>
    <w:lvl w:ilvl="0" w:tplc="A9103FDC">
      <w:start w:val="57"/>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A80770"/>
    <w:multiLevelType w:val="hybridMultilevel"/>
    <w:tmpl w:val="2856B9F6"/>
    <w:lvl w:ilvl="0" w:tplc="9EDE4D26">
      <w:start w:val="57"/>
      <w:numFmt w:val="decimal"/>
      <w:lvlText w:val="%1."/>
      <w:lvlJc w:val="left"/>
      <w:pPr>
        <w:ind w:left="1160" w:hanging="400"/>
      </w:pPr>
      <w:rPr>
        <w:rFonts w:hint="default"/>
      </w:rPr>
    </w:lvl>
    <w:lvl w:ilvl="1" w:tplc="04090019" w:tentative="1">
      <w:start w:val="1"/>
      <w:numFmt w:val="lowerLetter"/>
      <w:lvlText w:val="%2."/>
      <w:lvlJc w:val="left"/>
      <w:pPr>
        <w:ind w:left="1840" w:hanging="360"/>
      </w:pPr>
    </w:lvl>
    <w:lvl w:ilvl="2" w:tplc="0409001B" w:tentative="1">
      <w:start w:val="1"/>
      <w:numFmt w:val="lowerRoman"/>
      <w:lvlText w:val="%3."/>
      <w:lvlJc w:val="right"/>
      <w:pPr>
        <w:ind w:left="2560" w:hanging="180"/>
      </w:pPr>
    </w:lvl>
    <w:lvl w:ilvl="3" w:tplc="0409000F" w:tentative="1">
      <w:start w:val="1"/>
      <w:numFmt w:val="decimal"/>
      <w:lvlText w:val="%4."/>
      <w:lvlJc w:val="left"/>
      <w:pPr>
        <w:ind w:left="3280" w:hanging="360"/>
      </w:pPr>
    </w:lvl>
    <w:lvl w:ilvl="4" w:tplc="04090019" w:tentative="1">
      <w:start w:val="1"/>
      <w:numFmt w:val="lowerLetter"/>
      <w:lvlText w:val="%5."/>
      <w:lvlJc w:val="left"/>
      <w:pPr>
        <w:ind w:left="4000" w:hanging="360"/>
      </w:pPr>
    </w:lvl>
    <w:lvl w:ilvl="5" w:tplc="0409001B" w:tentative="1">
      <w:start w:val="1"/>
      <w:numFmt w:val="lowerRoman"/>
      <w:lvlText w:val="%6."/>
      <w:lvlJc w:val="right"/>
      <w:pPr>
        <w:ind w:left="4720" w:hanging="180"/>
      </w:pPr>
    </w:lvl>
    <w:lvl w:ilvl="6" w:tplc="0409000F" w:tentative="1">
      <w:start w:val="1"/>
      <w:numFmt w:val="decimal"/>
      <w:lvlText w:val="%7."/>
      <w:lvlJc w:val="left"/>
      <w:pPr>
        <w:ind w:left="5440" w:hanging="360"/>
      </w:pPr>
    </w:lvl>
    <w:lvl w:ilvl="7" w:tplc="04090019" w:tentative="1">
      <w:start w:val="1"/>
      <w:numFmt w:val="lowerLetter"/>
      <w:lvlText w:val="%8."/>
      <w:lvlJc w:val="left"/>
      <w:pPr>
        <w:ind w:left="6160" w:hanging="360"/>
      </w:pPr>
    </w:lvl>
    <w:lvl w:ilvl="8" w:tplc="0409001B" w:tentative="1">
      <w:start w:val="1"/>
      <w:numFmt w:val="lowerRoman"/>
      <w:lvlText w:val="%9."/>
      <w:lvlJc w:val="right"/>
      <w:pPr>
        <w:ind w:left="6880" w:hanging="180"/>
      </w:pPr>
    </w:lvl>
  </w:abstractNum>
  <w:abstractNum w:abstractNumId="3" w15:restartNumberingAfterBreak="0">
    <w:nsid w:val="18F777A4"/>
    <w:multiLevelType w:val="hybridMultilevel"/>
    <w:tmpl w:val="6CFECA94"/>
    <w:lvl w:ilvl="0" w:tplc="4CC0E5FA">
      <w:start w:val="54"/>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B46164"/>
    <w:multiLevelType w:val="multilevel"/>
    <w:tmpl w:val="20BC1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FD3DC3"/>
    <w:multiLevelType w:val="multilevel"/>
    <w:tmpl w:val="2DDCD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1169EB"/>
    <w:multiLevelType w:val="multilevel"/>
    <w:tmpl w:val="3A064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66725B"/>
    <w:multiLevelType w:val="multilevel"/>
    <w:tmpl w:val="A022B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E067D8"/>
    <w:multiLevelType w:val="hybridMultilevel"/>
    <w:tmpl w:val="097E790C"/>
    <w:lvl w:ilvl="0" w:tplc="65DAEB86">
      <w:start w:val="56"/>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3640D7"/>
    <w:multiLevelType w:val="multilevel"/>
    <w:tmpl w:val="5722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04035E"/>
    <w:multiLevelType w:val="multilevel"/>
    <w:tmpl w:val="B4CEF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515895"/>
    <w:multiLevelType w:val="multilevel"/>
    <w:tmpl w:val="421CA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535703"/>
    <w:multiLevelType w:val="multilevel"/>
    <w:tmpl w:val="B484A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444520">
    <w:abstractNumId w:val="6"/>
  </w:num>
  <w:num w:numId="2" w16cid:durableId="134762316">
    <w:abstractNumId w:val="12"/>
  </w:num>
  <w:num w:numId="3" w16cid:durableId="1010793156">
    <w:abstractNumId w:val="10"/>
  </w:num>
  <w:num w:numId="4" w16cid:durableId="1562331705">
    <w:abstractNumId w:val="4"/>
  </w:num>
  <w:num w:numId="5" w16cid:durableId="1063992243">
    <w:abstractNumId w:val="5"/>
  </w:num>
  <w:num w:numId="6" w16cid:durableId="939069688">
    <w:abstractNumId w:val="3"/>
  </w:num>
  <w:num w:numId="7" w16cid:durableId="1768698080">
    <w:abstractNumId w:val="8"/>
  </w:num>
  <w:num w:numId="8" w16cid:durableId="347604466">
    <w:abstractNumId w:val="2"/>
  </w:num>
  <w:num w:numId="9" w16cid:durableId="1358895240">
    <w:abstractNumId w:val="1"/>
  </w:num>
  <w:num w:numId="10" w16cid:durableId="1867209958">
    <w:abstractNumId w:val="11"/>
  </w:num>
  <w:num w:numId="11" w16cid:durableId="1702314562">
    <w:abstractNumId w:val="7"/>
  </w:num>
  <w:num w:numId="12" w16cid:durableId="2065253121">
    <w:abstractNumId w:val="9"/>
  </w:num>
  <w:num w:numId="13" w16cid:durableId="1885023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F1D"/>
    <w:rsid w:val="00000174"/>
    <w:rsid w:val="0000139F"/>
    <w:rsid w:val="00002BFF"/>
    <w:rsid w:val="0000505E"/>
    <w:rsid w:val="0000579E"/>
    <w:rsid w:val="00010E64"/>
    <w:rsid w:val="00011453"/>
    <w:rsid w:val="00011C98"/>
    <w:rsid w:val="00011D57"/>
    <w:rsid w:val="000125F9"/>
    <w:rsid w:val="00015F0F"/>
    <w:rsid w:val="00023023"/>
    <w:rsid w:val="000320DD"/>
    <w:rsid w:val="000348E6"/>
    <w:rsid w:val="00040F6B"/>
    <w:rsid w:val="000421D9"/>
    <w:rsid w:val="00051D74"/>
    <w:rsid w:val="00052A23"/>
    <w:rsid w:val="00061B1C"/>
    <w:rsid w:val="000648F5"/>
    <w:rsid w:val="00066B3A"/>
    <w:rsid w:val="0006737E"/>
    <w:rsid w:val="000758B5"/>
    <w:rsid w:val="00082395"/>
    <w:rsid w:val="00084B01"/>
    <w:rsid w:val="0009243D"/>
    <w:rsid w:val="000953A5"/>
    <w:rsid w:val="0009783E"/>
    <w:rsid w:val="000A2EED"/>
    <w:rsid w:val="000A49E1"/>
    <w:rsid w:val="000A68D4"/>
    <w:rsid w:val="000B1AA4"/>
    <w:rsid w:val="000B51BB"/>
    <w:rsid w:val="000B5F93"/>
    <w:rsid w:val="000B6693"/>
    <w:rsid w:val="000B7FA1"/>
    <w:rsid w:val="000C21AF"/>
    <w:rsid w:val="000C6B41"/>
    <w:rsid w:val="000C7102"/>
    <w:rsid w:val="000D03CC"/>
    <w:rsid w:val="000D22C0"/>
    <w:rsid w:val="000D512B"/>
    <w:rsid w:val="000D7E07"/>
    <w:rsid w:val="000E2F6F"/>
    <w:rsid w:val="000E3B85"/>
    <w:rsid w:val="000E677D"/>
    <w:rsid w:val="000F19AC"/>
    <w:rsid w:val="000F3724"/>
    <w:rsid w:val="000F46DD"/>
    <w:rsid w:val="001022E7"/>
    <w:rsid w:val="001033E9"/>
    <w:rsid w:val="0010430E"/>
    <w:rsid w:val="00105A6A"/>
    <w:rsid w:val="00110F93"/>
    <w:rsid w:val="00111278"/>
    <w:rsid w:val="0011144F"/>
    <w:rsid w:val="0011303C"/>
    <w:rsid w:val="00116720"/>
    <w:rsid w:val="00121115"/>
    <w:rsid w:val="00124F48"/>
    <w:rsid w:val="00131095"/>
    <w:rsid w:val="0013295C"/>
    <w:rsid w:val="001335D5"/>
    <w:rsid w:val="001419FA"/>
    <w:rsid w:val="00142804"/>
    <w:rsid w:val="00143BAF"/>
    <w:rsid w:val="001443D1"/>
    <w:rsid w:val="001456D5"/>
    <w:rsid w:val="00146121"/>
    <w:rsid w:val="00146424"/>
    <w:rsid w:val="00146F7C"/>
    <w:rsid w:val="00146FCF"/>
    <w:rsid w:val="00152549"/>
    <w:rsid w:val="00152E41"/>
    <w:rsid w:val="00152EF4"/>
    <w:rsid w:val="001567E5"/>
    <w:rsid w:val="00162D13"/>
    <w:rsid w:val="0016673E"/>
    <w:rsid w:val="00167386"/>
    <w:rsid w:val="0016774B"/>
    <w:rsid w:val="00177292"/>
    <w:rsid w:val="00177EA3"/>
    <w:rsid w:val="00180A7C"/>
    <w:rsid w:val="001949D0"/>
    <w:rsid w:val="001950FF"/>
    <w:rsid w:val="001A03E0"/>
    <w:rsid w:val="001A23C4"/>
    <w:rsid w:val="001A7006"/>
    <w:rsid w:val="001B10F7"/>
    <w:rsid w:val="001B3472"/>
    <w:rsid w:val="001B4379"/>
    <w:rsid w:val="001C2860"/>
    <w:rsid w:val="001C612A"/>
    <w:rsid w:val="001C6531"/>
    <w:rsid w:val="001C678F"/>
    <w:rsid w:val="001D02FC"/>
    <w:rsid w:val="001D4469"/>
    <w:rsid w:val="001D6E9A"/>
    <w:rsid w:val="001D70A1"/>
    <w:rsid w:val="001D7241"/>
    <w:rsid w:val="001E24C7"/>
    <w:rsid w:val="001E44A9"/>
    <w:rsid w:val="001E6F03"/>
    <w:rsid w:val="001F0071"/>
    <w:rsid w:val="001F5511"/>
    <w:rsid w:val="001F59D1"/>
    <w:rsid w:val="001F5A2F"/>
    <w:rsid w:val="001F5B71"/>
    <w:rsid w:val="001F5F7C"/>
    <w:rsid w:val="00200325"/>
    <w:rsid w:val="0020274F"/>
    <w:rsid w:val="00202F86"/>
    <w:rsid w:val="00204B8B"/>
    <w:rsid w:val="00205499"/>
    <w:rsid w:val="00205612"/>
    <w:rsid w:val="00206C6C"/>
    <w:rsid w:val="00207D53"/>
    <w:rsid w:val="002133B1"/>
    <w:rsid w:val="002155BE"/>
    <w:rsid w:val="00221881"/>
    <w:rsid w:val="002244FB"/>
    <w:rsid w:val="0022710A"/>
    <w:rsid w:val="00227504"/>
    <w:rsid w:val="00227EF4"/>
    <w:rsid w:val="002325D3"/>
    <w:rsid w:val="0023294A"/>
    <w:rsid w:val="0023421A"/>
    <w:rsid w:val="00235B1B"/>
    <w:rsid w:val="00236BF5"/>
    <w:rsid w:val="00237651"/>
    <w:rsid w:val="00246706"/>
    <w:rsid w:val="0024761C"/>
    <w:rsid w:val="00257AF8"/>
    <w:rsid w:val="00257BFD"/>
    <w:rsid w:val="00261B20"/>
    <w:rsid w:val="00264BE9"/>
    <w:rsid w:val="00274C41"/>
    <w:rsid w:val="00275060"/>
    <w:rsid w:val="002774F6"/>
    <w:rsid w:val="002829AB"/>
    <w:rsid w:val="00282DB9"/>
    <w:rsid w:val="0029165F"/>
    <w:rsid w:val="00291AB7"/>
    <w:rsid w:val="00294EB3"/>
    <w:rsid w:val="0029644B"/>
    <w:rsid w:val="002A245F"/>
    <w:rsid w:val="002A58DC"/>
    <w:rsid w:val="002B0DD3"/>
    <w:rsid w:val="002C1698"/>
    <w:rsid w:val="002C4DA4"/>
    <w:rsid w:val="002C65C3"/>
    <w:rsid w:val="002C6DDF"/>
    <w:rsid w:val="002C77D2"/>
    <w:rsid w:val="002D0053"/>
    <w:rsid w:val="002D0A3E"/>
    <w:rsid w:val="002D3994"/>
    <w:rsid w:val="002D4A66"/>
    <w:rsid w:val="002E087A"/>
    <w:rsid w:val="002E305F"/>
    <w:rsid w:val="002E382C"/>
    <w:rsid w:val="002E39F3"/>
    <w:rsid w:val="002E41C1"/>
    <w:rsid w:val="002E476A"/>
    <w:rsid w:val="002E4C50"/>
    <w:rsid w:val="002E4F50"/>
    <w:rsid w:val="002F0A0E"/>
    <w:rsid w:val="002F0C86"/>
    <w:rsid w:val="002F1296"/>
    <w:rsid w:val="002F161F"/>
    <w:rsid w:val="002F2D2D"/>
    <w:rsid w:val="003004E8"/>
    <w:rsid w:val="00301E60"/>
    <w:rsid w:val="00307E10"/>
    <w:rsid w:val="00313298"/>
    <w:rsid w:val="00313CFD"/>
    <w:rsid w:val="00313FB7"/>
    <w:rsid w:val="003140E9"/>
    <w:rsid w:val="0031471F"/>
    <w:rsid w:val="00314908"/>
    <w:rsid w:val="00320179"/>
    <w:rsid w:val="003222DB"/>
    <w:rsid w:val="00326C47"/>
    <w:rsid w:val="0033769D"/>
    <w:rsid w:val="00346E0D"/>
    <w:rsid w:val="00351477"/>
    <w:rsid w:val="003517CD"/>
    <w:rsid w:val="00354217"/>
    <w:rsid w:val="0035772C"/>
    <w:rsid w:val="00361081"/>
    <w:rsid w:val="0036160B"/>
    <w:rsid w:val="00361869"/>
    <w:rsid w:val="00361E11"/>
    <w:rsid w:val="00362506"/>
    <w:rsid w:val="00362D6B"/>
    <w:rsid w:val="00364626"/>
    <w:rsid w:val="00365592"/>
    <w:rsid w:val="00366DAE"/>
    <w:rsid w:val="00367130"/>
    <w:rsid w:val="00370AF3"/>
    <w:rsid w:val="003729F9"/>
    <w:rsid w:val="00377086"/>
    <w:rsid w:val="0038326F"/>
    <w:rsid w:val="00383662"/>
    <w:rsid w:val="003856CA"/>
    <w:rsid w:val="00390DCD"/>
    <w:rsid w:val="003918AE"/>
    <w:rsid w:val="003938C0"/>
    <w:rsid w:val="00394C6D"/>
    <w:rsid w:val="003A0F5B"/>
    <w:rsid w:val="003A246E"/>
    <w:rsid w:val="003A25D0"/>
    <w:rsid w:val="003A6095"/>
    <w:rsid w:val="003A7E89"/>
    <w:rsid w:val="003C1009"/>
    <w:rsid w:val="003C2103"/>
    <w:rsid w:val="003C2CE1"/>
    <w:rsid w:val="003C6645"/>
    <w:rsid w:val="003C747C"/>
    <w:rsid w:val="003D1DA8"/>
    <w:rsid w:val="003D4385"/>
    <w:rsid w:val="003D4C35"/>
    <w:rsid w:val="003D5601"/>
    <w:rsid w:val="003E0ADD"/>
    <w:rsid w:val="003E12CE"/>
    <w:rsid w:val="003E1F4A"/>
    <w:rsid w:val="003E2C28"/>
    <w:rsid w:val="003E4216"/>
    <w:rsid w:val="003E51A4"/>
    <w:rsid w:val="003F0DA2"/>
    <w:rsid w:val="003F10FD"/>
    <w:rsid w:val="003F4704"/>
    <w:rsid w:val="003F5540"/>
    <w:rsid w:val="0040439B"/>
    <w:rsid w:val="00404E89"/>
    <w:rsid w:val="00407172"/>
    <w:rsid w:val="004133EB"/>
    <w:rsid w:val="004228B6"/>
    <w:rsid w:val="0043205D"/>
    <w:rsid w:val="00433EB2"/>
    <w:rsid w:val="004361B6"/>
    <w:rsid w:val="00440C70"/>
    <w:rsid w:val="00440D6C"/>
    <w:rsid w:val="00441EC1"/>
    <w:rsid w:val="0044646D"/>
    <w:rsid w:val="004537BD"/>
    <w:rsid w:val="004577FB"/>
    <w:rsid w:val="004613D0"/>
    <w:rsid w:val="00461D14"/>
    <w:rsid w:val="00462E82"/>
    <w:rsid w:val="00463754"/>
    <w:rsid w:val="00464CF6"/>
    <w:rsid w:val="004677DE"/>
    <w:rsid w:val="004707F3"/>
    <w:rsid w:val="00470B89"/>
    <w:rsid w:val="00470C19"/>
    <w:rsid w:val="00470C34"/>
    <w:rsid w:val="00472024"/>
    <w:rsid w:val="00473944"/>
    <w:rsid w:val="00481295"/>
    <w:rsid w:val="00481B3A"/>
    <w:rsid w:val="0048765D"/>
    <w:rsid w:val="00487C8D"/>
    <w:rsid w:val="00490F4A"/>
    <w:rsid w:val="00491540"/>
    <w:rsid w:val="004941A1"/>
    <w:rsid w:val="004970C5"/>
    <w:rsid w:val="004A1048"/>
    <w:rsid w:val="004A376D"/>
    <w:rsid w:val="004A59C4"/>
    <w:rsid w:val="004A5D54"/>
    <w:rsid w:val="004B0A5B"/>
    <w:rsid w:val="004B1164"/>
    <w:rsid w:val="004B3985"/>
    <w:rsid w:val="004B55B2"/>
    <w:rsid w:val="004B5705"/>
    <w:rsid w:val="004C61BB"/>
    <w:rsid w:val="004D1017"/>
    <w:rsid w:val="004D2659"/>
    <w:rsid w:val="004D421D"/>
    <w:rsid w:val="004D47C3"/>
    <w:rsid w:val="004D4918"/>
    <w:rsid w:val="004D6A2A"/>
    <w:rsid w:val="004E0916"/>
    <w:rsid w:val="004E3DEB"/>
    <w:rsid w:val="004E3EB1"/>
    <w:rsid w:val="004E7DCA"/>
    <w:rsid w:val="004F003D"/>
    <w:rsid w:val="004F29DA"/>
    <w:rsid w:val="004F4806"/>
    <w:rsid w:val="004F6862"/>
    <w:rsid w:val="005002CB"/>
    <w:rsid w:val="00501007"/>
    <w:rsid w:val="0050528E"/>
    <w:rsid w:val="00506874"/>
    <w:rsid w:val="00511E9F"/>
    <w:rsid w:val="00513534"/>
    <w:rsid w:val="00513FAD"/>
    <w:rsid w:val="00513FFF"/>
    <w:rsid w:val="00521865"/>
    <w:rsid w:val="00531B6F"/>
    <w:rsid w:val="00532C0F"/>
    <w:rsid w:val="00535EAB"/>
    <w:rsid w:val="00537D89"/>
    <w:rsid w:val="005402A0"/>
    <w:rsid w:val="00543305"/>
    <w:rsid w:val="0054504A"/>
    <w:rsid w:val="00554110"/>
    <w:rsid w:val="00557A53"/>
    <w:rsid w:val="00563A57"/>
    <w:rsid w:val="00567865"/>
    <w:rsid w:val="00570F80"/>
    <w:rsid w:val="005712E7"/>
    <w:rsid w:val="00575298"/>
    <w:rsid w:val="00575897"/>
    <w:rsid w:val="0057745D"/>
    <w:rsid w:val="00584E3F"/>
    <w:rsid w:val="005939C9"/>
    <w:rsid w:val="00597EE1"/>
    <w:rsid w:val="005A3D99"/>
    <w:rsid w:val="005A61F1"/>
    <w:rsid w:val="005A6C4D"/>
    <w:rsid w:val="005B52D7"/>
    <w:rsid w:val="005B6872"/>
    <w:rsid w:val="005C1AF9"/>
    <w:rsid w:val="005C2A3D"/>
    <w:rsid w:val="005C575D"/>
    <w:rsid w:val="005D4201"/>
    <w:rsid w:val="005D46AC"/>
    <w:rsid w:val="005E0C3E"/>
    <w:rsid w:val="005E2DB1"/>
    <w:rsid w:val="005E4387"/>
    <w:rsid w:val="005E48CC"/>
    <w:rsid w:val="005E5950"/>
    <w:rsid w:val="005E66A3"/>
    <w:rsid w:val="005E7136"/>
    <w:rsid w:val="005E72D7"/>
    <w:rsid w:val="005E7FD1"/>
    <w:rsid w:val="005F08D7"/>
    <w:rsid w:val="005F3A7C"/>
    <w:rsid w:val="005F58F2"/>
    <w:rsid w:val="005F71DB"/>
    <w:rsid w:val="005F7E8C"/>
    <w:rsid w:val="00600092"/>
    <w:rsid w:val="00602BB2"/>
    <w:rsid w:val="00604C52"/>
    <w:rsid w:val="00604CC7"/>
    <w:rsid w:val="00611254"/>
    <w:rsid w:val="00614ED7"/>
    <w:rsid w:val="00625B90"/>
    <w:rsid w:val="00632A65"/>
    <w:rsid w:val="00637730"/>
    <w:rsid w:val="00640278"/>
    <w:rsid w:val="00641204"/>
    <w:rsid w:val="00642D6B"/>
    <w:rsid w:val="006437BB"/>
    <w:rsid w:val="0064564F"/>
    <w:rsid w:val="006473CC"/>
    <w:rsid w:val="0065341A"/>
    <w:rsid w:val="006546D7"/>
    <w:rsid w:val="00655100"/>
    <w:rsid w:val="006563FD"/>
    <w:rsid w:val="006570DC"/>
    <w:rsid w:val="00664D3A"/>
    <w:rsid w:val="00664DD9"/>
    <w:rsid w:val="00665C13"/>
    <w:rsid w:val="00670044"/>
    <w:rsid w:val="0067018E"/>
    <w:rsid w:val="00670FCA"/>
    <w:rsid w:val="00676625"/>
    <w:rsid w:val="0068106F"/>
    <w:rsid w:val="00683884"/>
    <w:rsid w:val="00686D14"/>
    <w:rsid w:val="00687D84"/>
    <w:rsid w:val="00692FE5"/>
    <w:rsid w:val="006964B6"/>
    <w:rsid w:val="006A2A37"/>
    <w:rsid w:val="006A5A57"/>
    <w:rsid w:val="006A645A"/>
    <w:rsid w:val="006A649F"/>
    <w:rsid w:val="006C0076"/>
    <w:rsid w:val="006C5B9F"/>
    <w:rsid w:val="006C65FA"/>
    <w:rsid w:val="006E2F5A"/>
    <w:rsid w:val="006E4B34"/>
    <w:rsid w:val="006E4BD4"/>
    <w:rsid w:val="006E4FD7"/>
    <w:rsid w:val="006E589F"/>
    <w:rsid w:val="006F089D"/>
    <w:rsid w:val="006F0F75"/>
    <w:rsid w:val="006F1B51"/>
    <w:rsid w:val="006F6A8D"/>
    <w:rsid w:val="00700AF4"/>
    <w:rsid w:val="00703582"/>
    <w:rsid w:val="00703D4D"/>
    <w:rsid w:val="0070742C"/>
    <w:rsid w:val="00710E79"/>
    <w:rsid w:val="0071135F"/>
    <w:rsid w:val="0071211A"/>
    <w:rsid w:val="00713F42"/>
    <w:rsid w:val="00714372"/>
    <w:rsid w:val="007145ED"/>
    <w:rsid w:val="00715A96"/>
    <w:rsid w:val="00715EED"/>
    <w:rsid w:val="0072754C"/>
    <w:rsid w:val="00727DE2"/>
    <w:rsid w:val="00731C3D"/>
    <w:rsid w:val="007349F2"/>
    <w:rsid w:val="00734D1A"/>
    <w:rsid w:val="007366A9"/>
    <w:rsid w:val="00741024"/>
    <w:rsid w:val="007413A6"/>
    <w:rsid w:val="00742A89"/>
    <w:rsid w:val="00742B33"/>
    <w:rsid w:val="0074695C"/>
    <w:rsid w:val="007545A1"/>
    <w:rsid w:val="00756E91"/>
    <w:rsid w:val="00761266"/>
    <w:rsid w:val="007628BD"/>
    <w:rsid w:val="007643AD"/>
    <w:rsid w:val="00765128"/>
    <w:rsid w:val="00771355"/>
    <w:rsid w:val="00775110"/>
    <w:rsid w:val="0077560B"/>
    <w:rsid w:val="00780743"/>
    <w:rsid w:val="007818DC"/>
    <w:rsid w:val="00790E25"/>
    <w:rsid w:val="00794F5B"/>
    <w:rsid w:val="00796274"/>
    <w:rsid w:val="007A0ACF"/>
    <w:rsid w:val="007A249A"/>
    <w:rsid w:val="007B2740"/>
    <w:rsid w:val="007B3805"/>
    <w:rsid w:val="007B550C"/>
    <w:rsid w:val="007B6A34"/>
    <w:rsid w:val="007C64F5"/>
    <w:rsid w:val="007C67DC"/>
    <w:rsid w:val="007D0BA1"/>
    <w:rsid w:val="007D3B65"/>
    <w:rsid w:val="007D5EDF"/>
    <w:rsid w:val="007E00D7"/>
    <w:rsid w:val="007E0E0F"/>
    <w:rsid w:val="007E23EC"/>
    <w:rsid w:val="007E6454"/>
    <w:rsid w:val="007F0782"/>
    <w:rsid w:val="007F3C35"/>
    <w:rsid w:val="007F3F5E"/>
    <w:rsid w:val="00800E82"/>
    <w:rsid w:val="0080129B"/>
    <w:rsid w:val="008130AD"/>
    <w:rsid w:val="00814191"/>
    <w:rsid w:val="008142F9"/>
    <w:rsid w:val="00814A2A"/>
    <w:rsid w:val="00814BE9"/>
    <w:rsid w:val="00817104"/>
    <w:rsid w:val="00820FD2"/>
    <w:rsid w:val="0082619A"/>
    <w:rsid w:val="008263D8"/>
    <w:rsid w:val="008265B9"/>
    <w:rsid w:val="00830684"/>
    <w:rsid w:val="00836382"/>
    <w:rsid w:val="00837A44"/>
    <w:rsid w:val="00845211"/>
    <w:rsid w:val="00854F31"/>
    <w:rsid w:val="00856949"/>
    <w:rsid w:val="00861ECC"/>
    <w:rsid w:val="00867027"/>
    <w:rsid w:val="00871527"/>
    <w:rsid w:val="00880B20"/>
    <w:rsid w:val="0088275B"/>
    <w:rsid w:val="008900CC"/>
    <w:rsid w:val="00890CF6"/>
    <w:rsid w:val="00892F1C"/>
    <w:rsid w:val="00896435"/>
    <w:rsid w:val="008A3711"/>
    <w:rsid w:val="008A73B6"/>
    <w:rsid w:val="008B2433"/>
    <w:rsid w:val="008B36FD"/>
    <w:rsid w:val="008B4D3A"/>
    <w:rsid w:val="008B646F"/>
    <w:rsid w:val="008C2EF0"/>
    <w:rsid w:val="008C439A"/>
    <w:rsid w:val="008C72BC"/>
    <w:rsid w:val="008D4B55"/>
    <w:rsid w:val="008D4FB4"/>
    <w:rsid w:val="008E0288"/>
    <w:rsid w:val="008E0731"/>
    <w:rsid w:val="008E0EF7"/>
    <w:rsid w:val="008E1794"/>
    <w:rsid w:val="008E1C0A"/>
    <w:rsid w:val="008E2273"/>
    <w:rsid w:val="008E41F5"/>
    <w:rsid w:val="008E643D"/>
    <w:rsid w:val="008E6D68"/>
    <w:rsid w:val="008F10CA"/>
    <w:rsid w:val="008F170D"/>
    <w:rsid w:val="008F3AA0"/>
    <w:rsid w:val="008F5EDF"/>
    <w:rsid w:val="00902D27"/>
    <w:rsid w:val="00903035"/>
    <w:rsid w:val="0090365C"/>
    <w:rsid w:val="009039FB"/>
    <w:rsid w:val="00904998"/>
    <w:rsid w:val="0090514A"/>
    <w:rsid w:val="00905D90"/>
    <w:rsid w:val="00907644"/>
    <w:rsid w:val="00916897"/>
    <w:rsid w:val="00916C55"/>
    <w:rsid w:val="0092000E"/>
    <w:rsid w:val="0092450B"/>
    <w:rsid w:val="00924604"/>
    <w:rsid w:val="00924A2F"/>
    <w:rsid w:val="00932EAC"/>
    <w:rsid w:val="0093356A"/>
    <w:rsid w:val="00940DDE"/>
    <w:rsid w:val="00942D40"/>
    <w:rsid w:val="00944B11"/>
    <w:rsid w:val="009457EC"/>
    <w:rsid w:val="00947CA6"/>
    <w:rsid w:val="009549D3"/>
    <w:rsid w:val="00957608"/>
    <w:rsid w:val="009610A5"/>
    <w:rsid w:val="00964F45"/>
    <w:rsid w:val="0097232C"/>
    <w:rsid w:val="00975696"/>
    <w:rsid w:val="0097688C"/>
    <w:rsid w:val="00977405"/>
    <w:rsid w:val="00980C56"/>
    <w:rsid w:val="00983890"/>
    <w:rsid w:val="009850F0"/>
    <w:rsid w:val="00986BB2"/>
    <w:rsid w:val="0099555F"/>
    <w:rsid w:val="00995CBE"/>
    <w:rsid w:val="00997383"/>
    <w:rsid w:val="009A0ED5"/>
    <w:rsid w:val="009A104D"/>
    <w:rsid w:val="009A1B3B"/>
    <w:rsid w:val="009A501C"/>
    <w:rsid w:val="009A6D82"/>
    <w:rsid w:val="009B26C9"/>
    <w:rsid w:val="009B3F2A"/>
    <w:rsid w:val="009B64DC"/>
    <w:rsid w:val="009C1C66"/>
    <w:rsid w:val="009C2048"/>
    <w:rsid w:val="009C4AF0"/>
    <w:rsid w:val="009C505A"/>
    <w:rsid w:val="009C5582"/>
    <w:rsid w:val="009C5C77"/>
    <w:rsid w:val="009C6E8B"/>
    <w:rsid w:val="009C6F66"/>
    <w:rsid w:val="009C794B"/>
    <w:rsid w:val="009D16A7"/>
    <w:rsid w:val="009D593A"/>
    <w:rsid w:val="009E1F1D"/>
    <w:rsid w:val="009E2674"/>
    <w:rsid w:val="009E611F"/>
    <w:rsid w:val="009E65C1"/>
    <w:rsid w:val="009E6F98"/>
    <w:rsid w:val="009F03E4"/>
    <w:rsid w:val="009F0E05"/>
    <w:rsid w:val="009F1615"/>
    <w:rsid w:val="009F36B9"/>
    <w:rsid w:val="00A002BA"/>
    <w:rsid w:val="00A03649"/>
    <w:rsid w:val="00A04F54"/>
    <w:rsid w:val="00A06D32"/>
    <w:rsid w:val="00A07F30"/>
    <w:rsid w:val="00A15EF2"/>
    <w:rsid w:val="00A20C17"/>
    <w:rsid w:val="00A2110B"/>
    <w:rsid w:val="00A3451B"/>
    <w:rsid w:val="00A34771"/>
    <w:rsid w:val="00A3506C"/>
    <w:rsid w:val="00A40F9D"/>
    <w:rsid w:val="00A41170"/>
    <w:rsid w:val="00A44B50"/>
    <w:rsid w:val="00A45C7E"/>
    <w:rsid w:val="00A46B1C"/>
    <w:rsid w:val="00A47A95"/>
    <w:rsid w:val="00A51077"/>
    <w:rsid w:val="00A54643"/>
    <w:rsid w:val="00A55832"/>
    <w:rsid w:val="00A55F49"/>
    <w:rsid w:val="00A61239"/>
    <w:rsid w:val="00A66738"/>
    <w:rsid w:val="00A67676"/>
    <w:rsid w:val="00A67C07"/>
    <w:rsid w:val="00A709D4"/>
    <w:rsid w:val="00A743F2"/>
    <w:rsid w:val="00A778D8"/>
    <w:rsid w:val="00A8271D"/>
    <w:rsid w:val="00A828A9"/>
    <w:rsid w:val="00A831F9"/>
    <w:rsid w:val="00A91BAB"/>
    <w:rsid w:val="00A93BBA"/>
    <w:rsid w:val="00A947E9"/>
    <w:rsid w:val="00A955BF"/>
    <w:rsid w:val="00AA0DAD"/>
    <w:rsid w:val="00AA44FB"/>
    <w:rsid w:val="00AA4F8D"/>
    <w:rsid w:val="00AA6FCC"/>
    <w:rsid w:val="00AB2949"/>
    <w:rsid w:val="00AB32EB"/>
    <w:rsid w:val="00AB44A9"/>
    <w:rsid w:val="00AB6140"/>
    <w:rsid w:val="00AC0FEC"/>
    <w:rsid w:val="00AC2363"/>
    <w:rsid w:val="00AC39BF"/>
    <w:rsid w:val="00AC664D"/>
    <w:rsid w:val="00AD0957"/>
    <w:rsid w:val="00AD3486"/>
    <w:rsid w:val="00AD462A"/>
    <w:rsid w:val="00AD6692"/>
    <w:rsid w:val="00AE59E9"/>
    <w:rsid w:val="00AE7A86"/>
    <w:rsid w:val="00AE7E3E"/>
    <w:rsid w:val="00AF09B1"/>
    <w:rsid w:val="00AF74CB"/>
    <w:rsid w:val="00B004CD"/>
    <w:rsid w:val="00B025C2"/>
    <w:rsid w:val="00B06B6B"/>
    <w:rsid w:val="00B06BCB"/>
    <w:rsid w:val="00B112F0"/>
    <w:rsid w:val="00B16FD1"/>
    <w:rsid w:val="00B17343"/>
    <w:rsid w:val="00B20E6A"/>
    <w:rsid w:val="00B22421"/>
    <w:rsid w:val="00B22531"/>
    <w:rsid w:val="00B229B8"/>
    <w:rsid w:val="00B22E30"/>
    <w:rsid w:val="00B24C19"/>
    <w:rsid w:val="00B318B6"/>
    <w:rsid w:val="00B332D9"/>
    <w:rsid w:val="00B36601"/>
    <w:rsid w:val="00B3680C"/>
    <w:rsid w:val="00B4048F"/>
    <w:rsid w:val="00B406A7"/>
    <w:rsid w:val="00B437F6"/>
    <w:rsid w:val="00B4439A"/>
    <w:rsid w:val="00B509E3"/>
    <w:rsid w:val="00B550ED"/>
    <w:rsid w:val="00B62A4D"/>
    <w:rsid w:val="00B632C1"/>
    <w:rsid w:val="00B63A24"/>
    <w:rsid w:val="00B81E44"/>
    <w:rsid w:val="00B859E0"/>
    <w:rsid w:val="00B94DDF"/>
    <w:rsid w:val="00B9551C"/>
    <w:rsid w:val="00B9643F"/>
    <w:rsid w:val="00B96C64"/>
    <w:rsid w:val="00BA1660"/>
    <w:rsid w:val="00BA29A4"/>
    <w:rsid w:val="00BA4ABC"/>
    <w:rsid w:val="00BA5D94"/>
    <w:rsid w:val="00BA63C5"/>
    <w:rsid w:val="00BB088A"/>
    <w:rsid w:val="00BB46E0"/>
    <w:rsid w:val="00BB6B2F"/>
    <w:rsid w:val="00BB7883"/>
    <w:rsid w:val="00BC03D8"/>
    <w:rsid w:val="00BC1533"/>
    <w:rsid w:val="00BC160E"/>
    <w:rsid w:val="00BC2EE5"/>
    <w:rsid w:val="00BC34C7"/>
    <w:rsid w:val="00BD632E"/>
    <w:rsid w:val="00BE0874"/>
    <w:rsid w:val="00BE175A"/>
    <w:rsid w:val="00BE5471"/>
    <w:rsid w:val="00BF3C8B"/>
    <w:rsid w:val="00BF3DF5"/>
    <w:rsid w:val="00BF4205"/>
    <w:rsid w:val="00BF49DD"/>
    <w:rsid w:val="00BF58C4"/>
    <w:rsid w:val="00BF69AB"/>
    <w:rsid w:val="00BF7611"/>
    <w:rsid w:val="00C00B70"/>
    <w:rsid w:val="00C02AEA"/>
    <w:rsid w:val="00C04613"/>
    <w:rsid w:val="00C04942"/>
    <w:rsid w:val="00C04CAD"/>
    <w:rsid w:val="00C06FF8"/>
    <w:rsid w:val="00C07343"/>
    <w:rsid w:val="00C079C0"/>
    <w:rsid w:val="00C113DF"/>
    <w:rsid w:val="00C11933"/>
    <w:rsid w:val="00C14ABB"/>
    <w:rsid w:val="00C1669C"/>
    <w:rsid w:val="00C209CB"/>
    <w:rsid w:val="00C212AB"/>
    <w:rsid w:val="00C218E1"/>
    <w:rsid w:val="00C230AD"/>
    <w:rsid w:val="00C24503"/>
    <w:rsid w:val="00C26208"/>
    <w:rsid w:val="00C27B62"/>
    <w:rsid w:val="00C303F7"/>
    <w:rsid w:val="00C3119A"/>
    <w:rsid w:val="00C41CDD"/>
    <w:rsid w:val="00C4317C"/>
    <w:rsid w:val="00C44652"/>
    <w:rsid w:val="00C458A9"/>
    <w:rsid w:val="00C47CDF"/>
    <w:rsid w:val="00C578F1"/>
    <w:rsid w:val="00C664BB"/>
    <w:rsid w:val="00C70995"/>
    <w:rsid w:val="00C77987"/>
    <w:rsid w:val="00C90D76"/>
    <w:rsid w:val="00C92699"/>
    <w:rsid w:val="00C967BE"/>
    <w:rsid w:val="00C974D7"/>
    <w:rsid w:val="00CA0CD3"/>
    <w:rsid w:val="00CA1733"/>
    <w:rsid w:val="00CA43AD"/>
    <w:rsid w:val="00CA5368"/>
    <w:rsid w:val="00CB3483"/>
    <w:rsid w:val="00CB735E"/>
    <w:rsid w:val="00CC5BA4"/>
    <w:rsid w:val="00CC7FF6"/>
    <w:rsid w:val="00CD006C"/>
    <w:rsid w:val="00CD1B7E"/>
    <w:rsid w:val="00CD40F5"/>
    <w:rsid w:val="00CD6249"/>
    <w:rsid w:val="00CD6EEA"/>
    <w:rsid w:val="00CE2D11"/>
    <w:rsid w:val="00CE692B"/>
    <w:rsid w:val="00CF0393"/>
    <w:rsid w:val="00CF37AE"/>
    <w:rsid w:val="00CF47AB"/>
    <w:rsid w:val="00CF5064"/>
    <w:rsid w:val="00D12524"/>
    <w:rsid w:val="00D153BD"/>
    <w:rsid w:val="00D20653"/>
    <w:rsid w:val="00D21315"/>
    <w:rsid w:val="00D241C9"/>
    <w:rsid w:val="00D24358"/>
    <w:rsid w:val="00D26568"/>
    <w:rsid w:val="00D34412"/>
    <w:rsid w:val="00D34859"/>
    <w:rsid w:val="00D34B32"/>
    <w:rsid w:val="00D474EC"/>
    <w:rsid w:val="00D513B0"/>
    <w:rsid w:val="00D526D4"/>
    <w:rsid w:val="00D54AC5"/>
    <w:rsid w:val="00D55F12"/>
    <w:rsid w:val="00D615C2"/>
    <w:rsid w:val="00D62A9B"/>
    <w:rsid w:val="00D630EE"/>
    <w:rsid w:val="00D64E7F"/>
    <w:rsid w:val="00D70748"/>
    <w:rsid w:val="00D72215"/>
    <w:rsid w:val="00D7354C"/>
    <w:rsid w:val="00D745CD"/>
    <w:rsid w:val="00D755E4"/>
    <w:rsid w:val="00D763F5"/>
    <w:rsid w:val="00D806C6"/>
    <w:rsid w:val="00D806D7"/>
    <w:rsid w:val="00D81AA6"/>
    <w:rsid w:val="00D81C2B"/>
    <w:rsid w:val="00D823C1"/>
    <w:rsid w:val="00D83947"/>
    <w:rsid w:val="00D862A1"/>
    <w:rsid w:val="00D9071F"/>
    <w:rsid w:val="00D9169F"/>
    <w:rsid w:val="00D91F86"/>
    <w:rsid w:val="00D94816"/>
    <w:rsid w:val="00D966F8"/>
    <w:rsid w:val="00DA0A5C"/>
    <w:rsid w:val="00DA0EE6"/>
    <w:rsid w:val="00DA3622"/>
    <w:rsid w:val="00DA37AF"/>
    <w:rsid w:val="00DB14A0"/>
    <w:rsid w:val="00DB2581"/>
    <w:rsid w:val="00DB3A0E"/>
    <w:rsid w:val="00DB64C3"/>
    <w:rsid w:val="00DC192C"/>
    <w:rsid w:val="00DC25D6"/>
    <w:rsid w:val="00DC5FB3"/>
    <w:rsid w:val="00DD16DF"/>
    <w:rsid w:val="00DD4DEB"/>
    <w:rsid w:val="00DD5272"/>
    <w:rsid w:val="00DD5F50"/>
    <w:rsid w:val="00DE226F"/>
    <w:rsid w:val="00DE6DCA"/>
    <w:rsid w:val="00DE7847"/>
    <w:rsid w:val="00DF328F"/>
    <w:rsid w:val="00DF378B"/>
    <w:rsid w:val="00DF44FB"/>
    <w:rsid w:val="00DF4FD3"/>
    <w:rsid w:val="00DF7270"/>
    <w:rsid w:val="00E013B8"/>
    <w:rsid w:val="00E051AE"/>
    <w:rsid w:val="00E117B4"/>
    <w:rsid w:val="00E13E06"/>
    <w:rsid w:val="00E16DBE"/>
    <w:rsid w:val="00E2256C"/>
    <w:rsid w:val="00E24BBA"/>
    <w:rsid w:val="00E30A07"/>
    <w:rsid w:val="00E338E3"/>
    <w:rsid w:val="00E33BE3"/>
    <w:rsid w:val="00E355FC"/>
    <w:rsid w:val="00E425DE"/>
    <w:rsid w:val="00E432E4"/>
    <w:rsid w:val="00E44E7B"/>
    <w:rsid w:val="00E53FF9"/>
    <w:rsid w:val="00E54B60"/>
    <w:rsid w:val="00E578D3"/>
    <w:rsid w:val="00E57953"/>
    <w:rsid w:val="00E60894"/>
    <w:rsid w:val="00E626BC"/>
    <w:rsid w:val="00E64512"/>
    <w:rsid w:val="00E65A47"/>
    <w:rsid w:val="00E70FFC"/>
    <w:rsid w:val="00E72F0E"/>
    <w:rsid w:val="00E743F0"/>
    <w:rsid w:val="00E8023E"/>
    <w:rsid w:val="00E82D8D"/>
    <w:rsid w:val="00E90948"/>
    <w:rsid w:val="00E95E18"/>
    <w:rsid w:val="00EA1EDA"/>
    <w:rsid w:val="00EA2AAC"/>
    <w:rsid w:val="00EA45D6"/>
    <w:rsid w:val="00EA530C"/>
    <w:rsid w:val="00EB41E8"/>
    <w:rsid w:val="00EB6C9D"/>
    <w:rsid w:val="00EC1315"/>
    <w:rsid w:val="00EC6B84"/>
    <w:rsid w:val="00EC7ED0"/>
    <w:rsid w:val="00ED4440"/>
    <w:rsid w:val="00ED4B99"/>
    <w:rsid w:val="00ED5DBB"/>
    <w:rsid w:val="00ED6855"/>
    <w:rsid w:val="00EE33D9"/>
    <w:rsid w:val="00EE5414"/>
    <w:rsid w:val="00EE5B36"/>
    <w:rsid w:val="00EF19AD"/>
    <w:rsid w:val="00EF4FF9"/>
    <w:rsid w:val="00EF60C8"/>
    <w:rsid w:val="00EF6555"/>
    <w:rsid w:val="00EF6B13"/>
    <w:rsid w:val="00EF75C5"/>
    <w:rsid w:val="00EF7DB5"/>
    <w:rsid w:val="00F01FB0"/>
    <w:rsid w:val="00F0242A"/>
    <w:rsid w:val="00F10211"/>
    <w:rsid w:val="00F11A3A"/>
    <w:rsid w:val="00F144DC"/>
    <w:rsid w:val="00F1453B"/>
    <w:rsid w:val="00F16850"/>
    <w:rsid w:val="00F17344"/>
    <w:rsid w:val="00F20A3D"/>
    <w:rsid w:val="00F20AF9"/>
    <w:rsid w:val="00F240CA"/>
    <w:rsid w:val="00F24B30"/>
    <w:rsid w:val="00F27263"/>
    <w:rsid w:val="00F31289"/>
    <w:rsid w:val="00F32CD6"/>
    <w:rsid w:val="00F35315"/>
    <w:rsid w:val="00F357D3"/>
    <w:rsid w:val="00F36009"/>
    <w:rsid w:val="00F36F28"/>
    <w:rsid w:val="00F37988"/>
    <w:rsid w:val="00F418D8"/>
    <w:rsid w:val="00F42FA2"/>
    <w:rsid w:val="00F43EA9"/>
    <w:rsid w:val="00F440ED"/>
    <w:rsid w:val="00F44944"/>
    <w:rsid w:val="00F44B22"/>
    <w:rsid w:val="00F52D12"/>
    <w:rsid w:val="00F568D4"/>
    <w:rsid w:val="00F60C7A"/>
    <w:rsid w:val="00F619BF"/>
    <w:rsid w:val="00F62861"/>
    <w:rsid w:val="00F638BC"/>
    <w:rsid w:val="00F66A86"/>
    <w:rsid w:val="00F670BB"/>
    <w:rsid w:val="00F702BD"/>
    <w:rsid w:val="00F71638"/>
    <w:rsid w:val="00F71C5E"/>
    <w:rsid w:val="00F76592"/>
    <w:rsid w:val="00F76D25"/>
    <w:rsid w:val="00F81B09"/>
    <w:rsid w:val="00F81F4D"/>
    <w:rsid w:val="00F87A7E"/>
    <w:rsid w:val="00F94185"/>
    <w:rsid w:val="00F96146"/>
    <w:rsid w:val="00FA2195"/>
    <w:rsid w:val="00FA2758"/>
    <w:rsid w:val="00FA3839"/>
    <w:rsid w:val="00FA5E60"/>
    <w:rsid w:val="00FB0413"/>
    <w:rsid w:val="00FB1DB3"/>
    <w:rsid w:val="00FB3124"/>
    <w:rsid w:val="00FB5433"/>
    <w:rsid w:val="00FB5B54"/>
    <w:rsid w:val="00FC0689"/>
    <w:rsid w:val="00FD0833"/>
    <w:rsid w:val="00FD33FA"/>
    <w:rsid w:val="00FD4BAC"/>
    <w:rsid w:val="00FD5B5D"/>
    <w:rsid w:val="00FD69BA"/>
    <w:rsid w:val="00FD6A6A"/>
    <w:rsid w:val="00FD7DAC"/>
    <w:rsid w:val="00FE269D"/>
    <w:rsid w:val="00FE28C8"/>
    <w:rsid w:val="00FE3F76"/>
    <w:rsid w:val="00FE53C6"/>
    <w:rsid w:val="00FF2DF6"/>
    <w:rsid w:val="00FF3633"/>
    <w:rsid w:val="00FF3874"/>
    <w:rsid w:val="00FF41AA"/>
    <w:rsid w:val="00FF6BDC"/>
    <w:rsid w:val="00FF705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D0745"/>
  <w15:chartTrackingRefBased/>
  <w15:docId w15:val="{1D19680D-F68D-A94A-9C89-8F2B4C11B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64F"/>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9E1F1D"/>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9E1F1D"/>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unhideWhenUsed/>
    <w:qFormat/>
    <w:rsid w:val="009E1F1D"/>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unhideWhenUsed/>
    <w:qFormat/>
    <w:rsid w:val="009E1F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1F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1F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F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F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F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F1D"/>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9E1F1D"/>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9E1F1D"/>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rsid w:val="009E1F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1F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1F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F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F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F1D"/>
    <w:rPr>
      <w:rFonts w:eastAsiaTheme="majorEastAsia" w:cstheme="majorBidi"/>
      <w:color w:val="272727" w:themeColor="text1" w:themeTint="D8"/>
    </w:rPr>
  </w:style>
  <w:style w:type="paragraph" w:styleId="Title">
    <w:name w:val="Title"/>
    <w:basedOn w:val="Normal"/>
    <w:next w:val="Normal"/>
    <w:link w:val="TitleChar"/>
    <w:uiPriority w:val="10"/>
    <w:qFormat/>
    <w:rsid w:val="009E1F1D"/>
    <w:pPr>
      <w:spacing w:after="8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E1F1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E1F1D"/>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E1F1D"/>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E1F1D"/>
    <w:pPr>
      <w:spacing w:before="160"/>
      <w:jc w:val="center"/>
    </w:pPr>
    <w:rPr>
      <w:i/>
      <w:iCs/>
      <w:color w:val="404040" w:themeColor="text1" w:themeTint="BF"/>
    </w:rPr>
  </w:style>
  <w:style w:type="character" w:customStyle="1" w:styleId="QuoteChar">
    <w:name w:val="Quote Char"/>
    <w:basedOn w:val="DefaultParagraphFont"/>
    <w:link w:val="Quote"/>
    <w:uiPriority w:val="29"/>
    <w:rsid w:val="009E1F1D"/>
    <w:rPr>
      <w:rFonts w:cs="Vrinda"/>
      <w:i/>
      <w:iCs/>
      <w:color w:val="404040" w:themeColor="text1" w:themeTint="BF"/>
    </w:rPr>
  </w:style>
  <w:style w:type="paragraph" w:styleId="ListParagraph">
    <w:name w:val="List Paragraph"/>
    <w:basedOn w:val="Normal"/>
    <w:uiPriority w:val="34"/>
    <w:qFormat/>
    <w:rsid w:val="009E1F1D"/>
    <w:pPr>
      <w:ind w:left="720"/>
      <w:contextualSpacing/>
    </w:pPr>
  </w:style>
  <w:style w:type="character" w:styleId="IntenseEmphasis">
    <w:name w:val="Intense Emphasis"/>
    <w:basedOn w:val="DefaultParagraphFont"/>
    <w:uiPriority w:val="21"/>
    <w:qFormat/>
    <w:rsid w:val="009E1F1D"/>
    <w:rPr>
      <w:i/>
      <w:iCs/>
      <w:color w:val="2F5496" w:themeColor="accent1" w:themeShade="BF"/>
    </w:rPr>
  </w:style>
  <w:style w:type="paragraph" w:styleId="IntenseQuote">
    <w:name w:val="Intense Quote"/>
    <w:basedOn w:val="Normal"/>
    <w:next w:val="Normal"/>
    <w:link w:val="IntenseQuoteChar"/>
    <w:uiPriority w:val="30"/>
    <w:qFormat/>
    <w:rsid w:val="009E1F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1F1D"/>
    <w:rPr>
      <w:rFonts w:cs="Vrinda"/>
      <w:i/>
      <w:iCs/>
      <w:color w:val="2F5496" w:themeColor="accent1" w:themeShade="BF"/>
    </w:rPr>
  </w:style>
  <w:style w:type="character" w:styleId="IntenseReference">
    <w:name w:val="Intense Reference"/>
    <w:basedOn w:val="DefaultParagraphFont"/>
    <w:uiPriority w:val="32"/>
    <w:qFormat/>
    <w:rsid w:val="009E1F1D"/>
    <w:rPr>
      <w:b/>
      <w:bCs/>
      <w:smallCaps/>
      <w:color w:val="2F5496" w:themeColor="accent1" w:themeShade="BF"/>
      <w:spacing w:val="5"/>
    </w:rPr>
  </w:style>
  <w:style w:type="character" w:styleId="Hyperlink">
    <w:name w:val="Hyperlink"/>
    <w:basedOn w:val="DefaultParagraphFont"/>
    <w:uiPriority w:val="99"/>
    <w:unhideWhenUsed/>
    <w:rsid w:val="009E1F1D"/>
    <w:rPr>
      <w:color w:val="0000FF"/>
      <w:u w:val="single"/>
    </w:rPr>
  </w:style>
  <w:style w:type="character" w:styleId="FollowedHyperlink">
    <w:name w:val="FollowedHyperlink"/>
    <w:basedOn w:val="DefaultParagraphFont"/>
    <w:uiPriority w:val="99"/>
    <w:semiHidden/>
    <w:unhideWhenUsed/>
    <w:rsid w:val="009E1F1D"/>
    <w:rPr>
      <w:color w:val="800080"/>
      <w:u w:val="single"/>
    </w:rPr>
  </w:style>
  <w:style w:type="paragraph" w:customStyle="1" w:styleId="msonormal0">
    <w:name w:val="msonormal"/>
    <w:basedOn w:val="Normal"/>
    <w:rsid w:val="009E1F1D"/>
    <w:pPr>
      <w:spacing w:before="100" w:beforeAutospacing="1" w:after="100" w:afterAutospacing="1"/>
    </w:pPr>
  </w:style>
  <w:style w:type="paragraph" w:customStyle="1" w:styleId="xl65">
    <w:name w:val="xl65"/>
    <w:basedOn w:val="Normal"/>
    <w:rsid w:val="009E1F1D"/>
    <w:pPr>
      <w:pBdr>
        <w:top w:val="single" w:sz="4" w:space="0" w:color="auto"/>
        <w:left w:val="single" w:sz="4" w:space="0" w:color="auto"/>
        <w:bottom w:val="single" w:sz="4" w:space="0" w:color="auto"/>
        <w:right w:val="single" w:sz="4" w:space="0" w:color="auto"/>
      </w:pBdr>
      <w:shd w:val="clear" w:color="000000" w:fill="17365D"/>
      <w:spacing w:before="100" w:beforeAutospacing="1" w:after="100" w:afterAutospacing="1"/>
      <w:textAlignment w:val="center"/>
    </w:pPr>
    <w:rPr>
      <w:rFonts w:ascii="Calibri" w:hAnsi="Calibri" w:cs="Calibri"/>
      <w:b/>
      <w:bCs/>
      <w:color w:val="FFFFFF"/>
      <w:sz w:val="30"/>
    </w:rPr>
  </w:style>
  <w:style w:type="paragraph" w:customStyle="1" w:styleId="xl66">
    <w:name w:val="xl66"/>
    <w:basedOn w:val="Normal"/>
    <w:rsid w:val="009E1F1D"/>
    <w:pPr>
      <w:pBdr>
        <w:top w:val="single" w:sz="4" w:space="0" w:color="auto"/>
        <w:left w:val="single" w:sz="4" w:space="0" w:color="auto"/>
        <w:bottom w:val="single" w:sz="4" w:space="0" w:color="auto"/>
        <w:right w:val="single" w:sz="4" w:space="0" w:color="auto"/>
      </w:pBdr>
      <w:spacing w:before="100" w:beforeAutospacing="1" w:after="100" w:afterAutospacing="1"/>
    </w:pPr>
  </w:style>
  <w:style w:type="paragraph" w:customStyle="1" w:styleId="xl67">
    <w:name w:val="xl67"/>
    <w:basedOn w:val="Normal"/>
    <w:rsid w:val="009E1F1D"/>
    <w:pPr>
      <w:pBdr>
        <w:top w:val="single" w:sz="4" w:space="0" w:color="auto"/>
        <w:left w:val="single" w:sz="4" w:space="0" w:color="auto"/>
        <w:bottom w:val="single" w:sz="4" w:space="0" w:color="auto"/>
        <w:right w:val="single" w:sz="4" w:space="0" w:color="auto"/>
      </w:pBdr>
      <w:shd w:val="clear" w:color="000000" w:fill="1F4E78"/>
      <w:spacing w:before="100" w:beforeAutospacing="1" w:after="100" w:afterAutospacing="1"/>
      <w:jc w:val="center"/>
      <w:textAlignment w:val="center"/>
    </w:pPr>
    <w:rPr>
      <w:rFonts w:ascii="Calibri" w:hAnsi="Calibri" w:cs="Calibri"/>
      <w:b/>
      <w:bCs/>
      <w:color w:val="FFFFFF"/>
    </w:rPr>
  </w:style>
  <w:style w:type="paragraph" w:customStyle="1" w:styleId="xl68">
    <w:name w:val="xl68"/>
    <w:basedOn w:val="Normal"/>
    <w:rsid w:val="009E1F1D"/>
    <w:pPr>
      <w:pBdr>
        <w:top w:val="single" w:sz="4" w:space="0" w:color="auto"/>
        <w:left w:val="single" w:sz="4" w:space="0" w:color="auto"/>
        <w:bottom w:val="single" w:sz="4" w:space="0" w:color="auto"/>
        <w:right w:val="single" w:sz="4" w:space="0" w:color="auto"/>
      </w:pBdr>
      <w:spacing w:before="100" w:beforeAutospacing="1" w:after="100" w:afterAutospacing="1"/>
      <w:textAlignment w:val="top"/>
    </w:pPr>
  </w:style>
  <w:style w:type="paragraph" w:styleId="Header">
    <w:name w:val="header"/>
    <w:basedOn w:val="Normal"/>
    <w:link w:val="HeaderChar"/>
    <w:uiPriority w:val="99"/>
    <w:unhideWhenUsed/>
    <w:rsid w:val="00513534"/>
    <w:pPr>
      <w:tabs>
        <w:tab w:val="center" w:pos="4680"/>
        <w:tab w:val="right" w:pos="9360"/>
      </w:tabs>
    </w:pPr>
  </w:style>
  <w:style w:type="character" w:customStyle="1" w:styleId="HeaderChar">
    <w:name w:val="Header Char"/>
    <w:basedOn w:val="DefaultParagraphFont"/>
    <w:link w:val="Header"/>
    <w:uiPriority w:val="99"/>
    <w:rsid w:val="00513534"/>
    <w:rPr>
      <w:rFonts w:cs="Vrinda"/>
    </w:rPr>
  </w:style>
  <w:style w:type="paragraph" w:styleId="Footer">
    <w:name w:val="footer"/>
    <w:basedOn w:val="Normal"/>
    <w:link w:val="FooterChar"/>
    <w:uiPriority w:val="99"/>
    <w:unhideWhenUsed/>
    <w:rsid w:val="00513534"/>
    <w:pPr>
      <w:tabs>
        <w:tab w:val="center" w:pos="4680"/>
        <w:tab w:val="right" w:pos="9360"/>
      </w:tabs>
    </w:pPr>
  </w:style>
  <w:style w:type="character" w:customStyle="1" w:styleId="FooterChar">
    <w:name w:val="Footer Char"/>
    <w:basedOn w:val="DefaultParagraphFont"/>
    <w:link w:val="Footer"/>
    <w:uiPriority w:val="99"/>
    <w:rsid w:val="00513534"/>
    <w:rPr>
      <w:rFonts w:cs="Vrinda"/>
    </w:rPr>
  </w:style>
  <w:style w:type="paragraph" w:styleId="Revision">
    <w:name w:val="Revision"/>
    <w:hidden/>
    <w:uiPriority w:val="99"/>
    <w:semiHidden/>
    <w:rsid w:val="00CF37AE"/>
    <w:pPr>
      <w:spacing w:after="0" w:line="240" w:lineRule="auto"/>
    </w:pPr>
    <w:rPr>
      <w:rFonts w:cs="Vrinda"/>
    </w:rPr>
  </w:style>
  <w:style w:type="character" w:styleId="Strong">
    <w:name w:val="Strong"/>
    <w:basedOn w:val="DefaultParagraphFont"/>
    <w:uiPriority w:val="22"/>
    <w:qFormat/>
    <w:rsid w:val="0029165F"/>
    <w:rPr>
      <w:b/>
      <w:bCs/>
    </w:rPr>
  </w:style>
  <w:style w:type="character" w:customStyle="1" w:styleId="apple-converted-space">
    <w:name w:val="apple-converted-space"/>
    <w:basedOn w:val="DefaultParagraphFont"/>
    <w:rsid w:val="0029165F"/>
  </w:style>
  <w:style w:type="paragraph" w:styleId="NormalWeb">
    <w:name w:val="Normal (Web)"/>
    <w:basedOn w:val="Normal"/>
    <w:uiPriority w:val="99"/>
    <w:unhideWhenUsed/>
    <w:rsid w:val="0029165F"/>
    <w:pPr>
      <w:spacing w:before="100" w:beforeAutospacing="1" w:after="100" w:afterAutospacing="1"/>
    </w:pPr>
  </w:style>
  <w:style w:type="character" w:styleId="Emphasis">
    <w:name w:val="Emphasis"/>
    <w:basedOn w:val="DefaultParagraphFont"/>
    <w:uiPriority w:val="20"/>
    <w:qFormat/>
    <w:rsid w:val="0029165F"/>
    <w:rPr>
      <w:i/>
      <w:iCs/>
    </w:rPr>
  </w:style>
  <w:style w:type="paragraph" w:customStyle="1" w:styleId="isselectedend">
    <w:name w:val="isselectedend"/>
    <w:basedOn w:val="Normal"/>
    <w:rsid w:val="0029165F"/>
    <w:pPr>
      <w:spacing w:before="100" w:beforeAutospacing="1" w:after="100" w:afterAutospacing="1"/>
    </w:pPr>
  </w:style>
  <w:style w:type="paragraph" w:styleId="NoSpacing">
    <w:name w:val="No Spacing"/>
    <w:uiPriority w:val="1"/>
    <w:qFormat/>
    <w:rsid w:val="00DA3622"/>
    <w:pPr>
      <w:spacing w:after="0" w:line="240" w:lineRule="auto"/>
    </w:pPr>
    <w:rPr>
      <w:rFonts w:cs="Vrinda"/>
    </w:rPr>
  </w:style>
  <w:style w:type="paragraph" w:customStyle="1" w:styleId="otoxerb72m">
    <w:name w:val="_otoxerb72m"/>
    <w:basedOn w:val="Normal"/>
    <w:rsid w:val="0064564F"/>
    <w:pPr>
      <w:spacing w:before="100" w:beforeAutospacing="1" w:after="100" w:afterAutospacing="1"/>
    </w:pPr>
  </w:style>
  <w:style w:type="paragraph" w:customStyle="1" w:styleId="om72itgjte">
    <w:name w:val="_om72itgjte"/>
    <w:basedOn w:val="Normal"/>
    <w:rsid w:val="0064564F"/>
    <w:pPr>
      <w:spacing w:before="100" w:beforeAutospacing="1" w:after="100" w:afterAutospacing="1"/>
    </w:pPr>
  </w:style>
  <w:style w:type="paragraph" w:customStyle="1" w:styleId="t0qezfior3">
    <w:name w:val="_t0qezfior3"/>
    <w:basedOn w:val="Normal"/>
    <w:rsid w:val="0064564F"/>
    <w:pPr>
      <w:spacing w:before="100" w:beforeAutospacing="1" w:after="100" w:afterAutospacing="1"/>
    </w:pPr>
  </w:style>
  <w:style w:type="character" w:customStyle="1" w:styleId="pdifbjt2sd">
    <w:name w:val="_pdifbjt2sd"/>
    <w:basedOn w:val="DefaultParagraphFont"/>
    <w:rsid w:val="0064564F"/>
  </w:style>
  <w:style w:type="paragraph" w:styleId="TOCHeading">
    <w:name w:val="TOC Heading"/>
    <w:basedOn w:val="Heading1"/>
    <w:next w:val="Normal"/>
    <w:uiPriority w:val="39"/>
    <w:unhideWhenUsed/>
    <w:qFormat/>
    <w:rsid w:val="005F58F2"/>
    <w:pPr>
      <w:spacing w:before="480" w:after="0" w:line="276" w:lineRule="auto"/>
      <w:outlineLvl w:val="9"/>
    </w:pPr>
    <w:rPr>
      <w:b/>
      <w:bCs/>
      <w:sz w:val="28"/>
      <w:szCs w:val="28"/>
      <w:lang w:bidi="ar-SA"/>
    </w:rPr>
  </w:style>
  <w:style w:type="paragraph" w:styleId="TOC3">
    <w:name w:val="toc 3"/>
    <w:basedOn w:val="Normal"/>
    <w:next w:val="Normal"/>
    <w:autoRedefine/>
    <w:uiPriority w:val="39"/>
    <w:unhideWhenUsed/>
    <w:rsid w:val="005F58F2"/>
    <w:rPr>
      <w:rFonts w:asciiTheme="minorHAnsi" w:hAnsiTheme="minorHAnsi" w:cs="Vrinda"/>
      <w:smallCaps/>
      <w:sz w:val="22"/>
      <w:szCs w:val="22"/>
    </w:rPr>
  </w:style>
  <w:style w:type="paragraph" w:styleId="TOC2">
    <w:name w:val="toc 2"/>
    <w:basedOn w:val="Normal"/>
    <w:next w:val="Normal"/>
    <w:autoRedefine/>
    <w:uiPriority w:val="39"/>
    <w:unhideWhenUsed/>
    <w:rsid w:val="005F58F2"/>
    <w:rPr>
      <w:rFonts w:asciiTheme="minorHAnsi" w:hAnsiTheme="minorHAnsi" w:cs="Vrinda"/>
      <w:b/>
      <w:bCs/>
      <w:smallCaps/>
      <w:sz w:val="22"/>
      <w:szCs w:val="22"/>
    </w:rPr>
  </w:style>
  <w:style w:type="paragraph" w:styleId="TOC1">
    <w:name w:val="toc 1"/>
    <w:basedOn w:val="Normal"/>
    <w:next w:val="Normal"/>
    <w:autoRedefine/>
    <w:uiPriority w:val="39"/>
    <w:semiHidden/>
    <w:unhideWhenUsed/>
    <w:rsid w:val="005F58F2"/>
    <w:pPr>
      <w:spacing w:before="360" w:after="360"/>
    </w:pPr>
    <w:rPr>
      <w:rFonts w:asciiTheme="minorHAnsi" w:hAnsiTheme="minorHAnsi" w:cs="Vrinda"/>
      <w:b/>
      <w:bCs/>
      <w:caps/>
      <w:sz w:val="22"/>
      <w:szCs w:val="22"/>
      <w:u w:val="single"/>
    </w:rPr>
  </w:style>
  <w:style w:type="paragraph" w:styleId="TOC4">
    <w:name w:val="toc 4"/>
    <w:basedOn w:val="Normal"/>
    <w:next w:val="Normal"/>
    <w:autoRedefine/>
    <w:uiPriority w:val="39"/>
    <w:semiHidden/>
    <w:unhideWhenUsed/>
    <w:rsid w:val="005F58F2"/>
    <w:rPr>
      <w:rFonts w:asciiTheme="minorHAnsi" w:hAnsiTheme="minorHAnsi" w:cs="Vrinda"/>
      <w:sz w:val="22"/>
      <w:szCs w:val="22"/>
    </w:rPr>
  </w:style>
  <w:style w:type="paragraph" w:styleId="TOC5">
    <w:name w:val="toc 5"/>
    <w:basedOn w:val="Normal"/>
    <w:next w:val="Normal"/>
    <w:autoRedefine/>
    <w:uiPriority w:val="39"/>
    <w:semiHidden/>
    <w:unhideWhenUsed/>
    <w:rsid w:val="005F58F2"/>
    <w:rPr>
      <w:rFonts w:asciiTheme="minorHAnsi" w:hAnsiTheme="minorHAnsi" w:cs="Vrinda"/>
      <w:sz w:val="22"/>
      <w:szCs w:val="22"/>
    </w:rPr>
  </w:style>
  <w:style w:type="paragraph" w:styleId="TOC6">
    <w:name w:val="toc 6"/>
    <w:basedOn w:val="Normal"/>
    <w:next w:val="Normal"/>
    <w:autoRedefine/>
    <w:uiPriority w:val="39"/>
    <w:semiHidden/>
    <w:unhideWhenUsed/>
    <w:rsid w:val="005F58F2"/>
    <w:rPr>
      <w:rFonts w:asciiTheme="minorHAnsi" w:hAnsiTheme="minorHAnsi" w:cs="Vrinda"/>
      <w:sz w:val="22"/>
      <w:szCs w:val="22"/>
    </w:rPr>
  </w:style>
  <w:style w:type="paragraph" w:styleId="TOC7">
    <w:name w:val="toc 7"/>
    <w:basedOn w:val="Normal"/>
    <w:next w:val="Normal"/>
    <w:autoRedefine/>
    <w:uiPriority w:val="39"/>
    <w:semiHidden/>
    <w:unhideWhenUsed/>
    <w:rsid w:val="005F58F2"/>
    <w:rPr>
      <w:rFonts w:asciiTheme="minorHAnsi" w:hAnsiTheme="minorHAnsi" w:cs="Vrinda"/>
      <w:sz w:val="22"/>
      <w:szCs w:val="22"/>
    </w:rPr>
  </w:style>
  <w:style w:type="paragraph" w:styleId="TOC8">
    <w:name w:val="toc 8"/>
    <w:basedOn w:val="Normal"/>
    <w:next w:val="Normal"/>
    <w:autoRedefine/>
    <w:uiPriority w:val="39"/>
    <w:semiHidden/>
    <w:unhideWhenUsed/>
    <w:rsid w:val="005F58F2"/>
    <w:rPr>
      <w:rFonts w:asciiTheme="minorHAnsi" w:hAnsiTheme="minorHAnsi" w:cs="Vrinda"/>
      <w:sz w:val="22"/>
      <w:szCs w:val="22"/>
    </w:rPr>
  </w:style>
  <w:style w:type="paragraph" w:styleId="TOC9">
    <w:name w:val="toc 9"/>
    <w:basedOn w:val="Normal"/>
    <w:next w:val="Normal"/>
    <w:autoRedefine/>
    <w:uiPriority w:val="39"/>
    <w:semiHidden/>
    <w:unhideWhenUsed/>
    <w:rsid w:val="005F58F2"/>
    <w:rPr>
      <w:rFonts w:asciiTheme="minorHAnsi" w:hAnsiTheme="minorHAnsi" w:cs="Vrind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4A81B-10C8-3C43-A29F-834BD2085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67</Pages>
  <Words>13015</Words>
  <Characters>74190</Characters>
  <Application>Microsoft Office Word</Application>
  <DocSecurity>0</DocSecurity>
  <Lines>618</Lines>
  <Paragraphs>174</Paragraphs>
  <ScaleCrop>false</ScaleCrop>
  <Company/>
  <LinksUpToDate>false</LinksUpToDate>
  <CharactersWithSpaces>87031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5</cp:revision>
  <dcterms:created xsi:type="dcterms:W3CDTF">2026-09-28T21:07:00Z</dcterms:created>
  <dcterms:modified xsi:type="dcterms:W3CDTF">2026-09-28T21:34:00Z</dcterms:modified>
</cp:coreProperties>
</file>