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4185C" w14:textId="77777777" w:rsidR="00AD0424" w:rsidRDefault="00AD0424" w:rsidP="00AD042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LCBB4001- ACCOUNTING FUNDAMENTALS</w:t>
      </w:r>
    </w:p>
    <w:p w14:paraId="0B7E3787" w14:textId="1C526444" w:rsidR="00AD0424" w:rsidRPr="00A501AE" w:rsidRDefault="00AD0424" w:rsidP="00AD042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SEMINAR WEEK </w:t>
      </w:r>
      <w:r w:rsidR="009449A1">
        <w:rPr>
          <w:rFonts w:ascii="Arial" w:hAnsi="Arial" w:cs="Arial"/>
          <w:b/>
          <w:sz w:val="28"/>
          <w:szCs w:val="28"/>
          <w:u w:val="single"/>
        </w:rPr>
        <w:t>6</w:t>
      </w:r>
      <w:r>
        <w:rPr>
          <w:rFonts w:ascii="Arial" w:hAnsi="Arial" w:cs="Arial"/>
          <w:b/>
          <w:sz w:val="28"/>
          <w:szCs w:val="28"/>
          <w:u w:val="single"/>
        </w:rPr>
        <w:t xml:space="preserve"> SOLUTION- </w:t>
      </w:r>
      <w:r w:rsidRPr="00A501AE">
        <w:rPr>
          <w:rFonts w:ascii="Arial" w:hAnsi="Arial" w:cs="Arial"/>
          <w:b/>
          <w:sz w:val="28"/>
          <w:szCs w:val="28"/>
          <w:u w:val="single"/>
        </w:rPr>
        <w:t xml:space="preserve"> RATIOS</w:t>
      </w:r>
    </w:p>
    <w:p w14:paraId="0424F450" w14:textId="77777777" w:rsidR="00AD0424" w:rsidRPr="00A501AE" w:rsidRDefault="00AD0424" w:rsidP="00AD0424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8BD525E" w14:textId="77777777" w:rsidR="00AD0424" w:rsidRPr="00A501AE" w:rsidRDefault="00AD0424" w:rsidP="00AD0424">
      <w:pPr>
        <w:rPr>
          <w:rFonts w:ascii="Arial" w:hAnsi="Arial" w:cs="Arial"/>
          <w:b/>
          <w:sz w:val="28"/>
          <w:szCs w:val="28"/>
          <w:u w:val="single"/>
        </w:rPr>
      </w:pPr>
      <w:r w:rsidRPr="00A501AE">
        <w:rPr>
          <w:rFonts w:ascii="Arial" w:hAnsi="Arial" w:cs="Arial"/>
          <w:b/>
          <w:sz w:val="28"/>
          <w:szCs w:val="28"/>
          <w:u w:val="single"/>
        </w:rPr>
        <w:t>Calculation of ratios (60%)</w:t>
      </w:r>
    </w:p>
    <w:p w14:paraId="320DA78E" w14:textId="77777777" w:rsidR="00AD0424" w:rsidRPr="00A501AE" w:rsidRDefault="00AD0424" w:rsidP="00AD0424">
      <w:pPr>
        <w:rPr>
          <w:rFonts w:ascii="Arial" w:hAnsi="Arial" w:cs="Arial"/>
          <w:b/>
          <w:sz w:val="28"/>
          <w:szCs w:val="28"/>
          <w:u w:val="single"/>
        </w:rPr>
      </w:pPr>
    </w:p>
    <w:p w14:paraId="50E1D065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Credit will be given for valid alternative calculations. Students only need to calculate eight ratios.</w:t>
      </w:r>
    </w:p>
    <w:p w14:paraId="02049C6B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1E0" w:firstRow="1" w:lastRow="1" w:firstColumn="1" w:lastColumn="1" w:noHBand="0" w:noVBand="0"/>
      </w:tblPr>
      <w:tblGrid>
        <w:gridCol w:w="2576"/>
        <w:gridCol w:w="2989"/>
        <w:gridCol w:w="1675"/>
        <w:gridCol w:w="1668"/>
      </w:tblGrid>
      <w:tr w:rsidR="00AD0424" w:rsidRPr="00A501AE" w14:paraId="448DE24B" w14:textId="77777777" w:rsidTr="00A10CF4">
        <w:trPr>
          <w:trHeight w:val="270"/>
        </w:trPr>
        <w:tc>
          <w:tcPr>
            <w:tcW w:w="2700" w:type="dxa"/>
          </w:tcPr>
          <w:p w14:paraId="05F173AA" w14:textId="77777777" w:rsidR="00AD0424" w:rsidRPr="00A501AE" w:rsidRDefault="00AD0424" w:rsidP="00A10CF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Ratio</w:t>
            </w:r>
          </w:p>
        </w:tc>
        <w:tc>
          <w:tcPr>
            <w:tcW w:w="3060" w:type="dxa"/>
          </w:tcPr>
          <w:p w14:paraId="1AEEFC7B" w14:textId="77777777" w:rsidR="00AD0424" w:rsidRPr="00A501AE" w:rsidRDefault="00AD0424" w:rsidP="00A10CF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Working (20</w:t>
            </w: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  <w:r w:rsidRPr="00A501AE">
              <w:rPr>
                <w:rFonts w:ascii="Arial" w:hAnsi="Arial" w:cs="Arial"/>
                <w:b/>
                <w:sz w:val="28"/>
                <w:szCs w:val="28"/>
              </w:rPr>
              <w:t>)</w:t>
            </w:r>
          </w:p>
        </w:tc>
        <w:tc>
          <w:tcPr>
            <w:tcW w:w="1709" w:type="dxa"/>
          </w:tcPr>
          <w:p w14:paraId="5D58BC3C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20</w:t>
            </w: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  <w:tc>
          <w:tcPr>
            <w:tcW w:w="1709" w:type="dxa"/>
          </w:tcPr>
          <w:p w14:paraId="303A3848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20</w:t>
            </w: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</w:tr>
      <w:tr w:rsidR="00AD0424" w:rsidRPr="00A501AE" w14:paraId="1F2BDF2C" w14:textId="77777777" w:rsidTr="00A10CF4">
        <w:trPr>
          <w:trHeight w:val="270"/>
        </w:trPr>
        <w:tc>
          <w:tcPr>
            <w:tcW w:w="2700" w:type="dxa"/>
          </w:tcPr>
          <w:p w14:paraId="122F43AC" w14:textId="77777777" w:rsidR="00AD0424" w:rsidRPr="005D43E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5D43EE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  <w:tc>
          <w:tcPr>
            <w:tcW w:w="3060" w:type="dxa"/>
          </w:tcPr>
          <w:p w14:paraId="3A43CA98" w14:textId="5FAB2B95" w:rsidR="00AD0424" w:rsidRPr="005D43E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5D43EE">
              <w:rPr>
                <w:rFonts w:ascii="Arial" w:hAnsi="Arial" w:cs="Arial"/>
                <w:sz w:val="28"/>
                <w:szCs w:val="28"/>
              </w:rPr>
              <w:t>23</w:t>
            </w:r>
            <w:r w:rsidR="0014232B" w:rsidRPr="005D43EE">
              <w:rPr>
                <w:rFonts w:ascii="Arial" w:hAnsi="Arial" w:cs="Arial"/>
                <w:sz w:val="28"/>
                <w:szCs w:val="28"/>
              </w:rPr>
              <w:t>/ (</w:t>
            </w:r>
            <w:r w:rsidRPr="005D43EE">
              <w:rPr>
                <w:rFonts w:ascii="Arial" w:hAnsi="Arial" w:cs="Arial"/>
                <w:sz w:val="28"/>
                <w:szCs w:val="28"/>
              </w:rPr>
              <w:t>286.1-151)</w:t>
            </w:r>
            <w:r w:rsidR="00480ACF" w:rsidRPr="005D43EE">
              <w:rPr>
                <w:rFonts w:ascii="Arial" w:hAnsi="Arial" w:cs="Arial"/>
                <w:sz w:val="28"/>
                <w:szCs w:val="28"/>
              </w:rPr>
              <w:t>X100</w:t>
            </w:r>
          </w:p>
        </w:tc>
        <w:tc>
          <w:tcPr>
            <w:tcW w:w="1709" w:type="dxa"/>
          </w:tcPr>
          <w:p w14:paraId="55BFEA08" w14:textId="77777777" w:rsidR="00AD0424" w:rsidRPr="005D43E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D43EE">
              <w:rPr>
                <w:rFonts w:ascii="Arial" w:hAnsi="Arial" w:cs="Arial"/>
                <w:sz w:val="28"/>
                <w:szCs w:val="28"/>
              </w:rPr>
              <w:t>17.0%</w:t>
            </w:r>
          </w:p>
        </w:tc>
        <w:tc>
          <w:tcPr>
            <w:tcW w:w="1709" w:type="dxa"/>
          </w:tcPr>
          <w:p w14:paraId="3E821351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D43EE">
              <w:rPr>
                <w:rFonts w:ascii="Arial" w:hAnsi="Arial" w:cs="Arial"/>
                <w:sz w:val="28"/>
                <w:szCs w:val="28"/>
              </w:rPr>
              <w:t>20.4%</w:t>
            </w:r>
          </w:p>
        </w:tc>
      </w:tr>
      <w:tr w:rsidR="00AD0424" w:rsidRPr="00A501AE" w14:paraId="11F4DC37" w14:textId="77777777" w:rsidTr="00A10CF4">
        <w:trPr>
          <w:trHeight w:val="270"/>
        </w:trPr>
        <w:tc>
          <w:tcPr>
            <w:tcW w:w="2700" w:type="dxa"/>
          </w:tcPr>
          <w:p w14:paraId="711D5F2B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Return on equity</w:t>
            </w:r>
          </w:p>
        </w:tc>
        <w:tc>
          <w:tcPr>
            <w:tcW w:w="3060" w:type="dxa"/>
          </w:tcPr>
          <w:p w14:paraId="0ED8D9B4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12.9/93.2</w:t>
            </w:r>
          </w:p>
        </w:tc>
        <w:tc>
          <w:tcPr>
            <w:tcW w:w="1709" w:type="dxa"/>
          </w:tcPr>
          <w:p w14:paraId="30248337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13.8%</w:t>
            </w:r>
          </w:p>
        </w:tc>
        <w:tc>
          <w:tcPr>
            <w:tcW w:w="1709" w:type="dxa"/>
          </w:tcPr>
          <w:p w14:paraId="03CAB0FF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22.7%</w:t>
            </w:r>
          </w:p>
        </w:tc>
      </w:tr>
      <w:tr w:rsidR="00AD0424" w:rsidRPr="00A501AE" w14:paraId="4362E920" w14:textId="77777777" w:rsidTr="00A10CF4">
        <w:trPr>
          <w:trHeight w:val="270"/>
        </w:trPr>
        <w:tc>
          <w:tcPr>
            <w:tcW w:w="2700" w:type="dxa"/>
          </w:tcPr>
          <w:p w14:paraId="79B0D895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EPS</w:t>
            </w:r>
          </w:p>
        </w:tc>
        <w:tc>
          <w:tcPr>
            <w:tcW w:w="3060" w:type="dxa"/>
          </w:tcPr>
          <w:p w14:paraId="1071CB96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12.9/17.8</w:t>
            </w:r>
          </w:p>
        </w:tc>
        <w:tc>
          <w:tcPr>
            <w:tcW w:w="1709" w:type="dxa"/>
          </w:tcPr>
          <w:p w14:paraId="789BEBEA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72p</w:t>
            </w:r>
          </w:p>
        </w:tc>
        <w:tc>
          <w:tcPr>
            <w:tcW w:w="1709" w:type="dxa"/>
          </w:tcPr>
          <w:p w14:paraId="10B67994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103p</w:t>
            </w:r>
          </w:p>
        </w:tc>
      </w:tr>
      <w:tr w:rsidR="00AD0424" w:rsidRPr="00A501AE" w14:paraId="75FFB0D3" w14:textId="77777777" w:rsidTr="00A10CF4">
        <w:trPr>
          <w:trHeight w:val="270"/>
        </w:trPr>
        <w:tc>
          <w:tcPr>
            <w:tcW w:w="2700" w:type="dxa"/>
          </w:tcPr>
          <w:p w14:paraId="4496399B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Gross profit margin</w:t>
            </w:r>
          </w:p>
        </w:tc>
        <w:tc>
          <w:tcPr>
            <w:tcW w:w="3060" w:type="dxa"/>
          </w:tcPr>
          <w:p w14:paraId="522CC600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191.8/501.3</w:t>
            </w:r>
          </w:p>
        </w:tc>
        <w:tc>
          <w:tcPr>
            <w:tcW w:w="1709" w:type="dxa"/>
          </w:tcPr>
          <w:p w14:paraId="1AB4CDE9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38.3%</w:t>
            </w:r>
          </w:p>
        </w:tc>
        <w:tc>
          <w:tcPr>
            <w:tcW w:w="1709" w:type="dxa"/>
          </w:tcPr>
          <w:p w14:paraId="254C2A4E" w14:textId="77777777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38.4%</w:t>
            </w:r>
          </w:p>
        </w:tc>
      </w:tr>
      <w:tr w:rsidR="00AD0424" w:rsidRPr="00A501AE" w14:paraId="60785BE8" w14:textId="77777777" w:rsidTr="00A10CF4">
        <w:trPr>
          <w:trHeight w:val="270"/>
        </w:trPr>
        <w:tc>
          <w:tcPr>
            <w:tcW w:w="2700" w:type="dxa"/>
          </w:tcPr>
          <w:p w14:paraId="6D2F7B39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Net profit margin</w:t>
            </w:r>
          </w:p>
        </w:tc>
        <w:tc>
          <w:tcPr>
            <w:tcW w:w="3060" w:type="dxa"/>
          </w:tcPr>
          <w:p w14:paraId="51971B30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23/501.3</w:t>
            </w:r>
          </w:p>
        </w:tc>
        <w:tc>
          <w:tcPr>
            <w:tcW w:w="1709" w:type="dxa"/>
          </w:tcPr>
          <w:p w14:paraId="2CFAE66B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4.6%</w:t>
            </w:r>
          </w:p>
        </w:tc>
        <w:tc>
          <w:tcPr>
            <w:tcW w:w="1709" w:type="dxa"/>
          </w:tcPr>
          <w:p w14:paraId="30665284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6.1%</w:t>
            </w:r>
          </w:p>
        </w:tc>
      </w:tr>
      <w:tr w:rsidR="00AD0424" w:rsidRPr="00A501AE" w14:paraId="764B6BD8" w14:textId="77777777" w:rsidTr="00A10CF4">
        <w:trPr>
          <w:trHeight w:val="270"/>
        </w:trPr>
        <w:tc>
          <w:tcPr>
            <w:tcW w:w="2700" w:type="dxa"/>
          </w:tcPr>
          <w:p w14:paraId="046AB7D7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Asset turnover</w:t>
            </w:r>
          </w:p>
        </w:tc>
        <w:tc>
          <w:tcPr>
            <w:tcW w:w="3060" w:type="dxa"/>
          </w:tcPr>
          <w:p w14:paraId="0D1B5D72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501.3/135.1</w:t>
            </w:r>
          </w:p>
        </w:tc>
        <w:tc>
          <w:tcPr>
            <w:tcW w:w="1709" w:type="dxa"/>
          </w:tcPr>
          <w:p w14:paraId="6DDC8393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3.7</w:t>
            </w:r>
          </w:p>
        </w:tc>
        <w:tc>
          <w:tcPr>
            <w:tcW w:w="1709" w:type="dxa"/>
          </w:tcPr>
          <w:p w14:paraId="3FB0A234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3.3</w:t>
            </w:r>
          </w:p>
        </w:tc>
      </w:tr>
      <w:tr w:rsidR="00AD0424" w:rsidRPr="00A501AE" w14:paraId="325A601C" w14:textId="77777777" w:rsidTr="00A10CF4">
        <w:trPr>
          <w:trHeight w:val="270"/>
        </w:trPr>
        <w:tc>
          <w:tcPr>
            <w:tcW w:w="2700" w:type="dxa"/>
          </w:tcPr>
          <w:p w14:paraId="46753E32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Stock holding period</w:t>
            </w:r>
          </w:p>
        </w:tc>
        <w:tc>
          <w:tcPr>
            <w:tcW w:w="3060" w:type="dxa"/>
          </w:tcPr>
          <w:p w14:paraId="1ADFE067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38.8/309.5x365</w:t>
            </w:r>
          </w:p>
        </w:tc>
        <w:tc>
          <w:tcPr>
            <w:tcW w:w="1709" w:type="dxa"/>
          </w:tcPr>
          <w:p w14:paraId="19B099E6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46 days</w:t>
            </w:r>
          </w:p>
        </w:tc>
        <w:tc>
          <w:tcPr>
            <w:tcW w:w="1709" w:type="dxa"/>
          </w:tcPr>
          <w:p w14:paraId="270CD529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50 days</w:t>
            </w:r>
          </w:p>
        </w:tc>
      </w:tr>
      <w:tr w:rsidR="00AD0424" w:rsidRPr="00A501AE" w14:paraId="111BF496" w14:textId="77777777" w:rsidTr="00A10CF4">
        <w:trPr>
          <w:trHeight w:val="270"/>
        </w:trPr>
        <w:tc>
          <w:tcPr>
            <w:tcW w:w="2700" w:type="dxa"/>
          </w:tcPr>
          <w:p w14:paraId="5025E052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Debtors collection period</w:t>
            </w:r>
          </w:p>
        </w:tc>
        <w:tc>
          <w:tcPr>
            <w:tcW w:w="3060" w:type="dxa"/>
          </w:tcPr>
          <w:p w14:paraId="581B94EF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114.9/501.3x365</w:t>
            </w:r>
          </w:p>
        </w:tc>
        <w:tc>
          <w:tcPr>
            <w:tcW w:w="1709" w:type="dxa"/>
          </w:tcPr>
          <w:p w14:paraId="352D8B49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84 days</w:t>
            </w:r>
          </w:p>
        </w:tc>
        <w:tc>
          <w:tcPr>
            <w:tcW w:w="1709" w:type="dxa"/>
          </w:tcPr>
          <w:p w14:paraId="2F455007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86 days</w:t>
            </w:r>
          </w:p>
        </w:tc>
      </w:tr>
      <w:tr w:rsidR="00AD0424" w:rsidRPr="00A501AE" w14:paraId="3A7B29DE" w14:textId="77777777" w:rsidTr="00A10CF4">
        <w:trPr>
          <w:trHeight w:val="270"/>
        </w:trPr>
        <w:tc>
          <w:tcPr>
            <w:tcW w:w="2700" w:type="dxa"/>
          </w:tcPr>
          <w:p w14:paraId="7882E260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Creditors payment period</w:t>
            </w:r>
          </w:p>
        </w:tc>
        <w:tc>
          <w:tcPr>
            <w:tcW w:w="3060" w:type="dxa"/>
          </w:tcPr>
          <w:p w14:paraId="50336C71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84.1/309.5x365</w:t>
            </w:r>
          </w:p>
        </w:tc>
        <w:tc>
          <w:tcPr>
            <w:tcW w:w="1709" w:type="dxa"/>
          </w:tcPr>
          <w:p w14:paraId="5FD416B9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100 days</w:t>
            </w:r>
          </w:p>
        </w:tc>
        <w:tc>
          <w:tcPr>
            <w:tcW w:w="1709" w:type="dxa"/>
          </w:tcPr>
          <w:p w14:paraId="667891B8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93 days</w:t>
            </w:r>
          </w:p>
        </w:tc>
      </w:tr>
      <w:tr w:rsidR="00AD0424" w:rsidRPr="00891C13" w14:paraId="6269B3CE" w14:textId="77777777" w:rsidTr="00A10CF4">
        <w:trPr>
          <w:trHeight w:val="270"/>
        </w:trPr>
        <w:tc>
          <w:tcPr>
            <w:tcW w:w="2700" w:type="dxa"/>
          </w:tcPr>
          <w:p w14:paraId="22020450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Current ratio</w:t>
            </w:r>
          </w:p>
        </w:tc>
        <w:tc>
          <w:tcPr>
            <w:tcW w:w="3060" w:type="dxa"/>
          </w:tcPr>
          <w:p w14:paraId="426C42A9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153.9/151</w:t>
            </w:r>
          </w:p>
        </w:tc>
        <w:tc>
          <w:tcPr>
            <w:tcW w:w="1709" w:type="dxa"/>
          </w:tcPr>
          <w:p w14:paraId="4E461FD1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1.0</w:t>
            </w:r>
          </w:p>
        </w:tc>
        <w:tc>
          <w:tcPr>
            <w:tcW w:w="1709" w:type="dxa"/>
          </w:tcPr>
          <w:p w14:paraId="733F6745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1.1</w:t>
            </w:r>
          </w:p>
        </w:tc>
      </w:tr>
      <w:tr w:rsidR="00AD0424" w:rsidRPr="00891C13" w14:paraId="2BFEB8AE" w14:textId="77777777" w:rsidTr="00A10CF4">
        <w:trPr>
          <w:trHeight w:val="270"/>
        </w:trPr>
        <w:tc>
          <w:tcPr>
            <w:tcW w:w="2700" w:type="dxa"/>
          </w:tcPr>
          <w:p w14:paraId="0C23DBDA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Quick ratio</w:t>
            </w:r>
          </w:p>
        </w:tc>
        <w:tc>
          <w:tcPr>
            <w:tcW w:w="3060" w:type="dxa"/>
          </w:tcPr>
          <w:p w14:paraId="56B5F0E4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(114.9+.2)/151</w:t>
            </w:r>
          </w:p>
        </w:tc>
        <w:tc>
          <w:tcPr>
            <w:tcW w:w="1709" w:type="dxa"/>
          </w:tcPr>
          <w:p w14:paraId="1CE74B99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0.8</w:t>
            </w:r>
          </w:p>
        </w:tc>
        <w:tc>
          <w:tcPr>
            <w:tcW w:w="1709" w:type="dxa"/>
          </w:tcPr>
          <w:p w14:paraId="704BEE37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0.8</w:t>
            </w:r>
          </w:p>
        </w:tc>
      </w:tr>
      <w:tr w:rsidR="00AD0424" w:rsidRPr="00A501AE" w14:paraId="0A05CE47" w14:textId="77777777" w:rsidTr="00A10CF4">
        <w:trPr>
          <w:trHeight w:val="270"/>
        </w:trPr>
        <w:tc>
          <w:tcPr>
            <w:tcW w:w="2700" w:type="dxa"/>
          </w:tcPr>
          <w:p w14:paraId="65FFB90F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Gearing </w:t>
            </w:r>
          </w:p>
        </w:tc>
        <w:tc>
          <w:tcPr>
            <w:tcW w:w="3060" w:type="dxa"/>
          </w:tcPr>
          <w:p w14:paraId="1E6B6A17" w14:textId="77777777" w:rsidR="00AD0424" w:rsidRPr="00480ACF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41.9/(41.9+93.2)</w:t>
            </w:r>
          </w:p>
        </w:tc>
        <w:tc>
          <w:tcPr>
            <w:tcW w:w="1709" w:type="dxa"/>
          </w:tcPr>
          <w:p w14:paraId="19D1AE94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31.0%</w:t>
            </w:r>
          </w:p>
        </w:tc>
        <w:tc>
          <w:tcPr>
            <w:tcW w:w="1709" w:type="dxa"/>
          </w:tcPr>
          <w:p w14:paraId="1C231C6A" w14:textId="77777777" w:rsidR="00AD0424" w:rsidRPr="00480ACF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44.8%</w:t>
            </w:r>
          </w:p>
        </w:tc>
      </w:tr>
      <w:tr w:rsidR="00AD0424" w:rsidRPr="00A501AE" w14:paraId="15F077F6" w14:textId="77777777" w:rsidTr="00A10CF4">
        <w:trPr>
          <w:trHeight w:val="270"/>
        </w:trPr>
        <w:tc>
          <w:tcPr>
            <w:tcW w:w="2700" w:type="dxa"/>
          </w:tcPr>
          <w:p w14:paraId="1BC71D03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Interest cover</w:t>
            </w:r>
          </w:p>
        </w:tc>
        <w:tc>
          <w:tcPr>
            <w:tcW w:w="3060" w:type="dxa"/>
          </w:tcPr>
          <w:p w14:paraId="40B0BDCD" w14:textId="77777777" w:rsidR="00AD0424" w:rsidRPr="00A501AE" w:rsidRDefault="00AD0424" w:rsidP="00A10CF4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23/0.2</w:t>
            </w:r>
          </w:p>
        </w:tc>
        <w:tc>
          <w:tcPr>
            <w:tcW w:w="1709" w:type="dxa"/>
          </w:tcPr>
          <w:p w14:paraId="576E46C6" w14:textId="50D318F5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115</w:t>
            </w:r>
            <w:r w:rsidR="000E1974">
              <w:rPr>
                <w:rFonts w:ascii="Arial" w:hAnsi="Arial" w:cs="Arial"/>
                <w:sz w:val="28"/>
                <w:szCs w:val="28"/>
              </w:rPr>
              <w:t>times</w:t>
            </w:r>
          </w:p>
        </w:tc>
        <w:tc>
          <w:tcPr>
            <w:tcW w:w="1709" w:type="dxa"/>
          </w:tcPr>
          <w:p w14:paraId="3C9E09F3" w14:textId="18FD18FB" w:rsidR="00AD0424" w:rsidRPr="00A501AE" w:rsidRDefault="00AD0424" w:rsidP="00A10CF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8.5</w:t>
            </w:r>
            <w:r w:rsidR="000E1974">
              <w:rPr>
                <w:rFonts w:ascii="Arial" w:hAnsi="Arial" w:cs="Arial"/>
                <w:sz w:val="28"/>
                <w:szCs w:val="28"/>
              </w:rPr>
              <w:t>times</w:t>
            </w:r>
          </w:p>
        </w:tc>
      </w:tr>
    </w:tbl>
    <w:p w14:paraId="4536D330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14:paraId="6350A277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14:paraId="27759AC1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14:paraId="65BEAAB0" w14:textId="77777777" w:rsidR="00AD0424" w:rsidRDefault="00AD0424" w:rsidP="00AD0424">
      <w:pPr>
        <w:rPr>
          <w:rFonts w:ascii="Arial" w:hAnsi="Arial" w:cs="Arial"/>
          <w:sz w:val="28"/>
          <w:szCs w:val="28"/>
        </w:rPr>
      </w:pPr>
    </w:p>
    <w:p w14:paraId="5EA71434" w14:textId="77777777" w:rsidR="00AD0424" w:rsidRDefault="00AD0424" w:rsidP="00AD0424">
      <w:pPr>
        <w:rPr>
          <w:rFonts w:ascii="Arial" w:hAnsi="Arial" w:cs="Arial"/>
          <w:sz w:val="28"/>
          <w:szCs w:val="28"/>
        </w:rPr>
      </w:pPr>
    </w:p>
    <w:p w14:paraId="4ABEE8CE" w14:textId="77777777" w:rsidR="00AD0424" w:rsidRDefault="00AD0424" w:rsidP="00AD0424">
      <w:pPr>
        <w:rPr>
          <w:rFonts w:ascii="Arial" w:hAnsi="Arial" w:cs="Arial"/>
          <w:sz w:val="28"/>
          <w:szCs w:val="28"/>
        </w:rPr>
      </w:pPr>
    </w:p>
    <w:p w14:paraId="18F5FF7B" w14:textId="77777777" w:rsidR="00AD0424" w:rsidRDefault="00AD0424" w:rsidP="00AD0424">
      <w:pPr>
        <w:rPr>
          <w:rFonts w:ascii="Arial" w:hAnsi="Arial" w:cs="Arial"/>
          <w:sz w:val="28"/>
          <w:szCs w:val="28"/>
        </w:rPr>
      </w:pPr>
    </w:p>
    <w:p w14:paraId="3056C097" w14:textId="77777777" w:rsidR="00AD0424" w:rsidRDefault="00AD0424" w:rsidP="00AD0424">
      <w:pPr>
        <w:rPr>
          <w:rFonts w:ascii="Arial" w:hAnsi="Arial" w:cs="Arial"/>
          <w:sz w:val="28"/>
          <w:szCs w:val="28"/>
        </w:rPr>
      </w:pPr>
    </w:p>
    <w:p w14:paraId="0B272F75" w14:textId="77777777" w:rsidR="00AD0424" w:rsidRDefault="00AD0424" w:rsidP="00AD0424">
      <w:pPr>
        <w:rPr>
          <w:rFonts w:ascii="Arial" w:hAnsi="Arial" w:cs="Arial"/>
          <w:sz w:val="28"/>
          <w:szCs w:val="28"/>
        </w:rPr>
      </w:pPr>
    </w:p>
    <w:p w14:paraId="795463BB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14:paraId="35830108" w14:textId="77777777" w:rsidR="00AD0424" w:rsidRPr="00A501AE" w:rsidRDefault="00AD0424" w:rsidP="00AD0424">
      <w:pPr>
        <w:rPr>
          <w:rFonts w:ascii="Arial" w:hAnsi="Arial" w:cs="Arial"/>
          <w:b/>
          <w:sz w:val="28"/>
          <w:szCs w:val="28"/>
          <w:u w:val="single"/>
        </w:rPr>
      </w:pPr>
      <w:r w:rsidRPr="00A501AE">
        <w:rPr>
          <w:rFonts w:ascii="Arial" w:hAnsi="Arial" w:cs="Arial"/>
          <w:b/>
          <w:sz w:val="28"/>
          <w:szCs w:val="28"/>
          <w:u w:val="single"/>
        </w:rPr>
        <w:t>Comments (40%)</w:t>
      </w:r>
    </w:p>
    <w:p w14:paraId="7DCB72BC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This section will be marked flexibly. Comments may include the following</w:t>
      </w:r>
    </w:p>
    <w:p w14:paraId="00FD868B" w14:textId="77777777" w:rsidR="00AD0424" w:rsidRPr="005D43E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D43EE">
        <w:rPr>
          <w:rFonts w:ascii="Arial" w:hAnsi="Arial" w:cs="Arial"/>
          <w:sz w:val="28"/>
          <w:szCs w:val="28"/>
        </w:rPr>
        <w:t>Turnover has increased due to new market rather than price reduction</w:t>
      </w:r>
    </w:p>
    <w:p w14:paraId="191F39DF" w14:textId="77777777" w:rsidR="00AD0424" w:rsidRPr="00A501AE" w:rsidRDefault="00AD0424" w:rsidP="00AD0424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Supermarkets are competitive so little scope to increase prices</w:t>
      </w:r>
    </w:p>
    <w:p w14:paraId="5DFBDC67" w14:textId="77777777" w:rsidR="00AD0424" w:rsidRPr="00A501AE" w:rsidRDefault="00AD0424" w:rsidP="00AD0424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Gross profit margin relatively stable</w:t>
      </w:r>
    </w:p>
    <w:p w14:paraId="22435032" w14:textId="5EA97E64" w:rsidR="00AD0424" w:rsidRPr="00A501A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 xml:space="preserve">Expansion has not required major investment in property, plant and equipment (non-current assets has not increased and asset turnover </w:t>
      </w:r>
      <w:r w:rsidR="008603EC" w:rsidRPr="00A501AE">
        <w:rPr>
          <w:rFonts w:ascii="Arial" w:hAnsi="Arial" w:cs="Arial"/>
          <w:sz w:val="28"/>
          <w:szCs w:val="28"/>
        </w:rPr>
        <w:t>ratio</w:t>
      </w:r>
      <w:r w:rsidRPr="00A501AE">
        <w:rPr>
          <w:rFonts w:ascii="Arial" w:hAnsi="Arial" w:cs="Arial"/>
          <w:sz w:val="28"/>
          <w:szCs w:val="28"/>
        </w:rPr>
        <w:t xml:space="preserve"> slightly improved). Warehouse space etc. may be rented.</w:t>
      </w:r>
    </w:p>
    <w:p w14:paraId="0B685832" w14:textId="77777777" w:rsidR="00AD0424" w:rsidRPr="00A501A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Distribution costs increased as would be expected from new geographical market, leading to decrease in net profit margin.</w:t>
      </w:r>
    </w:p>
    <w:p w14:paraId="3D0C3B53" w14:textId="12F65BF9" w:rsidR="00AD0424" w:rsidRPr="00A501A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 xml:space="preserve">Slight decrease in stock holding period and </w:t>
      </w:r>
      <w:r w:rsidR="008603EC" w:rsidRPr="00A501AE">
        <w:rPr>
          <w:rFonts w:ascii="Arial" w:hAnsi="Arial" w:cs="Arial"/>
          <w:sz w:val="28"/>
          <w:szCs w:val="28"/>
        </w:rPr>
        <w:t>debtor</w:t>
      </w:r>
      <w:r w:rsidR="008603EC">
        <w:rPr>
          <w:rFonts w:ascii="Arial" w:hAnsi="Arial" w:cs="Arial"/>
          <w:sz w:val="28"/>
          <w:szCs w:val="28"/>
        </w:rPr>
        <w:t>s’</w:t>
      </w:r>
      <w:r w:rsidRPr="00A501AE">
        <w:rPr>
          <w:rFonts w:ascii="Arial" w:hAnsi="Arial" w:cs="Arial"/>
          <w:sz w:val="28"/>
          <w:szCs w:val="28"/>
        </w:rPr>
        <w:t xml:space="preserve"> collection period but increase in creditors payment period. Possibly closer management of working capital to help finance repayment of loans.</w:t>
      </w:r>
    </w:p>
    <w:p w14:paraId="194CABBB" w14:textId="77777777" w:rsidR="00AD0424" w:rsidRPr="00A501A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Interest cover good – improved as loans repaid.</w:t>
      </w:r>
    </w:p>
    <w:p w14:paraId="2D64F0D6" w14:textId="77777777" w:rsidR="00AD0424" w:rsidRPr="00A501A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As a result of above ROCE has improved.</w:t>
      </w:r>
    </w:p>
    <w:p w14:paraId="14781BA9" w14:textId="77777777" w:rsidR="00AD0424" w:rsidRPr="00A501AE" w:rsidRDefault="00AD0424" w:rsidP="00AD0424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Despite improvement in ROCE, ROE has declined. Higher tax charge.</w:t>
      </w:r>
    </w:p>
    <w:p w14:paraId="5EC9D4AB" w14:textId="77777777"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  <w:r w:rsidRPr="00A501AE">
        <w:rPr>
          <w:rFonts w:ascii="Arial" w:hAnsi="Arial" w:cs="Arial"/>
          <w:sz w:val="28"/>
          <w:szCs w:val="28"/>
        </w:rPr>
        <w:t>Conclusions should follow from the comments made.</w:t>
      </w:r>
    </w:p>
    <w:p w14:paraId="7FF09FC0" w14:textId="77777777" w:rsidR="00AD0424" w:rsidRPr="00A501AE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4D2D7DB6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653C9DC9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617E0CB9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3BBAF3D8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0E2968C2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65A4924C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758D53CF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49D5231C" w14:textId="77777777" w:rsidR="00AD0424" w:rsidRDefault="00AD0424" w:rsidP="00AD0424">
      <w:pPr>
        <w:spacing w:after="200" w:line="240" w:lineRule="auto"/>
        <w:rPr>
          <w:rFonts w:ascii="Arial" w:eastAsiaTheme="minorHAnsi" w:hAnsi="Arial" w:cs="Arial"/>
          <w:b/>
          <w:sz w:val="28"/>
          <w:szCs w:val="28"/>
          <w:u w:val="single"/>
          <w:lang w:eastAsia="en-US"/>
        </w:rPr>
      </w:pPr>
    </w:p>
    <w:p w14:paraId="09CACE10" w14:textId="77777777" w:rsidR="00000000" w:rsidRDefault="00000000"/>
    <w:sectPr w:rsidR="000E7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B62F77"/>
    <w:multiLevelType w:val="hybridMultilevel"/>
    <w:tmpl w:val="26D4D6BE"/>
    <w:lvl w:ilvl="0" w:tplc="A5ECC2F2">
      <w:start w:val="1"/>
      <w:numFmt w:val="bullet"/>
      <w:lvlText w:val="o"/>
      <w:lvlJc w:val="left"/>
      <w:pPr>
        <w:tabs>
          <w:tab w:val="num" w:pos="737"/>
        </w:tabs>
        <w:ind w:left="737" w:hanging="737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8127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424"/>
    <w:rsid w:val="000E1974"/>
    <w:rsid w:val="0014232B"/>
    <w:rsid w:val="002E6364"/>
    <w:rsid w:val="0031355B"/>
    <w:rsid w:val="003F5CC0"/>
    <w:rsid w:val="00480ACF"/>
    <w:rsid w:val="005B5358"/>
    <w:rsid w:val="005D43EE"/>
    <w:rsid w:val="006A73CF"/>
    <w:rsid w:val="008603EC"/>
    <w:rsid w:val="00891C13"/>
    <w:rsid w:val="009449A1"/>
    <w:rsid w:val="00AD0424"/>
    <w:rsid w:val="00D87DA4"/>
    <w:rsid w:val="00DF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91199"/>
  <w15:chartTrackingRefBased/>
  <w15:docId w15:val="{69B727BB-4955-4DCC-85A4-9CA1E123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24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D04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Widin Bongasu Sha'ven</dc:creator>
  <cp:keywords/>
  <dc:description/>
  <cp:lastModifiedBy>Winifred Soribe</cp:lastModifiedBy>
  <cp:revision>4</cp:revision>
  <dcterms:created xsi:type="dcterms:W3CDTF">2022-03-13T23:06:00Z</dcterms:created>
  <dcterms:modified xsi:type="dcterms:W3CDTF">2025-01-09T13:27:00Z</dcterms:modified>
</cp:coreProperties>
</file>