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A0B91" w:rsidRDefault="00D96C01" w:rsidP="00D96C01">
      <w:pPr>
        <w:jc w:val="center"/>
        <w:rPr>
          <w:sz w:val="28"/>
        </w:rPr>
      </w:pPr>
      <w:r>
        <w:rPr>
          <w:sz w:val="28"/>
        </w:rPr>
        <w:t xml:space="preserve">Book Review: </w:t>
      </w:r>
      <w:r w:rsidR="003873EA">
        <w:rPr>
          <w:sz w:val="28"/>
        </w:rPr>
        <w:t xml:space="preserve">Sir </w:t>
      </w:r>
      <w:r>
        <w:rPr>
          <w:sz w:val="28"/>
        </w:rPr>
        <w:t>Max Hastings, Catastrophe</w:t>
      </w:r>
      <w:r w:rsidR="001C236D">
        <w:rPr>
          <w:sz w:val="28"/>
        </w:rPr>
        <w:t>: Europe Goes to War 1914</w:t>
      </w:r>
    </w:p>
    <w:p w:rsidR="008F0ABE" w:rsidRDefault="003873EA" w:rsidP="003873EA">
      <w:pPr>
        <w:jc w:val="both"/>
      </w:pPr>
      <w:r>
        <w:t>David Lloyd George is famous for having said of the July Crisis of 1914 that ‘nations slithered over the brink into the boiling cauldron of war without any trace of apprehension or dismay’</w:t>
      </w:r>
      <w:r w:rsidR="00A5218A">
        <w:t>.</w:t>
      </w:r>
      <w:r>
        <w:rPr>
          <w:rStyle w:val="FootnoteReference"/>
        </w:rPr>
        <w:footnoteReference w:id="1"/>
      </w:r>
      <w:r w:rsidR="002C5F44">
        <w:t xml:space="preserve"> A</w:t>
      </w:r>
      <w:r>
        <w:t>lthough written in the 1930s, this would still hold t</w:t>
      </w:r>
      <w:r w:rsidR="00D427C4">
        <w:t>rue to many modern academics, in particular</w:t>
      </w:r>
      <w:r w:rsidR="00457799">
        <w:t xml:space="preserve"> Sir Max Hastings. Hastings, despite being</w:t>
      </w:r>
      <w:r>
        <w:t xml:space="preserve"> primarily a h</w:t>
      </w:r>
      <w:r w:rsidR="00457799">
        <w:t xml:space="preserve">istorian of </w:t>
      </w:r>
      <w:r w:rsidR="0020495A">
        <w:t>the Second World War and onwards</w:t>
      </w:r>
      <w:r w:rsidR="00457799">
        <w:t xml:space="preserve"> (particular mention must go to his works </w:t>
      </w:r>
      <w:r w:rsidR="00457799">
        <w:rPr>
          <w:i/>
        </w:rPr>
        <w:t xml:space="preserve">Armageddon: The Battle for Germany 1944-45, Overlord: D-Day and the Battle for Normandy, </w:t>
      </w:r>
      <w:r w:rsidR="00457799">
        <w:t xml:space="preserve">and </w:t>
      </w:r>
      <w:r w:rsidR="00457799">
        <w:rPr>
          <w:i/>
        </w:rPr>
        <w:t>Nemesis: The Battle for Japan 1944-45</w:t>
      </w:r>
      <w:r w:rsidR="00457799">
        <w:t xml:space="preserve">), in 2013 made a foray into the history of the First World War – or, more specifically, the opening months of the conflict. His book, </w:t>
      </w:r>
      <w:r w:rsidR="00457799">
        <w:rPr>
          <w:i/>
        </w:rPr>
        <w:t>Catastroph</w:t>
      </w:r>
      <w:r w:rsidR="00903443">
        <w:rPr>
          <w:i/>
        </w:rPr>
        <w:t>e</w:t>
      </w:r>
      <w:r w:rsidR="00457799">
        <w:rPr>
          <w:i/>
        </w:rPr>
        <w:t>: Europe Goes to War</w:t>
      </w:r>
      <w:r w:rsidR="00903443">
        <w:rPr>
          <w:i/>
        </w:rPr>
        <w:t xml:space="preserve"> 1914</w:t>
      </w:r>
      <w:r w:rsidR="00457799">
        <w:t>, aims to address elements of the July Crisis and the war’</w:t>
      </w:r>
      <w:r w:rsidR="008A6612">
        <w:t>s opening sta</w:t>
      </w:r>
      <w:r w:rsidR="005B6A5A">
        <w:t>ges in 1914 across Europe, and o</w:t>
      </w:r>
      <w:r w:rsidR="008A6612">
        <w:t>n more than just the Western Front: to this end he argues that using both ‘famous men and familiar events…[and] introducing new guests to the party’</w:t>
      </w:r>
      <w:r w:rsidR="008A6612">
        <w:rPr>
          <w:rStyle w:val="FootnoteReference"/>
        </w:rPr>
        <w:footnoteReference w:id="2"/>
      </w:r>
      <w:r w:rsidR="008A6612">
        <w:t xml:space="preserve"> is key to his narrative. Therefore this book</w:t>
      </w:r>
      <w:r w:rsidR="006347C9">
        <w:t>,</w:t>
      </w:r>
      <w:r w:rsidR="008A6612">
        <w:t xml:space="preserve"> as a whole</w:t>
      </w:r>
      <w:r w:rsidR="006347C9">
        <w:t>,</w:t>
      </w:r>
      <w:r w:rsidR="008A6612">
        <w:t xml:space="preserve"> aims to provide readers with both a history of the </w:t>
      </w:r>
      <w:r w:rsidR="0020495A">
        <w:t xml:space="preserve">traditional aspects of the war, </w:t>
      </w:r>
      <w:r w:rsidR="006347C9">
        <w:t>as</w:t>
      </w:r>
      <w:r w:rsidR="008A6612">
        <w:t xml:space="preserve"> well as an introduction to </w:t>
      </w:r>
      <w:r w:rsidR="006347C9">
        <w:t xml:space="preserve">more disregarded elements – such as the theatre </w:t>
      </w:r>
      <w:r w:rsidR="0020495A">
        <w:t xml:space="preserve">of war surrounding the Balkans. </w:t>
      </w:r>
    </w:p>
    <w:p w:rsidR="003873EA" w:rsidRPr="0020495A" w:rsidRDefault="006347C9" w:rsidP="003873EA">
      <w:pPr>
        <w:jc w:val="both"/>
      </w:pPr>
      <w:r>
        <w:t>Of course,</w:t>
      </w:r>
      <w:r w:rsidR="00314BE8">
        <w:t xml:space="preserve"> it must </w:t>
      </w:r>
      <w:r w:rsidR="00546638">
        <w:t>also be understood that this work</w:t>
      </w:r>
      <w:r w:rsidR="00314BE8">
        <w:t xml:space="preserve"> is written as popular history. Whilst many texts on this topic are academic in nature, and therefore near impenetrable for the casual reader, this was published for the public. For this reason, Hastings’ writing </w:t>
      </w:r>
      <w:r w:rsidR="0020495A">
        <w:t xml:space="preserve">is </w:t>
      </w:r>
      <w:r w:rsidR="00314BE8">
        <w:t>more focussed on the narrative than analysis, although the latter does come into play at points in t</w:t>
      </w:r>
      <w:r w:rsidR="00CC1749">
        <w:t>he book. The chapter headings</w:t>
      </w:r>
      <w:r w:rsidR="00314BE8">
        <w:t xml:space="preserve"> </w:t>
      </w:r>
      <w:r w:rsidR="00314BE8" w:rsidRPr="00314BE8">
        <w:rPr>
          <w:i/>
        </w:rPr>
        <w:t>The Descent to War</w:t>
      </w:r>
      <w:r w:rsidR="00314BE8">
        <w:t xml:space="preserve"> and </w:t>
      </w:r>
      <w:r w:rsidR="00314BE8">
        <w:rPr>
          <w:i/>
        </w:rPr>
        <w:t>Open Country, Open Sky</w:t>
      </w:r>
      <w:r w:rsidR="00E855A1">
        <w:t xml:space="preserve"> demonstrate the intention</w:t>
      </w:r>
      <w:r w:rsidR="00314BE8">
        <w:t xml:space="preserve"> of appeal</w:t>
      </w:r>
      <w:r w:rsidR="007E4EBD">
        <w:t>ing</w:t>
      </w:r>
      <w:r w:rsidR="00314BE8">
        <w:t xml:space="preserve"> to the masses; nearly every major review of this book is sourced in newspapers, not academic journals. </w:t>
      </w:r>
      <w:r w:rsidR="0020495A" w:rsidRPr="0020495A">
        <w:rPr>
          <w:i/>
        </w:rPr>
        <w:t>Catastrophe</w:t>
      </w:r>
      <w:r w:rsidR="0020495A">
        <w:t xml:space="preserve"> was also published the year before the centenary of the First World War’s opening shots – and when twinned with </w:t>
      </w:r>
      <w:r w:rsidR="0020495A">
        <w:rPr>
          <w:i/>
        </w:rPr>
        <w:t>The Necessary War</w:t>
      </w:r>
      <w:r w:rsidR="0041415D">
        <w:t xml:space="preserve">, a documentary written and present by </w:t>
      </w:r>
      <w:r w:rsidR="00A5218A">
        <w:t>Hastings</w:t>
      </w:r>
      <w:r w:rsidR="0041415D">
        <w:t xml:space="preserve"> in February 2014</w:t>
      </w:r>
      <w:r w:rsidR="00A5218A">
        <w:t>,</w:t>
      </w:r>
      <w:r w:rsidR="0020495A">
        <w:rPr>
          <w:rStyle w:val="FootnoteReference"/>
        </w:rPr>
        <w:footnoteReference w:id="3"/>
      </w:r>
      <w:r w:rsidR="0020495A">
        <w:t xml:space="preserve"> it becomes clear that this popular history was designed to engage with</w:t>
      </w:r>
      <w:r w:rsidR="001C2A1F">
        <w:t xml:space="preserve"> a public beginning to reconnect</w:t>
      </w:r>
      <w:r w:rsidR="0020495A">
        <w:t xml:space="preserve"> with the subject matter.</w:t>
      </w:r>
    </w:p>
    <w:p w:rsidR="0020495A" w:rsidRDefault="0020495A" w:rsidP="003873EA">
      <w:pPr>
        <w:jc w:val="both"/>
      </w:pPr>
    </w:p>
    <w:p w:rsidR="00422765" w:rsidRDefault="00422765" w:rsidP="003873EA">
      <w:pPr>
        <w:jc w:val="both"/>
      </w:pPr>
      <w:r>
        <w:t xml:space="preserve">Hastings’ work, presented here in </w:t>
      </w:r>
      <w:r>
        <w:rPr>
          <w:i/>
        </w:rPr>
        <w:t>Catastrophe</w:t>
      </w:r>
      <w:r>
        <w:t>,</w:t>
      </w:r>
      <w:r w:rsidR="00082CE4">
        <w:t xml:space="preserve"> has a heavily academic slant for a book marketed to the masses.</w:t>
      </w:r>
      <w:r w:rsidR="00596918">
        <w:t xml:space="preserve"> One must look no further than the bibliography spa</w:t>
      </w:r>
      <w:r w:rsidR="005C03E5">
        <w:t>nning nine pages, and the densel</w:t>
      </w:r>
      <w:r w:rsidR="00596918">
        <w:t xml:space="preserve">y </w:t>
      </w:r>
      <w:r w:rsidR="000B21A6">
        <w:t>referenced chapters to understand that</w:t>
      </w:r>
      <w:r w:rsidR="00200D67">
        <w:t>,</w:t>
      </w:r>
      <w:r w:rsidR="000B21A6">
        <w:t xml:space="preserve"> </w:t>
      </w:r>
      <w:r w:rsidR="00200D67">
        <w:t xml:space="preserve">despite the popular marketing, </w:t>
      </w:r>
      <w:r w:rsidR="000B21A6">
        <w:t xml:space="preserve">this author wrote this with an academic audience in mind. Many published books on this subject are substantial academic texts – Christopher Clark’s </w:t>
      </w:r>
      <w:r w:rsidR="000B21A6">
        <w:rPr>
          <w:i/>
        </w:rPr>
        <w:t>Sleepwalkers: How Europe Went to War in 1914</w:t>
      </w:r>
      <w:r w:rsidR="00CE7E47">
        <w:t xml:space="preserve"> is a prime</w:t>
      </w:r>
      <w:r w:rsidR="000B21A6">
        <w:t xml:space="preserve"> example of a book written by an author with an academic background. And like such texts, Hastings aims to use relevant source material throughout. </w:t>
      </w:r>
      <w:r w:rsidR="00605CE2">
        <w:t>This ranges from Herbert Asq</w:t>
      </w:r>
      <w:r w:rsidR="00200D67">
        <w:t xml:space="preserve">uith’s comments </w:t>
      </w:r>
      <w:r w:rsidR="00605CE2">
        <w:t xml:space="preserve">on the Lichnowskys </w:t>
      </w:r>
      <w:r w:rsidR="00200D67">
        <w:t xml:space="preserve">to his mistress </w:t>
      </w:r>
      <w:r w:rsidR="00605CE2">
        <w:t>in his first chapter</w:t>
      </w:r>
      <w:r w:rsidR="00200D67">
        <w:t>,</w:t>
      </w:r>
      <w:r w:rsidR="00002EDE">
        <w:t xml:space="preserve"> to </w:t>
      </w:r>
      <w:r w:rsidR="00294A30">
        <w:t xml:space="preserve">a </w:t>
      </w:r>
      <w:r w:rsidR="00002EDE">
        <w:t>ph</w:t>
      </w:r>
      <w:r w:rsidR="00294A30">
        <w:t>oto</w:t>
      </w:r>
      <w:r w:rsidR="00002EDE">
        <w:t xml:space="preserve"> of Belgian troops ‘doing their modest best’</w:t>
      </w:r>
      <w:r w:rsidR="00294A30">
        <w:t xml:space="preserve"> sourced from the Underwood Archives</w:t>
      </w:r>
      <w:r w:rsidR="00F2567A">
        <w:t>.</w:t>
      </w:r>
      <w:r w:rsidR="00605CE2">
        <w:rPr>
          <w:rStyle w:val="FootnoteReference"/>
        </w:rPr>
        <w:footnoteReference w:id="4"/>
      </w:r>
      <w:r w:rsidR="006302B8">
        <w:t xml:space="preserve"> Hastings clearly </w:t>
      </w:r>
      <w:r w:rsidR="00CE7E47">
        <w:t xml:space="preserve">has </w:t>
      </w:r>
      <w:r w:rsidR="006302B8">
        <w:t xml:space="preserve">made effort to base his account of the build-up, and the initial four months, of the </w:t>
      </w:r>
      <w:r w:rsidR="006302B8">
        <w:lastRenderedPageBreak/>
        <w:t xml:space="preserve">war in the facts – and </w:t>
      </w:r>
      <w:r w:rsidR="00B33A63">
        <w:t xml:space="preserve">to then to craft his narrative around this. </w:t>
      </w:r>
      <w:r w:rsidR="00B1723D">
        <w:t>The skill in this work then is therefore not the use of primary documentation, as an academic</w:t>
      </w:r>
      <w:r w:rsidR="00CE7E47">
        <w:t xml:space="preserve"> work should strive to use this</w:t>
      </w:r>
      <w:r w:rsidR="00B1723D">
        <w:t xml:space="preserve"> as often as possible; the skill is an ability to use less known sources to engage a British audience with a thoroughly un-British aspect of the war.</w:t>
      </w:r>
      <w:r w:rsidR="00FD0628">
        <w:t xml:space="preserve"> Very little is made of the Eastern front in Anglo-centric histories of the First World War, yet Hastings is able to weave his chapters on the import of the Battle of Tannenberg, the reaction of Paris, and the disasters that befell the Austrians</w:t>
      </w:r>
      <w:r w:rsidR="00A02AE4">
        <w:t xml:space="preserve"> in Poland into his narrative. He makes it clear that he has taken his cue from Sir Hew Strachan, and attempted to write ‘a portrait of Europe’s tragedy’</w:t>
      </w:r>
      <w:r w:rsidR="00A02AE4">
        <w:rPr>
          <w:rStyle w:val="FootnoteReference"/>
        </w:rPr>
        <w:footnoteReference w:id="5"/>
      </w:r>
      <w:r w:rsidR="00A02AE4">
        <w:t xml:space="preserve"> – not just Britain’s.</w:t>
      </w:r>
      <w:r w:rsidR="00BD121E">
        <w:t xml:space="preserve"> In short, this popular and accessible history is written with the attitude of an academic text, and with the sty</w:t>
      </w:r>
      <w:r w:rsidR="00A2258D">
        <w:t xml:space="preserve">le of a revisionist historian: </w:t>
      </w:r>
      <w:r w:rsidR="0094590C">
        <w:t>to bring to light an oft-forgotten sector of the conflict through an</w:t>
      </w:r>
      <w:r w:rsidR="00893FD1">
        <w:t xml:space="preserve"> impeccably researched and well-</w:t>
      </w:r>
      <w:r w:rsidR="0094590C">
        <w:t>presented publication.</w:t>
      </w:r>
    </w:p>
    <w:p w:rsidR="00BD3FCD" w:rsidRDefault="00893FD1" w:rsidP="003873EA">
      <w:pPr>
        <w:jc w:val="both"/>
      </w:pPr>
      <w:r>
        <w:t>Th</w:t>
      </w:r>
      <w:r w:rsidR="00CE6876">
        <w:t xml:space="preserve">e main issue that readers </w:t>
      </w:r>
      <w:r>
        <w:t xml:space="preserve">come to face when examining </w:t>
      </w:r>
      <w:r w:rsidR="00235ECE">
        <w:rPr>
          <w:i/>
        </w:rPr>
        <w:t>Catastrophe</w:t>
      </w:r>
      <w:r w:rsidR="00235ECE">
        <w:t xml:space="preserve">, however, is that Hastings covers a huge amount of content in not so much book. </w:t>
      </w:r>
      <w:r w:rsidR="00B10F79">
        <w:t xml:space="preserve">Margaret MacMillan’s </w:t>
      </w:r>
      <w:r w:rsidR="00B10F79">
        <w:rPr>
          <w:i/>
        </w:rPr>
        <w:t>The War That Ended Peace</w:t>
      </w:r>
      <w:r w:rsidR="00B10F79">
        <w:t xml:space="preserve"> examines in similar detail the</w:t>
      </w:r>
      <w:r w:rsidR="00240CBE">
        <w:t xml:space="preserve"> </w:t>
      </w:r>
      <w:r w:rsidR="005B2BC4">
        <w:t>context of</w:t>
      </w:r>
      <w:r w:rsidR="00B10F79">
        <w:t xml:space="preserve"> the Europe which launched itself into war</w:t>
      </w:r>
      <w:r w:rsidR="008F19B6">
        <w:t xml:space="preserve"> in the summer of 1914, with a narrative focussed on engaging the casual reader as ‘day by day, hour by hour’</w:t>
      </w:r>
      <w:r w:rsidR="008F19B6">
        <w:rPr>
          <w:rStyle w:val="FootnoteReference"/>
        </w:rPr>
        <w:footnoteReference w:id="6"/>
      </w:r>
      <w:r w:rsidR="008F19B6">
        <w:t xml:space="preserve"> the steps to war are counted down.</w:t>
      </w:r>
      <w:r w:rsidR="002726F4">
        <w:t xml:space="preserve"> Yet her book is nearly 100 pages longer than </w:t>
      </w:r>
      <w:r w:rsidR="002726F4">
        <w:rPr>
          <w:i/>
        </w:rPr>
        <w:t>Catastrophe</w:t>
      </w:r>
      <w:r w:rsidR="002726F4">
        <w:t>, especially noteworthy when the latter spends only the first few chapters summarising the months before war</w:t>
      </w:r>
      <w:r w:rsidR="00C8539F">
        <w:t xml:space="preserve">. In the same vein, </w:t>
      </w:r>
      <w:r w:rsidR="00C8539F">
        <w:rPr>
          <w:i/>
        </w:rPr>
        <w:t>Sleepwalkers</w:t>
      </w:r>
      <w:r w:rsidR="00C8539F">
        <w:t xml:space="preserve"> aims to examine the length </w:t>
      </w:r>
      <w:r w:rsidR="0070014A">
        <w:t xml:space="preserve">of the </w:t>
      </w:r>
      <w:r w:rsidR="00C8539F">
        <w:t>prelude to the outbreak of hostilities – entirely focussing on the Ser</w:t>
      </w:r>
      <w:r w:rsidR="00F93E7F">
        <w:t xml:space="preserve">bian context, and aiming to make </w:t>
      </w:r>
      <w:r w:rsidR="00C8539F">
        <w:t xml:space="preserve">the </w:t>
      </w:r>
      <w:r w:rsidR="00F93E7F">
        <w:t>‘</w:t>
      </w:r>
      <w:r w:rsidR="00C8539F">
        <w:t>Serbian</w:t>
      </w:r>
      <w:r w:rsidR="00F93E7F">
        <w:t xml:space="preserve"> and thereby of the larger Balkan dimension’</w:t>
      </w:r>
      <w:r w:rsidR="00F93E7F">
        <w:rPr>
          <w:rStyle w:val="FootnoteReference"/>
        </w:rPr>
        <w:footnoteReference w:id="7"/>
      </w:r>
      <w:r w:rsidR="00C64FBB">
        <w:t xml:space="preserve"> the centrepiece of the narrative</w:t>
      </w:r>
      <w:r w:rsidR="00D43EE2">
        <w:t>. This spans</w:t>
      </w:r>
      <w:r w:rsidR="0064528D">
        <w:t xml:space="preserve"> from the May Coup of 1903, up to August 1914. Again, </w:t>
      </w:r>
      <w:r w:rsidR="00624D81">
        <w:t xml:space="preserve">this is </w:t>
      </w:r>
      <w:r w:rsidR="00771639">
        <w:t xml:space="preserve">in fact </w:t>
      </w:r>
      <w:r w:rsidR="0064528D">
        <w:t xml:space="preserve">a lengthier book than </w:t>
      </w:r>
      <w:r w:rsidR="0064528D">
        <w:rPr>
          <w:i/>
        </w:rPr>
        <w:t>Catastrophe</w:t>
      </w:r>
      <w:r w:rsidR="0064528D">
        <w:t xml:space="preserve"> by over 100 pages, yet </w:t>
      </w:r>
      <w:r w:rsidR="00C105BC">
        <w:t xml:space="preserve">covering a far more streamlined </w:t>
      </w:r>
      <w:r w:rsidR="00104598">
        <w:t>subject matter.</w:t>
      </w:r>
      <w:r w:rsidR="00C105BC">
        <w:t xml:space="preserve"> This is the problem with Hastings’ assessment of 1914 – one he is e</w:t>
      </w:r>
      <w:r w:rsidR="00F0519A">
        <w:t>ven willing to admit makes ‘describing vast events that unfolded simultaneously on battlefields many miles apart’</w:t>
      </w:r>
      <w:r w:rsidR="00F0519A">
        <w:rPr>
          <w:rStyle w:val="FootnoteReference"/>
        </w:rPr>
        <w:footnoteReference w:id="8"/>
      </w:r>
      <w:r w:rsidR="00F0519A">
        <w:t xml:space="preserve"> a struggle.</w:t>
      </w:r>
      <w:r w:rsidR="00342949">
        <w:t xml:space="preserve"> However, it must be suggested that rather than merely an inconvenience, his attempt to cover six months of diverse and deeply complex political and then military turmoil is in fact massively hampered by this subject matter.</w:t>
      </w:r>
      <w:r w:rsidR="00216137">
        <w:t xml:space="preserve"> Had Hastings reined in his discussion and analysis to merely the 37 days prior to the outbreak of war in Britain, or the opening months of the hostilities and the associated historiographical debate, it would have enabled him to be more thorough in his use of sources and </w:t>
      </w:r>
      <w:r w:rsidR="00771639">
        <w:t>his narrative. Instead</w:t>
      </w:r>
      <w:r w:rsidR="006C567F">
        <w:t xml:space="preserve">, </w:t>
      </w:r>
      <w:r w:rsidR="005367E4">
        <w:t xml:space="preserve">by </w:t>
      </w:r>
      <w:r w:rsidR="006F0FE5">
        <w:t>directing his efforts to both of the aforementioned aspects, Hastings is let down by his</w:t>
      </w:r>
      <w:r w:rsidR="004F0395">
        <w:t xml:space="preserve"> desire – and whilst the book does not</w:t>
      </w:r>
      <w:r w:rsidR="00350442">
        <w:t xml:space="preserve"> suffer greatly, it is clear throughou</w:t>
      </w:r>
      <w:r w:rsidR="008930A6">
        <w:t>t that what is offered is more of</w:t>
      </w:r>
      <w:r w:rsidR="00350442">
        <w:t xml:space="preserve"> an overview, without analysis otherwise achieved by other books with similar subject matter.</w:t>
      </w:r>
    </w:p>
    <w:p w:rsidR="00405EA8" w:rsidRDefault="00405EA8" w:rsidP="003873EA">
      <w:pPr>
        <w:jc w:val="both"/>
      </w:pPr>
    </w:p>
    <w:p w:rsidR="00BD3FCD" w:rsidRDefault="00BD3FCD" w:rsidP="003873EA">
      <w:pPr>
        <w:jc w:val="both"/>
      </w:pPr>
      <w:r>
        <w:rPr>
          <w:i/>
        </w:rPr>
        <w:lastRenderedPageBreak/>
        <w:t>Catastrophe</w:t>
      </w:r>
      <w:r>
        <w:t xml:space="preserve"> primarily, for the sake of its public audience, </w:t>
      </w:r>
      <w:r w:rsidR="006C5178">
        <w:t>aims to give a narrative account</w:t>
      </w:r>
      <w:r w:rsidR="00F82150">
        <w:t xml:space="preserve"> of the events </w:t>
      </w:r>
      <w:r w:rsidR="00017B87">
        <w:t xml:space="preserve">between </w:t>
      </w:r>
      <w:r w:rsidR="003E0D4F">
        <w:t>‘the quirky little melodrama that unfolded in Bosnia on 28 June 1914’</w:t>
      </w:r>
      <w:r w:rsidR="00460BC1">
        <w:t>,</w:t>
      </w:r>
      <w:r w:rsidR="003E0D4F">
        <w:rPr>
          <w:rStyle w:val="FootnoteReference"/>
        </w:rPr>
        <w:footnoteReference w:id="9"/>
      </w:r>
      <w:r w:rsidR="003E0D4F">
        <w:t xml:space="preserve"> and the infamous Christmas truce at the end of the year.</w:t>
      </w:r>
      <w:r w:rsidR="008930A6">
        <w:t xml:space="preserve"> However, as a historian Hastings also wea</w:t>
      </w:r>
      <w:r w:rsidR="001163A9">
        <w:t xml:space="preserve">ves two deeper </w:t>
      </w:r>
      <w:r w:rsidR="008C4F69">
        <w:t>arguments throughout this more popular historical text. The first is to reaffirm the reason for Britain’s intervention in the continent in that fateful summer; the second is to challenge ‘</w:t>
      </w:r>
      <w:r w:rsidR="00F06623">
        <w:t>the war poets’ view’</w:t>
      </w:r>
      <w:r w:rsidR="003A2994">
        <w:t>,</w:t>
      </w:r>
      <w:r w:rsidR="00F06623">
        <w:rPr>
          <w:rStyle w:val="FootnoteReference"/>
        </w:rPr>
        <w:footnoteReference w:id="10"/>
      </w:r>
      <w:r w:rsidR="0062656D">
        <w:t xml:space="preserve"> the idea that the blood, the suffering, the mud, and the fate of a generation was ultimately futile in that nothing of </w:t>
      </w:r>
      <w:r w:rsidR="00E55A05">
        <w:t xml:space="preserve">any </w:t>
      </w:r>
      <w:r w:rsidR="0062656D">
        <w:t xml:space="preserve">note </w:t>
      </w:r>
      <w:r w:rsidR="00E55A05">
        <w:t xml:space="preserve">or substance </w:t>
      </w:r>
      <w:r w:rsidR="0062656D">
        <w:t xml:space="preserve">was achieved. </w:t>
      </w:r>
      <w:r w:rsidR="00E4773B">
        <w:t>These two</w:t>
      </w:r>
      <w:r w:rsidR="001124CA">
        <w:t xml:space="preserve"> enemies are tackled throughout, and are important to analyse to fully understand the purpose of the book.</w:t>
      </w:r>
    </w:p>
    <w:p w:rsidR="004C4A32" w:rsidRDefault="006D6CBD" w:rsidP="003873EA">
      <w:pPr>
        <w:jc w:val="both"/>
      </w:pPr>
      <w:r>
        <w:t>This reaffirmation</w:t>
      </w:r>
      <w:r w:rsidR="00D96CD3">
        <w:t xml:space="preserve"> is in response to works such as Niall Ferguson’s </w:t>
      </w:r>
      <w:r w:rsidR="00D96CD3">
        <w:rPr>
          <w:i/>
        </w:rPr>
        <w:t>The Pity of War</w:t>
      </w:r>
      <w:r w:rsidR="00441EE3">
        <w:t>,</w:t>
      </w:r>
      <w:r w:rsidR="00D96CD3">
        <w:t xml:space="preserve"> which make </w:t>
      </w:r>
      <w:r w:rsidR="004F6BA3">
        <w:t>the argument for a limited continental war</w:t>
      </w:r>
      <w:r w:rsidR="00665EC8">
        <w:t xml:space="preserve"> confined to the Balkans, relying on the speedy action of both Austrian and Russian armies</w:t>
      </w:r>
      <w:r w:rsidR="00400580">
        <w:t>.</w:t>
      </w:r>
      <w:r w:rsidR="00AA29F2">
        <w:rPr>
          <w:rStyle w:val="FootnoteReference"/>
        </w:rPr>
        <w:footnoteReference w:id="11"/>
      </w:r>
      <w:r w:rsidR="00665EC8">
        <w:t xml:space="preserve"> This wave of revisionist history takes on the traditional standpoint that Britain was justified in its entry in August 1914, and that Sir Edward Grey was acting as a mediator between the major powers – doing his best to prevent any major conflict breaking out following the</w:t>
      </w:r>
      <w:r w:rsidR="00940E6E">
        <w:t xml:space="preserve"> Sarajevo assassination. </w:t>
      </w:r>
      <w:r w:rsidR="00C25D69">
        <w:t xml:space="preserve">Ferguson </w:t>
      </w:r>
      <w:r w:rsidR="00940E6E">
        <w:t>makes</w:t>
      </w:r>
      <w:r w:rsidR="00C25D69">
        <w:t xml:space="preserve"> it clear throughout his works on</w:t>
      </w:r>
      <w:r w:rsidR="00B6276F">
        <w:t xml:space="preserve"> </w:t>
      </w:r>
      <w:r w:rsidR="00E01737">
        <w:t xml:space="preserve">the subject that </w:t>
      </w:r>
      <w:r w:rsidR="00940E6E">
        <w:t xml:space="preserve">he believes Sir Edward Grey was caught between </w:t>
      </w:r>
      <w:r w:rsidR="00711E61">
        <w:t>political chaos at home and</w:t>
      </w:r>
      <w:r w:rsidR="00940E6E">
        <w:t xml:space="preserve"> facing </w:t>
      </w:r>
      <w:r w:rsidR="00711E61">
        <w:t>the prospect of a German challenge to British hegemony</w:t>
      </w:r>
      <w:r w:rsidR="003D6B26">
        <w:t>;</w:t>
      </w:r>
      <w:r w:rsidR="000A40A7">
        <w:rPr>
          <w:rStyle w:val="FootnoteReference"/>
        </w:rPr>
        <w:footnoteReference w:id="12"/>
      </w:r>
      <w:r w:rsidR="00711E61">
        <w:t xml:space="preserve"> Britain was forced to act in self-interest. </w:t>
      </w:r>
      <w:r w:rsidR="002A75C2">
        <w:t xml:space="preserve">However, </w:t>
      </w:r>
      <w:r w:rsidR="00747945">
        <w:t xml:space="preserve">Hastings </w:t>
      </w:r>
      <w:r w:rsidR="008E0D1E">
        <w:t>reiterates the work of Fritz Fischer</w:t>
      </w:r>
      <w:r w:rsidR="003A768F">
        <w:t>, from</w:t>
      </w:r>
      <w:r w:rsidR="008E0D1E">
        <w:t xml:space="preserve"> his </w:t>
      </w:r>
      <w:r w:rsidR="00852E05">
        <w:rPr>
          <w:i/>
        </w:rPr>
        <w:t>Griff nach der Weltmacht</w:t>
      </w:r>
      <w:r w:rsidR="003A768F">
        <w:t>, that followi</w:t>
      </w:r>
      <w:r w:rsidR="00B71BCA">
        <w:t>ng the War Council of 1912 the German High Command were at the very least unperturbed by</w:t>
      </w:r>
      <w:r w:rsidR="00E11C48">
        <w:t xml:space="preserve"> the threat of a larger European war – at the very most actively campaigning for such an event. </w:t>
      </w:r>
      <w:r w:rsidR="00320FBE">
        <w:t xml:space="preserve">Hastings’ account of the </w:t>
      </w:r>
      <w:r w:rsidR="00275E17">
        <w:t>summer of 1914</w:t>
      </w:r>
      <w:r w:rsidR="00D44C42">
        <w:t xml:space="preserve"> focusses intently on the </w:t>
      </w:r>
      <w:r w:rsidR="00264358">
        <w:t xml:space="preserve">collective demise of the European leaders, but woven throughout makes it clear that </w:t>
      </w:r>
      <w:r w:rsidR="004E5078">
        <w:t xml:space="preserve">German action (particularly the </w:t>
      </w:r>
      <w:r w:rsidR="000056C0">
        <w:t>entrance of German troops into Belgium in early August</w:t>
      </w:r>
      <w:r w:rsidR="000056C0">
        <w:rPr>
          <w:rStyle w:val="FootnoteReference"/>
        </w:rPr>
        <w:footnoteReference w:id="13"/>
      </w:r>
      <w:r w:rsidR="000056C0">
        <w:t xml:space="preserve">) was </w:t>
      </w:r>
      <w:r w:rsidR="00A651B5">
        <w:t xml:space="preserve">a just </w:t>
      </w:r>
      <w:r w:rsidR="00A651B5" w:rsidRPr="000056C0">
        <w:rPr>
          <w:i/>
        </w:rPr>
        <w:t>casus bello</w:t>
      </w:r>
      <w:r w:rsidR="000056C0">
        <w:t xml:space="preserve">. </w:t>
      </w:r>
    </w:p>
    <w:p w:rsidR="004D6834" w:rsidRDefault="00DC14EB" w:rsidP="003873EA">
      <w:pPr>
        <w:jc w:val="both"/>
      </w:pPr>
      <w:r>
        <w:t>This challenge</w:t>
      </w:r>
      <w:r w:rsidR="0079771C">
        <w:t>, which Hastings tackle</w:t>
      </w:r>
      <w:r w:rsidR="00695E7A">
        <w:t xml:space="preserve">s with </w:t>
      </w:r>
      <w:r w:rsidR="00212801">
        <w:t xml:space="preserve">a tremendous amount of </w:t>
      </w:r>
      <w:r w:rsidR="0079771C">
        <w:t>fervour</w:t>
      </w:r>
      <w:r w:rsidR="00273FD6">
        <w:t xml:space="preserve">, is the </w:t>
      </w:r>
      <w:r w:rsidR="004370FA">
        <w:t xml:space="preserve">traditional popular feeling that the war </w:t>
      </w:r>
      <w:r w:rsidR="006A27B2">
        <w:t xml:space="preserve">left </w:t>
      </w:r>
      <w:r w:rsidR="00D53371">
        <w:t>many dead with nothing of any purpose achieved.</w:t>
      </w:r>
      <w:r w:rsidR="00D87885">
        <w:t xml:space="preserve"> Such </w:t>
      </w:r>
      <w:r w:rsidR="007E4C67">
        <w:t xml:space="preserve">a belief was propagated </w:t>
      </w:r>
      <w:r w:rsidR="00571843">
        <w:t>from the very beginning, as the war poets</w:t>
      </w:r>
      <w:r w:rsidR="00FE4800">
        <w:t xml:space="preserve"> such as Brooke, Sterling, and Owen</w:t>
      </w:r>
      <w:r w:rsidR="00571843">
        <w:t xml:space="preserve"> </w:t>
      </w:r>
      <w:r w:rsidR="00AB4527">
        <w:t>frequently lamented of ‘the storm and bitter glory of red war…the old lie; Dulce et Decorum est pro patria mori’</w:t>
      </w:r>
      <w:r w:rsidR="00AB4527">
        <w:rPr>
          <w:rStyle w:val="FootnoteReference"/>
        </w:rPr>
        <w:footnoteReference w:id="14"/>
      </w:r>
      <w:r w:rsidR="00DA3586">
        <w:t xml:space="preserve"> – that many died</w:t>
      </w:r>
      <w:r w:rsidR="00995B72">
        <w:t xml:space="preserve"> for a pointless war. </w:t>
      </w:r>
      <w:r w:rsidR="00D26484">
        <w:t xml:space="preserve">However, </w:t>
      </w:r>
      <w:r w:rsidR="00D1079E">
        <w:rPr>
          <w:i/>
        </w:rPr>
        <w:t>Catastrophe</w:t>
      </w:r>
      <w:r w:rsidR="00D1079E">
        <w:t xml:space="preserve"> is one of the many recent works which aim to challenge this </w:t>
      </w:r>
      <w:r w:rsidR="0030305C">
        <w:t>well-held belief by examining each battle</w:t>
      </w:r>
      <w:r w:rsidR="00F320DB">
        <w:t xml:space="preserve"> </w:t>
      </w:r>
      <w:r w:rsidR="009D4755">
        <w:t>with the assumption that the ‘troops with no experience of the firepower of a modern European army’</w:t>
      </w:r>
      <w:r w:rsidR="009D4755">
        <w:rPr>
          <w:rStyle w:val="FootnoteReference"/>
        </w:rPr>
        <w:footnoteReference w:id="15"/>
      </w:r>
      <w:r w:rsidR="009D4755">
        <w:t xml:space="preserve"> were being commanded by officers with the same levels of tactical </w:t>
      </w:r>
      <w:r w:rsidR="009D4755">
        <w:lastRenderedPageBreak/>
        <w:t xml:space="preserve">knowledge. He doesn’t excuse this, but makes it clear that armies of all sides, and indeed calibres, </w:t>
      </w:r>
      <w:r w:rsidR="008C5414">
        <w:t>were unsure of what to expect – and so</w:t>
      </w:r>
      <w:r w:rsidR="00A058C9">
        <w:t xml:space="preserve"> these early casualties were not only unavoidable, </w:t>
      </w:r>
      <w:r w:rsidR="00EA6313">
        <w:t xml:space="preserve">but </w:t>
      </w:r>
      <w:r w:rsidR="00B7452D">
        <w:t xml:space="preserve">suffered in the </w:t>
      </w:r>
      <w:r w:rsidR="0077290B">
        <w:t xml:space="preserve">greater goal of </w:t>
      </w:r>
      <w:r w:rsidR="00BC45D6">
        <w:t xml:space="preserve">allowing each army to adapt to the modern warfare. </w:t>
      </w:r>
      <w:r w:rsidR="00662C23">
        <w:t xml:space="preserve">Of course, </w:t>
      </w:r>
      <w:r w:rsidR="000C6A66">
        <w:t xml:space="preserve">Hastings does, where necessary, make it clear these losses were </w:t>
      </w:r>
      <w:r w:rsidR="00840387">
        <w:t>tragic, as all deaths in warfare are, but does not let this diminish</w:t>
      </w:r>
      <w:r w:rsidR="002B65AC">
        <w:t xml:space="preserve"> his </w:t>
      </w:r>
      <w:r w:rsidR="00AF45B4">
        <w:t xml:space="preserve">goal of explaining that </w:t>
      </w:r>
      <w:r w:rsidR="008C3A45">
        <w:t>the effect of allowing a dominant Germany in Europe as ‘a fair price for deliverance</w:t>
      </w:r>
      <w:r w:rsidR="003042D9">
        <w:t xml:space="preserve"> from the mudscape of Flanders’</w:t>
      </w:r>
      <w:r w:rsidR="003042D9">
        <w:rPr>
          <w:rStyle w:val="FootnoteReference"/>
        </w:rPr>
        <w:footnoteReference w:id="16"/>
      </w:r>
      <w:r w:rsidR="005B2BE8">
        <w:t xml:space="preserve"> was not acceptable – both at the time, and in modern histories.</w:t>
      </w:r>
    </w:p>
    <w:p w:rsidR="004252C9" w:rsidRDefault="004252C9" w:rsidP="003873EA">
      <w:pPr>
        <w:jc w:val="both"/>
      </w:pPr>
    </w:p>
    <w:p w:rsidR="00A30D70" w:rsidRDefault="00A30D70" w:rsidP="003873EA">
      <w:pPr>
        <w:jc w:val="both"/>
      </w:pPr>
      <w:r>
        <w:rPr>
          <w:i/>
        </w:rPr>
        <w:t>Catastrophe</w:t>
      </w:r>
      <w:r>
        <w:t xml:space="preserve"> </w:t>
      </w:r>
      <w:r w:rsidR="00351181">
        <w:t xml:space="preserve">certainly has its place </w:t>
      </w:r>
      <w:r>
        <w:t xml:space="preserve">as an </w:t>
      </w:r>
      <w:r w:rsidR="00C100A5">
        <w:t>academic aid</w:t>
      </w:r>
      <w:r w:rsidR="00E302C0">
        <w:t>. W</w:t>
      </w:r>
      <w:r w:rsidR="00351181">
        <w:t>ith a bibliography stretching many pages</w:t>
      </w:r>
      <w:r w:rsidR="008B2DDF">
        <w:t>, and</w:t>
      </w:r>
      <w:r w:rsidR="00351181">
        <w:t xml:space="preserve"> sources ranging from </w:t>
      </w:r>
      <w:r w:rsidR="00FF27D2">
        <w:t>the Austrian State Archives</w:t>
      </w:r>
      <w:r w:rsidR="008B2DDF">
        <w:t xml:space="preserve"> to the regimental history of the Ox and Bucks Light Infantry</w:t>
      </w:r>
      <w:r w:rsidR="00C77771">
        <w:t xml:space="preserve">, this is a piece of work researched to the utmost degree to provide </w:t>
      </w:r>
      <w:r w:rsidR="00F53061">
        <w:t xml:space="preserve">a detailed and complex analysis of the history. </w:t>
      </w:r>
      <w:r w:rsidR="00F80372">
        <w:t xml:space="preserve">In short, </w:t>
      </w:r>
      <w:r w:rsidR="000850A7">
        <w:t xml:space="preserve">it bears little resemblance to other historical </w:t>
      </w:r>
      <w:r w:rsidR="00025592">
        <w:t xml:space="preserve">works written by non-historians – which often </w:t>
      </w:r>
      <w:r w:rsidR="004A301F">
        <w:t xml:space="preserve">deliberately misrepresent the history for the sake of </w:t>
      </w:r>
      <w:r w:rsidR="00B63DAB">
        <w:t>controvers</w:t>
      </w:r>
      <w:r w:rsidR="00533AE3">
        <w:t>y (a</w:t>
      </w:r>
      <w:r w:rsidR="00B63DAB">
        <w:t xml:space="preserve"> fine example </w:t>
      </w:r>
      <w:r w:rsidR="00533AE3">
        <w:t>of the latter is Niall Ferguson).</w:t>
      </w:r>
      <w:r w:rsidR="00F04F93">
        <w:t xml:space="preserve"> Hastings makes it clear that while his </w:t>
      </w:r>
      <w:r w:rsidR="005A27FB">
        <w:t xml:space="preserve">own </w:t>
      </w:r>
      <w:r w:rsidR="00F04F93">
        <w:t>argu</w:t>
      </w:r>
      <w:r w:rsidR="00FD1682">
        <w:t xml:space="preserve">ment may be considered </w:t>
      </w:r>
      <w:r w:rsidR="005A27FB">
        <w:t xml:space="preserve">to be </w:t>
      </w:r>
      <w:r w:rsidR="009B535F">
        <w:t>not mainstream</w:t>
      </w:r>
      <w:r w:rsidR="0077091A">
        <w:t xml:space="preserve">, his book shall endeavour </w:t>
      </w:r>
      <w:r w:rsidR="003445FE">
        <w:t>to explain i</w:t>
      </w:r>
      <w:r w:rsidR="00C0418D">
        <w:t>t nonetheless. In fact, he even</w:t>
      </w:r>
      <w:r w:rsidR="003445FE">
        <w:t xml:space="preserve"> comments that ‘</w:t>
      </w:r>
      <w:r w:rsidR="002E16A5">
        <w:t>there is not, and never will be a ‘definitive’ interpretation of the coming of war: each writer can only offer a personal view.’</w:t>
      </w:r>
      <w:r w:rsidR="002E16A5">
        <w:rPr>
          <w:rStyle w:val="FootnoteReference"/>
        </w:rPr>
        <w:footnoteReference w:id="17"/>
      </w:r>
      <w:r w:rsidR="002E16A5">
        <w:t xml:space="preserve"> And whilst this is certainly true, it must also be accepted that personal views are a great deal more </w:t>
      </w:r>
      <w:r w:rsidR="00B33549">
        <w:t>relevant in academia</w:t>
      </w:r>
      <w:r w:rsidR="00EB723D">
        <w:t xml:space="preserve"> when supported consistently with </w:t>
      </w:r>
      <w:r w:rsidR="001A01D5">
        <w:t>academic sources and an intention to provide a researched opinion.</w:t>
      </w:r>
      <w:r w:rsidR="006F26C9">
        <w:t xml:space="preserve"> Hastings also began writing</w:t>
      </w:r>
      <w:r w:rsidR="00E70C89">
        <w:t xml:space="preserve"> this in 2013, and so </w:t>
      </w:r>
      <w:r w:rsidR="002B25C1">
        <w:t xml:space="preserve">had the benefit of using </w:t>
      </w:r>
      <w:r w:rsidR="00933D2E">
        <w:t xml:space="preserve">both recently discovered and recently translated </w:t>
      </w:r>
      <w:r w:rsidR="00303060">
        <w:t xml:space="preserve">documents </w:t>
      </w:r>
      <w:r w:rsidR="00195FC4">
        <w:t>–</w:t>
      </w:r>
      <w:r w:rsidR="00303060">
        <w:t xml:space="preserve"> </w:t>
      </w:r>
      <w:r w:rsidR="00195FC4">
        <w:t xml:space="preserve">his narrative of the Eastern and Balkan fronts </w:t>
      </w:r>
      <w:r w:rsidR="00D7712E">
        <w:t>make great use of this</w:t>
      </w:r>
      <w:r w:rsidR="006474C7">
        <w:t xml:space="preserve">, for example </w:t>
      </w:r>
      <w:r w:rsidR="00EB5681">
        <w:t xml:space="preserve">Groβ’ edited volume </w:t>
      </w:r>
      <w:r w:rsidR="00EB5681">
        <w:rPr>
          <w:i/>
        </w:rPr>
        <w:t>The Forgotten Front</w:t>
      </w:r>
      <w:r w:rsidR="00EB5681">
        <w:t xml:space="preserve"> in Chapter 16</w:t>
      </w:r>
      <w:r w:rsidR="004E0C5B">
        <w:t>,</w:t>
      </w:r>
      <w:r w:rsidR="00EB5681">
        <w:rPr>
          <w:rStyle w:val="FootnoteReference"/>
        </w:rPr>
        <w:footnoteReference w:id="18"/>
      </w:r>
      <w:r w:rsidR="00A5514D">
        <w:t xml:space="preserve"> only published in 2006</w:t>
      </w:r>
      <w:r w:rsidR="00EB5681">
        <w:t xml:space="preserve">. </w:t>
      </w:r>
      <w:r w:rsidR="0066613A">
        <w:rPr>
          <w:i/>
        </w:rPr>
        <w:t>Catastrophe</w:t>
      </w:r>
      <w:r w:rsidR="0066613A">
        <w:t xml:space="preserve"> is </w:t>
      </w:r>
      <w:r w:rsidR="00B23101">
        <w:t xml:space="preserve">an academic text, written for the public, and researched as a thesis. </w:t>
      </w:r>
      <w:r w:rsidR="00D40949">
        <w:t xml:space="preserve">For this reason, </w:t>
      </w:r>
      <w:r w:rsidR="00A66671">
        <w:t>it not only holds its place as an aid</w:t>
      </w:r>
      <w:r w:rsidR="00762CC9">
        <w:t xml:space="preserve"> in academia, but as a book worthy of a space on any shelf.</w:t>
      </w:r>
    </w:p>
    <w:p w:rsidR="00A34E01" w:rsidRDefault="00A34E01" w:rsidP="003873EA">
      <w:pPr>
        <w:jc w:val="both"/>
      </w:pPr>
    </w:p>
    <w:p w:rsidR="00A21A54" w:rsidRDefault="00A21A54" w:rsidP="003873EA">
      <w:pPr>
        <w:jc w:val="both"/>
      </w:pPr>
    </w:p>
    <w:p w:rsidR="00A21A54" w:rsidRDefault="00A21A54" w:rsidP="003873EA">
      <w:pPr>
        <w:jc w:val="both"/>
      </w:pPr>
    </w:p>
    <w:p w:rsidR="00A21A54" w:rsidRDefault="00A21A54" w:rsidP="003873EA">
      <w:pPr>
        <w:jc w:val="both"/>
      </w:pPr>
    </w:p>
    <w:p w:rsidR="00A21A54" w:rsidRDefault="00A21A54" w:rsidP="003873EA">
      <w:pPr>
        <w:jc w:val="both"/>
      </w:pPr>
    </w:p>
    <w:p w:rsidR="00A21A54" w:rsidRDefault="00A21A54" w:rsidP="003873EA">
      <w:pPr>
        <w:jc w:val="both"/>
      </w:pPr>
    </w:p>
    <w:p w:rsidR="00A21A54" w:rsidRDefault="00A21A54" w:rsidP="003873EA">
      <w:pPr>
        <w:jc w:val="both"/>
      </w:pPr>
    </w:p>
    <w:p w:rsidR="00A21A54" w:rsidRDefault="00A21A54" w:rsidP="003873EA">
      <w:pPr>
        <w:jc w:val="both"/>
      </w:pPr>
    </w:p>
    <w:p w:rsidR="00A21A54" w:rsidRDefault="00A21A54" w:rsidP="003873EA">
      <w:pPr>
        <w:jc w:val="both"/>
      </w:pPr>
    </w:p>
    <w:p w:rsidR="00A21A54" w:rsidRDefault="00A21A54" w:rsidP="00A21A54">
      <w:pPr>
        <w:jc w:val="center"/>
        <w:rPr>
          <w:sz w:val="28"/>
        </w:rPr>
      </w:pPr>
      <w:r>
        <w:rPr>
          <w:sz w:val="28"/>
        </w:rPr>
        <w:lastRenderedPageBreak/>
        <w:t>Primary Source Analysis: The Wipers Times</w:t>
      </w:r>
    </w:p>
    <w:p w:rsidR="00A21A54" w:rsidRDefault="00A21A54" w:rsidP="000251C7">
      <w:pPr>
        <w:ind w:left="567" w:right="662"/>
        <w:jc w:val="both"/>
        <w:rPr>
          <w:sz w:val="22"/>
        </w:rPr>
      </w:pPr>
      <w:r>
        <w:rPr>
          <w:sz w:val="22"/>
        </w:rPr>
        <w:t>‘Having managed to pick up a printing outfit (slightly soiled) at a reasonable price, we have decided to produce a paper. There is much that we would like to say in it, but the shadow of censorship enveloping us causes us to refer to the war, which we hear is taking place in Europe, in a cautious manner.’</w:t>
      </w:r>
      <w:r>
        <w:rPr>
          <w:rStyle w:val="FootnoteReference"/>
          <w:sz w:val="22"/>
        </w:rPr>
        <w:footnoteReference w:id="19"/>
      </w:r>
    </w:p>
    <w:p w:rsidR="00A21A54" w:rsidRDefault="00A21A54" w:rsidP="00A21A54">
      <w:pPr>
        <w:jc w:val="both"/>
        <w:rPr>
          <w:rFonts w:cs="Arial"/>
          <w:szCs w:val="24"/>
          <w:shd w:val="clear" w:color="auto" w:fill="FFFFFF"/>
        </w:rPr>
      </w:pPr>
      <w:r>
        <w:t xml:space="preserve">Thus opens the first issue of one of the most famous contributions to literature to come out of the Western Front – </w:t>
      </w:r>
      <w:r w:rsidRPr="00CE4624">
        <w:rPr>
          <w:i/>
        </w:rPr>
        <w:t>The Wipers Times</w:t>
      </w:r>
      <w:r>
        <w:t xml:space="preserve">. Modelling itself on </w:t>
      </w:r>
      <w:r>
        <w:rPr>
          <w:i/>
        </w:rPr>
        <w:t>Punch</w:t>
      </w:r>
      <w:r>
        <w:t xml:space="preserve">, a satirical magazine popular since the 1840s, </w:t>
      </w:r>
      <w:r>
        <w:rPr>
          <w:i/>
        </w:rPr>
        <w:t>The Wipers Times</w:t>
      </w:r>
      <w:r>
        <w:t xml:space="preserve"> was published from February 1916, when its authors discovered their first print press, until December 1918, by which time the war had ended and the editorial team had re-joined their civilian lives. The authors were a small section of the 12</w:t>
      </w:r>
      <w:r w:rsidRPr="00881FDD">
        <w:rPr>
          <w:vertAlign w:val="superscript"/>
        </w:rPr>
        <w:t>th</w:t>
      </w:r>
      <w:r>
        <w:t xml:space="preserve"> (Service) Pioneer Battalion of the Nottinghamshire and Derbyshire Regiment, led by Captain Fred Roberts and Lieutenant Jack Pearson</w:t>
      </w:r>
      <w:r w:rsidR="00366774">
        <w:t>;</w:t>
      </w:r>
      <w:r>
        <w:rPr>
          <w:rStyle w:val="FootnoteReference"/>
        </w:rPr>
        <w:footnoteReference w:id="20"/>
      </w:r>
      <w:r>
        <w:t xml:space="preserve"> they had never acted as journalists or satirists before, yet nevertheless they persevered in their purpose to </w:t>
      </w:r>
      <w:r>
        <w:rPr>
          <w:szCs w:val="24"/>
        </w:rPr>
        <w:t>entertain</w:t>
      </w:r>
      <w:r w:rsidRPr="00D53CDC">
        <w:rPr>
          <w:szCs w:val="24"/>
        </w:rPr>
        <w:t xml:space="preserve"> and </w:t>
      </w:r>
      <w:r>
        <w:rPr>
          <w:szCs w:val="24"/>
        </w:rPr>
        <w:t>distract both themselves and their comrades</w:t>
      </w:r>
      <w:r w:rsidRPr="00D53CDC">
        <w:rPr>
          <w:szCs w:val="24"/>
        </w:rPr>
        <w:t>. Captain Roberts’ grandson remarked in 2014 that ‘</w:t>
      </w:r>
      <w:r>
        <w:rPr>
          <w:rFonts w:cs="Arial"/>
          <w:szCs w:val="24"/>
          <w:shd w:val="clear" w:color="auto" w:fill="FFFFFF"/>
        </w:rPr>
        <w:t>w</w:t>
      </w:r>
      <w:r w:rsidRPr="00D53CDC">
        <w:rPr>
          <w:rFonts w:cs="Arial"/>
          <w:szCs w:val="24"/>
          <w:shd w:val="clear" w:color="auto" w:fill="FFFFFF"/>
        </w:rPr>
        <w:t>e now realise how important it is to maintain the morale and spirits of troops in battle and as a family we always felt my grandfather had a very important part to play in that’</w:t>
      </w:r>
      <w:r>
        <w:rPr>
          <w:rStyle w:val="FootnoteReference"/>
          <w:rFonts w:cs="Arial"/>
          <w:szCs w:val="24"/>
          <w:shd w:val="clear" w:color="auto" w:fill="FFFFFF"/>
        </w:rPr>
        <w:footnoteReference w:id="21"/>
      </w:r>
      <w:r w:rsidRPr="00D53CDC">
        <w:rPr>
          <w:rFonts w:cs="Arial"/>
          <w:szCs w:val="24"/>
          <w:shd w:val="clear" w:color="auto" w:fill="FFFFFF"/>
        </w:rPr>
        <w:t xml:space="preserve"> – and it was for this reason it was so popular. A trench newspaper, marketed to the troops, it was frequented by dark humour and thinly veiled criticisms of journalists and po</w:t>
      </w:r>
      <w:r>
        <w:rPr>
          <w:rFonts w:cs="Arial"/>
          <w:szCs w:val="24"/>
          <w:shd w:val="clear" w:color="auto" w:fill="FFFFFF"/>
        </w:rPr>
        <w:t>liticians alike (on both sides).</w:t>
      </w:r>
    </w:p>
    <w:p w:rsidR="00A21A54" w:rsidRDefault="00A21A54" w:rsidP="00A21A54">
      <w:pPr>
        <w:jc w:val="both"/>
        <w:rPr>
          <w:rFonts w:cs="Arial"/>
          <w:szCs w:val="24"/>
          <w:shd w:val="clear" w:color="auto" w:fill="FFFFFF"/>
        </w:rPr>
      </w:pPr>
    </w:p>
    <w:p w:rsidR="00A21A54" w:rsidRDefault="00A21A54" w:rsidP="00A21A54">
      <w:pPr>
        <w:jc w:val="both"/>
        <w:rPr>
          <w:rFonts w:cs="Arial"/>
          <w:szCs w:val="24"/>
          <w:shd w:val="clear" w:color="auto" w:fill="FFFFFF"/>
        </w:rPr>
      </w:pPr>
      <w:r>
        <w:rPr>
          <w:rFonts w:cs="Arial"/>
          <w:szCs w:val="24"/>
          <w:shd w:val="clear" w:color="auto" w:fill="FFFFFF"/>
        </w:rPr>
        <w:t xml:space="preserve">The now infamous story of the company’s discovery in Ypres, of the appearance of the press, and the immediate decision by Roberts to begin publishing, is often depicted in the histories of the paper. However, what is more crucial to an understanding of the </w:t>
      </w:r>
      <w:r>
        <w:rPr>
          <w:rFonts w:cs="Arial"/>
          <w:i/>
          <w:szCs w:val="24"/>
          <w:shd w:val="clear" w:color="auto" w:fill="FFFFFF"/>
        </w:rPr>
        <w:t>Times</w:t>
      </w:r>
      <w:r>
        <w:rPr>
          <w:rFonts w:cs="Arial"/>
          <w:szCs w:val="24"/>
          <w:shd w:val="clear" w:color="auto" w:fill="FFFFFF"/>
        </w:rPr>
        <w:t xml:space="preserve"> as a whole is to examine the effect it had upon its audience. It is clear from its reception in the trenches that this paper appealed to the troops on the Western Front; by making jokes about elements of the war which every soldier understood, there became a commonality shared by those reading it. The parody of the noted writer Hilaire Belloc</w:t>
      </w:r>
      <w:r w:rsidR="00C95B4E">
        <w:rPr>
          <w:rFonts w:cs="Arial"/>
          <w:szCs w:val="24"/>
          <w:shd w:val="clear" w:color="auto" w:fill="FFFFFF"/>
        </w:rPr>
        <w:t>,</w:t>
      </w:r>
      <w:r>
        <w:rPr>
          <w:rFonts w:cs="Arial"/>
          <w:szCs w:val="24"/>
          <w:shd w:val="clear" w:color="auto" w:fill="FFFFFF"/>
        </w:rPr>
        <w:t xml:space="preserve"> in his first appearance</w:t>
      </w:r>
      <w:r w:rsidR="00C95B4E">
        <w:rPr>
          <w:rFonts w:cs="Arial"/>
          <w:szCs w:val="24"/>
          <w:shd w:val="clear" w:color="auto" w:fill="FFFFFF"/>
        </w:rPr>
        <w:t>,</w:t>
      </w:r>
      <w:r>
        <w:rPr>
          <w:rFonts w:cs="Arial"/>
          <w:szCs w:val="24"/>
          <w:shd w:val="clear" w:color="auto" w:fill="FFFFFF"/>
        </w:rPr>
        <w:t xml:space="preserve"> explains how of the twelve million fighting men of Germany, eight million ‘are killed or being killed’ and two and a half million are unfit to fight ‘owing to obesity’</w:t>
      </w:r>
      <w:r>
        <w:rPr>
          <w:rStyle w:val="FootnoteReference"/>
          <w:rFonts w:cs="Arial"/>
          <w:szCs w:val="24"/>
          <w:shd w:val="clear" w:color="auto" w:fill="FFFFFF"/>
        </w:rPr>
        <w:footnoteReference w:id="22"/>
      </w:r>
      <w:r>
        <w:rPr>
          <w:rFonts w:cs="Arial"/>
          <w:szCs w:val="24"/>
          <w:shd w:val="clear" w:color="auto" w:fill="FFFFFF"/>
        </w:rPr>
        <w:t xml:space="preserve"> – this allowed the readers share in the criticism of writers who repeated the narrative of an easy victory, and enjoy mocking them together. This also acted as catharsis for many who had begun to weary of the life in the trenches, and may explain why the circa 200 copies</w:t>
      </w:r>
      <w:r w:rsidR="006F1908">
        <w:rPr>
          <w:rFonts w:cs="Arial"/>
          <w:szCs w:val="24"/>
          <w:shd w:val="clear" w:color="auto" w:fill="FFFFFF"/>
        </w:rPr>
        <w:t xml:space="preserve"> </w:t>
      </w:r>
      <w:r w:rsidR="006F1908">
        <w:rPr>
          <w:rFonts w:cs="Arial"/>
          <w:szCs w:val="24"/>
          <w:shd w:val="clear" w:color="auto" w:fill="FFFFFF"/>
        </w:rPr>
        <w:t>were always in such demand</w:t>
      </w:r>
      <w:r w:rsidR="006F1908">
        <w:rPr>
          <w:rFonts w:cs="Arial"/>
          <w:szCs w:val="24"/>
          <w:shd w:val="clear" w:color="auto" w:fill="FFFFFF"/>
        </w:rPr>
        <w:t>.</w:t>
      </w:r>
      <w:r>
        <w:rPr>
          <w:rStyle w:val="FootnoteReference"/>
          <w:rFonts w:cs="Arial"/>
          <w:szCs w:val="24"/>
          <w:shd w:val="clear" w:color="auto" w:fill="FFFFFF"/>
        </w:rPr>
        <w:footnoteReference w:id="23"/>
      </w:r>
      <w:r>
        <w:rPr>
          <w:rFonts w:cs="Arial"/>
          <w:szCs w:val="24"/>
          <w:shd w:val="clear" w:color="auto" w:fill="FFFFFF"/>
        </w:rPr>
        <w:t xml:space="preserve"> Such demand that, in fact, copies frequently were taken back to Blighty by troops on leave where they received similar attention and acclaim. At first this may seem inexplicable - that a </w:t>
      </w:r>
      <w:r>
        <w:rPr>
          <w:rFonts w:cs="Arial"/>
          <w:szCs w:val="24"/>
          <w:shd w:val="clear" w:color="auto" w:fill="FFFFFF"/>
        </w:rPr>
        <w:lastRenderedPageBreak/>
        <w:t xml:space="preserve">magazine rife with army slang and abuse of national heroes should succeed in a civilian domain. However, for many at home, such works as </w:t>
      </w:r>
      <w:r>
        <w:rPr>
          <w:rFonts w:cs="Arial"/>
          <w:i/>
          <w:szCs w:val="24"/>
          <w:shd w:val="clear" w:color="auto" w:fill="FFFFFF"/>
        </w:rPr>
        <w:t>Punch</w:t>
      </w:r>
      <w:r>
        <w:rPr>
          <w:rFonts w:cs="Arial"/>
          <w:szCs w:val="24"/>
          <w:shd w:val="clear" w:color="auto" w:fill="FFFFFF"/>
        </w:rPr>
        <w:t xml:space="preserve"> were on a similar footing, and so the appeal of the paper was as a connection to those who had family members in France and Belgium. Humorous and satirical, yes, but reading of the woes and misfortunes of those at the front, written by those brazen enough to escape the censorship with which many letters were penalised heavily, would allow a glimpse into the lives of the loved ones of the British public. So the </w:t>
      </w:r>
      <w:r>
        <w:rPr>
          <w:rFonts w:cs="Arial"/>
          <w:i/>
          <w:szCs w:val="24"/>
          <w:shd w:val="clear" w:color="auto" w:fill="FFFFFF"/>
        </w:rPr>
        <w:t>Times</w:t>
      </w:r>
      <w:r>
        <w:rPr>
          <w:rFonts w:cs="Arial"/>
          <w:szCs w:val="24"/>
          <w:shd w:val="clear" w:color="auto" w:fill="FFFFFF"/>
        </w:rPr>
        <w:t xml:space="preserve"> was popular in the trenches for its content, and at home for the story it told.</w:t>
      </w:r>
    </w:p>
    <w:p w:rsidR="00A21A54" w:rsidRDefault="00A21A54" w:rsidP="00A21A54">
      <w:pPr>
        <w:jc w:val="both"/>
        <w:rPr>
          <w:rFonts w:cs="Arial"/>
          <w:szCs w:val="24"/>
          <w:shd w:val="clear" w:color="auto" w:fill="FFFFFF"/>
        </w:rPr>
      </w:pPr>
      <w:r>
        <w:rPr>
          <w:rFonts w:cs="Arial"/>
          <w:szCs w:val="24"/>
          <w:shd w:val="clear" w:color="auto" w:fill="FFFFFF"/>
        </w:rPr>
        <w:t>As mentioned above, the paper was published from 12</w:t>
      </w:r>
      <w:r w:rsidRPr="00C33C2B">
        <w:rPr>
          <w:rFonts w:cs="Arial"/>
          <w:szCs w:val="24"/>
          <w:shd w:val="clear" w:color="auto" w:fill="FFFFFF"/>
          <w:vertAlign w:val="superscript"/>
        </w:rPr>
        <w:t>th</w:t>
      </w:r>
      <w:r>
        <w:rPr>
          <w:rFonts w:cs="Arial"/>
          <w:szCs w:val="24"/>
          <w:shd w:val="clear" w:color="auto" w:fill="FFFFFF"/>
        </w:rPr>
        <w:t xml:space="preserve"> February 1916 in 22 editions until November 1918, with a further edition published in December. The reason for such irregularity (far from the original monthly aim) was simple. Not only were the editors in an active warzone, and therefore ordered in action on a multitude of occasions, upon which both officers achieved medals for gallantry</w:t>
      </w:r>
      <w:r w:rsidR="003550F0">
        <w:rPr>
          <w:rFonts w:cs="Arial"/>
          <w:szCs w:val="24"/>
          <w:shd w:val="clear" w:color="auto" w:fill="FFFFFF"/>
        </w:rPr>
        <w:t>,</w:t>
      </w:r>
      <w:r>
        <w:rPr>
          <w:rStyle w:val="FootnoteReference"/>
          <w:rFonts w:cs="Arial"/>
          <w:szCs w:val="24"/>
          <w:shd w:val="clear" w:color="auto" w:fill="FFFFFF"/>
        </w:rPr>
        <w:footnoteReference w:id="24"/>
      </w:r>
      <w:r>
        <w:rPr>
          <w:rFonts w:cs="Arial"/>
          <w:szCs w:val="24"/>
          <w:shd w:val="clear" w:color="auto" w:fill="FFFFFF"/>
        </w:rPr>
        <w:t xml:space="preserve"> but the actual machine also was to succumb to the sad demise of any equipment in the British army – either it was ‘marooned in the midst of a disturbance which is taking place down South’</w:t>
      </w:r>
      <w:r w:rsidR="006F0D7C">
        <w:rPr>
          <w:rFonts w:cs="Arial"/>
          <w:szCs w:val="24"/>
          <w:shd w:val="clear" w:color="auto" w:fill="FFFFFF"/>
        </w:rPr>
        <w:t>,</w:t>
      </w:r>
      <w:r>
        <w:rPr>
          <w:rStyle w:val="FootnoteReference"/>
          <w:rFonts w:cs="Arial"/>
          <w:szCs w:val="24"/>
          <w:shd w:val="clear" w:color="auto" w:fill="FFFFFF"/>
        </w:rPr>
        <w:footnoteReference w:id="25"/>
      </w:r>
      <w:r>
        <w:rPr>
          <w:rFonts w:cs="Arial"/>
          <w:szCs w:val="24"/>
          <w:shd w:val="clear" w:color="auto" w:fill="FFFFFF"/>
        </w:rPr>
        <w:t xml:space="preserve"> or was sighted and roundly destroyed by German artillery as in the case of their first printing press. This leads to an even more impressive observation; that despite the hugely intermittent publishing dates, the </w:t>
      </w:r>
      <w:r>
        <w:rPr>
          <w:rFonts w:cs="Arial"/>
          <w:i/>
          <w:szCs w:val="24"/>
          <w:shd w:val="clear" w:color="auto" w:fill="FFFFFF"/>
        </w:rPr>
        <w:t>Times</w:t>
      </w:r>
      <w:r>
        <w:rPr>
          <w:rFonts w:cs="Arial"/>
          <w:szCs w:val="24"/>
          <w:shd w:val="clear" w:color="auto" w:fill="FFFFFF"/>
        </w:rPr>
        <w:t xml:space="preserve"> maintained its popularity throughout its years of circulation – a triumph for even modern satirical journals.</w:t>
      </w:r>
    </w:p>
    <w:p w:rsidR="00A21A54" w:rsidRDefault="00A21A54" w:rsidP="00A21A54">
      <w:pPr>
        <w:jc w:val="both"/>
        <w:rPr>
          <w:rFonts w:cs="Arial"/>
          <w:szCs w:val="24"/>
          <w:shd w:val="clear" w:color="auto" w:fill="FFFFFF"/>
        </w:rPr>
      </w:pPr>
      <w:r>
        <w:rPr>
          <w:rFonts w:cs="Arial"/>
          <w:i/>
          <w:szCs w:val="24"/>
          <w:shd w:val="clear" w:color="auto" w:fill="FFFFFF"/>
        </w:rPr>
        <w:t>The Wipers Times</w:t>
      </w:r>
      <w:r>
        <w:rPr>
          <w:rFonts w:cs="Arial"/>
          <w:szCs w:val="24"/>
          <w:shd w:val="clear" w:color="auto" w:fill="FFFFFF"/>
        </w:rPr>
        <w:t xml:space="preserve"> is comparable to other contemporary publications in two respects – as a satire, and as a trench newspaper. The only other major magazine of the time was </w:t>
      </w:r>
      <w:r>
        <w:rPr>
          <w:rFonts w:cs="Arial"/>
          <w:i/>
          <w:szCs w:val="24"/>
          <w:shd w:val="clear" w:color="auto" w:fill="FFFFFF"/>
        </w:rPr>
        <w:t>Punch</w:t>
      </w:r>
      <w:r>
        <w:rPr>
          <w:rFonts w:cs="Arial"/>
          <w:szCs w:val="24"/>
          <w:shd w:val="clear" w:color="auto" w:fill="FFFFFF"/>
        </w:rPr>
        <w:t xml:space="preserve">. </w:t>
      </w:r>
      <w:r>
        <w:rPr>
          <w:rFonts w:cs="Arial"/>
          <w:i/>
          <w:szCs w:val="24"/>
          <w:shd w:val="clear" w:color="auto" w:fill="FFFFFF"/>
        </w:rPr>
        <w:t>Punch</w:t>
      </w:r>
      <w:r>
        <w:rPr>
          <w:rFonts w:cs="Arial"/>
          <w:szCs w:val="24"/>
          <w:shd w:val="clear" w:color="auto" w:fill="FFFFFF"/>
        </w:rPr>
        <w:t xml:space="preserve"> had become famous for its use of satirical cartoons to the extent that the word ‘cartoon’ came into common parlance because of the magazine’s repeated usage of them as more efficient tools than articles</w:t>
      </w:r>
      <w:r w:rsidR="00FB0CD5">
        <w:rPr>
          <w:rFonts w:cs="Arial"/>
          <w:szCs w:val="24"/>
          <w:shd w:val="clear" w:color="auto" w:fill="FFFFFF"/>
        </w:rPr>
        <w:t>.</w:t>
      </w:r>
      <w:r>
        <w:rPr>
          <w:rStyle w:val="FootnoteReference"/>
          <w:rFonts w:cs="Arial"/>
          <w:szCs w:val="24"/>
          <w:shd w:val="clear" w:color="auto" w:fill="FFFFFF"/>
        </w:rPr>
        <w:footnoteReference w:id="26"/>
      </w:r>
      <w:r>
        <w:rPr>
          <w:rFonts w:cs="Arial"/>
          <w:szCs w:val="24"/>
          <w:shd w:val="clear" w:color="auto" w:fill="FFFFFF"/>
        </w:rPr>
        <w:t xml:space="preserve"> It is also important to note that </w:t>
      </w:r>
      <w:r>
        <w:rPr>
          <w:rFonts w:cs="Arial"/>
          <w:i/>
          <w:szCs w:val="24"/>
          <w:shd w:val="clear" w:color="auto" w:fill="FFFFFF"/>
        </w:rPr>
        <w:t>Punch</w:t>
      </w:r>
      <w:r>
        <w:rPr>
          <w:rFonts w:cs="Arial"/>
          <w:szCs w:val="24"/>
          <w:shd w:val="clear" w:color="auto" w:fill="FFFFFF"/>
        </w:rPr>
        <w:t xml:space="preserve"> was civilian, and its coverage of World War 1 was more confined to lampooning of political figures on the Home Front, and the political situation at large – it lacked the military element with which trench newspapers were able to m</w:t>
      </w:r>
      <w:r w:rsidR="004D6C38">
        <w:rPr>
          <w:rFonts w:cs="Arial"/>
          <w:szCs w:val="24"/>
          <w:shd w:val="clear" w:color="auto" w:fill="FFFFFF"/>
        </w:rPr>
        <w:t>arket themselves both at home and</w:t>
      </w:r>
      <w:r>
        <w:rPr>
          <w:rFonts w:cs="Arial"/>
          <w:szCs w:val="24"/>
          <w:shd w:val="clear" w:color="auto" w:fill="FFFFFF"/>
        </w:rPr>
        <w:t xml:space="preserve"> abroad. It also expressed very little anti-war sentiment at the beginning of the war; the public discontent with the war only began to become more apparent in 1917. For this reason </w:t>
      </w:r>
      <w:r w:rsidRPr="00A3221C">
        <w:rPr>
          <w:rFonts w:cs="Arial"/>
          <w:i/>
          <w:szCs w:val="24"/>
          <w:shd w:val="clear" w:color="auto" w:fill="FFFFFF"/>
        </w:rPr>
        <w:t>Punch</w:t>
      </w:r>
      <w:r>
        <w:rPr>
          <w:rFonts w:cs="Arial"/>
          <w:szCs w:val="24"/>
          <w:shd w:val="clear" w:color="auto" w:fill="FFFFFF"/>
        </w:rPr>
        <w:t xml:space="preserve"> serves as a useful</w:t>
      </w:r>
      <w:r>
        <w:t xml:space="preserve"> example of the civ</w:t>
      </w:r>
      <w:r w:rsidR="004B7630">
        <w:t xml:space="preserve">ilian voice throughout the war, and </w:t>
      </w:r>
      <w:r>
        <w:t>with a large distribution it is on a different level to the regimental trench newspapers. These</w:t>
      </w:r>
      <w:r>
        <w:rPr>
          <w:rFonts w:cs="Arial"/>
          <w:szCs w:val="24"/>
          <w:shd w:val="clear" w:color="auto" w:fill="FFFFFF"/>
        </w:rPr>
        <w:t xml:space="preserve"> were, however, more plentiful than </w:t>
      </w:r>
      <w:r w:rsidR="00A17F0E">
        <w:rPr>
          <w:rFonts w:cs="Arial"/>
          <w:szCs w:val="24"/>
          <w:shd w:val="clear" w:color="auto" w:fill="FFFFFF"/>
        </w:rPr>
        <w:t>one would assume</w:t>
      </w:r>
      <w:r>
        <w:rPr>
          <w:rFonts w:cs="Arial"/>
          <w:szCs w:val="24"/>
          <w:shd w:val="clear" w:color="auto" w:fill="FFFFFF"/>
        </w:rPr>
        <w:t>.</w:t>
      </w:r>
      <w:r w:rsidRPr="00A95CE8">
        <w:rPr>
          <w:rFonts w:cs="Arial"/>
          <w:i/>
          <w:szCs w:val="24"/>
          <w:shd w:val="clear" w:color="auto" w:fill="FFFFFF"/>
        </w:rPr>
        <w:t xml:space="preserve"> The Dead Horse Corner</w:t>
      </w:r>
      <w:r>
        <w:rPr>
          <w:rFonts w:cs="Arial"/>
          <w:i/>
          <w:szCs w:val="24"/>
          <w:shd w:val="clear" w:color="auto" w:fill="FFFFFF"/>
        </w:rPr>
        <w:t xml:space="preserve"> Gazette</w:t>
      </w:r>
      <w:r>
        <w:rPr>
          <w:rFonts w:cs="Arial"/>
          <w:szCs w:val="24"/>
          <w:shd w:val="clear" w:color="auto" w:fill="FFFFFF"/>
        </w:rPr>
        <w:t xml:space="preserve"> was published by the 4</w:t>
      </w:r>
      <w:r w:rsidRPr="00A95CE8">
        <w:rPr>
          <w:rFonts w:cs="Arial"/>
          <w:szCs w:val="24"/>
          <w:shd w:val="clear" w:color="auto" w:fill="FFFFFF"/>
          <w:vertAlign w:val="superscript"/>
        </w:rPr>
        <w:t>th</w:t>
      </w:r>
      <w:r>
        <w:rPr>
          <w:rFonts w:cs="Arial"/>
          <w:szCs w:val="24"/>
          <w:shd w:val="clear" w:color="auto" w:fill="FFFFFF"/>
        </w:rPr>
        <w:t xml:space="preserve"> Battalion First Canadian Contingent ‘when possible’</w:t>
      </w:r>
      <w:r>
        <w:rPr>
          <w:rStyle w:val="FootnoteReference"/>
          <w:rFonts w:cs="Arial"/>
          <w:szCs w:val="24"/>
          <w:shd w:val="clear" w:color="auto" w:fill="FFFFFF"/>
        </w:rPr>
        <w:footnoteReference w:id="27"/>
      </w:r>
      <w:r>
        <w:rPr>
          <w:rFonts w:cs="Arial"/>
          <w:szCs w:val="24"/>
          <w:shd w:val="clear" w:color="auto" w:fill="FFFFFF"/>
        </w:rPr>
        <w:t xml:space="preserve"> throughout 1915 and 1916, and even one French paper was </w:t>
      </w:r>
      <w:r>
        <w:rPr>
          <w:rFonts w:cs="Arial"/>
          <w:szCs w:val="24"/>
          <w:shd w:val="clear" w:color="auto" w:fill="FFFFFF"/>
        </w:rPr>
        <w:lastRenderedPageBreak/>
        <w:t>auctioned for charity in Boston in 1916 – hundreds of regimental magazines were written</w:t>
      </w:r>
      <w:r w:rsidR="00F03214">
        <w:rPr>
          <w:rFonts w:cs="Arial"/>
          <w:szCs w:val="24"/>
          <w:shd w:val="clear" w:color="auto" w:fill="FFFFFF"/>
        </w:rPr>
        <w:t>,</w:t>
      </w:r>
      <w:r>
        <w:rPr>
          <w:rStyle w:val="FootnoteReference"/>
          <w:rFonts w:cs="Arial"/>
          <w:szCs w:val="24"/>
          <w:shd w:val="clear" w:color="auto" w:fill="FFFFFF"/>
        </w:rPr>
        <w:footnoteReference w:id="28"/>
      </w:r>
      <w:r>
        <w:rPr>
          <w:rFonts w:cs="Arial"/>
          <w:szCs w:val="24"/>
          <w:shd w:val="clear" w:color="auto" w:fill="FFFFFF"/>
        </w:rPr>
        <w:t xml:space="preserve"> and the </w:t>
      </w:r>
      <w:r w:rsidRPr="005D7544">
        <w:rPr>
          <w:rFonts w:cs="Arial"/>
          <w:i/>
          <w:szCs w:val="24"/>
          <w:shd w:val="clear" w:color="auto" w:fill="FFFFFF"/>
        </w:rPr>
        <w:t>Wipers Times</w:t>
      </w:r>
      <w:r>
        <w:rPr>
          <w:rFonts w:cs="Arial"/>
          <w:szCs w:val="24"/>
          <w:shd w:val="clear" w:color="auto" w:fill="FFFFFF"/>
        </w:rPr>
        <w:t xml:space="preserve"> was therefore a rarity in its large and cross-national circulation.</w:t>
      </w:r>
    </w:p>
    <w:p w:rsidR="00A21A54" w:rsidRDefault="00A21A54" w:rsidP="00A21A54">
      <w:pPr>
        <w:jc w:val="both"/>
        <w:rPr>
          <w:rFonts w:cs="Arial"/>
          <w:szCs w:val="24"/>
          <w:shd w:val="clear" w:color="auto" w:fill="FFFFFF"/>
        </w:rPr>
      </w:pPr>
    </w:p>
    <w:p w:rsidR="00A21A54" w:rsidRPr="004E2729" w:rsidRDefault="00A21A54" w:rsidP="00A21A54">
      <w:pPr>
        <w:jc w:val="both"/>
        <w:rPr>
          <w:rFonts w:cs="Arial"/>
          <w:szCs w:val="24"/>
          <w:shd w:val="clear" w:color="auto" w:fill="FFFFFF"/>
        </w:rPr>
      </w:pPr>
      <w:r>
        <w:rPr>
          <w:rFonts w:cs="Arial"/>
          <w:i/>
          <w:szCs w:val="24"/>
          <w:shd w:val="clear" w:color="auto" w:fill="FFFFFF"/>
        </w:rPr>
        <w:t>The Times</w:t>
      </w:r>
      <w:r>
        <w:rPr>
          <w:rFonts w:cs="Arial"/>
          <w:szCs w:val="24"/>
          <w:shd w:val="clear" w:color="auto" w:fill="FFFFFF"/>
        </w:rPr>
        <w:t xml:space="preserve"> was primarily satirical. This much is c</w:t>
      </w:r>
      <w:r w:rsidR="00D640F0">
        <w:rPr>
          <w:rFonts w:cs="Arial"/>
          <w:szCs w:val="24"/>
          <w:shd w:val="clear" w:color="auto" w:fill="FFFFFF"/>
        </w:rPr>
        <w:t>lear throughout the copies which range</w:t>
      </w:r>
      <w:r>
        <w:rPr>
          <w:rFonts w:cs="Arial"/>
          <w:szCs w:val="24"/>
          <w:shd w:val="clear" w:color="auto" w:fill="FFFFFF"/>
        </w:rPr>
        <w:t xml:space="preserve"> from protests against prohibition in the form of an advertisement for a cure to teetotalism by ‘J. Supitup, Havanotha Mansions’ all the way up to the serialised adventures of Herlock Sholmes, and Willie Pritchard.</w:t>
      </w:r>
      <w:r>
        <w:rPr>
          <w:rStyle w:val="FootnoteReference"/>
          <w:rFonts w:cs="Arial"/>
          <w:szCs w:val="24"/>
          <w:shd w:val="clear" w:color="auto" w:fill="FFFFFF"/>
        </w:rPr>
        <w:footnoteReference w:id="29"/>
      </w:r>
      <w:r>
        <w:rPr>
          <w:rFonts w:cs="Arial"/>
          <w:szCs w:val="24"/>
          <w:shd w:val="clear" w:color="auto" w:fill="FFFFFF"/>
        </w:rPr>
        <w:t xml:space="preserve"> The humour is objectively dark, with harsh criticisms of both political and media figures offset with cheaper jokes at the expense of senior officers. However, the paper also interjects this humour with a deeper respect for fal</w:t>
      </w:r>
      <w:r w:rsidR="00ED1FE8">
        <w:rPr>
          <w:rFonts w:cs="Arial"/>
          <w:szCs w:val="24"/>
          <w:shd w:val="clear" w:color="auto" w:fill="FFFFFF"/>
        </w:rPr>
        <w:t>len comrades. A</w:t>
      </w:r>
      <w:r>
        <w:rPr>
          <w:rFonts w:cs="Arial"/>
          <w:szCs w:val="24"/>
          <w:shd w:val="clear" w:color="auto" w:fill="FFFFFF"/>
        </w:rPr>
        <w:t xml:space="preserve"> poem entitled “To My Chum” lamenting how ‘no more we’ll share the same old barn, the same out dug-out, same out yarn’ appearing next to a humorous piece on military definitions</w:t>
      </w:r>
      <w:r w:rsidR="00ED1FE8">
        <w:rPr>
          <w:rFonts w:cs="Arial"/>
          <w:szCs w:val="24"/>
          <w:shd w:val="clear" w:color="auto" w:fill="FFFFFF"/>
        </w:rPr>
        <w:t xml:space="preserve"> </w:t>
      </w:r>
      <w:r w:rsidR="009C48ED">
        <w:rPr>
          <w:rFonts w:cs="Arial"/>
          <w:szCs w:val="24"/>
          <w:shd w:val="clear" w:color="auto" w:fill="FFFFFF"/>
        </w:rPr>
        <w:t>is just such an example</w:t>
      </w:r>
      <w:r w:rsidR="00FE371D">
        <w:rPr>
          <w:rFonts w:cs="Arial"/>
          <w:szCs w:val="24"/>
          <w:shd w:val="clear" w:color="auto" w:fill="FFFFFF"/>
        </w:rPr>
        <w:t>.</w:t>
      </w:r>
      <w:r>
        <w:rPr>
          <w:rStyle w:val="FootnoteReference"/>
          <w:rFonts w:cs="Arial"/>
          <w:szCs w:val="24"/>
          <w:shd w:val="clear" w:color="auto" w:fill="FFFFFF"/>
        </w:rPr>
        <w:footnoteReference w:id="30"/>
      </w:r>
      <w:r>
        <w:rPr>
          <w:rFonts w:cs="Arial"/>
          <w:szCs w:val="24"/>
          <w:shd w:val="clear" w:color="auto" w:fill="FFFFFF"/>
        </w:rPr>
        <w:t xml:space="preserve"> In fact, this juxtaposition can be argued to increase the impact of both the serious and light-hearted – complaining about the ‘insidious disease’</w:t>
      </w:r>
      <w:r>
        <w:rPr>
          <w:rStyle w:val="FootnoteReference"/>
          <w:rFonts w:cs="Arial"/>
          <w:szCs w:val="24"/>
          <w:shd w:val="clear" w:color="auto" w:fill="FFFFFF"/>
        </w:rPr>
        <w:footnoteReference w:id="31"/>
      </w:r>
      <w:r>
        <w:rPr>
          <w:rFonts w:cs="Arial"/>
          <w:szCs w:val="24"/>
          <w:shd w:val="clear" w:color="auto" w:fill="FFFFFF"/>
        </w:rPr>
        <w:t xml:space="preserve"> of a mass of poetry becomes stale when presented alongside a </w:t>
      </w:r>
      <w:r w:rsidR="00622803">
        <w:rPr>
          <w:rFonts w:cs="Arial"/>
          <w:szCs w:val="24"/>
          <w:shd w:val="clear" w:color="auto" w:fill="FFFFFF"/>
        </w:rPr>
        <w:t xml:space="preserve">salute to the French at Verdun. </w:t>
      </w:r>
      <w:bookmarkStart w:id="0" w:name="_GoBack"/>
      <w:bookmarkEnd w:id="0"/>
      <w:r>
        <w:rPr>
          <w:rFonts w:cs="Arial"/>
          <w:szCs w:val="24"/>
          <w:shd w:val="clear" w:color="auto" w:fill="FFFFFF"/>
        </w:rPr>
        <w:t xml:space="preserve">In short, </w:t>
      </w:r>
      <w:r>
        <w:rPr>
          <w:rFonts w:cs="Arial"/>
          <w:i/>
          <w:szCs w:val="24"/>
          <w:shd w:val="clear" w:color="auto" w:fill="FFFFFF"/>
        </w:rPr>
        <w:t>The Wipers Times</w:t>
      </w:r>
      <w:r>
        <w:rPr>
          <w:rFonts w:cs="Arial"/>
          <w:szCs w:val="24"/>
          <w:shd w:val="clear" w:color="auto" w:fill="FFFFFF"/>
        </w:rPr>
        <w:t xml:space="preserve"> was a trench newspaper aimed at </w:t>
      </w:r>
      <w:r w:rsidR="00722D32">
        <w:rPr>
          <w:rFonts w:cs="Arial"/>
          <w:szCs w:val="24"/>
          <w:shd w:val="clear" w:color="auto" w:fill="FFFFFF"/>
        </w:rPr>
        <w:t xml:space="preserve">unifying the British army under </w:t>
      </w:r>
      <w:r w:rsidR="000C0CF4">
        <w:rPr>
          <w:rFonts w:cs="Arial"/>
          <w:szCs w:val="24"/>
          <w:shd w:val="clear" w:color="auto" w:fill="FFFFFF"/>
        </w:rPr>
        <w:t>one comm</w:t>
      </w:r>
      <w:r w:rsidR="001E3C30">
        <w:rPr>
          <w:rFonts w:cs="Arial"/>
          <w:szCs w:val="24"/>
          <w:shd w:val="clear" w:color="auto" w:fill="FFFFFF"/>
        </w:rPr>
        <w:t>on banner of distraction, satire</w:t>
      </w:r>
      <w:r w:rsidR="000C0CF4">
        <w:rPr>
          <w:rFonts w:cs="Arial"/>
          <w:szCs w:val="24"/>
          <w:shd w:val="clear" w:color="auto" w:fill="FFFFFF"/>
        </w:rPr>
        <w:t>, and respect.</w:t>
      </w:r>
    </w:p>
    <w:p w:rsidR="00A21A54" w:rsidRDefault="00A21A54" w:rsidP="00A34E01">
      <w:pPr>
        <w:jc w:val="center"/>
        <w:rPr>
          <w:sz w:val="28"/>
        </w:rPr>
      </w:pPr>
    </w:p>
    <w:p w:rsidR="00A21A54" w:rsidRDefault="00A21A54" w:rsidP="00A34E01">
      <w:pPr>
        <w:jc w:val="center"/>
        <w:rPr>
          <w:sz w:val="28"/>
        </w:rPr>
      </w:pPr>
    </w:p>
    <w:p w:rsidR="00F63B46" w:rsidRDefault="00F63B46" w:rsidP="00A34E01">
      <w:pPr>
        <w:jc w:val="center"/>
        <w:rPr>
          <w:sz w:val="28"/>
        </w:rPr>
      </w:pPr>
    </w:p>
    <w:p w:rsidR="00F63B46" w:rsidRDefault="00F63B46" w:rsidP="00A34E01">
      <w:pPr>
        <w:jc w:val="center"/>
        <w:rPr>
          <w:sz w:val="28"/>
        </w:rPr>
      </w:pPr>
    </w:p>
    <w:p w:rsidR="00F63B46" w:rsidRDefault="00F63B46" w:rsidP="00A34E01">
      <w:pPr>
        <w:jc w:val="center"/>
        <w:rPr>
          <w:sz w:val="28"/>
        </w:rPr>
      </w:pPr>
    </w:p>
    <w:p w:rsidR="00F63B46" w:rsidRDefault="00F63B46" w:rsidP="00A34E01">
      <w:pPr>
        <w:jc w:val="center"/>
        <w:rPr>
          <w:sz w:val="28"/>
        </w:rPr>
      </w:pPr>
    </w:p>
    <w:p w:rsidR="00F63B46" w:rsidRDefault="00F63B46" w:rsidP="00A34E01">
      <w:pPr>
        <w:jc w:val="center"/>
        <w:rPr>
          <w:sz w:val="28"/>
        </w:rPr>
      </w:pPr>
    </w:p>
    <w:p w:rsidR="00F63B46" w:rsidRDefault="00F63B46" w:rsidP="00A34E01">
      <w:pPr>
        <w:jc w:val="center"/>
        <w:rPr>
          <w:sz w:val="28"/>
        </w:rPr>
      </w:pPr>
    </w:p>
    <w:p w:rsidR="00F63B46" w:rsidRDefault="00F63B46" w:rsidP="00A34E01">
      <w:pPr>
        <w:jc w:val="center"/>
        <w:rPr>
          <w:sz w:val="28"/>
        </w:rPr>
      </w:pPr>
    </w:p>
    <w:p w:rsidR="00F63B46" w:rsidRDefault="00F63B46" w:rsidP="00A34E01">
      <w:pPr>
        <w:jc w:val="center"/>
        <w:rPr>
          <w:sz w:val="28"/>
        </w:rPr>
      </w:pPr>
    </w:p>
    <w:p w:rsidR="00F63B46" w:rsidRDefault="00F63B46" w:rsidP="00A34E01">
      <w:pPr>
        <w:jc w:val="center"/>
        <w:rPr>
          <w:sz w:val="28"/>
        </w:rPr>
      </w:pPr>
    </w:p>
    <w:p w:rsidR="00F63B46" w:rsidRDefault="00F63B46" w:rsidP="00A34E01">
      <w:pPr>
        <w:jc w:val="center"/>
        <w:rPr>
          <w:sz w:val="28"/>
        </w:rPr>
      </w:pPr>
    </w:p>
    <w:p w:rsidR="00F63B46" w:rsidRDefault="00F63B46" w:rsidP="00A34E01">
      <w:pPr>
        <w:jc w:val="center"/>
        <w:rPr>
          <w:sz w:val="28"/>
        </w:rPr>
      </w:pPr>
    </w:p>
    <w:p w:rsidR="00A34E01" w:rsidRDefault="00A34E01" w:rsidP="00A34E01">
      <w:pPr>
        <w:jc w:val="center"/>
        <w:rPr>
          <w:sz w:val="28"/>
        </w:rPr>
      </w:pPr>
      <w:r>
        <w:rPr>
          <w:sz w:val="28"/>
        </w:rPr>
        <w:lastRenderedPageBreak/>
        <w:t>Bibliography</w:t>
      </w:r>
    </w:p>
    <w:p w:rsidR="006417BD" w:rsidRDefault="00217671" w:rsidP="008363C2">
      <w:pPr>
        <w:pStyle w:val="FootnoteText"/>
        <w:spacing w:after="120"/>
        <w:jc w:val="center"/>
        <w:rPr>
          <w:sz w:val="24"/>
          <w:szCs w:val="24"/>
        </w:rPr>
      </w:pPr>
      <w:r w:rsidRPr="008363C2">
        <w:rPr>
          <w:sz w:val="24"/>
          <w:szCs w:val="24"/>
        </w:rPr>
        <w:t xml:space="preserve">Aldous, Richard, ‘How Did It All Happen?’, </w:t>
      </w:r>
      <w:r w:rsidRPr="008363C2">
        <w:rPr>
          <w:i/>
          <w:sz w:val="24"/>
          <w:szCs w:val="24"/>
        </w:rPr>
        <w:t>The New York Times</w:t>
      </w:r>
      <w:r w:rsidRPr="008363C2">
        <w:rPr>
          <w:sz w:val="24"/>
          <w:szCs w:val="24"/>
        </w:rPr>
        <w:t>, 25</w:t>
      </w:r>
      <w:r w:rsidRPr="008363C2">
        <w:rPr>
          <w:sz w:val="24"/>
          <w:szCs w:val="24"/>
          <w:vertAlign w:val="superscript"/>
        </w:rPr>
        <w:t>th</w:t>
      </w:r>
      <w:r w:rsidRPr="008363C2">
        <w:rPr>
          <w:sz w:val="24"/>
          <w:szCs w:val="24"/>
        </w:rPr>
        <w:t xml:space="preserve"> October 2013 [online]. Available at </w:t>
      </w:r>
      <w:hyperlink r:id="rId7" w:history="1">
        <w:r w:rsidRPr="008363C2">
          <w:rPr>
            <w:rStyle w:val="Hyperlink"/>
            <w:sz w:val="24"/>
            <w:szCs w:val="24"/>
          </w:rPr>
          <w:t>http://www.nytimes.com/2013/10/27/books/review/the-war-that-ended-peace-by-margaret-macmillan.html</w:t>
        </w:r>
      </w:hyperlink>
      <w:r w:rsidRPr="008363C2">
        <w:rPr>
          <w:sz w:val="24"/>
          <w:szCs w:val="24"/>
        </w:rPr>
        <w:t xml:space="preserve"> [Accessed 2nd November 2017]</w:t>
      </w:r>
    </w:p>
    <w:p w:rsidR="00A21A54" w:rsidRPr="00A21A54" w:rsidRDefault="00A21A54" w:rsidP="008363C2">
      <w:pPr>
        <w:pStyle w:val="FootnoteText"/>
        <w:spacing w:after="120"/>
        <w:jc w:val="center"/>
        <w:rPr>
          <w:sz w:val="32"/>
          <w:szCs w:val="24"/>
        </w:rPr>
      </w:pPr>
      <w:r w:rsidRPr="00A21A54">
        <w:rPr>
          <w:sz w:val="24"/>
          <w:lang w:val="en-US"/>
        </w:rPr>
        <w:t xml:space="preserve">Appelbaum, Stanley and Kelly, Richard, </w:t>
      </w:r>
      <w:r w:rsidRPr="00A21A54">
        <w:rPr>
          <w:i/>
          <w:sz w:val="24"/>
          <w:lang w:val="en-US"/>
        </w:rPr>
        <w:t>Great Drawings and Illustrations from Punch, 1841-1901</w:t>
      </w:r>
      <w:r w:rsidRPr="00A21A54">
        <w:rPr>
          <w:sz w:val="24"/>
          <w:lang w:val="en-US"/>
        </w:rPr>
        <w:t xml:space="preserve"> (New York: Dover Publications, 1981)</w:t>
      </w:r>
    </w:p>
    <w:p w:rsidR="00217671" w:rsidRPr="008363C2" w:rsidRDefault="00217671" w:rsidP="008363C2">
      <w:pPr>
        <w:pStyle w:val="FootnoteText"/>
        <w:spacing w:after="120"/>
        <w:jc w:val="center"/>
        <w:rPr>
          <w:sz w:val="24"/>
          <w:szCs w:val="24"/>
        </w:rPr>
      </w:pPr>
      <w:r w:rsidRPr="008363C2">
        <w:rPr>
          <w:i/>
          <w:sz w:val="24"/>
          <w:szCs w:val="24"/>
        </w:rPr>
        <w:t>The Necessary War</w:t>
      </w:r>
      <w:r w:rsidRPr="008363C2">
        <w:rPr>
          <w:sz w:val="24"/>
          <w:szCs w:val="24"/>
        </w:rPr>
        <w:t>, BBC2 (25</w:t>
      </w:r>
      <w:r w:rsidRPr="008363C2">
        <w:rPr>
          <w:sz w:val="24"/>
          <w:szCs w:val="24"/>
          <w:vertAlign w:val="superscript"/>
        </w:rPr>
        <w:t>th</w:t>
      </w:r>
      <w:r w:rsidRPr="008363C2">
        <w:rPr>
          <w:sz w:val="24"/>
          <w:szCs w:val="24"/>
        </w:rPr>
        <w:t xml:space="preserve"> February 2014), 2100-2200</w:t>
      </w:r>
    </w:p>
    <w:p w:rsidR="008363C2" w:rsidRPr="008363C2" w:rsidRDefault="008363C2" w:rsidP="008363C2">
      <w:pPr>
        <w:pStyle w:val="FootnoteText"/>
        <w:spacing w:after="120"/>
        <w:jc w:val="center"/>
        <w:rPr>
          <w:sz w:val="24"/>
          <w:szCs w:val="24"/>
        </w:rPr>
      </w:pPr>
      <w:r w:rsidRPr="008363C2">
        <w:rPr>
          <w:i/>
          <w:sz w:val="24"/>
          <w:szCs w:val="24"/>
        </w:rPr>
        <w:t>In Flanders Fields and Other Poems of the First World War</w:t>
      </w:r>
      <w:r w:rsidRPr="008363C2">
        <w:rPr>
          <w:sz w:val="24"/>
          <w:szCs w:val="24"/>
        </w:rPr>
        <w:t>, ed. Brian Busby, second edn (London: Arcturus, 2009)</w:t>
      </w:r>
    </w:p>
    <w:p w:rsidR="008363C2" w:rsidRPr="008363C2" w:rsidRDefault="008363C2" w:rsidP="008363C2">
      <w:pPr>
        <w:pStyle w:val="FootnoteText"/>
        <w:spacing w:after="120"/>
        <w:jc w:val="center"/>
        <w:rPr>
          <w:sz w:val="24"/>
          <w:szCs w:val="24"/>
        </w:rPr>
      </w:pPr>
      <w:r w:rsidRPr="008363C2">
        <w:rPr>
          <w:sz w:val="24"/>
          <w:szCs w:val="24"/>
        </w:rPr>
        <w:t xml:space="preserve">Clark, Christopher, </w:t>
      </w:r>
      <w:r w:rsidRPr="008363C2">
        <w:rPr>
          <w:i/>
          <w:sz w:val="24"/>
          <w:szCs w:val="24"/>
        </w:rPr>
        <w:t>Sleepwalkers: How Europe Went to War in 1914</w:t>
      </w:r>
      <w:r w:rsidRPr="008363C2">
        <w:rPr>
          <w:sz w:val="24"/>
          <w:szCs w:val="24"/>
        </w:rPr>
        <w:t xml:space="preserve"> (London: Penguin UK, 2012)</w:t>
      </w:r>
    </w:p>
    <w:p w:rsidR="008363C2" w:rsidRPr="008363C2" w:rsidRDefault="008363C2" w:rsidP="008363C2">
      <w:pPr>
        <w:pStyle w:val="FootnoteText"/>
        <w:spacing w:after="120"/>
        <w:jc w:val="center"/>
        <w:rPr>
          <w:sz w:val="24"/>
          <w:szCs w:val="24"/>
        </w:rPr>
      </w:pPr>
      <w:r w:rsidRPr="008363C2">
        <w:rPr>
          <w:sz w:val="24"/>
          <w:szCs w:val="24"/>
        </w:rPr>
        <w:t xml:space="preserve">Ferguson, Niall, </w:t>
      </w:r>
      <w:r w:rsidRPr="008363C2">
        <w:rPr>
          <w:i/>
          <w:sz w:val="24"/>
          <w:szCs w:val="24"/>
        </w:rPr>
        <w:t>The Pity of War</w:t>
      </w:r>
      <w:r w:rsidRPr="008363C2">
        <w:rPr>
          <w:sz w:val="24"/>
          <w:szCs w:val="24"/>
        </w:rPr>
        <w:t>, second edn (London: Penguin Books, 1999)</w:t>
      </w:r>
    </w:p>
    <w:p w:rsidR="00217671" w:rsidRDefault="00217671" w:rsidP="008363C2">
      <w:pPr>
        <w:spacing w:after="120" w:line="240" w:lineRule="auto"/>
        <w:jc w:val="center"/>
        <w:rPr>
          <w:szCs w:val="24"/>
        </w:rPr>
      </w:pPr>
      <w:r w:rsidRPr="008363C2">
        <w:rPr>
          <w:szCs w:val="24"/>
        </w:rPr>
        <w:t>Hastings, Sir Max, Catastrophe: Europe Goes to War 1914, (London: William Collins, 2014)</w:t>
      </w:r>
    </w:p>
    <w:p w:rsidR="00A21A54" w:rsidRDefault="00A21A54" w:rsidP="008363C2">
      <w:pPr>
        <w:spacing w:after="120" w:line="240" w:lineRule="auto"/>
        <w:jc w:val="center"/>
        <w:rPr>
          <w:lang w:val="en-US"/>
        </w:rPr>
      </w:pPr>
      <w:r>
        <w:rPr>
          <w:lang w:val="en-US"/>
        </w:rPr>
        <w:t>HMSO, “Third Supplement to the London Gazette of Friday, the 29</w:t>
      </w:r>
      <w:r w:rsidRPr="00C7202B">
        <w:rPr>
          <w:vertAlign w:val="superscript"/>
          <w:lang w:val="en-US"/>
        </w:rPr>
        <w:t>th</w:t>
      </w:r>
      <w:r>
        <w:rPr>
          <w:lang w:val="en-US"/>
        </w:rPr>
        <w:t xml:space="preserve"> of December, 1916”, </w:t>
      </w:r>
      <w:r>
        <w:rPr>
          <w:i/>
          <w:lang w:val="en-US"/>
        </w:rPr>
        <w:t xml:space="preserve">The London Gazette, </w:t>
      </w:r>
      <w:r>
        <w:rPr>
          <w:lang w:val="en-US"/>
        </w:rPr>
        <w:t>1</w:t>
      </w:r>
      <w:r w:rsidRPr="00CD2AFB">
        <w:rPr>
          <w:vertAlign w:val="superscript"/>
          <w:lang w:val="en-US"/>
        </w:rPr>
        <w:t>st</w:t>
      </w:r>
      <w:r>
        <w:rPr>
          <w:lang w:val="en-US"/>
        </w:rPr>
        <w:t xml:space="preserve"> January 1917</w:t>
      </w:r>
    </w:p>
    <w:p w:rsidR="00A21A54" w:rsidRDefault="00A21A54" w:rsidP="008363C2">
      <w:pPr>
        <w:spacing w:after="120" w:line="240" w:lineRule="auto"/>
        <w:jc w:val="center"/>
        <w:rPr>
          <w:szCs w:val="24"/>
        </w:rPr>
      </w:pPr>
      <w:r>
        <w:rPr>
          <w:lang w:val="en-US"/>
        </w:rPr>
        <w:t>HMSO, “Third Supplement to the London Gazette of Friday, 13</w:t>
      </w:r>
      <w:r w:rsidRPr="007260F8">
        <w:rPr>
          <w:vertAlign w:val="superscript"/>
          <w:lang w:val="en-US"/>
        </w:rPr>
        <w:t>th</w:t>
      </w:r>
      <w:r>
        <w:rPr>
          <w:lang w:val="en-US"/>
        </w:rPr>
        <w:t xml:space="preserve"> of September 1918”, </w:t>
      </w:r>
      <w:r>
        <w:rPr>
          <w:i/>
          <w:lang w:val="en-US"/>
        </w:rPr>
        <w:t>The London Gazette</w:t>
      </w:r>
      <w:r>
        <w:rPr>
          <w:lang w:val="en-US"/>
        </w:rPr>
        <w:t>, 16</w:t>
      </w:r>
      <w:r w:rsidRPr="0025123E">
        <w:rPr>
          <w:vertAlign w:val="superscript"/>
          <w:lang w:val="en-US"/>
        </w:rPr>
        <w:t>th</w:t>
      </w:r>
      <w:r>
        <w:rPr>
          <w:lang w:val="en-US"/>
        </w:rPr>
        <w:t xml:space="preserve"> September 1918</w:t>
      </w:r>
    </w:p>
    <w:p w:rsidR="00A21A54" w:rsidRPr="008363C2" w:rsidRDefault="00A21A54" w:rsidP="008363C2">
      <w:pPr>
        <w:spacing w:after="120" w:line="240" w:lineRule="auto"/>
        <w:jc w:val="center"/>
        <w:rPr>
          <w:szCs w:val="24"/>
        </w:rPr>
      </w:pPr>
      <w:r>
        <w:rPr>
          <w:i/>
          <w:lang w:val="en-US"/>
        </w:rPr>
        <w:t>The Wipers Times</w:t>
      </w:r>
      <w:r>
        <w:rPr>
          <w:lang w:val="en-US"/>
        </w:rPr>
        <w:t>, ed. Herbert Jenkins (London: Herbert Jenkins Limited, 1918)</w:t>
      </w:r>
    </w:p>
    <w:p w:rsidR="008363C2" w:rsidRPr="008363C2" w:rsidRDefault="008363C2" w:rsidP="008363C2">
      <w:pPr>
        <w:pStyle w:val="FootnoteText"/>
        <w:spacing w:after="120"/>
        <w:jc w:val="center"/>
        <w:rPr>
          <w:sz w:val="24"/>
          <w:szCs w:val="24"/>
          <w:lang w:val="en-US"/>
        </w:rPr>
      </w:pPr>
      <w:r w:rsidRPr="008363C2">
        <w:rPr>
          <w:sz w:val="24"/>
          <w:szCs w:val="24"/>
          <w:lang w:val="en-US"/>
        </w:rPr>
        <w:t xml:space="preserve">Jones, Nigel, “Catastrophe by Max Hastings, review”, </w:t>
      </w:r>
      <w:r w:rsidRPr="008363C2">
        <w:rPr>
          <w:i/>
          <w:sz w:val="24"/>
          <w:szCs w:val="24"/>
          <w:lang w:val="en-US"/>
        </w:rPr>
        <w:t>The Telegraph</w:t>
      </w:r>
      <w:r w:rsidRPr="008363C2">
        <w:rPr>
          <w:sz w:val="24"/>
          <w:szCs w:val="24"/>
          <w:lang w:val="en-US"/>
        </w:rPr>
        <w:t>, 17</w:t>
      </w:r>
      <w:r w:rsidRPr="008363C2">
        <w:rPr>
          <w:sz w:val="24"/>
          <w:szCs w:val="24"/>
          <w:vertAlign w:val="superscript"/>
          <w:lang w:val="en-US"/>
        </w:rPr>
        <w:t>th</w:t>
      </w:r>
      <w:r w:rsidRPr="008363C2">
        <w:rPr>
          <w:sz w:val="24"/>
          <w:szCs w:val="24"/>
          <w:lang w:val="en-US"/>
        </w:rPr>
        <w:t xml:space="preserve"> October 2013 [online]. Available at </w:t>
      </w:r>
      <w:hyperlink r:id="rId8" w:history="1">
        <w:r w:rsidRPr="008363C2">
          <w:rPr>
            <w:rStyle w:val="Hyperlink"/>
            <w:sz w:val="24"/>
            <w:szCs w:val="24"/>
            <w:lang w:val="en-US"/>
          </w:rPr>
          <w:t>http://www.telegraph.co.uk/culture/books/historybookreviews/10382547/Catastrophe-by-Max-Hastings-review.html</w:t>
        </w:r>
      </w:hyperlink>
      <w:r w:rsidRPr="008363C2">
        <w:rPr>
          <w:sz w:val="24"/>
          <w:szCs w:val="24"/>
          <w:lang w:val="en-US"/>
        </w:rPr>
        <w:t xml:space="preserve"> [Accessed 6th November 2017].</w:t>
      </w:r>
    </w:p>
    <w:p w:rsidR="008363C2" w:rsidRPr="008363C2" w:rsidRDefault="008363C2" w:rsidP="008363C2">
      <w:pPr>
        <w:spacing w:after="120" w:line="240" w:lineRule="auto"/>
        <w:jc w:val="center"/>
        <w:rPr>
          <w:szCs w:val="24"/>
        </w:rPr>
      </w:pPr>
      <w:r w:rsidRPr="008363C2">
        <w:rPr>
          <w:szCs w:val="24"/>
        </w:rPr>
        <w:t xml:space="preserve">Lloyd George, David, </w:t>
      </w:r>
      <w:r w:rsidRPr="008363C2">
        <w:rPr>
          <w:i/>
          <w:szCs w:val="24"/>
        </w:rPr>
        <w:t>War Memoirs of David Lloyd George, Volume 1</w:t>
      </w:r>
      <w:r w:rsidRPr="008363C2">
        <w:rPr>
          <w:szCs w:val="24"/>
        </w:rPr>
        <w:t>, new edn</w:t>
      </w:r>
      <w:r w:rsidRPr="008363C2">
        <w:rPr>
          <w:i/>
          <w:szCs w:val="24"/>
        </w:rPr>
        <w:t xml:space="preserve"> </w:t>
      </w:r>
      <w:r w:rsidRPr="008363C2">
        <w:rPr>
          <w:szCs w:val="24"/>
        </w:rPr>
        <w:t>(London: Odhams Press Limited, 1938)</w:t>
      </w:r>
    </w:p>
    <w:p w:rsidR="008363C2" w:rsidRDefault="008363C2" w:rsidP="008363C2">
      <w:pPr>
        <w:spacing w:after="120" w:line="240" w:lineRule="auto"/>
        <w:jc w:val="center"/>
        <w:rPr>
          <w:szCs w:val="24"/>
          <w:lang w:val="en-US"/>
        </w:rPr>
      </w:pPr>
      <w:r w:rsidRPr="008363C2">
        <w:rPr>
          <w:szCs w:val="24"/>
          <w:lang w:val="en-US"/>
        </w:rPr>
        <w:t xml:space="preserve">Mason, Emma, “”Britain should have stayed out of the First World War”, says Niall Ferguson”, </w:t>
      </w:r>
      <w:r w:rsidRPr="008363C2">
        <w:rPr>
          <w:i/>
          <w:szCs w:val="24"/>
          <w:lang w:val="en-US"/>
        </w:rPr>
        <w:t>History Extra</w:t>
      </w:r>
      <w:r w:rsidRPr="008363C2">
        <w:rPr>
          <w:szCs w:val="24"/>
          <w:lang w:val="en-US"/>
        </w:rPr>
        <w:t>, 31</w:t>
      </w:r>
      <w:r w:rsidRPr="008363C2">
        <w:rPr>
          <w:szCs w:val="24"/>
          <w:vertAlign w:val="superscript"/>
          <w:lang w:val="en-US"/>
        </w:rPr>
        <w:t>st</w:t>
      </w:r>
      <w:r w:rsidRPr="008363C2">
        <w:rPr>
          <w:szCs w:val="24"/>
          <w:lang w:val="en-US"/>
        </w:rPr>
        <w:t xml:space="preserve"> July 2014 [online]. Available </w:t>
      </w:r>
      <w:hyperlink r:id="rId9" w:history="1">
        <w:r w:rsidRPr="008363C2">
          <w:rPr>
            <w:rStyle w:val="Hyperlink"/>
            <w:szCs w:val="24"/>
            <w:lang w:val="en-US"/>
          </w:rPr>
          <w:t>http://www.historyextra.com/feature/first-world-war/%E2%80%9Cbritain-should-have-stayed-out-first-world-war%E2%80%9D-says-niall-ferguson</w:t>
        </w:r>
      </w:hyperlink>
      <w:r w:rsidRPr="008363C2">
        <w:rPr>
          <w:szCs w:val="24"/>
          <w:lang w:val="en-US"/>
        </w:rPr>
        <w:t xml:space="preserve"> [Accessed 7</w:t>
      </w:r>
      <w:r w:rsidRPr="008363C2">
        <w:rPr>
          <w:szCs w:val="24"/>
          <w:vertAlign w:val="superscript"/>
          <w:lang w:val="en-US"/>
        </w:rPr>
        <w:t>th</w:t>
      </w:r>
      <w:r w:rsidR="00A21A54">
        <w:rPr>
          <w:szCs w:val="24"/>
          <w:lang w:val="en-US"/>
        </w:rPr>
        <w:t xml:space="preserve"> November 2017]</w:t>
      </w:r>
    </w:p>
    <w:p w:rsidR="00A21A54" w:rsidRDefault="00A21A54" w:rsidP="008363C2">
      <w:pPr>
        <w:spacing w:after="120" w:line="240" w:lineRule="auto"/>
        <w:jc w:val="center"/>
        <w:rPr>
          <w:lang w:val="en-US"/>
        </w:rPr>
      </w:pPr>
      <w:r>
        <w:rPr>
          <w:lang w:val="en-US"/>
        </w:rPr>
        <w:t xml:space="preserve">Sawer, Patrick, “First World War Centenary: historic Wipers Times newspaper recreated”, </w:t>
      </w:r>
      <w:r>
        <w:rPr>
          <w:i/>
          <w:lang w:val="en-US"/>
        </w:rPr>
        <w:t>The Telegraph</w:t>
      </w:r>
      <w:r>
        <w:rPr>
          <w:lang w:val="en-US"/>
        </w:rPr>
        <w:t>, 4</w:t>
      </w:r>
      <w:r w:rsidRPr="0048369D">
        <w:rPr>
          <w:vertAlign w:val="superscript"/>
          <w:lang w:val="en-US"/>
        </w:rPr>
        <w:t>th</w:t>
      </w:r>
      <w:r>
        <w:rPr>
          <w:lang w:val="en-US"/>
        </w:rPr>
        <w:t xml:space="preserve"> August 2014 [online]. Available </w:t>
      </w:r>
      <w:hyperlink r:id="rId10" w:history="1">
        <w:r w:rsidRPr="00A5669F">
          <w:rPr>
            <w:rStyle w:val="Hyperlink"/>
            <w:lang w:val="en-US"/>
          </w:rPr>
          <w:t>http://www.telegraph.co.uk/history/world-war-one/11010026/First-World-War-centenary-historic-Wipers-Times-newspaper-recreated.html</w:t>
        </w:r>
      </w:hyperlink>
      <w:r>
        <w:rPr>
          <w:lang w:val="en-US"/>
        </w:rPr>
        <w:t xml:space="preserve"> [Accessed 9th November 2017]</w:t>
      </w:r>
    </w:p>
    <w:p w:rsidR="00A21A54" w:rsidRDefault="00A21A54" w:rsidP="008363C2">
      <w:pPr>
        <w:spacing w:after="120" w:line="240" w:lineRule="auto"/>
        <w:jc w:val="center"/>
        <w:rPr>
          <w:lang w:val="en-US"/>
        </w:rPr>
      </w:pPr>
      <w:r>
        <w:rPr>
          <w:i/>
          <w:lang w:val="en-US"/>
        </w:rPr>
        <w:t>The Dead Horse Corner Gazette, No. 1</w:t>
      </w:r>
      <w:r>
        <w:rPr>
          <w:lang w:val="en-US"/>
        </w:rPr>
        <w:t xml:space="preserve">, ed. R.W. Trowsdale, </w:t>
      </w:r>
      <w:r>
        <w:rPr>
          <w:i/>
          <w:lang w:val="en-US"/>
        </w:rPr>
        <w:t>The Dead Horse Corner Gazette</w:t>
      </w:r>
      <w:r>
        <w:rPr>
          <w:lang w:val="en-US"/>
        </w:rPr>
        <w:t xml:space="preserve">, October 1915 [online]. Available </w:t>
      </w:r>
      <w:hyperlink r:id="rId11" w:history="1">
        <w:r w:rsidRPr="00A5669F">
          <w:rPr>
            <w:rStyle w:val="Hyperlink"/>
            <w:lang w:val="en-US"/>
          </w:rPr>
          <w:t>http://www.warmuseum.ca/firstworldwar/objects-and-photos/archival-documents/military-documents/the-dead-horse-corner-gazette/</w:t>
        </w:r>
      </w:hyperlink>
      <w:r>
        <w:rPr>
          <w:lang w:val="en-US"/>
        </w:rPr>
        <w:t xml:space="preserve"> [Accessed 9</w:t>
      </w:r>
      <w:r w:rsidRPr="00A17FF9">
        <w:rPr>
          <w:vertAlign w:val="superscript"/>
          <w:lang w:val="en-US"/>
        </w:rPr>
        <w:t>th</w:t>
      </w:r>
      <w:r>
        <w:rPr>
          <w:lang w:val="en-US"/>
        </w:rPr>
        <w:t xml:space="preserve"> November 2017]</w:t>
      </w:r>
    </w:p>
    <w:p w:rsidR="00A21A54" w:rsidRDefault="00A21A54" w:rsidP="008363C2">
      <w:pPr>
        <w:spacing w:after="120" w:line="240" w:lineRule="auto"/>
        <w:jc w:val="center"/>
        <w:rPr>
          <w:szCs w:val="24"/>
          <w:lang w:val="en-US"/>
        </w:rPr>
      </w:pPr>
      <w:r>
        <w:t>University of Pennsylvania</w:t>
      </w:r>
      <w:r>
        <w:rPr>
          <w:lang w:val="en-US"/>
        </w:rPr>
        <w:t xml:space="preserve"> Libraries, </w:t>
      </w:r>
      <w:r w:rsidRPr="00C7318B">
        <w:rPr>
          <w:i/>
          <w:lang w:val="en-US"/>
        </w:rPr>
        <w:t>Print Collection 12: The Trench Newspapers</w:t>
      </w:r>
      <w:r>
        <w:rPr>
          <w:lang w:val="en-US"/>
        </w:rPr>
        <w:t xml:space="preserve"> [online]. Available </w:t>
      </w:r>
      <w:hyperlink r:id="rId12" w:history="1">
        <w:r w:rsidRPr="00A5669F">
          <w:rPr>
            <w:rStyle w:val="Hyperlink"/>
            <w:lang w:val="en-US"/>
          </w:rPr>
          <w:t>http://www.library.upenn.edu/collections/rbm/print/printcoll12trenchpaper.html</w:t>
        </w:r>
      </w:hyperlink>
    </w:p>
    <w:p w:rsidR="008363C2" w:rsidRPr="008363C2" w:rsidRDefault="00A21A54" w:rsidP="00F63B46">
      <w:pPr>
        <w:spacing w:after="120" w:line="240" w:lineRule="auto"/>
        <w:jc w:val="center"/>
        <w:rPr>
          <w:szCs w:val="24"/>
        </w:rPr>
      </w:pPr>
      <w:r w:rsidRPr="00147F76">
        <w:rPr>
          <w:i/>
          <w:lang w:val="en-US"/>
        </w:rPr>
        <w:t>The Wipers Times</w:t>
      </w:r>
      <w:r>
        <w:rPr>
          <w:lang w:val="en-US"/>
        </w:rPr>
        <w:t>, ed. Christopher Westhorp, Bloomsbury edition (London: Bloomsbury Publishing, 2015)</w:t>
      </w:r>
    </w:p>
    <w:sectPr w:rsidR="008363C2" w:rsidRPr="008363C2">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F3E15" w:rsidRDefault="00FF3E15" w:rsidP="003873EA">
      <w:pPr>
        <w:spacing w:after="0" w:line="240" w:lineRule="auto"/>
      </w:pPr>
      <w:r>
        <w:separator/>
      </w:r>
    </w:p>
  </w:endnote>
  <w:endnote w:type="continuationSeparator" w:id="0">
    <w:p w:rsidR="00FF3E15" w:rsidRDefault="00FF3E15" w:rsidP="003873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F3E15" w:rsidRDefault="00FF3E15" w:rsidP="003873EA">
      <w:pPr>
        <w:spacing w:after="0" w:line="240" w:lineRule="auto"/>
      </w:pPr>
      <w:r>
        <w:separator/>
      </w:r>
    </w:p>
  </w:footnote>
  <w:footnote w:type="continuationSeparator" w:id="0">
    <w:p w:rsidR="00FF3E15" w:rsidRDefault="00FF3E15" w:rsidP="003873EA">
      <w:pPr>
        <w:spacing w:after="0" w:line="240" w:lineRule="auto"/>
      </w:pPr>
      <w:r>
        <w:continuationSeparator/>
      </w:r>
    </w:p>
  </w:footnote>
  <w:footnote w:id="1">
    <w:p w:rsidR="006347C9" w:rsidRDefault="006347C9">
      <w:pPr>
        <w:pStyle w:val="FootnoteText"/>
      </w:pPr>
      <w:r>
        <w:rPr>
          <w:rStyle w:val="FootnoteReference"/>
        </w:rPr>
        <w:footnoteRef/>
      </w:r>
      <w:r>
        <w:t xml:space="preserve"> </w:t>
      </w:r>
      <w:r w:rsidR="00E916CB">
        <w:t xml:space="preserve">Lloyd George, David, </w:t>
      </w:r>
      <w:r w:rsidR="00E916CB">
        <w:rPr>
          <w:i/>
        </w:rPr>
        <w:t>War Memoirs of David Lloyd George</w:t>
      </w:r>
      <w:r w:rsidR="000A0773">
        <w:rPr>
          <w:i/>
        </w:rPr>
        <w:t>,</w:t>
      </w:r>
      <w:r w:rsidR="00E916CB">
        <w:rPr>
          <w:i/>
        </w:rPr>
        <w:t xml:space="preserve"> Volume 1</w:t>
      </w:r>
      <w:r w:rsidR="00217671">
        <w:t>, new edn</w:t>
      </w:r>
      <w:r w:rsidR="00E916CB">
        <w:rPr>
          <w:i/>
        </w:rPr>
        <w:t xml:space="preserve"> </w:t>
      </w:r>
      <w:r w:rsidR="00E916CB">
        <w:t>(London: Odhams Press Limited,</w:t>
      </w:r>
      <w:r w:rsidR="000A0773">
        <w:t xml:space="preserve"> 1938)</w:t>
      </w:r>
      <w:r w:rsidR="00E916CB">
        <w:t>, pg. 32.</w:t>
      </w:r>
    </w:p>
  </w:footnote>
  <w:footnote w:id="2">
    <w:p w:rsidR="006347C9" w:rsidRDefault="006347C9">
      <w:pPr>
        <w:pStyle w:val="FootnoteText"/>
      </w:pPr>
      <w:r>
        <w:rPr>
          <w:rStyle w:val="FootnoteReference"/>
        </w:rPr>
        <w:footnoteRef/>
      </w:r>
      <w:r w:rsidR="00903443">
        <w:t xml:space="preserve"> Hastings, Sir Max,</w:t>
      </w:r>
      <w:r>
        <w:t xml:space="preserve"> Catastrophe</w:t>
      </w:r>
      <w:r w:rsidR="00903443">
        <w:t xml:space="preserve">: Europe Goes to War 1914, </w:t>
      </w:r>
      <w:r w:rsidR="00082CE4">
        <w:t>(London: William Collins, 2014),</w:t>
      </w:r>
      <w:r>
        <w:t xml:space="preserve"> </w:t>
      </w:r>
      <w:r w:rsidR="00082CE4">
        <w:t xml:space="preserve">pg. </w:t>
      </w:r>
      <w:r>
        <w:t>xxv</w:t>
      </w:r>
      <w:r w:rsidR="00082CE4">
        <w:t>.</w:t>
      </w:r>
    </w:p>
  </w:footnote>
  <w:footnote w:id="3">
    <w:p w:rsidR="0020495A" w:rsidRPr="00546638" w:rsidRDefault="0020495A">
      <w:pPr>
        <w:pStyle w:val="FootnoteText"/>
      </w:pPr>
      <w:r>
        <w:rPr>
          <w:rStyle w:val="FootnoteReference"/>
        </w:rPr>
        <w:footnoteRef/>
      </w:r>
      <w:r>
        <w:t xml:space="preserve"> </w:t>
      </w:r>
      <w:r w:rsidR="00546638">
        <w:rPr>
          <w:i/>
        </w:rPr>
        <w:t>The Necessary War</w:t>
      </w:r>
      <w:r w:rsidR="00546638">
        <w:t>, BBC2 (25</w:t>
      </w:r>
      <w:r w:rsidR="00546638" w:rsidRPr="00546638">
        <w:rPr>
          <w:vertAlign w:val="superscript"/>
        </w:rPr>
        <w:t>th</w:t>
      </w:r>
      <w:r w:rsidR="00546638">
        <w:t xml:space="preserve"> February 2014), 2100-2200.</w:t>
      </w:r>
    </w:p>
  </w:footnote>
  <w:footnote w:id="4">
    <w:p w:rsidR="00605CE2" w:rsidRPr="00605CE2" w:rsidRDefault="00605CE2">
      <w:pPr>
        <w:pStyle w:val="FootnoteText"/>
      </w:pPr>
      <w:r>
        <w:rPr>
          <w:rStyle w:val="FootnoteReference"/>
        </w:rPr>
        <w:footnoteRef/>
      </w:r>
      <w:r>
        <w:t xml:space="preserve"> Hastings, </w:t>
      </w:r>
      <w:r>
        <w:rPr>
          <w:i/>
        </w:rPr>
        <w:t>Catastrophe</w:t>
      </w:r>
      <w:r w:rsidR="00002EDE">
        <w:t xml:space="preserve">, 8, </w:t>
      </w:r>
      <w:r w:rsidR="00294A30">
        <w:t>247.</w:t>
      </w:r>
    </w:p>
  </w:footnote>
  <w:footnote w:id="5">
    <w:p w:rsidR="00A02AE4" w:rsidRDefault="00A02AE4">
      <w:pPr>
        <w:pStyle w:val="FootnoteText"/>
      </w:pPr>
      <w:r>
        <w:rPr>
          <w:rStyle w:val="FootnoteReference"/>
        </w:rPr>
        <w:footnoteRef/>
      </w:r>
      <w:r>
        <w:t xml:space="preserve"> Ibid, xxvi</w:t>
      </w:r>
      <w:r w:rsidR="0073544A">
        <w:t>.</w:t>
      </w:r>
    </w:p>
  </w:footnote>
  <w:footnote w:id="6">
    <w:p w:rsidR="008F19B6" w:rsidRPr="002726F4" w:rsidRDefault="008F19B6">
      <w:pPr>
        <w:pStyle w:val="FootnoteText"/>
      </w:pPr>
      <w:r>
        <w:rPr>
          <w:rStyle w:val="FootnoteReference"/>
        </w:rPr>
        <w:footnoteRef/>
      </w:r>
      <w:r>
        <w:t xml:space="preserve"> </w:t>
      </w:r>
      <w:r w:rsidR="002726F4">
        <w:t xml:space="preserve">Aldous, Richard, ‘How Did It All Happen?’, </w:t>
      </w:r>
      <w:r w:rsidR="002726F4">
        <w:rPr>
          <w:i/>
        </w:rPr>
        <w:t>The New York Times</w:t>
      </w:r>
      <w:r w:rsidR="002726F4">
        <w:t>, 25</w:t>
      </w:r>
      <w:r w:rsidR="002726F4" w:rsidRPr="002726F4">
        <w:rPr>
          <w:vertAlign w:val="superscript"/>
        </w:rPr>
        <w:t>th</w:t>
      </w:r>
      <w:r w:rsidR="00421EDA">
        <w:t xml:space="preserve"> October 2013</w:t>
      </w:r>
      <w:r w:rsidR="002726F4">
        <w:t xml:space="preserve"> [online]. Available at </w:t>
      </w:r>
      <w:hyperlink r:id="rId1" w:history="1">
        <w:r w:rsidR="002726F4" w:rsidRPr="00C033F8">
          <w:rPr>
            <w:rStyle w:val="Hyperlink"/>
          </w:rPr>
          <w:t>http://www.nytimes.com/2013/10/27/books/review/the-war-that-ended-peace-by-margaret-macmillan.html</w:t>
        </w:r>
      </w:hyperlink>
      <w:r w:rsidR="002726F4">
        <w:t xml:space="preserve"> [Accessed 2nd November 2017].</w:t>
      </w:r>
    </w:p>
  </w:footnote>
  <w:footnote w:id="7">
    <w:p w:rsidR="00F93E7F" w:rsidRPr="004B205B" w:rsidRDefault="00F93E7F">
      <w:pPr>
        <w:pStyle w:val="FootnoteText"/>
      </w:pPr>
      <w:r>
        <w:rPr>
          <w:rStyle w:val="FootnoteReference"/>
        </w:rPr>
        <w:footnoteRef/>
      </w:r>
      <w:r>
        <w:t xml:space="preserve"> Clark, Christopher, </w:t>
      </w:r>
      <w:r>
        <w:rPr>
          <w:i/>
        </w:rPr>
        <w:t>Sleepwalkers: How Europe Went to War in 1914</w:t>
      </w:r>
      <w:r w:rsidR="004B205B">
        <w:t xml:space="preserve"> (London: Penguin UK, 2012), pg. xxiv.</w:t>
      </w:r>
    </w:p>
  </w:footnote>
  <w:footnote w:id="8">
    <w:p w:rsidR="00F0519A" w:rsidRPr="00F0519A" w:rsidRDefault="00F0519A">
      <w:pPr>
        <w:pStyle w:val="FootnoteText"/>
      </w:pPr>
      <w:r>
        <w:rPr>
          <w:rStyle w:val="FootnoteReference"/>
        </w:rPr>
        <w:footnoteRef/>
      </w:r>
      <w:r>
        <w:t xml:space="preserve"> Hastings, </w:t>
      </w:r>
      <w:r>
        <w:rPr>
          <w:i/>
        </w:rPr>
        <w:t>Catastrophe</w:t>
      </w:r>
      <w:r>
        <w:t>, xxv.</w:t>
      </w:r>
    </w:p>
  </w:footnote>
  <w:footnote w:id="9">
    <w:p w:rsidR="003E0D4F" w:rsidRPr="003E0D4F" w:rsidRDefault="003E0D4F">
      <w:pPr>
        <w:pStyle w:val="FootnoteText"/>
        <w:rPr>
          <w:lang w:val="en-US"/>
        </w:rPr>
      </w:pPr>
      <w:r>
        <w:rPr>
          <w:rStyle w:val="FootnoteReference"/>
        </w:rPr>
        <w:footnoteRef/>
      </w:r>
      <w:r>
        <w:t xml:space="preserve"> </w:t>
      </w:r>
      <w:r>
        <w:rPr>
          <w:lang w:val="en-US"/>
        </w:rPr>
        <w:t>Ibid, xxxi.</w:t>
      </w:r>
    </w:p>
  </w:footnote>
  <w:footnote w:id="10">
    <w:p w:rsidR="00F06623" w:rsidRPr="00421EDA" w:rsidRDefault="00F06623">
      <w:pPr>
        <w:pStyle w:val="FootnoteText"/>
        <w:rPr>
          <w:lang w:val="en-US"/>
        </w:rPr>
      </w:pPr>
      <w:r>
        <w:rPr>
          <w:rStyle w:val="FootnoteReference"/>
        </w:rPr>
        <w:footnoteRef/>
      </w:r>
      <w:r>
        <w:t xml:space="preserve"> </w:t>
      </w:r>
      <w:r>
        <w:rPr>
          <w:lang w:val="en-US"/>
        </w:rPr>
        <w:t>Jones, Nigel, “Catastrophe by Max Hastings, review”</w:t>
      </w:r>
      <w:r w:rsidR="00421EDA">
        <w:rPr>
          <w:lang w:val="en-US"/>
        </w:rPr>
        <w:t xml:space="preserve">, </w:t>
      </w:r>
      <w:r w:rsidR="00421EDA">
        <w:rPr>
          <w:i/>
          <w:lang w:val="en-US"/>
        </w:rPr>
        <w:t>The Telegraph</w:t>
      </w:r>
      <w:r w:rsidR="00421EDA">
        <w:rPr>
          <w:lang w:val="en-US"/>
        </w:rPr>
        <w:t>, 17</w:t>
      </w:r>
      <w:r w:rsidR="00421EDA" w:rsidRPr="00421EDA">
        <w:rPr>
          <w:vertAlign w:val="superscript"/>
          <w:lang w:val="en-US"/>
        </w:rPr>
        <w:t>th</w:t>
      </w:r>
      <w:r w:rsidR="00421EDA">
        <w:rPr>
          <w:lang w:val="en-US"/>
        </w:rPr>
        <w:t xml:space="preserve"> October 2013 [online]. Available at </w:t>
      </w:r>
      <w:hyperlink r:id="rId2" w:history="1">
        <w:r w:rsidR="00421EDA" w:rsidRPr="007656F1">
          <w:rPr>
            <w:rStyle w:val="Hyperlink"/>
            <w:lang w:val="en-US"/>
          </w:rPr>
          <w:t>http://www.telegraph.co.uk/culture/books/historybookreviews/10382547/Catastrophe-by-Max-Hastings-review.html</w:t>
        </w:r>
      </w:hyperlink>
      <w:r w:rsidR="00421EDA">
        <w:rPr>
          <w:lang w:val="en-US"/>
        </w:rPr>
        <w:t xml:space="preserve"> [Accessed 6th November 2017].</w:t>
      </w:r>
    </w:p>
  </w:footnote>
  <w:footnote w:id="11">
    <w:p w:rsidR="00AA29F2" w:rsidRPr="00AA29F2" w:rsidRDefault="00AA29F2">
      <w:pPr>
        <w:pStyle w:val="FootnoteText"/>
        <w:rPr>
          <w:lang w:val="en-US"/>
        </w:rPr>
      </w:pPr>
      <w:r>
        <w:rPr>
          <w:rStyle w:val="FootnoteReference"/>
        </w:rPr>
        <w:footnoteRef/>
      </w:r>
      <w:r>
        <w:t xml:space="preserve"> </w:t>
      </w:r>
      <w:r w:rsidR="00365B9E">
        <w:t xml:space="preserve">Ferguson, Niall, </w:t>
      </w:r>
      <w:r w:rsidR="00365B9E">
        <w:rPr>
          <w:i/>
        </w:rPr>
        <w:t>The Pity of War</w:t>
      </w:r>
      <w:r w:rsidR="00365B9E">
        <w:t>, second edn (London: Penguin Books, 1999), pp. 149.</w:t>
      </w:r>
    </w:p>
  </w:footnote>
  <w:footnote w:id="12">
    <w:p w:rsidR="000A40A7" w:rsidRPr="00B80AEC" w:rsidRDefault="000A40A7">
      <w:pPr>
        <w:pStyle w:val="FootnoteText"/>
        <w:rPr>
          <w:lang w:val="en-US"/>
        </w:rPr>
      </w:pPr>
      <w:r>
        <w:rPr>
          <w:rStyle w:val="FootnoteReference"/>
        </w:rPr>
        <w:footnoteRef/>
      </w:r>
      <w:r>
        <w:t xml:space="preserve"> </w:t>
      </w:r>
      <w:r>
        <w:rPr>
          <w:lang w:val="en-US"/>
        </w:rPr>
        <w:t xml:space="preserve">Mason, Emma, </w:t>
      </w:r>
      <w:r w:rsidR="00B80AEC">
        <w:rPr>
          <w:lang w:val="en-US"/>
        </w:rPr>
        <w:t xml:space="preserve">“”Britain should have stayed out of the First World War”, says Niall Ferguson”, </w:t>
      </w:r>
      <w:r w:rsidR="00B80AEC">
        <w:rPr>
          <w:i/>
          <w:lang w:val="en-US"/>
        </w:rPr>
        <w:t>History Extra</w:t>
      </w:r>
      <w:r w:rsidR="00B80AEC">
        <w:rPr>
          <w:lang w:val="en-US"/>
        </w:rPr>
        <w:t>, 31</w:t>
      </w:r>
      <w:r w:rsidR="00B80AEC" w:rsidRPr="00B80AEC">
        <w:rPr>
          <w:vertAlign w:val="superscript"/>
          <w:lang w:val="en-US"/>
        </w:rPr>
        <w:t>st</w:t>
      </w:r>
      <w:r w:rsidR="00B80AEC">
        <w:rPr>
          <w:lang w:val="en-US"/>
        </w:rPr>
        <w:t xml:space="preserve"> July 2014 [online]. Available </w:t>
      </w:r>
      <w:hyperlink r:id="rId3" w:history="1">
        <w:r w:rsidR="005432D1" w:rsidRPr="007656F1">
          <w:rPr>
            <w:rStyle w:val="Hyperlink"/>
            <w:lang w:val="en-US"/>
          </w:rPr>
          <w:t>http://www.historyextra.com/feature/first-world-war/%E2%80%9Cbritain-should-have-stayed-out-first-world-war%E2%80%9D-says-niall-ferguson</w:t>
        </w:r>
      </w:hyperlink>
      <w:r w:rsidR="005432D1">
        <w:rPr>
          <w:lang w:val="en-US"/>
        </w:rPr>
        <w:t xml:space="preserve"> [Accessed 7</w:t>
      </w:r>
      <w:r w:rsidR="005432D1" w:rsidRPr="005432D1">
        <w:rPr>
          <w:vertAlign w:val="superscript"/>
          <w:lang w:val="en-US"/>
        </w:rPr>
        <w:t>th</w:t>
      </w:r>
      <w:r w:rsidR="005432D1">
        <w:rPr>
          <w:lang w:val="en-US"/>
        </w:rPr>
        <w:t xml:space="preserve"> November 2017].</w:t>
      </w:r>
    </w:p>
  </w:footnote>
  <w:footnote w:id="13">
    <w:p w:rsidR="000056C0" w:rsidRPr="00BD581D" w:rsidRDefault="000056C0">
      <w:pPr>
        <w:pStyle w:val="FootnoteText"/>
        <w:rPr>
          <w:lang w:val="en-US"/>
        </w:rPr>
      </w:pPr>
      <w:r>
        <w:rPr>
          <w:rStyle w:val="FootnoteReference"/>
        </w:rPr>
        <w:footnoteRef/>
      </w:r>
      <w:r>
        <w:t xml:space="preserve"> </w:t>
      </w:r>
      <w:r w:rsidR="00BD581D">
        <w:t xml:space="preserve">Hastings, </w:t>
      </w:r>
      <w:r w:rsidR="00BD581D" w:rsidRPr="00BD581D">
        <w:rPr>
          <w:i/>
          <w:lang w:val="en-US"/>
        </w:rPr>
        <w:t>Catastrophe</w:t>
      </w:r>
      <w:r w:rsidR="00BD581D">
        <w:rPr>
          <w:lang w:val="en-US"/>
        </w:rPr>
        <w:t>, 90-1.</w:t>
      </w:r>
    </w:p>
  </w:footnote>
  <w:footnote w:id="14">
    <w:p w:rsidR="00AB4527" w:rsidRPr="003302F6" w:rsidRDefault="00AB4527">
      <w:pPr>
        <w:pStyle w:val="FootnoteText"/>
        <w:rPr>
          <w:lang w:val="en-US"/>
        </w:rPr>
      </w:pPr>
      <w:r>
        <w:rPr>
          <w:rStyle w:val="FootnoteReference"/>
        </w:rPr>
        <w:footnoteRef/>
      </w:r>
      <w:r>
        <w:t xml:space="preserve"> </w:t>
      </w:r>
      <w:r w:rsidR="003302F6">
        <w:rPr>
          <w:i/>
        </w:rPr>
        <w:t>In Flanders Fields and Other Poems of the First World War</w:t>
      </w:r>
      <w:r w:rsidR="003302F6">
        <w:t>, ed. Brian Busby, second edn (London: Arcturus, 2009), pg. 17, 176.</w:t>
      </w:r>
    </w:p>
  </w:footnote>
  <w:footnote w:id="15">
    <w:p w:rsidR="009D4755" w:rsidRPr="009D4755" w:rsidRDefault="009D4755">
      <w:pPr>
        <w:pStyle w:val="FootnoteText"/>
        <w:rPr>
          <w:lang w:val="en-US"/>
        </w:rPr>
      </w:pPr>
      <w:r>
        <w:rPr>
          <w:rStyle w:val="FootnoteReference"/>
        </w:rPr>
        <w:footnoteRef/>
      </w:r>
      <w:r>
        <w:t xml:space="preserve"> </w:t>
      </w:r>
      <w:r>
        <w:rPr>
          <w:lang w:val="en-US"/>
        </w:rPr>
        <w:t xml:space="preserve">Hastings, </w:t>
      </w:r>
      <w:r>
        <w:rPr>
          <w:i/>
          <w:lang w:val="en-US"/>
        </w:rPr>
        <w:t>Catastrophe</w:t>
      </w:r>
      <w:r>
        <w:rPr>
          <w:lang w:val="en-US"/>
        </w:rPr>
        <w:t>, 210.</w:t>
      </w:r>
    </w:p>
  </w:footnote>
  <w:footnote w:id="16">
    <w:p w:rsidR="003042D9" w:rsidRPr="003042D9" w:rsidRDefault="003042D9">
      <w:pPr>
        <w:pStyle w:val="FootnoteText"/>
        <w:rPr>
          <w:lang w:val="en-US"/>
        </w:rPr>
      </w:pPr>
      <w:r>
        <w:rPr>
          <w:rStyle w:val="FootnoteReference"/>
        </w:rPr>
        <w:footnoteRef/>
      </w:r>
      <w:r>
        <w:t xml:space="preserve"> </w:t>
      </w:r>
      <w:r w:rsidR="00735C7B">
        <w:rPr>
          <w:lang w:val="en-US"/>
        </w:rPr>
        <w:t xml:space="preserve">Ibid., </w:t>
      </w:r>
      <w:r w:rsidR="00BF1035">
        <w:rPr>
          <w:lang w:val="en-US"/>
        </w:rPr>
        <w:t>560.</w:t>
      </w:r>
    </w:p>
  </w:footnote>
  <w:footnote w:id="17">
    <w:p w:rsidR="002E16A5" w:rsidRPr="002E16A5" w:rsidRDefault="002E16A5">
      <w:pPr>
        <w:pStyle w:val="FootnoteText"/>
        <w:rPr>
          <w:lang w:val="en-US"/>
        </w:rPr>
      </w:pPr>
      <w:r>
        <w:rPr>
          <w:rStyle w:val="FootnoteReference"/>
        </w:rPr>
        <w:footnoteRef/>
      </w:r>
      <w:r>
        <w:t xml:space="preserve"> </w:t>
      </w:r>
      <w:r>
        <w:rPr>
          <w:lang w:val="en-US"/>
        </w:rPr>
        <w:t>Ibid., xxv.</w:t>
      </w:r>
    </w:p>
  </w:footnote>
  <w:footnote w:id="18">
    <w:p w:rsidR="00EB5681" w:rsidRPr="00EB5681" w:rsidRDefault="00EB5681">
      <w:pPr>
        <w:pStyle w:val="FootnoteText"/>
        <w:rPr>
          <w:lang w:val="en-US"/>
        </w:rPr>
      </w:pPr>
      <w:r>
        <w:rPr>
          <w:rStyle w:val="FootnoteReference"/>
        </w:rPr>
        <w:footnoteRef/>
      </w:r>
      <w:r>
        <w:t xml:space="preserve"> </w:t>
      </w:r>
      <w:r w:rsidR="00C5431F">
        <w:t>Ibid., 497.</w:t>
      </w:r>
    </w:p>
  </w:footnote>
  <w:footnote w:id="19">
    <w:p w:rsidR="00A21A54" w:rsidRPr="00FF4C1F" w:rsidRDefault="00A21A54" w:rsidP="00A21A54">
      <w:pPr>
        <w:pStyle w:val="FootnoteText"/>
        <w:rPr>
          <w:lang w:val="en-US"/>
        </w:rPr>
      </w:pPr>
      <w:r>
        <w:rPr>
          <w:rStyle w:val="FootnoteReference"/>
        </w:rPr>
        <w:footnoteRef/>
      </w:r>
      <w:r>
        <w:t xml:space="preserve"> </w:t>
      </w:r>
      <w:r w:rsidRPr="00147F76">
        <w:rPr>
          <w:i/>
          <w:lang w:val="en-US"/>
        </w:rPr>
        <w:t>The Wipers Times</w:t>
      </w:r>
      <w:r>
        <w:rPr>
          <w:lang w:val="en-US"/>
        </w:rPr>
        <w:t>, ed. Christopher Westhorp, Bloomsbury edition (London: Bloomsbury Publishing, 2015), pg. 3.</w:t>
      </w:r>
    </w:p>
  </w:footnote>
  <w:footnote w:id="20">
    <w:p w:rsidR="00A21A54" w:rsidRPr="00252FC0" w:rsidRDefault="00A21A54" w:rsidP="00A21A54">
      <w:pPr>
        <w:pStyle w:val="FootnoteText"/>
        <w:rPr>
          <w:lang w:val="en-US"/>
        </w:rPr>
      </w:pPr>
      <w:r>
        <w:rPr>
          <w:rStyle w:val="FootnoteReference"/>
        </w:rPr>
        <w:footnoteRef/>
      </w:r>
      <w:r>
        <w:t xml:space="preserve"> Ibid., v.</w:t>
      </w:r>
    </w:p>
  </w:footnote>
  <w:footnote w:id="21">
    <w:p w:rsidR="00A21A54" w:rsidRPr="0048369D" w:rsidRDefault="00A21A54" w:rsidP="00A21A54">
      <w:pPr>
        <w:pStyle w:val="FootnoteText"/>
        <w:rPr>
          <w:lang w:val="en-US"/>
        </w:rPr>
      </w:pPr>
      <w:r>
        <w:rPr>
          <w:rStyle w:val="FootnoteReference"/>
        </w:rPr>
        <w:footnoteRef/>
      </w:r>
      <w:r>
        <w:t xml:space="preserve"> </w:t>
      </w:r>
      <w:r>
        <w:rPr>
          <w:lang w:val="en-US"/>
        </w:rPr>
        <w:t xml:space="preserve">Sawer, Patrick, “First World War Centenary: historic Wipers Times newspaper recreated”, </w:t>
      </w:r>
      <w:r>
        <w:rPr>
          <w:i/>
          <w:lang w:val="en-US"/>
        </w:rPr>
        <w:t>The Telegraph</w:t>
      </w:r>
      <w:r>
        <w:rPr>
          <w:lang w:val="en-US"/>
        </w:rPr>
        <w:t>, 4</w:t>
      </w:r>
      <w:r w:rsidRPr="0048369D">
        <w:rPr>
          <w:vertAlign w:val="superscript"/>
          <w:lang w:val="en-US"/>
        </w:rPr>
        <w:t>th</w:t>
      </w:r>
      <w:r>
        <w:rPr>
          <w:lang w:val="en-US"/>
        </w:rPr>
        <w:t xml:space="preserve"> August 2014 [online]. Available </w:t>
      </w:r>
      <w:hyperlink r:id="rId4" w:history="1">
        <w:r w:rsidRPr="00A5669F">
          <w:rPr>
            <w:rStyle w:val="Hyperlink"/>
            <w:lang w:val="en-US"/>
          </w:rPr>
          <w:t>http://www.telegraph.co.uk/history/world-war-one/11010026/First-World-War-centenary-historic-Wipers-Times-newspaper-recreated.html</w:t>
        </w:r>
      </w:hyperlink>
      <w:r>
        <w:rPr>
          <w:lang w:val="en-US"/>
        </w:rPr>
        <w:t xml:space="preserve"> [Accessed 9th November 2017].</w:t>
      </w:r>
    </w:p>
  </w:footnote>
  <w:footnote w:id="22">
    <w:p w:rsidR="00A21A54" w:rsidRPr="00147F76" w:rsidRDefault="00A21A54" w:rsidP="00A21A54">
      <w:pPr>
        <w:pStyle w:val="FootnoteText"/>
        <w:rPr>
          <w:lang w:val="en-US"/>
        </w:rPr>
      </w:pPr>
      <w:r>
        <w:rPr>
          <w:rStyle w:val="FootnoteReference"/>
        </w:rPr>
        <w:footnoteRef/>
      </w:r>
      <w:r>
        <w:t xml:space="preserve"> </w:t>
      </w:r>
      <w:r w:rsidRPr="00147F76">
        <w:rPr>
          <w:i/>
          <w:lang w:val="en-US"/>
        </w:rPr>
        <w:t>The Wipers Times</w:t>
      </w:r>
      <w:r>
        <w:rPr>
          <w:lang w:val="en-US"/>
        </w:rPr>
        <w:t>, ed. Westhorp, pg. 18.</w:t>
      </w:r>
    </w:p>
  </w:footnote>
  <w:footnote w:id="23">
    <w:p w:rsidR="00A21A54" w:rsidRPr="00E70E83" w:rsidRDefault="00A21A54" w:rsidP="00A21A54">
      <w:pPr>
        <w:pStyle w:val="FootnoteText"/>
        <w:rPr>
          <w:lang w:val="en-US"/>
        </w:rPr>
      </w:pPr>
      <w:r>
        <w:rPr>
          <w:rStyle w:val="FootnoteReference"/>
        </w:rPr>
        <w:footnoteRef/>
      </w:r>
      <w:r>
        <w:t xml:space="preserve"> </w:t>
      </w:r>
      <w:r>
        <w:rPr>
          <w:lang w:val="en-US"/>
        </w:rPr>
        <w:t xml:space="preserve">Roberts, Fred, “Introduction” in </w:t>
      </w:r>
      <w:r>
        <w:rPr>
          <w:i/>
          <w:lang w:val="en-US"/>
        </w:rPr>
        <w:t>The Wipers Times</w:t>
      </w:r>
      <w:r>
        <w:rPr>
          <w:lang w:val="en-US"/>
        </w:rPr>
        <w:t>, ed. Herbert Jenkins (London: Herbert Jenkins Limited, 1918), pg. vi.</w:t>
      </w:r>
    </w:p>
  </w:footnote>
  <w:footnote w:id="24">
    <w:p w:rsidR="00A21A54" w:rsidRPr="00CD2AFB" w:rsidRDefault="00A21A54" w:rsidP="00A21A54">
      <w:pPr>
        <w:pStyle w:val="FootnoteText"/>
        <w:rPr>
          <w:lang w:val="en-US"/>
        </w:rPr>
      </w:pPr>
      <w:r>
        <w:rPr>
          <w:rStyle w:val="FootnoteReference"/>
        </w:rPr>
        <w:footnoteRef/>
      </w:r>
      <w:r>
        <w:t xml:space="preserve"> </w:t>
      </w:r>
      <w:r>
        <w:rPr>
          <w:lang w:val="en-US"/>
        </w:rPr>
        <w:t>HMSO, “Third Supplement to the London Gazette of Friday, the 29</w:t>
      </w:r>
      <w:r w:rsidRPr="00C7202B">
        <w:rPr>
          <w:vertAlign w:val="superscript"/>
          <w:lang w:val="en-US"/>
        </w:rPr>
        <w:t>th</w:t>
      </w:r>
      <w:r>
        <w:rPr>
          <w:lang w:val="en-US"/>
        </w:rPr>
        <w:t xml:space="preserve"> of December, 1916”, </w:t>
      </w:r>
      <w:r>
        <w:rPr>
          <w:i/>
          <w:lang w:val="en-US"/>
        </w:rPr>
        <w:t xml:space="preserve">The London Gazette, </w:t>
      </w:r>
      <w:r>
        <w:rPr>
          <w:lang w:val="en-US"/>
        </w:rPr>
        <w:t>1</w:t>
      </w:r>
      <w:r w:rsidRPr="00CD2AFB">
        <w:rPr>
          <w:vertAlign w:val="superscript"/>
          <w:lang w:val="en-US"/>
        </w:rPr>
        <w:t>st</w:t>
      </w:r>
      <w:r>
        <w:rPr>
          <w:lang w:val="en-US"/>
        </w:rPr>
        <w:t xml:space="preserve"> January 1917, pg. 40; HMSO, “Third Supplement to the London Gazette of Friday, 13</w:t>
      </w:r>
      <w:r w:rsidRPr="007260F8">
        <w:rPr>
          <w:vertAlign w:val="superscript"/>
          <w:lang w:val="en-US"/>
        </w:rPr>
        <w:t>th</w:t>
      </w:r>
      <w:r>
        <w:rPr>
          <w:lang w:val="en-US"/>
        </w:rPr>
        <w:t xml:space="preserve"> of September 1918”, </w:t>
      </w:r>
      <w:r>
        <w:rPr>
          <w:i/>
          <w:lang w:val="en-US"/>
        </w:rPr>
        <w:t>The London Gazette</w:t>
      </w:r>
      <w:r>
        <w:rPr>
          <w:lang w:val="en-US"/>
        </w:rPr>
        <w:t>, 16</w:t>
      </w:r>
      <w:r w:rsidRPr="0025123E">
        <w:rPr>
          <w:vertAlign w:val="superscript"/>
          <w:lang w:val="en-US"/>
        </w:rPr>
        <w:t>th</w:t>
      </w:r>
      <w:r>
        <w:rPr>
          <w:lang w:val="en-US"/>
        </w:rPr>
        <w:t xml:space="preserve"> September 1918, pg. 10871. </w:t>
      </w:r>
    </w:p>
  </w:footnote>
  <w:footnote w:id="25">
    <w:p w:rsidR="00A21A54" w:rsidRPr="000F11E3" w:rsidRDefault="00A21A54" w:rsidP="00A21A54">
      <w:pPr>
        <w:pStyle w:val="FootnoteText"/>
        <w:rPr>
          <w:lang w:val="en-US"/>
        </w:rPr>
      </w:pPr>
      <w:r>
        <w:rPr>
          <w:rStyle w:val="FootnoteReference"/>
        </w:rPr>
        <w:footnoteRef/>
      </w:r>
      <w:r>
        <w:t xml:space="preserve"> </w:t>
      </w:r>
      <w:r>
        <w:rPr>
          <w:i/>
        </w:rPr>
        <w:t>The Wipers Times</w:t>
      </w:r>
      <w:r>
        <w:t>, ed. Westhorp</w:t>
      </w:r>
      <w:r>
        <w:rPr>
          <w:lang w:val="en-US"/>
        </w:rPr>
        <w:t>, 127.</w:t>
      </w:r>
    </w:p>
  </w:footnote>
  <w:footnote w:id="26">
    <w:p w:rsidR="00A21A54" w:rsidRPr="00C106CF" w:rsidRDefault="00A21A54" w:rsidP="00A21A54">
      <w:pPr>
        <w:pStyle w:val="FootnoteText"/>
        <w:rPr>
          <w:lang w:val="en-US"/>
        </w:rPr>
      </w:pPr>
      <w:r>
        <w:rPr>
          <w:rStyle w:val="FootnoteReference"/>
        </w:rPr>
        <w:footnoteRef/>
      </w:r>
      <w:r>
        <w:t xml:space="preserve"> </w:t>
      </w:r>
      <w:r>
        <w:rPr>
          <w:lang w:val="en-US"/>
        </w:rPr>
        <w:t xml:space="preserve">Appelbaum, Stanley and Kelly, Richard, </w:t>
      </w:r>
      <w:r>
        <w:rPr>
          <w:i/>
          <w:lang w:val="en-US"/>
        </w:rPr>
        <w:t>Great Drawings and Illustrations from Punch, 1841-1901</w:t>
      </w:r>
      <w:r>
        <w:rPr>
          <w:lang w:val="en-US"/>
        </w:rPr>
        <w:t xml:space="preserve"> (New York: Dover Publications, 1981), pg. 15.</w:t>
      </w:r>
    </w:p>
  </w:footnote>
  <w:footnote w:id="27">
    <w:p w:rsidR="00A21A54" w:rsidRPr="00A17FF9" w:rsidRDefault="00A21A54" w:rsidP="00A21A54">
      <w:pPr>
        <w:pStyle w:val="FootnoteText"/>
        <w:rPr>
          <w:lang w:val="en-US"/>
        </w:rPr>
      </w:pPr>
      <w:r>
        <w:rPr>
          <w:rStyle w:val="FootnoteReference"/>
        </w:rPr>
        <w:footnoteRef/>
      </w:r>
      <w:r>
        <w:t xml:space="preserve"> </w:t>
      </w:r>
      <w:r>
        <w:rPr>
          <w:i/>
          <w:lang w:val="en-US"/>
        </w:rPr>
        <w:t>The Dead Horse Corner Gazette, No. 1</w:t>
      </w:r>
      <w:r>
        <w:rPr>
          <w:lang w:val="en-US"/>
        </w:rPr>
        <w:t xml:space="preserve">, ed. R.W. Trowsdale, </w:t>
      </w:r>
      <w:r>
        <w:rPr>
          <w:i/>
          <w:lang w:val="en-US"/>
        </w:rPr>
        <w:t>The Dead Horse Corner Gazette</w:t>
      </w:r>
      <w:r>
        <w:rPr>
          <w:lang w:val="en-US"/>
        </w:rPr>
        <w:t xml:space="preserve">, October 1915 [online]. Available </w:t>
      </w:r>
      <w:hyperlink r:id="rId5" w:history="1">
        <w:r w:rsidRPr="00A5669F">
          <w:rPr>
            <w:rStyle w:val="Hyperlink"/>
            <w:lang w:val="en-US"/>
          </w:rPr>
          <w:t>http://www.warmuseum.ca/firstworldwar/objects-and-photos/archival-documents/military-documents/the-dead-horse-corner-gazette/</w:t>
        </w:r>
      </w:hyperlink>
      <w:r>
        <w:rPr>
          <w:lang w:val="en-US"/>
        </w:rPr>
        <w:t xml:space="preserve"> [Accessed 9</w:t>
      </w:r>
      <w:r w:rsidRPr="00A17FF9">
        <w:rPr>
          <w:vertAlign w:val="superscript"/>
          <w:lang w:val="en-US"/>
        </w:rPr>
        <w:t>th</w:t>
      </w:r>
      <w:r>
        <w:rPr>
          <w:lang w:val="en-US"/>
        </w:rPr>
        <w:t xml:space="preserve"> November 2017].</w:t>
      </w:r>
    </w:p>
  </w:footnote>
  <w:footnote w:id="28">
    <w:p w:rsidR="00A21A54" w:rsidRPr="00C7318B" w:rsidRDefault="00A21A54" w:rsidP="00A21A54">
      <w:pPr>
        <w:pStyle w:val="FootnoteText"/>
        <w:rPr>
          <w:lang w:val="en-US"/>
        </w:rPr>
      </w:pPr>
      <w:r>
        <w:rPr>
          <w:rStyle w:val="FootnoteReference"/>
        </w:rPr>
        <w:footnoteRef/>
      </w:r>
      <w:r>
        <w:t xml:space="preserve"> University of Pennsylvania</w:t>
      </w:r>
      <w:r>
        <w:rPr>
          <w:lang w:val="en-US"/>
        </w:rPr>
        <w:t xml:space="preserve"> Libraries, </w:t>
      </w:r>
      <w:r w:rsidRPr="00C7318B">
        <w:rPr>
          <w:i/>
          <w:lang w:val="en-US"/>
        </w:rPr>
        <w:t>Print Collection 12: The Trench Newspapers</w:t>
      </w:r>
      <w:r>
        <w:rPr>
          <w:lang w:val="en-US"/>
        </w:rPr>
        <w:t xml:space="preserve"> [online]. Available </w:t>
      </w:r>
      <w:hyperlink r:id="rId6" w:history="1">
        <w:r w:rsidRPr="00A5669F">
          <w:rPr>
            <w:rStyle w:val="Hyperlink"/>
            <w:lang w:val="en-US"/>
          </w:rPr>
          <w:t>http://www.library.upenn.edu/collections/rbm/print/printcoll12trenchpaper.html</w:t>
        </w:r>
      </w:hyperlink>
      <w:r>
        <w:rPr>
          <w:lang w:val="en-US"/>
        </w:rPr>
        <w:t xml:space="preserve">. </w:t>
      </w:r>
    </w:p>
  </w:footnote>
  <w:footnote w:id="29">
    <w:p w:rsidR="00A21A54" w:rsidRPr="002E71DB" w:rsidRDefault="00A21A54" w:rsidP="00A21A54">
      <w:pPr>
        <w:pStyle w:val="FootnoteText"/>
        <w:rPr>
          <w:lang w:val="en-US"/>
        </w:rPr>
      </w:pPr>
      <w:r>
        <w:rPr>
          <w:rStyle w:val="FootnoteReference"/>
        </w:rPr>
        <w:footnoteRef/>
      </w:r>
      <w:r>
        <w:t xml:space="preserve"> </w:t>
      </w:r>
      <w:r>
        <w:rPr>
          <w:i/>
        </w:rPr>
        <w:t>The Wipers Times</w:t>
      </w:r>
      <w:r>
        <w:t>, ed. Westhorp, 186, 9, 16, 108.</w:t>
      </w:r>
    </w:p>
  </w:footnote>
  <w:footnote w:id="30">
    <w:p w:rsidR="00A21A54" w:rsidRPr="003F7A89" w:rsidRDefault="00A21A54" w:rsidP="00A21A54">
      <w:pPr>
        <w:pStyle w:val="FootnoteText"/>
        <w:rPr>
          <w:lang w:val="en-US"/>
        </w:rPr>
      </w:pPr>
      <w:r>
        <w:rPr>
          <w:rStyle w:val="FootnoteReference"/>
        </w:rPr>
        <w:footnoteRef/>
      </w:r>
      <w:r>
        <w:t xml:space="preserve"> </w:t>
      </w:r>
      <w:r>
        <w:rPr>
          <w:lang w:val="en-US"/>
        </w:rPr>
        <w:t>Ibid., 44.</w:t>
      </w:r>
    </w:p>
  </w:footnote>
  <w:footnote w:id="31">
    <w:p w:rsidR="00A21A54" w:rsidRPr="00F63ADF" w:rsidRDefault="00A21A54" w:rsidP="00A21A54">
      <w:pPr>
        <w:pStyle w:val="FootnoteText"/>
        <w:rPr>
          <w:lang w:val="en-US"/>
        </w:rPr>
      </w:pPr>
      <w:r>
        <w:rPr>
          <w:rStyle w:val="FootnoteReference"/>
        </w:rPr>
        <w:footnoteRef/>
      </w:r>
      <w:r>
        <w:t xml:space="preserve"> </w:t>
      </w:r>
      <w:r>
        <w:rPr>
          <w:lang w:val="en-US"/>
        </w:rPr>
        <w:t>Ibid., 45.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1772" w:rsidRPr="006C1772" w:rsidRDefault="006C1772">
    <w:pPr>
      <w:pStyle w:val="Header"/>
      <w:rPr>
        <w:lang w:val="en-US"/>
      </w:rPr>
    </w:pPr>
    <w:r>
      <w:rPr>
        <w:lang w:val="en-US"/>
      </w:rPr>
      <w:t>1500043</w:t>
    </w:r>
    <w:r>
      <w:rPr>
        <w:lang w:val="en-US"/>
      </w:rPr>
      <w:tab/>
    </w:r>
    <w:r>
      <w:rPr>
        <w:lang w:val="en-US"/>
      </w:rPr>
      <w:tab/>
      <w:t>AHHI6007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6C01"/>
    <w:rsid w:val="00002EDE"/>
    <w:rsid w:val="000056C0"/>
    <w:rsid w:val="00017B87"/>
    <w:rsid w:val="000250AA"/>
    <w:rsid w:val="000251C7"/>
    <w:rsid w:val="00025592"/>
    <w:rsid w:val="00051864"/>
    <w:rsid w:val="00082CE4"/>
    <w:rsid w:val="000850A7"/>
    <w:rsid w:val="000A0773"/>
    <w:rsid w:val="000A0D50"/>
    <w:rsid w:val="000A40A7"/>
    <w:rsid w:val="000B21A6"/>
    <w:rsid w:val="000C0CF4"/>
    <w:rsid w:val="000C6A66"/>
    <w:rsid w:val="00104598"/>
    <w:rsid w:val="001124CA"/>
    <w:rsid w:val="001163A9"/>
    <w:rsid w:val="001349CA"/>
    <w:rsid w:val="00195FC4"/>
    <w:rsid w:val="001A01D5"/>
    <w:rsid w:val="001C236D"/>
    <w:rsid w:val="001C2A1F"/>
    <w:rsid w:val="001D5C61"/>
    <w:rsid w:val="001E3C30"/>
    <w:rsid w:val="00200D67"/>
    <w:rsid w:val="0020495A"/>
    <w:rsid w:val="00212801"/>
    <w:rsid w:val="00216137"/>
    <w:rsid w:val="00217671"/>
    <w:rsid w:val="00235ECE"/>
    <w:rsid w:val="00240CBE"/>
    <w:rsid w:val="00264358"/>
    <w:rsid w:val="002726F4"/>
    <w:rsid w:val="00273FD6"/>
    <w:rsid w:val="00275E17"/>
    <w:rsid w:val="00294A30"/>
    <w:rsid w:val="002A75C2"/>
    <w:rsid w:val="002B25C1"/>
    <w:rsid w:val="002B537B"/>
    <w:rsid w:val="002B57C0"/>
    <w:rsid w:val="002B65AC"/>
    <w:rsid w:val="002C5F44"/>
    <w:rsid w:val="002E16A5"/>
    <w:rsid w:val="0030305C"/>
    <w:rsid w:val="00303060"/>
    <w:rsid w:val="003042D9"/>
    <w:rsid w:val="00314BE8"/>
    <w:rsid w:val="00320FBE"/>
    <w:rsid w:val="003302F6"/>
    <w:rsid w:val="00342949"/>
    <w:rsid w:val="003445FE"/>
    <w:rsid w:val="00345003"/>
    <w:rsid w:val="00350442"/>
    <w:rsid w:val="00351181"/>
    <w:rsid w:val="003550F0"/>
    <w:rsid w:val="00356A58"/>
    <w:rsid w:val="00365B9E"/>
    <w:rsid w:val="00366774"/>
    <w:rsid w:val="00374AB4"/>
    <w:rsid w:val="003873EA"/>
    <w:rsid w:val="003A2994"/>
    <w:rsid w:val="003A768F"/>
    <w:rsid w:val="003C6CEF"/>
    <w:rsid w:val="003D1919"/>
    <w:rsid w:val="003D6B26"/>
    <w:rsid w:val="003E0D4F"/>
    <w:rsid w:val="003E3522"/>
    <w:rsid w:val="00400580"/>
    <w:rsid w:val="00405EA8"/>
    <w:rsid w:val="0041415D"/>
    <w:rsid w:val="00421EDA"/>
    <w:rsid w:val="00422765"/>
    <w:rsid w:val="004252C9"/>
    <w:rsid w:val="00435CC6"/>
    <w:rsid w:val="004370FA"/>
    <w:rsid w:val="00441EE3"/>
    <w:rsid w:val="00452578"/>
    <w:rsid w:val="00457799"/>
    <w:rsid w:val="00457AED"/>
    <w:rsid w:val="00460BC1"/>
    <w:rsid w:val="004614AC"/>
    <w:rsid w:val="004A301F"/>
    <w:rsid w:val="004B205B"/>
    <w:rsid w:val="004B7630"/>
    <w:rsid w:val="004C4A32"/>
    <w:rsid w:val="004D6834"/>
    <w:rsid w:val="004D6C38"/>
    <w:rsid w:val="004E0C5B"/>
    <w:rsid w:val="004E5078"/>
    <w:rsid w:val="004F0395"/>
    <w:rsid w:val="004F6BA3"/>
    <w:rsid w:val="00505639"/>
    <w:rsid w:val="00533AE3"/>
    <w:rsid w:val="005367E4"/>
    <w:rsid w:val="005432D1"/>
    <w:rsid w:val="00546638"/>
    <w:rsid w:val="00554F17"/>
    <w:rsid w:val="00571843"/>
    <w:rsid w:val="00596918"/>
    <w:rsid w:val="005A27FB"/>
    <w:rsid w:val="005A3164"/>
    <w:rsid w:val="005B2BC4"/>
    <w:rsid w:val="005B2BE8"/>
    <w:rsid w:val="005B6A5A"/>
    <w:rsid w:val="005C03E5"/>
    <w:rsid w:val="00605CE2"/>
    <w:rsid w:val="00622803"/>
    <w:rsid w:val="00624D81"/>
    <w:rsid w:val="0062656D"/>
    <w:rsid w:val="006302B8"/>
    <w:rsid w:val="006347C9"/>
    <w:rsid w:val="006417BD"/>
    <w:rsid w:val="0064294B"/>
    <w:rsid w:val="0064528D"/>
    <w:rsid w:val="006474C7"/>
    <w:rsid w:val="00662C23"/>
    <w:rsid w:val="00665EC8"/>
    <w:rsid w:val="0066613A"/>
    <w:rsid w:val="00695E7A"/>
    <w:rsid w:val="00697596"/>
    <w:rsid w:val="006A1644"/>
    <w:rsid w:val="006A27B2"/>
    <w:rsid w:val="006B284D"/>
    <w:rsid w:val="006C1772"/>
    <w:rsid w:val="006C5178"/>
    <w:rsid w:val="006C567F"/>
    <w:rsid w:val="006D6CBD"/>
    <w:rsid w:val="006F0D7C"/>
    <w:rsid w:val="006F0FE5"/>
    <w:rsid w:val="006F1908"/>
    <w:rsid w:val="006F26C9"/>
    <w:rsid w:val="0070014A"/>
    <w:rsid w:val="00711E61"/>
    <w:rsid w:val="007226A3"/>
    <w:rsid w:val="00722D32"/>
    <w:rsid w:val="0073544A"/>
    <w:rsid w:val="00735C7B"/>
    <w:rsid w:val="00747945"/>
    <w:rsid w:val="00762CC9"/>
    <w:rsid w:val="0077091A"/>
    <w:rsid w:val="00771639"/>
    <w:rsid w:val="0077290B"/>
    <w:rsid w:val="0079771C"/>
    <w:rsid w:val="007E1933"/>
    <w:rsid w:val="007E4C67"/>
    <w:rsid w:val="007E4EBD"/>
    <w:rsid w:val="0082035F"/>
    <w:rsid w:val="008363C2"/>
    <w:rsid w:val="00840387"/>
    <w:rsid w:val="00852E05"/>
    <w:rsid w:val="00876A23"/>
    <w:rsid w:val="008930A6"/>
    <w:rsid w:val="00893FD1"/>
    <w:rsid w:val="008A6612"/>
    <w:rsid w:val="008B2DDF"/>
    <w:rsid w:val="008C3A45"/>
    <w:rsid w:val="008C4F69"/>
    <w:rsid w:val="008C5414"/>
    <w:rsid w:val="008C6F08"/>
    <w:rsid w:val="008E0D1E"/>
    <w:rsid w:val="008F0ABE"/>
    <w:rsid w:val="008F19B6"/>
    <w:rsid w:val="00903443"/>
    <w:rsid w:val="009305E6"/>
    <w:rsid w:val="00933D2E"/>
    <w:rsid w:val="00937BFF"/>
    <w:rsid w:val="00940E6E"/>
    <w:rsid w:val="0094590C"/>
    <w:rsid w:val="00995B72"/>
    <w:rsid w:val="00996A5B"/>
    <w:rsid w:val="009B535F"/>
    <w:rsid w:val="009C0F3A"/>
    <w:rsid w:val="009C48ED"/>
    <w:rsid w:val="009D4755"/>
    <w:rsid w:val="009D56CC"/>
    <w:rsid w:val="00A02AE4"/>
    <w:rsid w:val="00A058C9"/>
    <w:rsid w:val="00A17F0E"/>
    <w:rsid w:val="00A21A54"/>
    <w:rsid w:val="00A2258D"/>
    <w:rsid w:val="00A30D70"/>
    <w:rsid w:val="00A34E01"/>
    <w:rsid w:val="00A5218A"/>
    <w:rsid w:val="00A5514D"/>
    <w:rsid w:val="00A651B5"/>
    <w:rsid w:val="00A66671"/>
    <w:rsid w:val="00A74852"/>
    <w:rsid w:val="00A8536B"/>
    <w:rsid w:val="00AA0B91"/>
    <w:rsid w:val="00AA29F2"/>
    <w:rsid w:val="00AB4527"/>
    <w:rsid w:val="00AF45B4"/>
    <w:rsid w:val="00B10F79"/>
    <w:rsid w:val="00B1723D"/>
    <w:rsid w:val="00B17FED"/>
    <w:rsid w:val="00B23101"/>
    <w:rsid w:val="00B33549"/>
    <w:rsid w:val="00B33A63"/>
    <w:rsid w:val="00B6276F"/>
    <w:rsid w:val="00B63DAB"/>
    <w:rsid w:val="00B71BCA"/>
    <w:rsid w:val="00B7452D"/>
    <w:rsid w:val="00B80AEC"/>
    <w:rsid w:val="00BC45D6"/>
    <w:rsid w:val="00BD121E"/>
    <w:rsid w:val="00BD3FCD"/>
    <w:rsid w:val="00BD581D"/>
    <w:rsid w:val="00BF1035"/>
    <w:rsid w:val="00C0418D"/>
    <w:rsid w:val="00C100A5"/>
    <w:rsid w:val="00C105BC"/>
    <w:rsid w:val="00C25D69"/>
    <w:rsid w:val="00C5431F"/>
    <w:rsid w:val="00C64FBB"/>
    <w:rsid w:val="00C77771"/>
    <w:rsid w:val="00C8539F"/>
    <w:rsid w:val="00C95B4E"/>
    <w:rsid w:val="00CC1749"/>
    <w:rsid w:val="00CE6876"/>
    <w:rsid w:val="00CE7E47"/>
    <w:rsid w:val="00D1079E"/>
    <w:rsid w:val="00D125CD"/>
    <w:rsid w:val="00D26484"/>
    <w:rsid w:val="00D379F9"/>
    <w:rsid w:val="00D40949"/>
    <w:rsid w:val="00D427C4"/>
    <w:rsid w:val="00D43EE2"/>
    <w:rsid w:val="00D44C42"/>
    <w:rsid w:val="00D53371"/>
    <w:rsid w:val="00D6300C"/>
    <w:rsid w:val="00D640F0"/>
    <w:rsid w:val="00D7712E"/>
    <w:rsid w:val="00D87885"/>
    <w:rsid w:val="00D96C01"/>
    <w:rsid w:val="00D96CD3"/>
    <w:rsid w:val="00DA3586"/>
    <w:rsid w:val="00DC14EB"/>
    <w:rsid w:val="00E01737"/>
    <w:rsid w:val="00E11C48"/>
    <w:rsid w:val="00E302C0"/>
    <w:rsid w:val="00E45F62"/>
    <w:rsid w:val="00E4773B"/>
    <w:rsid w:val="00E55A05"/>
    <w:rsid w:val="00E70C89"/>
    <w:rsid w:val="00E73008"/>
    <w:rsid w:val="00E83F1F"/>
    <w:rsid w:val="00E855A1"/>
    <w:rsid w:val="00E916CB"/>
    <w:rsid w:val="00EA6313"/>
    <w:rsid w:val="00EB09C9"/>
    <w:rsid w:val="00EB5681"/>
    <w:rsid w:val="00EB723D"/>
    <w:rsid w:val="00ED1FE8"/>
    <w:rsid w:val="00EF2C58"/>
    <w:rsid w:val="00F03214"/>
    <w:rsid w:val="00F04F93"/>
    <w:rsid w:val="00F0519A"/>
    <w:rsid w:val="00F06623"/>
    <w:rsid w:val="00F2567A"/>
    <w:rsid w:val="00F320DB"/>
    <w:rsid w:val="00F32D5F"/>
    <w:rsid w:val="00F53061"/>
    <w:rsid w:val="00F63B46"/>
    <w:rsid w:val="00F80372"/>
    <w:rsid w:val="00F82150"/>
    <w:rsid w:val="00F93E7F"/>
    <w:rsid w:val="00FB0CD5"/>
    <w:rsid w:val="00FD0628"/>
    <w:rsid w:val="00FD1682"/>
    <w:rsid w:val="00FE371D"/>
    <w:rsid w:val="00FE4800"/>
    <w:rsid w:val="00FF27D2"/>
    <w:rsid w:val="00FF3E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322308"/>
  <w15:chartTrackingRefBased/>
  <w15:docId w15:val="{CDA9818A-BF9A-46D1-A411-7997AC073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3873EA"/>
    <w:pPr>
      <w:spacing w:after="0" w:line="240" w:lineRule="auto"/>
    </w:pPr>
    <w:rPr>
      <w:sz w:val="20"/>
      <w:szCs w:val="20"/>
    </w:rPr>
  </w:style>
  <w:style w:type="character" w:customStyle="1" w:styleId="FootnoteTextChar">
    <w:name w:val="Footnote Text Char"/>
    <w:basedOn w:val="DefaultParagraphFont"/>
    <w:link w:val="FootnoteText"/>
    <w:uiPriority w:val="99"/>
    <w:rsid w:val="003873EA"/>
    <w:rPr>
      <w:sz w:val="20"/>
      <w:szCs w:val="20"/>
    </w:rPr>
  </w:style>
  <w:style w:type="character" w:styleId="FootnoteReference">
    <w:name w:val="footnote reference"/>
    <w:basedOn w:val="DefaultParagraphFont"/>
    <w:uiPriority w:val="99"/>
    <w:semiHidden/>
    <w:unhideWhenUsed/>
    <w:rsid w:val="003873EA"/>
    <w:rPr>
      <w:vertAlign w:val="superscript"/>
    </w:rPr>
  </w:style>
  <w:style w:type="character" w:styleId="Hyperlink">
    <w:name w:val="Hyperlink"/>
    <w:basedOn w:val="DefaultParagraphFont"/>
    <w:uiPriority w:val="99"/>
    <w:unhideWhenUsed/>
    <w:rsid w:val="002726F4"/>
    <w:rPr>
      <w:color w:val="0563C1" w:themeColor="hyperlink"/>
      <w:u w:val="single"/>
    </w:rPr>
  </w:style>
  <w:style w:type="character" w:styleId="UnresolvedMention">
    <w:name w:val="Unresolved Mention"/>
    <w:basedOn w:val="DefaultParagraphFont"/>
    <w:uiPriority w:val="99"/>
    <w:semiHidden/>
    <w:unhideWhenUsed/>
    <w:rsid w:val="002726F4"/>
    <w:rPr>
      <w:color w:val="808080"/>
      <w:shd w:val="clear" w:color="auto" w:fill="E6E6E6"/>
    </w:rPr>
  </w:style>
  <w:style w:type="paragraph" w:styleId="Header">
    <w:name w:val="header"/>
    <w:basedOn w:val="Normal"/>
    <w:link w:val="HeaderChar"/>
    <w:uiPriority w:val="99"/>
    <w:unhideWhenUsed/>
    <w:rsid w:val="006C17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1772"/>
  </w:style>
  <w:style w:type="paragraph" w:styleId="Footer">
    <w:name w:val="footer"/>
    <w:basedOn w:val="Normal"/>
    <w:link w:val="FooterChar"/>
    <w:uiPriority w:val="99"/>
    <w:unhideWhenUsed/>
    <w:rsid w:val="006C17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17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elegraph.co.uk/culture/books/historybookreviews/10382547/Catastrophe-by-Max-Hastings-review.html"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nytimes.com/2013/10/27/books/review/the-war-that-ended-peace-by-margaret-macmillan.html" TargetMode="External"/><Relationship Id="rId12" Type="http://schemas.openxmlformats.org/officeDocument/2006/relationships/hyperlink" Target="http://www.library.upenn.edu/collections/rbm/print/printcoll12trenchpaper.htm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warmuseum.ca/firstworldwar/objects-and-photos/archival-documents/military-documents/the-dead-horse-corner-gazette/"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telegraph.co.uk/history/world-war-one/11010026/First-World-War-centenary-historic-Wipers-Times-newspaper-recreated.html" TargetMode="External"/><Relationship Id="rId4" Type="http://schemas.openxmlformats.org/officeDocument/2006/relationships/webSettings" Target="webSettings.xml"/><Relationship Id="rId9" Type="http://schemas.openxmlformats.org/officeDocument/2006/relationships/hyperlink" Target="http://www.historyextra.com/feature/first-world-war/%E2%80%9Cbritain-should-have-stayed-out-first-world-war%E2%80%9D-says-niall-ferguson"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historyextra.com/feature/first-world-war/%E2%80%9Cbritain-should-have-stayed-out-first-world-war%E2%80%9D-says-niall-ferguson" TargetMode="External"/><Relationship Id="rId2" Type="http://schemas.openxmlformats.org/officeDocument/2006/relationships/hyperlink" Target="http://www.telegraph.co.uk/culture/books/historybookreviews/10382547/Catastrophe-by-Max-Hastings-review.html" TargetMode="External"/><Relationship Id="rId1" Type="http://schemas.openxmlformats.org/officeDocument/2006/relationships/hyperlink" Target="http://www.nytimes.com/2013/10/27/books/review/the-war-that-ended-peace-by-margaret-macmillan.html" TargetMode="External"/><Relationship Id="rId6" Type="http://schemas.openxmlformats.org/officeDocument/2006/relationships/hyperlink" Target="http://www.library.upenn.edu/collections/rbm/print/printcoll12trenchpaper.html" TargetMode="External"/><Relationship Id="rId5" Type="http://schemas.openxmlformats.org/officeDocument/2006/relationships/hyperlink" Target="http://www.warmuseum.ca/firstworldwar/objects-and-photos/archival-documents/military-documents/the-dead-horse-corner-gazette/" TargetMode="External"/><Relationship Id="rId4" Type="http://schemas.openxmlformats.org/officeDocument/2006/relationships/hyperlink" Target="http://www.telegraph.co.uk/history/world-war-one/11010026/First-World-War-centenary-historic-Wipers-Times-newspaper-recreated.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6263FDD2-6165-4B70-9E80-A5CB136C5F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8</Pages>
  <Words>3237</Words>
  <Characters>18456</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Rory Butcher</dc:creator>
  <cp:keywords/>
  <dc:description/>
  <cp:lastModifiedBy>Rory Butcher</cp:lastModifiedBy>
  <cp:revision>69</cp:revision>
  <dcterms:created xsi:type="dcterms:W3CDTF">2017-11-09T21:10:00Z</dcterms:created>
  <dcterms:modified xsi:type="dcterms:W3CDTF">2017-11-10T14:22:00Z</dcterms:modified>
</cp:coreProperties>
</file>