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6FAC2F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63A4E">
              <w:rPr>
                <w:rFonts w:ascii="Times New Roman" w:hAnsi="Times New Roman" w:cs="Times New Roman"/>
                <w:b/>
                <w:color w:val="auto"/>
                <w:sz w:val="48"/>
              </w:rPr>
              <w:t>Harriett Coles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583404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63A4E">
              <w:rPr>
                <w:rFonts w:ascii="Times New Roman" w:hAnsi="Times New Roman" w:cs="Times New Roman"/>
                <w:b/>
                <w:color w:val="auto"/>
                <w:sz w:val="48"/>
              </w:rPr>
              <w:t xml:space="preserve"> hcoles@carmarthenshire.gov.uk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C6000CF" w14:textId="2808D23C" w:rsidR="00063A4E" w:rsidRPr="005D3F07" w:rsidRDefault="00063A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2418893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69DA3E8B" w14:textId="77777777" w:rsidR="004A4189" w:rsidRDefault="004A4189" w:rsidP="00FF7EBB">
            <w:pPr>
              <w:jc w:val="both"/>
              <w:rPr>
                <w:i/>
                <w:sz w:val="24"/>
                <w:szCs w:val="24"/>
              </w:rPr>
            </w:pPr>
          </w:p>
          <w:p w14:paraId="791EA14D" w14:textId="77777777" w:rsidR="004A4189" w:rsidRDefault="004A4189" w:rsidP="00FF7EBB">
            <w:pPr>
              <w:jc w:val="both"/>
              <w:rPr>
                <w:i/>
                <w:sz w:val="24"/>
                <w:szCs w:val="24"/>
              </w:rPr>
            </w:pPr>
          </w:p>
          <w:p w14:paraId="26EDD274" w14:textId="77777777" w:rsidR="00B23145" w:rsidRPr="00B23145" w:rsidRDefault="00B23145" w:rsidP="00B23145">
            <w:pPr>
              <w:jc w:val="both"/>
              <w:rPr>
                <w:iCs/>
                <w:sz w:val="24"/>
                <w:szCs w:val="24"/>
              </w:rPr>
            </w:pPr>
            <w:r w:rsidRPr="00B23145">
              <w:rPr>
                <w:iCs/>
                <w:sz w:val="24"/>
                <w:szCs w:val="24"/>
              </w:rPr>
              <w:t>Safeguarding children is both a legal and professional duty in Wales, requiring practitioners to prevent and respond to harm, abuse, neglect, or exploitation. Distinctive Welsh legislation emphasises well-being, rights, and collaborative decision-making, underpinned by the Social Services and Well-being (Wales) Act 2014 (SSWBA), which provides the principal legal framework for safeguarding. This Act integrates the “well-being principle” across public services and places duties on local authorities and partners to assess and manage risks (Part 7). Supporting guidance, such as the Wales Safeguarding Procedures (2019), establishes a consistent national approach to safeguarding children and adults, requiring cooperation across agencies to ensure child-centred, proportionate responses.</w:t>
            </w:r>
          </w:p>
          <w:p w14:paraId="18245A20" w14:textId="77777777" w:rsidR="00B23145" w:rsidRDefault="00B23145" w:rsidP="00B23145">
            <w:pPr>
              <w:jc w:val="both"/>
              <w:rPr>
                <w:iCs/>
                <w:sz w:val="24"/>
                <w:szCs w:val="24"/>
              </w:rPr>
            </w:pPr>
          </w:p>
          <w:p w14:paraId="0CAF738D" w14:textId="1541CB63" w:rsidR="00B23145" w:rsidRPr="00B23145" w:rsidRDefault="00B23145" w:rsidP="00B23145">
            <w:pPr>
              <w:jc w:val="both"/>
              <w:rPr>
                <w:iCs/>
                <w:sz w:val="24"/>
                <w:szCs w:val="24"/>
              </w:rPr>
            </w:pPr>
            <w:r w:rsidRPr="00B23145">
              <w:rPr>
                <w:iCs/>
                <w:sz w:val="24"/>
                <w:szCs w:val="24"/>
              </w:rPr>
              <w:t>Safeguarding in Wales is underpinned by a rights-based framework. The Rights of Children and Young Persons (Wales) Measure 2011 makes the United Nations Convention on the Rights of the Child (UNCRC) a binding duty on Welsh Ministers, ensuring that children’s rights are embedded in all government decisions. Article 3 of the UNCRC requires that the child’s best interests are a primary consideration in all actions concerning them, while Article 12 guarantees the child’s right to be heard. The Human Rights Act 1998 also applies, incorporating the European Convention on Human Rights (ECHR). Article 8 of the ECHR protects the right to private and family life, a right which must be balanced against the duty of the state to protect children from significant harm. This balance requires that interventions in family life are proportionate, transparent, and demonstrably necessary to secure the child’s safety (Lowe and Douglas, 2015).</w:t>
            </w:r>
          </w:p>
          <w:p w14:paraId="41F09FAB" w14:textId="45A24A34" w:rsidR="00B23145" w:rsidRDefault="00B23145" w:rsidP="00B23145">
            <w:pPr>
              <w:jc w:val="both"/>
              <w:rPr>
                <w:iCs/>
                <w:sz w:val="24"/>
                <w:szCs w:val="24"/>
              </w:rPr>
            </w:pPr>
            <w:r w:rsidRPr="00B23145">
              <w:rPr>
                <w:iCs/>
                <w:sz w:val="24"/>
                <w:szCs w:val="24"/>
              </w:rPr>
              <w:lastRenderedPageBreak/>
              <w:t>Welsh safeguarding practice is also guided by equality and anti-discrimination duties. The Equality Act 2010 applies in Wales, requiring professionals to have due regard to eliminating discrimination, advancing equality, and fostering good relations. This is complemented by the Welsh Government’s commitment to tackling poverty and promoting inclusion, recognising that socio-economic disadvantage is a key safeguarding factor (Bywaters et al., 2016). Furthermore, the Well-being of Future Generations (Wales) Act 2015 provides an additional strategic layer, requiring public bodies to act in ways that improve the social, economic, environmental, and cultural well-being of Wales, embedding preventative safeguarding approaches into wider public service planning.</w:t>
            </w:r>
          </w:p>
          <w:p w14:paraId="32F7DDA9" w14:textId="77777777" w:rsidR="00B23145" w:rsidRPr="00B23145" w:rsidRDefault="00B23145" w:rsidP="00B23145">
            <w:pPr>
              <w:jc w:val="both"/>
              <w:rPr>
                <w:iCs/>
                <w:sz w:val="24"/>
                <w:szCs w:val="24"/>
              </w:rPr>
            </w:pPr>
          </w:p>
          <w:p w14:paraId="472A4CD8" w14:textId="69FF7508" w:rsidR="00B23145" w:rsidRPr="00B23145" w:rsidRDefault="00B23145" w:rsidP="00B23145">
            <w:pPr>
              <w:jc w:val="both"/>
              <w:rPr>
                <w:iCs/>
                <w:sz w:val="24"/>
                <w:szCs w:val="24"/>
              </w:rPr>
            </w:pPr>
            <w:r w:rsidRPr="00B23145">
              <w:rPr>
                <w:iCs/>
                <w:sz w:val="24"/>
                <w:szCs w:val="24"/>
              </w:rPr>
              <w:t>This assignment presents a critically reflective case study of a Baby named 1. In line with the UK General Data Protection Regulation and the Data Protection Act 2018, all identifying information has been anonymised to protect confidentiality. This approach reflects professional responsibilities under the Social Care Wales Code of Professional Practice (2017), the BASW Code of Ethics (2021), and the Caldicott Principles, which emphasise the need-to-know principle and the use of the minimum necessary information. All identifying information has been anonymised to protect confidentiality and respect the dignity and rights of the child and family. Reflection is structured using Gibbs’ Reflective Cycle (1988), which offers a structured model for examining professional experiences through description, feelings, evaluation, analysis, conclusion, and action planning.</w:t>
            </w:r>
          </w:p>
          <w:p w14:paraId="0B386788" w14:textId="77777777" w:rsidR="00B23145" w:rsidRDefault="00B23145" w:rsidP="00B23145">
            <w:pPr>
              <w:jc w:val="both"/>
              <w:rPr>
                <w:iCs/>
                <w:sz w:val="24"/>
                <w:szCs w:val="24"/>
              </w:rPr>
            </w:pPr>
          </w:p>
          <w:p w14:paraId="3CD2DF9F" w14:textId="28100FBC" w:rsidR="00B23145" w:rsidRPr="00B23145" w:rsidRDefault="00B23145" w:rsidP="00B23145">
            <w:pPr>
              <w:jc w:val="both"/>
              <w:rPr>
                <w:iCs/>
                <w:sz w:val="24"/>
                <w:szCs w:val="24"/>
              </w:rPr>
            </w:pPr>
            <w:r w:rsidRPr="00B23145">
              <w:rPr>
                <w:iCs/>
                <w:sz w:val="24"/>
                <w:szCs w:val="24"/>
              </w:rPr>
              <w:t>The case of 1 illustrates the complex interface between statutory duties, ethical dilemmas, and professional judgment in contemporary Welsh safeguarding practice. It raises critical issues relating to the right to family life, proportionality of interventions, the role of partner agencies, and the use of theory and evidence to inform decision-making. By analysing this case through a critical and reflective lens, the assignment aims to demonstrate an integrated understanding of law, policy, ethics, and practice, and to highlight the importance of collaborative, child-centred, and defensible approaches in safeguarding work.</w:t>
            </w:r>
          </w:p>
          <w:p w14:paraId="00D9B8D9" w14:textId="77777777" w:rsidR="00B23145" w:rsidRDefault="00B23145" w:rsidP="00B23145">
            <w:pPr>
              <w:jc w:val="both"/>
              <w:rPr>
                <w:iCs/>
                <w:sz w:val="24"/>
                <w:szCs w:val="24"/>
              </w:rPr>
            </w:pPr>
            <w:r w:rsidRPr="00B23145">
              <w:rPr>
                <w:iCs/>
                <w:sz w:val="24"/>
                <w:szCs w:val="24"/>
              </w:rPr>
              <w:t xml:space="preserve">This section will give a description of the case using Gibbs’ reflective cycle. </w:t>
            </w:r>
          </w:p>
          <w:p w14:paraId="2C144C0D" w14:textId="77777777" w:rsidR="00B23145" w:rsidRPr="00B23145" w:rsidRDefault="00B23145" w:rsidP="00B23145">
            <w:pPr>
              <w:jc w:val="both"/>
              <w:rPr>
                <w:iCs/>
                <w:sz w:val="24"/>
                <w:szCs w:val="24"/>
              </w:rPr>
            </w:pPr>
          </w:p>
          <w:p w14:paraId="3B950764" w14:textId="77777777" w:rsidR="00B23145" w:rsidRPr="00B23145" w:rsidRDefault="00B23145" w:rsidP="00B23145">
            <w:pPr>
              <w:jc w:val="both"/>
              <w:rPr>
                <w:iCs/>
                <w:sz w:val="24"/>
                <w:szCs w:val="24"/>
              </w:rPr>
            </w:pPr>
            <w:r w:rsidRPr="00B23145">
              <w:rPr>
                <w:iCs/>
                <w:sz w:val="24"/>
                <w:szCs w:val="24"/>
              </w:rPr>
              <w:t>1 came to the attention of the local authority following a self-referral by the mother, advised by the community mental health team. The mother had previously caused serious harm to an older child during a period of significant mental health difficulties, including mood instability and psychosis. This led to both older children being placed under a Special Guardianship Order (SGO) with paternal relatives (Children Act 1989, s.14A). While SGOs preserve parental links, they confer parental responsibility on guardians, reflecting both child protection and permanence considerations in Welsh policy (Welsh Government, 2015a).</w:t>
            </w:r>
            <w:r w:rsidRPr="00B23145">
              <w:rPr>
                <w:iCs/>
                <w:sz w:val="24"/>
                <w:szCs w:val="24"/>
              </w:rPr>
              <w:tab/>
            </w:r>
          </w:p>
          <w:p w14:paraId="7C846364" w14:textId="77777777" w:rsidR="00B23145" w:rsidRDefault="00B23145" w:rsidP="00B23145">
            <w:pPr>
              <w:jc w:val="both"/>
              <w:rPr>
                <w:iCs/>
                <w:sz w:val="24"/>
                <w:szCs w:val="24"/>
              </w:rPr>
            </w:pPr>
          </w:p>
          <w:p w14:paraId="5F4967C3" w14:textId="6A66958E" w:rsidR="00B23145" w:rsidRPr="00B23145" w:rsidRDefault="00B23145" w:rsidP="00B23145">
            <w:pPr>
              <w:jc w:val="both"/>
              <w:rPr>
                <w:iCs/>
                <w:sz w:val="24"/>
                <w:szCs w:val="24"/>
              </w:rPr>
            </w:pPr>
            <w:r w:rsidRPr="00B23145">
              <w:rPr>
                <w:iCs/>
                <w:sz w:val="24"/>
                <w:szCs w:val="24"/>
              </w:rPr>
              <w:t>The family originate from an urban area of Wales that is characterised by high levels of poverty, unemployment, and community crime. The mother’s history included that she had been subject to child protection interventions during her own childhood due to parental substance misuse, domestic violence, and neglect. These adverse childhood experiences (ACEs) contributed to later vulnerabilities in her parenting capacity, consistent with research linking childhood trauma to poor adult outcomes (</w:t>
            </w:r>
            <w:proofErr w:type="spellStart"/>
            <w:r w:rsidRPr="00B23145">
              <w:rPr>
                <w:iCs/>
                <w:sz w:val="24"/>
                <w:szCs w:val="24"/>
              </w:rPr>
              <w:t>Felitti</w:t>
            </w:r>
            <w:proofErr w:type="spellEnd"/>
            <w:r w:rsidRPr="00B23145">
              <w:rPr>
                <w:iCs/>
                <w:sz w:val="24"/>
                <w:szCs w:val="24"/>
              </w:rPr>
              <w:t xml:space="preserve"> et al., 1998; Bellis et al., 2014). The father also had a background of witnessing domestic violence and parental substance misuse, further elevating intergenerational risks (Hughes et al., 2017).</w:t>
            </w:r>
          </w:p>
          <w:p w14:paraId="1FAE48C4" w14:textId="77777777" w:rsidR="00B23145" w:rsidRDefault="00B23145" w:rsidP="00B23145">
            <w:pPr>
              <w:jc w:val="both"/>
              <w:rPr>
                <w:iCs/>
                <w:sz w:val="24"/>
                <w:szCs w:val="24"/>
              </w:rPr>
            </w:pPr>
          </w:p>
          <w:p w14:paraId="1E1E8061" w14:textId="78102D7F" w:rsidR="00B23145" w:rsidRDefault="00B23145" w:rsidP="00B23145">
            <w:pPr>
              <w:jc w:val="both"/>
              <w:rPr>
                <w:iCs/>
                <w:sz w:val="24"/>
                <w:szCs w:val="24"/>
              </w:rPr>
            </w:pPr>
            <w:r w:rsidRPr="00B23145">
              <w:rPr>
                <w:iCs/>
                <w:sz w:val="24"/>
                <w:szCs w:val="24"/>
              </w:rPr>
              <w:t>Although the family spoke English only, the More than Just Words framework (Welsh Government, 2023) required consideration of the Active Offer of Welsh language services. While not required in this case, reflecting on the framework ensured compliance with the Welsh Language (Wales) Measure 2011, which gives Welsh equal legal status with English. This is a distinctive feature of practice in Wales, and considering it ensured culturally sensitive engagement.</w:t>
            </w:r>
          </w:p>
          <w:p w14:paraId="7C5068EA" w14:textId="77777777" w:rsidR="00B23145" w:rsidRPr="00B23145" w:rsidRDefault="00B23145" w:rsidP="00B23145">
            <w:pPr>
              <w:jc w:val="both"/>
              <w:rPr>
                <w:iCs/>
                <w:sz w:val="24"/>
                <w:szCs w:val="24"/>
              </w:rPr>
            </w:pPr>
          </w:p>
          <w:p w14:paraId="132FC93B" w14:textId="33D5C1D5" w:rsidR="00B23145" w:rsidRPr="00B23145" w:rsidRDefault="00B23145" w:rsidP="00B23145">
            <w:pPr>
              <w:jc w:val="both"/>
              <w:rPr>
                <w:iCs/>
                <w:sz w:val="24"/>
                <w:szCs w:val="24"/>
              </w:rPr>
            </w:pPr>
            <w:r w:rsidRPr="00B23145">
              <w:rPr>
                <w:iCs/>
                <w:sz w:val="24"/>
                <w:szCs w:val="24"/>
              </w:rPr>
              <w:t xml:space="preserve">Following the referral, the local authority had a statutory duty under section 47 of the Children Act 1989 to investigate where there was reasonable cause to suspect that a child was suffering, or likely to suffer, significant harm. In addition, an Assessment of Care and Support Needs was initiated by the previous social worker under Part 3, section 21 of the SSWBA 2014, requiring a holistic evaluation of 1’s needs, parental capacity, and support networks. This child-centred, proportionate, and transparent assessment involved parents, extended family, and partner agencies. It highlighted key risks including the mother’s ongoing mental health difficulties, the father’s cannabis </w:t>
            </w:r>
            <w:proofErr w:type="gramStart"/>
            <w:r w:rsidRPr="00B23145">
              <w:rPr>
                <w:iCs/>
                <w:sz w:val="24"/>
                <w:szCs w:val="24"/>
              </w:rPr>
              <w:t>use</w:t>
            </w:r>
            <w:proofErr w:type="gramEnd"/>
            <w:r w:rsidRPr="00B23145">
              <w:rPr>
                <w:iCs/>
                <w:sz w:val="24"/>
                <w:szCs w:val="24"/>
              </w:rPr>
              <w:t xml:space="preserve"> and cognitive limitations.</w:t>
            </w:r>
          </w:p>
          <w:p w14:paraId="63D35448" w14:textId="77777777" w:rsidR="00B23145" w:rsidRDefault="00B23145" w:rsidP="00B23145">
            <w:pPr>
              <w:jc w:val="both"/>
              <w:rPr>
                <w:iCs/>
                <w:sz w:val="24"/>
                <w:szCs w:val="24"/>
              </w:rPr>
            </w:pPr>
          </w:p>
          <w:p w14:paraId="2B47948E" w14:textId="2194C842" w:rsidR="00B23145" w:rsidRPr="00B23145" w:rsidRDefault="00B23145" w:rsidP="00B23145">
            <w:pPr>
              <w:jc w:val="both"/>
              <w:rPr>
                <w:iCs/>
                <w:sz w:val="24"/>
                <w:szCs w:val="24"/>
              </w:rPr>
            </w:pPr>
            <w:r w:rsidRPr="00B23145">
              <w:rPr>
                <w:iCs/>
                <w:sz w:val="24"/>
                <w:szCs w:val="24"/>
              </w:rPr>
              <w:t>Due to the seriousness of concerns, the case was considered at a Legal Gateway Meeting, where it was agreed to progress under the Public Law Outline (PLO) Wales framework (Welsh Government, 2018). This ensured structured, legally compliant planning. Both parents underwent CUBAS parenting assessments completed by the previous social worker, which assess’ motivation, protective capacity, and ability to meet developmental needs. The CUBAS parenting assessment is a structured, adaptable tool used in social work and family courts to evaluate parenting capacity, designed to be both inclusive and flexible (CUBAS, 2023). It considers mental health as a key influencing factor, examining how conditions such as depression or anxiety may affect parenting, while also identifying support needs and potential for change (Local Government Lawyer, 2023). The findings indicated insufficient parental capacity at that time, recommending further psychological assessments, parenting programmes, and substance misuse interventions.</w:t>
            </w:r>
          </w:p>
          <w:p w14:paraId="245B313D" w14:textId="77777777" w:rsidR="00B23145" w:rsidRDefault="00B23145" w:rsidP="00B23145">
            <w:pPr>
              <w:jc w:val="both"/>
              <w:rPr>
                <w:iCs/>
                <w:sz w:val="24"/>
                <w:szCs w:val="24"/>
              </w:rPr>
            </w:pPr>
          </w:p>
          <w:p w14:paraId="741AE74C" w14:textId="088D008F" w:rsidR="00B23145" w:rsidRPr="00B23145" w:rsidRDefault="00B23145" w:rsidP="00B23145">
            <w:pPr>
              <w:jc w:val="both"/>
              <w:rPr>
                <w:iCs/>
                <w:sz w:val="24"/>
                <w:szCs w:val="24"/>
              </w:rPr>
            </w:pPr>
            <w:r w:rsidRPr="00B23145">
              <w:rPr>
                <w:iCs/>
                <w:sz w:val="24"/>
                <w:szCs w:val="24"/>
              </w:rPr>
              <w:t>In line with Welsh safeguarding duties to explore family-based alternatives, viability assessments of extended family members were undertaken (AFR, 2020). Maternal relatives were considered but declined further assessment due to their circumstances. Given the mother’s history of harm to her older child, a parent-and-baby foster placement was deemed unsafe.</w:t>
            </w:r>
          </w:p>
          <w:p w14:paraId="1ECF2584" w14:textId="77777777" w:rsidR="00B23145" w:rsidRDefault="00B23145" w:rsidP="00B23145">
            <w:pPr>
              <w:jc w:val="both"/>
              <w:rPr>
                <w:iCs/>
                <w:sz w:val="24"/>
                <w:szCs w:val="24"/>
              </w:rPr>
            </w:pPr>
          </w:p>
          <w:p w14:paraId="47283509" w14:textId="1E6B8B63" w:rsidR="00B23145" w:rsidRPr="00B23145" w:rsidRDefault="00B23145" w:rsidP="00B23145">
            <w:pPr>
              <w:jc w:val="both"/>
              <w:rPr>
                <w:iCs/>
                <w:sz w:val="24"/>
                <w:szCs w:val="24"/>
              </w:rPr>
            </w:pPr>
            <w:r w:rsidRPr="00B23145">
              <w:rPr>
                <w:iCs/>
                <w:sz w:val="24"/>
                <w:szCs w:val="24"/>
              </w:rPr>
              <w:t>After 1’s birth, I became the allocated social worker. In line with Wales Safeguarding Procedures (2019), a hospital-based safety plan required constant supervision of the mother with 1. On discharge, the mother consented to a section 76 voluntary accommodation arrangement (SSWBA 2014), and 1 entered foster care. Due to limited local placements, 1 was placed in a rural foster home, raising geographical challenges for parental contact.</w:t>
            </w:r>
          </w:p>
          <w:p w14:paraId="6F9D3C7A" w14:textId="77777777" w:rsidR="00B23145" w:rsidRDefault="00B23145" w:rsidP="00B23145">
            <w:pPr>
              <w:jc w:val="both"/>
              <w:rPr>
                <w:iCs/>
                <w:sz w:val="24"/>
                <w:szCs w:val="24"/>
              </w:rPr>
            </w:pPr>
          </w:p>
          <w:p w14:paraId="6C877FCC" w14:textId="03A5182E" w:rsidR="00B23145" w:rsidRPr="00B23145" w:rsidRDefault="00B23145" w:rsidP="00B23145">
            <w:pPr>
              <w:jc w:val="both"/>
              <w:rPr>
                <w:iCs/>
                <w:sz w:val="24"/>
                <w:szCs w:val="24"/>
              </w:rPr>
            </w:pPr>
            <w:r w:rsidRPr="00B23145">
              <w:rPr>
                <w:iCs/>
                <w:sz w:val="24"/>
                <w:szCs w:val="24"/>
              </w:rPr>
              <w:t>To balance safeguarding with parental involvement, I negotiated a contract of expectations, requiring parents to remain drug-free during contact and engage consistently with support. Supervised family contact was scheduled three times weekly at a family centre. This arrangement upheld 1’s right to family life under Article 8 ECHR while prioritising 1’s safety.</w:t>
            </w:r>
          </w:p>
          <w:p w14:paraId="5F11C727" w14:textId="77777777" w:rsidR="00B23145" w:rsidRDefault="00B23145" w:rsidP="00B23145">
            <w:pPr>
              <w:jc w:val="both"/>
              <w:rPr>
                <w:iCs/>
                <w:sz w:val="24"/>
                <w:szCs w:val="24"/>
              </w:rPr>
            </w:pPr>
          </w:p>
          <w:p w14:paraId="253E93AC" w14:textId="16052965" w:rsidR="00B23145" w:rsidRPr="00B23145" w:rsidRDefault="00B23145" w:rsidP="00B23145">
            <w:pPr>
              <w:jc w:val="both"/>
              <w:rPr>
                <w:iCs/>
                <w:sz w:val="24"/>
                <w:szCs w:val="24"/>
              </w:rPr>
            </w:pPr>
            <w:r w:rsidRPr="00B23145">
              <w:rPr>
                <w:iCs/>
                <w:sz w:val="24"/>
                <w:szCs w:val="24"/>
              </w:rPr>
              <w:t>An Interim Care Order (ICO) under section 38 of the Children Act 1989 was obtained, granting the local authority parental responsibility for care planning. Assessments continued, including cognitive testing (highlighting the father’s poor literacy and short-term memory), substance misuse testing and parenting observations. Furthermore, the father also had an Ability to Protect assessment, which concluded that he was unable to protect 1 and was unable to demonstrate an awareness of the risks associated with the mother’s mental health history and past harm to her older child. This raised serious concerns about his capacity to act protectively. Additionally, the mother underwent a psychological assessment, which found that she continued to present a moderate risk to 1. The assessment recommended ongoing treatment, specifically Cognitive Behavioural Therapy (CBT), to address underlying difficulties and reduce risk.</w:t>
            </w:r>
          </w:p>
          <w:p w14:paraId="63E29BE1" w14:textId="77777777" w:rsidR="00B23145" w:rsidRDefault="00B23145" w:rsidP="00B23145">
            <w:pPr>
              <w:jc w:val="both"/>
              <w:rPr>
                <w:iCs/>
                <w:sz w:val="24"/>
                <w:szCs w:val="24"/>
              </w:rPr>
            </w:pPr>
          </w:p>
          <w:p w14:paraId="6CB3E9F3" w14:textId="7A066F23" w:rsidR="00B23145" w:rsidRPr="00B23145" w:rsidRDefault="00B23145" w:rsidP="00B23145">
            <w:pPr>
              <w:jc w:val="both"/>
              <w:rPr>
                <w:iCs/>
                <w:sz w:val="24"/>
                <w:szCs w:val="24"/>
              </w:rPr>
            </w:pPr>
            <w:r w:rsidRPr="00B23145">
              <w:rPr>
                <w:iCs/>
                <w:sz w:val="24"/>
                <w:szCs w:val="24"/>
              </w:rPr>
              <w:t>Lastly, I prepared final evidence and a court care plan with “realistic options” analysis, concluding that adoption was the only safe long-term option which was approved by the Agency Decision Maker. This decision reflected statutory duties under Part 7 of the SSWBA 2014 and the Working Together to Safeguard People guidance (Welsh Government, 2018). A placement order was granted, authorising adoption. Contact with birth parents was reduced to monthly supervised sessions, balancing 1’s need for stable attachments with ongoing identity needs. All decisions continue to prioritise the 1’s emotional wellbeing, safety, and long-term stability as the adoption process progresses (Selwyn et al., 2018). Currently Foster carers, who are intending to adopt, are undergoing an adoption assessment.</w:t>
            </w:r>
          </w:p>
          <w:p w14:paraId="1646F311" w14:textId="77777777" w:rsidR="003B44BC" w:rsidRDefault="003B44BC" w:rsidP="00B23145">
            <w:pPr>
              <w:jc w:val="both"/>
              <w:rPr>
                <w:iCs/>
                <w:sz w:val="24"/>
                <w:szCs w:val="24"/>
              </w:rPr>
            </w:pPr>
          </w:p>
          <w:p w14:paraId="52B16F0D" w14:textId="7A38A75B" w:rsidR="00B23145" w:rsidRPr="00B23145" w:rsidRDefault="00B23145" w:rsidP="00B23145">
            <w:pPr>
              <w:jc w:val="both"/>
              <w:rPr>
                <w:iCs/>
                <w:sz w:val="24"/>
                <w:szCs w:val="24"/>
              </w:rPr>
            </w:pPr>
            <w:r w:rsidRPr="00B23145">
              <w:rPr>
                <w:iCs/>
                <w:sz w:val="24"/>
                <w:szCs w:val="24"/>
              </w:rPr>
              <w:t>This section will be discussing ‘feelings’ in line with Gibbs reflective model</w:t>
            </w:r>
            <w:r w:rsidR="003B44BC">
              <w:rPr>
                <w:iCs/>
                <w:sz w:val="24"/>
                <w:szCs w:val="24"/>
              </w:rPr>
              <w:t xml:space="preserve">. </w:t>
            </w:r>
            <w:r w:rsidRPr="00B23145">
              <w:rPr>
                <w:iCs/>
                <w:sz w:val="24"/>
                <w:szCs w:val="24"/>
              </w:rPr>
              <w:t>When I was allocated as the case-holding social worker, I felt a strong sense of responsibility for ensuring 1’s immediate safety, given the mother’s history of seriously harming an older child. This created an immediate awareness that the threshold for significant harm had already been crossed in the past, heightening my vigilance. The psychological assessment that indicated the mother remained a moderate risk, coupled with the father’s inability to protect, reinforced my concern that 1’s safety could not be assured in the parents’ care without significant intervention.</w:t>
            </w:r>
          </w:p>
          <w:p w14:paraId="08610CBE" w14:textId="77777777" w:rsidR="00B23145" w:rsidRDefault="00B23145" w:rsidP="00B23145">
            <w:pPr>
              <w:jc w:val="both"/>
              <w:rPr>
                <w:iCs/>
                <w:sz w:val="24"/>
                <w:szCs w:val="24"/>
              </w:rPr>
            </w:pPr>
          </w:p>
          <w:p w14:paraId="7BFE287A" w14:textId="2F20621F" w:rsidR="00B23145" w:rsidRPr="00B23145" w:rsidRDefault="00B23145" w:rsidP="00B23145">
            <w:pPr>
              <w:jc w:val="both"/>
              <w:rPr>
                <w:iCs/>
                <w:sz w:val="24"/>
                <w:szCs w:val="24"/>
              </w:rPr>
            </w:pPr>
            <w:r w:rsidRPr="00B23145">
              <w:rPr>
                <w:iCs/>
                <w:sz w:val="24"/>
                <w:szCs w:val="24"/>
              </w:rPr>
              <w:t>I experienced mixed emotions, including empathy with the parents, who both demonstrated a willingness to engage with professionals. I was mindful of their rights under Article 8 of the European Convention on Human Rights (ECHR) to a family life. I also reflected on my duty under the Social Care Wales Code of Professional Practice (2017) to treat individuals with dignity and respect, which includes recognising the impact of poverty, trauma, and mental health difficulties on parenting. At times, I felt sadness for the parents, who despite evident difficulties, expressed love for 1 and a desire to care.</w:t>
            </w:r>
          </w:p>
          <w:p w14:paraId="4325D5DE" w14:textId="77777777" w:rsidR="00B23145" w:rsidRDefault="00B23145" w:rsidP="00B23145">
            <w:pPr>
              <w:jc w:val="both"/>
              <w:rPr>
                <w:iCs/>
                <w:sz w:val="24"/>
                <w:szCs w:val="24"/>
              </w:rPr>
            </w:pPr>
          </w:p>
          <w:p w14:paraId="6063B998" w14:textId="4456707A" w:rsidR="00B23145" w:rsidRPr="00B23145" w:rsidRDefault="00B23145" w:rsidP="00B23145">
            <w:pPr>
              <w:jc w:val="both"/>
              <w:rPr>
                <w:iCs/>
                <w:sz w:val="24"/>
                <w:szCs w:val="24"/>
              </w:rPr>
            </w:pPr>
            <w:r w:rsidRPr="00B23145">
              <w:rPr>
                <w:iCs/>
                <w:sz w:val="24"/>
                <w:szCs w:val="24"/>
              </w:rPr>
              <w:t xml:space="preserve">Alongside empathy, I also felt professional anxiety. The high level of risk required me to make clear safeguarding decisions and present evidence confidently within the family court. I felt pressure to ensure that my decision was robust, defensible, and aligned with statutory duties under the Children Act 1989 and SSWBA 2014. Balancing the immediate safety of 1 against the potential long-term impact of adoption which is a decision that would permanently sever parental rights.  This was compounded by the statutory timescales under the Wales </w:t>
            </w:r>
            <w:r w:rsidRPr="00B23145">
              <w:rPr>
                <w:iCs/>
                <w:sz w:val="24"/>
                <w:szCs w:val="24"/>
              </w:rPr>
              <w:lastRenderedPageBreak/>
              <w:t>Safeguarding Procedures (2019), which required timely decision-making while balancing ethical, legal, and child-centred considerations. I noticed the power within social work which is limiting in relationship building and productive in safeguarding (Karim, 2023).</w:t>
            </w:r>
          </w:p>
          <w:p w14:paraId="66E4BD96" w14:textId="77777777" w:rsidR="00B23145" w:rsidRDefault="00B23145" w:rsidP="00B23145">
            <w:pPr>
              <w:jc w:val="both"/>
              <w:rPr>
                <w:iCs/>
                <w:sz w:val="24"/>
                <w:szCs w:val="24"/>
              </w:rPr>
            </w:pPr>
          </w:p>
          <w:p w14:paraId="6CD3DDFF" w14:textId="1D8A8A34" w:rsidR="00B23145" w:rsidRPr="00B23145" w:rsidRDefault="00B23145" w:rsidP="00B23145">
            <w:pPr>
              <w:jc w:val="both"/>
              <w:rPr>
                <w:iCs/>
                <w:sz w:val="24"/>
                <w:szCs w:val="24"/>
              </w:rPr>
            </w:pPr>
            <w:r w:rsidRPr="00B23145">
              <w:rPr>
                <w:iCs/>
                <w:sz w:val="24"/>
                <w:szCs w:val="24"/>
              </w:rPr>
              <w:t xml:space="preserve">Frustrations also arose from structural challenges, such as limited local foster placements that complicated contact. This created additional stress for both the parents and </w:t>
            </w:r>
            <w:proofErr w:type="gramStart"/>
            <w:r w:rsidRPr="00B23145">
              <w:rPr>
                <w:iCs/>
                <w:sz w:val="24"/>
                <w:szCs w:val="24"/>
              </w:rPr>
              <w:t>myself</w:t>
            </w:r>
            <w:proofErr w:type="gramEnd"/>
            <w:r w:rsidRPr="00B23145">
              <w:rPr>
                <w:iCs/>
                <w:sz w:val="24"/>
                <w:szCs w:val="24"/>
              </w:rPr>
              <w:t>, as I was responsible for negotiating and monitoring contact arrangements within these constraints. Additionally, I felt frustrated during multi-agency meetings where professionals disagreed. While the mental health team advocated reunification, while the psychological assessments demonstrated she was still a risk to 1. I respected the views of the mental health team and recognised the importance of their ongoing therapeutic relationship with the mother. However, I decided to follow the recommendations of the psychological assessment, as it carried a higher level of professional expertise and was grounded in structured, evidence-based evaluation. This decision reinforced my duty to ensure that my practice was defensible, transparent, and centred on 1’s safety.</w:t>
            </w:r>
          </w:p>
          <w:p w14:paraId="11A9FC98" w14:textId="77777777" w:rsidR="00B23145" w:rsidRDefault="00B23145" w:rsidP="00B23145">
            <w:pPr>
              <w:jc w:val="both"/>
              <w:rPr>
                <w:iCs/>
                <w:sz w:val="24"/>
                <w:szCs w:val="24"/>
              </w:rPr>
            </w:pPr>
          </w:p>
          <w:p w14:paraId="16F8816A" w14:textId="65232E09" w:rsidR="00B23145" w:rsidRPr="00B23145" w:rsidRDefault="00B23145" w:rsidP="00B23145">
            <w:pPr>
              <w:jc w:val="both"/>
              <w:rPr>
                <w:iCs/>
                <w:sz w:val="24"/>
                <w:szCs w:val="24"/>
              </w:rPr>
            </w:pPr>
            <w:r w:rsidRPr="00B23145">
              <w:rPr>
                <w:iCs/>
                <w:sz w:val="24"/>
                <w:szCs w:val="24"/>
              </w:rPr>
              <w:t>Supervision provided space to process these emotions and reinforced the value of reflective practice, professional boundaries, and evidence-led decision-making. I recognised that feelings of anxiety and sadness are common in safeguarding and reflect the moral weight of life-changing decisions.</w:t>
            </w:r>
          </w:p>
          <w:p w14:paraId="38321DDE" w14:textId="77777777" w:rsidR="00B23145" w:rsidRDefault="00B23145" w:rsidP="00B23145">
            <w:pPr>
              <w:jc w:val="both"/>
              <w:rPr>
                <w:iCs/>
                <w:sz w:val="24"/>
                <w:szCs w:val="24"/>
              </w:rPr>
            </w:pPr>
          </w:p>
          <w:p w14:paraId="56898A0F" w14:textId="1CBDCB6F" w:rsidR="00B23145" w:rsidRPr="00B23145" w:rsidRDefault="00B23145" w:rsidP="00B23145">
            <w:pPr>
              <w:jc w:val="both"/>
              <w:rPr>
                <w:iCs/>
                <w:sz w:val="24"/>
                <w:szCs w:val="24"/>
              </w:rPr>
            </w:pPr>
            <w:r w:rsidRPr="00B23145">
              <w:rPr>
                <w:iCs/>
                <w:sz w:val="24"/>
                <w:szCs w:val="24"/>
              </w:rPr>
              <w:t>Ultimately, my feelings shaped my practice in important ways. They reminded me of the importance of child-centred practice (SSWBA, Part 2), while also requiring me to be mindful of the parents’ rights and experiences. They encouraged me to seek supervision, use reflective tools such as Gibbs’ cycle, and maintain professional curiosity rather than being overwhelmed by the emotional complexity of the case.</w:t>
            </w:r>
          </w:p>
          <w:p w14:paraId="490745BE" w14:textId="77777777" w:rsidR="003B44BC" w:rsidRDefault="003B44BC" w:rsidP="00B23145">
            <w:pPr>
              <w:jc w:val="both"/>
              <w:rPr>
                <w:iCs/>
                <w:sz w:val="24"/>
                <w:szCs w:val="24"/>
              </w:rPr>
            </w:pPr>
          </w:p>
          <w:p w14:paraId="0AD48FF5" w14:textId="71366D20" w:rsidR="00B23145" w:rsidRDefault="00B23145" w:rsidP="00B23145">
            <w:pPr>
              <w:jc w:val="both"/>
              <w:rPr>
                <w:iCs/>
                <w:sz w:val="24"/>
                <w:szCs w:val="24"/>
              </w:rPr>
            </w:pPr>
            <w:r w:rsidRPr="00B23145">
              <w:rPr>
                <w:iCs/>
                <w:sz w:val="24"/>
                <w:szCs w:val="24"/>
              </w:rPr>
              <w:t>This section will evaluate my experience following Gibb’s reflective model</w:t>
            </w:r>
            <w:r w:rsidR="003B44BC">
              <w:rPr>
                <w:iCs/>
                <w:sz w:val="24"/>
                <w:szCs w:val="24"/>
              </w:rPr>
              <w:t xml:space="preserve">. </w:t>
            </w:r>
            <w:r w:rsidRPr="00B23145">
              <w:rPr>
                <w:iCs/>
                <w:sz w:val="24"/>
                <w:szCs w:val="24"/>
              </w:rPr>
              <w:t xml:space="preserve">Reflecting on the safeguarding case of 1, several aspects of practice were particularly positive. A clear strength was the way multi-agency collaboration brought together different professional perspectives, ensuring that assessments were holistic and drew upon a wide range of expertise. The involvement of the health visitor, mental health team, drug and alcohol services, and legal professionals ensured that information was comprehensive, balanced, and </w:t>
            </w:r>
            <w:proofErr w:type="gramStart"/>
            <w:r w:rsidRPr="00B23145">
              <w:rPr>
                <w:iCs/>
                <w:sz w:val="24"/>
                <w:szCs w:val="24"/>
              </w:rPr>
              <w:t>child-centred</w:t>
            </w:r>
            <w:proofErr w:type="gramEnd"/>
            <w:r w:rsidRPr="00B23145">
              <w:rPr>
                <w:iCs/>
                <w:sz w:val="24"/>
                <w:szCs w:val="24"/>
              </w:rPr>
              <w:t>. This collaborative working reflects statutory guidance in the Wales Safeguarding Procedures (2019), which emphasises that safeguarding responsibilities are shared across agencies and that collective decision-making is essential in complex cases.</w:t>
            </w:r>
            <w:r w:rsidR="003B44BC">
              <w:rPr>
                <w:iCs/>
                <w:sz w:val="24"/>
                <w:szCs w:val="24"/>
              </w:rPr>
              <w:t xml:space="preserve"> </w:t>
            </w:r>
            <w:r w:rsidRPr="00B23145">
              <w:rPr>
                <w:iCs/>
                <w:sz w:val="24"/>
                <w:szCs w:val="24"/>
              </w:rPr>
              <w:t>An example of this was the professional disagreement between the mental health team and the psychological assessment findings. The mental health team, having worked closely with the mother, advocated for 1 to be returned to her care. Their perspective reflected their therapeutic role and a focus on the mother’s potential for recovery. In contrast, the psychological assessment demonstrated that the mother remained a moderate risk to 1 and required CBT therapy before her parenting capacity could be safely reconsidered. This presented an ethical and professional dilemma for me.</w:t>
            </w:r>
            <w:r w:rsidR="00921DE9">
              <w:rPr>
                <w:iCs/>
                <w:sz w:val="24"/>
                <w:szCs w:val="24"/>
              </w:rPr>
              <w:t xml:space="preserve"> </w:t>
            </w:r>
            <w:r w:rsidRPr="00B23145">
              <w:rPr>
                <w:iCs/>
                <w:sz w:val="24"/>
                <w:szCs w:val="24"/>
              </w:rPr>
              <w:t xml:space="preserve">I respected the views of the mental health team, acknowledging the value of their close therapeutic relationship with the mother and the insight this gave them into her progress. Recognising their expertise was important in maintaining positive collaborative relationships and ensuring the parents felt supported by a consistent </w:t>
            </w:r>
            <w:r w:rsidRPr="00B23145">
              <w:rPr>
                <w:iCs/>
                <w:sz w:val="24"/>
                <w:szCs w:val="24"/>
              </w:rPr>
              <w:lastRenderedPageBreak/>
              <w:t>professional network. However, my responsibility was ultimately to prioritise 1’s safety. I therefore decided to follow the recommendations of the psychological assessment, which carried a higher level of specialist expertise in assessing risk and parenting capacity. This decision demonstrated the importance of exercising professional judgment, balancing respect for colleagues with the need to ensure decisions are evidence-based, proportionate, and defensible. This decision also involved navigating an ethical dilemma: being honest with the parents about the risks identified, while trying to maintain a constructive relationship with them.</w:t>
            </w:r>
          </w:p>
          <w:p w14:paraId="468C0825" w14:textId="77777777" w:rsidR="00921DE9" w:rsidRPr="00B23145" w:rsidRDefault="00921DE9" w:rsidP="00B23145">
            <w:pPr>
              <w:jc w:val="both"/>
              <w:rPr>
                <w:iCs/>
                <w:sz w:val="24"/>
                <w:szCs w:val="24"/>
              </w:rPr>
            </w:pPr>
          </w:p>
          <w:p w14:paraId="17A36161" w14:textId="77777777" w:rsidR="00B23145" w:rsidRDefault="00B23145" w:rsidP="00B23145">
            <w:pPr>
              <w:jc w:val="both"/>
              <w:rPr>
                <w:iCs/>
                <w:sz w:val="24"/>
                <w:szCs w:val="24"/>
              </w:rPr>
            </w:pPr>
            <w:r w:rsidRPr="00B23145">
              <w:rPr>
                <w:iCs/>
                <w:sz w:val="24"/>
                <w:szCs w:val="24"/>
              </w:rPr>
              <w:t>This experience highlighted both strengths and challenges in collaborative practice. On the one hand, the open sharing of different perspectives enriched the assessment process and allowed for critical reflection on risk. On the other hand, the divergence of professional views created tension and the potential for conflict. I found this difficult to navigate, as I wanted to maintain positive working relationships while also ensuring the child’s welfare was paramount. By acknowledging and respecting the mental health team’s contribution while transparently explaining why I gave greater weight to the psychological assessment, I was able to balance collaboration with professional accountability.</w:t>
            </w:r>
          </w:p>
          <w:p w14:paraId="697096E5" w14:textId="77777777" w:rsidR="00921DE9" w:rsidRPr="00B23145" w:rsidRDefault="00921DE9" w:rsidP="00B23145">
            <w:pPr>
              <w:jc w:val="both"/>
              <w:rPr>
                <w:iCs/>
                <w:sz w:val="24"/>
                <w:szCs w:val="24"/>
              </w:rPr>
            </w:pPr>
          </w:p>
          <w:p w14:paraId="71DB82A1" w14:textId="77777777" w:rsidR="00B23145" w:rsidRDefault="00B23145" w:rsidP="00B23145">
            <w:pPr>
              <w:jc w:val="both"/>
              <w:rPr>
                <w:iCs/>
                <w:sz w:val="24"/>
                <w:szCs w:val="24"/>
              </w:rPr>
            </w:pPr>
            <w:r w:rsidRPr="00B23145">
              <w:rPr>
                <w:iCs/>
                <w:sz w:val="24"/>
                <w:szCs w:val="24"/>
              </w:rPr>
              <w:t>Another strength of practice was the use of structured assessment tools such as the CUBAS parenting assessment, the ability to protect assessment for the father, and the mother’s psychological assessment. These tools provided clear, evidence-based insights into risk, protective factors, and parental capacity. They also reduced the likelihood of bias or over-reliance on subjective judgment, ensuring that my decisions could be justified if challenged in court. These approaches promote transparent decision-making, minimise subjectivity and bias, and enhance accountability, aligning with the 4D2P TEDAM framework (2021) for defensible decision-making in complex child protection cases by systematically evaluating potential outcomes and risks.</w:t>
            </w:r>
          </w:p>
          <w:p w14:paraId="51C6FAC3" w14:textId="77777777" w:rsidR="00921DE9" w:rsidRPr="00B23145" w:rsidRDefault="00921DE9" w:rsidP="00B23145">
            <w:pPr>
              <w:jc w:val="both"/>
              <w:rPr>
                <w:iCs/>
                <w:sz w:val="24"/>
                <w:szCs w:val="24"/>
              </w:rPr>
            </w:pPr>
          </w:p>
          <w:p w14:paraId="0D2F43C4" w14:textId="77777777" w:rsidR="00B23145" w:rsidRDefault="00B23145" w:rsidP="00B23145">
            <w:pPr>
              <w:jc w:val="both"/>
              <w:rPr>
                <w:iCs/>
                <w:sz w:val="24"/>
                <w:szCs w:val="24"/>
              </w:rPr>
            </w:pPr>
            <w:r w:rsidRPr="00B23145">
              <w:rPr>
                <w:iCs/>
                <w:sz w:val="24"/>
                <w:szCs w:val="24"/>
              </w:rPr>
              <w:t>However, the case also revealed challenges. Professional disagreements at times created uncertainty, particularly when agencies held different views on thresholds of risk. In addition, systemic resource limitations, such as the lack of local foster placements and the absence of parent-and-baby units suitable for parents with complex needs. This restricted the range of possible interventions. These challenges highlighted the wider structural inequalities in Welsh safeguarding practice, where geography, resource availability, and socio-economic disadvantage can shape outcomes for children and families. At this point, it is important to engage with Tedam’s question of whether professional practice is genuinely “disrupting” oppression or inadvertently allowing it to replicate, as this perspective invites deeper reflection on how responses to resource limitations might reinforce structural inequalities rather than challenge them (Tedam, 2021).</w:t>
            </w:r>
          </w:p>
          <w:p w14:paraId="5A7D3228" w14:textId="77777777" w:rsidR="00921DE9" w:rsidRPr="00B23145" w:rsidRDefault="00921DE9" w:rsidP="00B23145">
            <w:pPr>
              <w:jc w:val="both"/>
              <w:rPr>
                <w:iCs/>
                <w:sz w:val="24"/>
                <w:szCs w:val="24"/>
              </w:rPr>
            </w:pPr>
          </w:p>
          <w:p w14:paraId="6947719E" w14:textId="77777777" w:rsidR="00B23145" w:rsidRPr="00B23145" w:rsidRDefault="00B23145" w:rsidP="00B23145">
            <w:pPr>
              <w:jc w:val="both"/>
              <w:rPr>
                <w:iCs/>
                <w:sz w:val="24"/>
                <w:szCs w:val="24"/>
              </w:rPr>
            </w:pPr>
            <w:r w:rsidRPr="00B23145">
              <w:rPr>
                <w:iCs/>
                <w:sz w:val="24"/>
                <w:szCs w:val="24"/>
              </w:rPr>
              <w:t>Overall, the evaluation demonstrates that while the case of 1 was marked by significant challenges, it also reflected good practice in terms of multi-agency collaboration, child-centred decision-making, and evidence-based assessments. The decision to prioritise the psychological assessment over the mental health team’s recommendation was difficult but necessary to ensure that safeguarding decisions remained transparent, defensible, and focused on 1’s safety and well-being.</w:t>
            </w:r>
          </w:p>
          <w:p w14:paraId="516AC1F1" w14:textId="77777777" w:rsidR="00921DE9" w:rsidRDefault="00921DE9" w:rsidP="00B23145">
            <w:pPr>
              <w:jc w:val="both"/>
              <w:rPr>
                <w:iCs/>
                <w:sz w:val="24"/>
                <w:szCs w:val="24"/>
              </w:rPr>
            </w:pPr>
          </w:p>
          <w:p w14:paraId="1FE5D4E7" w14:textId="52B979F7" w:rsidR="00B23145" w:rsidRPr="00B23145" w:rsidRDefault="00921DE9" w:rsidP="00B23145">
            <w:pPr>
              <w:jc w:val="both"/>
              <w:rPr>
                <w:iCs/>
                <w:sz w:val="24"/>
                <w:szCs w:val="24"/>
              </w:rPr>
            </w:pPr>
            <w:r>
              <w:rPr>
                <w:iCs/>
                <w:sz w:val="24"/>
                <w:szCs w:val="24"/>
              </w:rPr>
              <w:t xml:space="preserve">In this section I will provide an analysis using Gibb’s reflective model. </w:t>
            </w:r>
            <w:r w:rsidR="00B23145" w:rsidRPr="00B23145">
              <w:rPr>
                <w:iCs/>
                <w:sz w:val="24"/>
                <w:szCs w:val="24"/>
              </w:rPr>
              <w:t>The safeguarding case of 1 illustrates the complex interplay between legislative requirements, professional judgment, theoretical frameworks, and multi-agency collaboration in child protection practice in Wales. Several key factors contributed to the decisions made and the outcomes achieved, which can be understood through the lens of social work theory and evidence-based practice.</w:t>
            </w:r>
          </w:p>
          <w:p w14:paraId="3F69C1AE" w14:textId="77777777" w:rsidR="00921DE9" w:rsidRDefault="00921DE9" w:rsidP="00B23145">
            <w:pPr>
              <w:jc w:val="both"/>
              <w:rPr>
                <w:iCs/>
                <w:sz w:val="24"/>
                <w:szCs w:val="24"/>
              </w:rPr>
            </w:pPr>
          </w:p>
          <w:p w14:paraId="4F257191" w14:textId="7B31C544" w:rsidR="00B23145" w:rsidRPr="00B23145" w:rsidRDefault="00B23145" w:rsidP="00B23145">
            <w:pPr>
              <w:jc w:val="both"/>
              <w:rPr>
                <w:iCs/>
                <w:sz w:val="24"/>
                <w:szCs w:val="24"/>
              </w:rPr>
            </w:pPr>
            <w:r w:rsidRPr="00B23145">
              <w:rPr>
                <w:iCs/>
                <w:sz w:val="24"/>
                <w:szCs w:val="24"/>
              </w:rPr>
              <w:t>The case was framed by statutory duties under the Children Act 1989 (s.47, s.76, s.38) and the Social Services and Well-being (Wales) Act 2014 (s.21). These laws require local authorities to act when a child is at risk of significant harm and to ensure assessments and interventions are child-centred, proportionate, and timely. The Wales Safeguarding Procedures (2019) reinforced the need for coordinated multi-agency responses, providing a structured process for investigations, risk assessment, and care planning. These legislative frameworks shaped both the assessment process and the decision to follow the psychological assessment’s recommendation over the mental health team’s view. By grounding decisions in statutory guidance, I ensured interventions were defensible, transparent, and aligned with professional expectations.</w:t>
            </w:r>
          </w:p>
          <w:p w14:paraId="5B0E5486" w14:textId="77777777" w:rsidR="00921DE9" w:rsidRDefault="00921DE9" w:rsidP="00B23145">
            <w:pPr>
              <w:jc w:val="both"/>
              <w:rPr>
                <w:iCs/>
                <w:sz w:val="24"/>
                <w:szCs w:val="24"/>
              </w:rPr>
            </w:pPr>
          </w:p>
          <w:p w14:paraId="6A82A4BC" w14:textId="1D4AD65C" w:rsidR="00B23145" w:rsidRPr="00B23145" w:rsidRDefault="00B23145" w:rsidP="00B23145">
            <w:pPr>
              <w:jc w:val="both"/>
              <w:rPr>
                <w:iCs/>
                <w:sz w:val="24"/>
                <w:szCs w:val="24"/>
              </w:rPr>
            </w:pPr>
            <w:r w:rsidRPr="00B23145">
              <w:rPr>
                <w:iCs/>
                <w:sz w:val="24"/>
                <w:szCs w:val="24"/>
              </w:rPr>
              <w:t>The assessments conducted including the CUBAS parenting assessments, the father’s Ability to Protect assessment, and the mother’s psychological assessment, highlighted a mixture of risk and protective factors. The father’s inability to recognise risks associated with the mother, alongside his cognitive limitations, indicated high vulnerability for 1. The mother’s moderate risk level, identified in the psychological assessment, further demonstrated that the parents could not safely meet 1’s needs at that time. Using the 4D2P TEDAM framework (2021) for defensible decision-making, I was able to synthesise these multiple sources of information to evaluate both risks and potential protective factors systematically. The TEDAM framework guided my professional judgment, helping me to prioritise interventions, allocate resources effectively, and make legally and ethically defensible recommendations.</w:t>
            </w:r>
          </w:p>
          <w:p w14:paraId="489AD27C" w14:textId="77777777" w:rsidR="00921DE9" w:rsidRDefault="00921DE9" w:rsidP="00B23145">
            <w:pPr>
              <w:jc w:val="both"/>
              <w:rPr>
                <w:iCs/>
                <w:sz w:val="24"/>
                <w:szCs w:val="24"/>
              </w:rPr>
            </w:pPr>
          </w:p>
          <w:p w14:paraId="30F6B111" w14:textId="673A74AC" w:rsidR="00B23145" w:rsidRPr="00B23145" w:rsidRDefault="00B23145" w:rsidP="00B23145">
            <w:pPr>
              <w:jc w:val="both"/>
              <w:rPr>
                <w:iCs/>
                <w:sz w:val="24"/>
                <w:szCs w:val="24"/>
              </w:rPr>
            </w:pPr>
            <w:r w:rsidRPr="00B23145">
              <w:rPr>
                <w:iCs/>
                <w:sz w:val="24"/>
                <w:szCs w:val="24"/>
              </w:rPr>
              <w:t>Attachment theory (Bowlby, 1969; Ainsworth, 1978) was central in understanding the importance of secure relational development for 1. Observations during supervised contact demonstrated that both parents could respond to 1’s basic needs ability to prepare formula milk, feed, change nappies, provide stimulation, and express warmth and affection without any prompting. Yet the short duration and structured nature of sessions indicated that risk remained. Attachment theory reinforced the rationale for structured, supervised contact and ultimately for the decision to pursue adoption, balancing 1’s need for stable attachments with ongoing opportunities to maintain family connections safely.</w:t>
            </w:r>
          </w:p>
          <w:p w14:paraId="4E541FB2" w14:textId="77777777" w:rsidR="00921DE9" w:rsidRDefault="00921DE9" w:rsidP="00B23145">
            <w:pPr>
              <w:jc w:val="both"/>
              <w:rPr>
                <w:iCs/>
                <w:sz w:val="24"/>
                <w:szCs w:val="24"/>
              </w:rPr>
            </w:pPr>
          </w:p>
          <w:p w14:paraId="02F39AD1" w14:textId="1D332661" w:rsidR="00B23145" w:rsidRPr="00B23145" w:rsidRDefault="00B23145" w:rsidP="00B23145">
            <w:pPr>
              <w:jc w:val="both"/>
              <w:rPr>
                <w:iCs/>
                <w:sz w:val="24"/>
                <w:szCs w:val="24"/>
              </w:rPr>
            </w:pPr>
            <w:r w:rsidRPr="00B23145">
              <w:rPr>
                <w:iCs/>
                <w:sz w:val="24"/>
                <w:szCs w:val="24"/>
              </w:rPr>
              <w:t>Trauma-informed practice (UK Government, 2022) was applied to understand both parents’ histories of adverse childhood experiences (ACEs). Both had been exposed to neglect, domestic violence, and parental substance misuse, which increased the likelihood of intergenerational transmission of harm (</w:t>
            </w:r>
            <w:proofErr w:type="spellStart"/>
            <w:r w:rsidRPr="00B23145">
              <w:rPr>
                <w:iCs/>
                <w:sz w:val="24"/>
                <w:szCs w:val="24"/>
              </w:rPr>
              <w:t>Felitti</w:t>
            </w:r>
            <w:proofErr w:type="spellEnd"/>
            <w:r w:rsidRPr="00B23145">
              <w:rPr>
                <w:iCs/>
                <w:sz w:val="24"/>
                <w:szCs w:val="24"/>
              </w:rPr>
              <w:t xml:space="preserve"> et al., 1998; Hughes et al., 2017). Recognising the impact of trauma allowed interventions, including parenting support to be delivered in a way to support them to understand. It also informed communication strategies during supervised contact, ensuring that interactions were sensitive and empowering.</w:t>
            </w:r>
          </w:p>
          <w:p w14:paraId="0A7D21F4" w14:textId="77777777" w:rsidR="00921DE9" w:rsidRDefault="00921DE9" w:rsidP="00B23145">
            <w:pPr>
              <w:jc w:val="both"/>
              <w:rPr>
                <w:iCs/>
                <w:sz w:val="24"/>
                <w:szCs w:val="24"/>
              </w:rPr>
            </w:pPr>
          </w:p>
          <w:p w14:paraId="5686FBE5" w14:textId="1046E2F2" w:rsidR="00B23145" w:rsidRPr="00B23145" w:rsidRDefault="00B23145" w:rsidP="00B23145">
            <w:pPr>
              <w:jc w:val="both"/>
              <w:rPr>
                <w:iCs/>
                <w:sz w:val="24"/>
                <w:szCs w:val="24"/>
              </w:rPr>
            </w:pPr>
            <w:r w:rsidRPr="00B23145">
              <w:rPr>
                <w:iCs/>
                <w:sz w:val="24"/>
                <w:szCs w:val="24"/>
              </w:rPr>
              <w:lastRenderedPageBreak/>
              <w:t>Systemic and ecological theories (Bronfenbrenner, 1979; Burnham, 2005) helped to contextualise parental behaviour within broader social networks, environmental stressors, and community resources. For example, the rural foster placement and lack of parent-and-baby units highlighted structural challenges that influenced the practicality of interventions. Understanding these systemic factors informed proportionate planning and highlighted the need for flexibility and creativity in safeguarding strategies.</w:t>
            </w:r>
          </w:p>
          <w:p w14:paraId="1E81EF84" w14:textId="77777777" w:rsidR="00921DE9" w:rsidRDefault="00921DE9" w:rsidP="00B23145">
            <w:pPr>
              <w:jc w:val="both"/>
              <w:rPr>
                <w:iCs/>
                <w:sz w:val="24"/>
                <w:szCs w:val="24"/>
              </w:rPr>
            </w:pPr>
          </w:p>
          <w:p w14:paraId="137A7456" w14:textId="0843723B" w:rsidR="00B23145" w:rsidRPr="00B23145" w:rsidRDefault="00B23145" w:rsidP="00B23145">
            <w:pPr>
              <w:jc w:val="both"/>
              <w:rPr>
                <w:iCs/>
                <w:sz w:val="24"/>
                <w:szCs w:val="24"/>
              </w:rPr>
            </w:pPr>
            <w:r w:rsidRPr="00B23145">
              <w:rPr>
                <w:iCs/>
                <w:sz w:val="24"/>
                <w:szCs w:val="24"/>
              </w:rPr>
              <w:t>Resilience theory (Fergus &amp; Zimmerman, 2005) complemented systemic approaches by emphasising protective factors. The parents’ engagement with professionals, punctuality, preparation for contact sessions, and demonstrated affection for 1 were potential protective factors. Integrating these observations allowed for proportionate interventions, such as supervised contact which maintained family involvement while prioritising 1’s safety.</w:t>
            </w:r>
          </w:p>
          <w:p w14:paraId="50A17DA0" w14:textId="77777777" w:rsidR="00921DE9" w:rsidRDefault="00921DE9" w:rsidP="00B23145">
            <w:pPr>
              <w:jc w:val="both"/>
              <w:rPr>
                <w:iCs/>
                <w:sz w:val="24"/>
                <w:szCs w:val="24"/>
              </w:rPr>
            </w:pPr>
          </w:p>
          <w:p w14:paraId="5BCDC030" w14:textId="7EB714AF" w:rsidR="00B23145" w:rsidRPr="00B23145" w:rsidRDefault="00B23145" w:rsidP="00B23145">
            <w:pPr>
              <w:jc w:val="both"/>
              <w:rPr>
                <w:iCs/>
                <w:sz w:val="24"/>
                <w:szCs w:val="24"/>
              </w:rPr>
            </w:pPr>
            <w:r w:rsidRPr="00B23145">
              <w:rPr>
                <w:iCs/>
                <w:sz w:val="24"/>
                <w:szCs w:val="24"/>
              </w:rPr>
              <w:t>Anti-oppressive practice underpinned the analysis by encouraging critical reflection on personal biases and systemic inequalities. Awareness of socio-economic disadvantage, mental health stigma, and previous parental history ensured that assessments focused on current parenting capacity rather than assumptions, stereotypes, or intergenerational disadvantage. By applying anti-oppressive principles, I was able to maintain professional curiosity, challenge potential biases, and advocate effectively for 1.</w:t>
            </w:r>
          </w:p>
          <w:p w14:paraId="7A4AF1F8" w14:textId="77777777" w:rsidR="00921DE9" w:rsidRDefault="00921DE9" w:rsidP="00B23145">
            <w:pPr>
              <w:jc w:val="both"/>
              <w:rPr>
                <w:iCs/>
                <w:sz w:val="24"/>
                <w:szCs w:val="24"/>
              </w:rPr>
            </w:pPr>
          </w:p>
          <w:p w14:paraId="7F52CD12" w14:textId="3C6B4536" w:rsidR="00B23145" w:rsidRPr="00B23145" w:rsidRDefault="00B23145" w:rsidP="00B23145">
            <w:pPr>
              <w:jc w:val="both"/>
              <w:rPr>
                <w:iCs/>
                <w:sz w:val="24"/>
                <w:szCs w:val="24"/>
              </w:rPr>
            </w:pPr>
            <w:r w:rsidRPr="00B23145">
              <w:rPr>
                <w:iCs/>
                <w:sz w:val="24"/>
                <w:szCs w:val="24"/>
              </w:rPr>
              <w:t>The disagreement between the mental health team and the psychological assessment exemplified the necessity of professional judgment within a multi-agency context. Respecting the mental health team’s view ensured collaborative relationships were maintained and that the parents felt supported. However, prioritising the structured, evidence-based psychological assessment ensured that the decision-making process was defensible, child-centred, and grounded in the highest level of specialist expertise. This demonstrates the importance of balancing collaboration, professional authority, and ethical responsibility in complex safeguarding cases.</w:t>
            </w:r>
          </w:p>
          <w:p w14:paraId="006F8306" w14:textId="77777777" w:rsidR="00921DE9" w:rsidRDefault="00921DE9" w:rsidP="00B23145">
            <w:pPr>
              <w:jc w:val="both"/>
              <w:rPr>
                <w:iCs/>
                <w:sz w:val="24"/>
                <w:szCs w:val="24"/>
              </w:rPr>
            </w:pPr>
          </w:p>
          <w:p w14:paraId="2692315D" w14:textId="1551DBF2" w:rsidR="00B23145" w:rsidRPr="00B23145" w:rsidRDefault="00B23145" w:rsidP="00B23145">
            <w:pPr>
              <w:jc w:val="both"/>
              <w:rPr>
                <w:iCs/>
                <w:sz w:val="24"/>
                <w:szCs w:val="24"/>
              </w:rPr>
            </w:pPr>
            <w:r w:rsidRPr="00B23145">
              <w:rPr>
                <w:iCs/>
                <w:sz w:val="24"/>
                <w:szCs w:val="24"/>
              </w:rPr>
              <w:t>The decisions made to implement supervised contact, Section 76 accommodation, Interim Care Order, and eventual placement order for adoption were informed by integrating theory, evidence, and statutory guidance. Structured assessments and observations provided an evidence base, while multi-agency input ensured that decisions were holistic. Using professional judgment grounded in defensible frameworks enabled proportionate, ethical, and child-centred interventions.</w:t>
            </w:r>
          </w:p>
          <w:p w14:paraId="59D8484F" w14:textId="77777777" w:rsidR="00921DE9" w:rsidRDefault="00921DE9" w:rsidP="00B23145">
            <w:pPr>
              <w:jc w:val="both"/>
              <w:rPr>
                <w:iCs/>
                <w:sz w:val="24"/>
                <w:szCs w:val="24"/>
              </w:rPr>
            </w:pPr>
          </w:p>
          <w:p w14:paraId="517C8025" w14:textId="510221D2" w:rsidR="00B23145" w:rsidRPr="00B23145" w:rsidRDefault="00B23145" w:rsidP="00B23145">
            <w:pPr>
              <w:jc w:val="both"/>
              <w:rPr>
                <w:iCs/>
                <w:sz w:val="24"/>
                <w:szCs w:val="24"/>
              </w:rPr>
            </w:pPr>
            <w:r w:rsidRPr="00B23145">
              <w:rPr>
                <w:iCs/>
                <w:sz w:val="24"/>
                <w:szCs w:val="24"/>
              </w:rPr>
              <w:t>Overall, the analysis shows that the outcomes were not determined by a single factor but by the interplay of risk assessments, theoretical understanding, statutory duties, and collaborative professional reasoning. The application of social work theory allowed me to understand why the parents could not meet 1’s needs safely and how interventions could be designed to minimise harm while supporting parental involvement where possible.</w:t>
            </w:r>
          </w:p>
          <w:p w14:paraId="15605611" w14:textId="77777777" w:rsidR="00921DE9" w:rsidRDefault="00921DE9" w:rsidP="00B23145">
            <w:pPr>
              <w:jc w:val="both"/>
              <w:rPr>
                <w:iCs/>
                <w:sz w:val="24"/>
                <w:szCs w:val="24"/>
              </w:rPr>
            </w:pPr>
          </w:p>
          <w:p w14:paraId="12B6D94E" w14:textId="7D6918EA" w:rsidR="00B23145" w:rsidRDefault="00921DE9" w:rsidP="00B23145">
            <w:pPr>
              <w:jc w:val="both"/>
              <w:rPr>
                <w:iCs/>
                <w:sz w:val="24"/>
                <w:szCs w:val="24"/>
              </w:rPr>
            </w:pPr>
            <w:r>
              <w:rPr>
                <w:iCs/>
                <w:sz w:val="24"/>
                <w:szCs w:val="24"/>
              </w:rPr>
              <w:t xml:space="preserve">This section will provide a conclusion following Gibb’s reflective model. </w:t>
            </w:r>
            <w:r w:rsidR="00B23145" w:rsidRPr="00B23145">
              <w:rPr>
                <w:iCs/>
                <w:sz w:val="24"/>
                <w:szCs w:val="24"/>
              </w:rPr>
              <w:t xml:space="preserve">Reflecting on the safeguarding case of 1 has reinforced several critical learning points about professional practice in complex child protection situations in Wales. Firstly, I have learned the importance of integrating legislative knowledge, professional judgment, and social work theory to inform </w:t>
            </w:r>
            <w:r w:rsidR="00B23145" w:rsidRPr="00B23145">
              <w:rPr>
                <w:iCs/>
                <w:sz w:val="24"/>
                <w:szCs w:val="24"/>
              </w:rPr>
              <w:lastRenderedPageBreak/>
              <w:t>decisions. The case illustrated how statutory duties under the Children Act 1989 (s.47, s.76, s.38), the Social Services and Well-being (Wales) Act 2014 (s.21), and the Wales Safeguarding Procedures (2019) provided the legal framework for interventions. Applying theories such as attachment, trauma-informed practice, systemic, ecological, and resilience models enabled me to understand 1’s needs in context, assess parental capacity, and develop proportionate interventions. This integration ensured that my decisions were both defensible and ethically sound.</w:t>
            </w:r>
          </w:p>
          <w:p w14:paraId="648BBEA4" w14:textId="77777777" w:rsidR="00921DE9" w:rsidRPr="00B23145" w:rsidRDefault="00921DE9" w:rsidP="00B23145">
            <w:pPr>
              <w:jc w:val="both"/>
              <w:rPr>
                <w:iCs/>
                <w:sz w:val="24"/>
                <w:szCs w:val="24"/>
              </w:rPr>
            </w:pPr>
          </w:p>
          <w:p w14:paraId="0BBB2FE6" w14:textId="77777777" w:rsidR="00B23145" w:rsidRDefault="00B23145" w:rsidP="00B23145">
            <w:pPr>
              <w:jc w:val="both"/>
              <w:rPr>
                <w:iCs/>
                <w:sz w:val="24"/>
                <w:szCs w:val="24"/>
              </w:rPr>
            </w:pPr>
            <w:r w:rsidRPr="00B23145">
              <w:rPr>
                <w:iCs/>
                <w:sz w:val="24"/>
                <w:szCs w:val="24"/>
              </w:rPr>
              <w:t>Secondly, the experience highlighted the value of professional judgment in multi-agency contexts. While I respected the mental health team’s advocacy for the mother, I exercised professional judgment by prioritising the structured psychological assessment due to its higher level of specialist expertise and evidence-based findings. This demonstrated the importance of balancing collaboration with accountability, ensuring that child-centred decisions are grounded in expertise and risk-informed analysis. Respecting other professionals’ views while making a defensible decision reinforced my understanding of shared decision-making, reflective practice, and ethical responsibility in safeguarding.</w:t>
            </w:r>
          </w:p>
          <w:p w14:paraId="66E438C7" w14:textId="77777777" w:rsidR="00921DE9" w:rsidRPr="00B23145" w:rsidRDefault="00921DE9" w:rsidP="00B23145">
            <w:pPr>
              <w:jc w:val="both"/>
              <w:rPr>
                <w:iCs/>
                <w:sz w:val="24"/>
                <w:szCs w:val="24"/>
              </w:rPr>
            </w:pPr>
          </w:p>
          <w:p w14:paraId="272944A0" w14:textId="77777777" w:rsidR="00B23145" w:rsidRPr="00B23145" w:rsidRDefault="00B23145" w:rsidP="00B23145">
            <w:pPr>
              <w:jc w:val="both"/>
              <w:rPr>
                <w:iCs/>
                <w:sz w:val="24"/>
                <w:szCs w:val="24"/>
              </w:rPr>
            </w:pPr>
            <w:r w:rsidRPr="00B23145">
              <w:rPr>
                <w:iCs/>
                <w:sz w:val="24"/>
                <w:szCs w:val="24"/>
              </w:rPr>
              <w:t>Thirdly, the case emphasised the role of child-centred practice and proportionality. Supervised contact, safety plans, and contracts of expectations ensured that 1’s safety was prioritised while maintaining opportunities for positive parental engagement. Decisions were made in line with UNCRC principles, the Human Rights Act 1998, and Welsh-specific guidance, demonstrating the necessity of embedding rights-based approaches in safeguarding practice.</w:t>
            </w:r>
          </w:p>
          <w:p w14:paraId="753A7F32" w14:textId="77777777" w:rsidR="00B23145" w:rsidRDefault="00B23145" w:rsidP="00B23145">
            <w:pPr>
              <w:jc w:val="both"/>
              <w:rPr>
                <w:iCs/>
                <w:sz w:val="24"/>
                <w:szCs w:val="24"/>
              </w:rPr>
            </w:pPr>
            <w:r w:rsidRPr="00B23145">
              <w:rPr>
                <w:iCs/>
                <w:sz w:val="24"/>
                <w:szCs w:val="24"/>
              </w:rPr>
              <w:t>Additionally, the case underscored the importance of reflective practice and self-awareness. By acknowledging my emotional responses, including empathy, professional anxiety, and frustration. I was also able to maintain professional boundaries, identify potential biases, and ensure my judgments remained focused on the 1’s welfare. Supervision, reflective tools, and structured assessment frameworks such as TEDAM supported defensible and ethically sound decision-making, reinforcing the value of continuous reflection in complex cases.</w:t>
            </w:r>
          </w:p>
          <w:p w14:paraId="614893FE" w14:textId="77777777" w:rsidR="00921DE9" w:rsidRPr="00B23145" w:rsidRDefault="00921DE9" w:rsidP="00B23145">
            <w:pPr>
              <w:jc w:val="both"/>
              <w:rPr>
                <w:iCs/>
                <w:sz w:val="24"/>
                <w:szCs w:val="24"/>
              </w:rPr>
            </w:pPr>
          </w:p>
          <w:p w14:paraId="602E8F88" w14:textId="77777777" w:rsidR="00B23145" w:rsidRDefault="00B23145" w:rsidP="00B23145">
            <w:pPr>
              <w:jc w:val="both"/>
              <w:rPr>
                <w:iCs/>
                <w:sz w:val="24"/>
                <w:szCs w:val="24"/>
              </w:rPr>
            </w:pPr>
            <w:r w:rsidRPr="00B23145">
              <w:rPr>
                <w:iCs/>
                <w:sz w:val="24"/>
                <w:szCs w:val="24"/>
              </w:rPr>
              <w:t>Finally, the experience highlighted the practical challenges of safeguarding in Wales, including geographical barriers, limited local foster placements, and socio-economic factors that affect parental capacity. Understanding these structural influences allowed me to plan interventions that were proportionate, flexible, and contextually informed, reflecting systemic and ecological perspectives in practice.</w:t>
            </w:r>
          </w:p>
          <w:p w14:paraId="2F3EB22A" w14:textId="77777777" w:rsidR="00921DE9" w:rsidRPr="00B23145" w:rsidRDefault="00921DE9" w:rsidP="00B23145">
            <w:pPr>
              <w:jc w:val="both"/>
              <w:rPr>
                <w:iCs/>
                <w:sz w:val="24"/>
                <w:szCs w:val="24"/>
              </w:rPr>
            </w:pPr>
          </w:p>
          <w:p w14:paraId="754543AC" w14:textId="77777777" w:rsidR="00B23145" w:rsidRDefault="00B23145" w:rsidP="00B23145">
            <w:pPr>
              <w:jc w:val="both"/>
              <w:rPr>
                <w:iCs/>
                <w:sz w:val="24"/>
                <w:szCs w:val="24"/>
              </w:rPr>
            </w:pPr>
            <w:r w:rsidRPr="00B23145">
              <w:rPr>
                <w:iCs/>
                <w:sz w:val="24"/>
                <w:szCs w:val="24"/>
              </w:rPr>
              <w:t>In summary, the safeguarding case of 1 has enhanced my knowledge, skills, and confidence in managing high-risk, complex child protection cases. I have developed a deeper understanding of how to integrate legislation, theory, multi-agency collaboration, and professional judgment to safeguard children effectively. This experience has reinforced my commitment to child-centred, evidence-informed, and ethically grounded practice, while also highlighting areas for ongoing professional development in supporting parents with trauma, mental health difficulties, and cognitive vulnerabilities.</w:t>
            </w:r>
          </w:p>
          <w:p w14:paraId="76FEB112" w14:textId="77777777" w:rsidR="00921DE9" w:rsidRPr="00B23145" w:rsidRDefault="00921DE9" w:rsidP="00B23145">
            <w:pPr>
              <w:jc w:val="both"/>
              <w:rPr>
                <w:iCs/>
                <w:sz w:val="24"/>
                <w:szCs w:val="24"/>
              </w:rPr>
            </w:pPr>
          </w:p>
          <w:p w14:paraId="6AF5AC11" w14:textId="3DCC2BC9" w:rsidR="00B23145" w:rsidRDefault="00B23145" w:rsidP="00B23145">
            <w:pPr>
              <w:jc w:val="both"/>
              <w:rPr>
                <w:iCs/>
                <w:sz w:val="24"/>
                <w:szCs w:val="24"/>
              </w:rPr>
            </w:pPr>
            <w:r w:rsidRPr="00B23145">
              <w:rPr>
                <w:iCs/>
                <w:sz w:val="24"/>
                <w:szCs w:val="24"/>
              </w:rPr>
              <w:t>This section will discuss an action plan to develop my professional practice following Gibb’s reflective model</w:t>
            </w:r>
            <w:r w:rsidR="00921DE9">
              <w:rPr>
                <w:iCs/>
                <w:sz w:val="24"/>
                <w:szCs w:val="24"/>
              </w:rPr>
              <w:t xml:space="preserve">. </w:t>
            </w:r>
            <w:r w:rsidRPr="00B23145">
              <w:rPr>
                <w:iCs/>
                <w:sz w:val="24"/>
                <w:szCs w:val="24"/>
              </w:rPr>
              <w:t xml:space="preserve">Reflecting on 1’s safeguarding case, I identified key areas for continued professional development to strengthen my capacity in complex child protection work. First, I </w:t>
            </w:r>
            <w:r w:rsidRPr="00B23145">
              <w:rPr>
                <w:iCs/>
                <w:sz w:val="24"/>
                <w:szCs w:val="24"/>
              </w:rPr>
              <w:lastRenderedPageBreak/>
              <w:t xml:space="preserve">aim to deepen my understanding of parental vulnerabilities, particularly cognitive impairment, mental health difficulties, and Adverse Childhood Experiences (ACEs). I plan to undertake further training in trauma-informed practice and </w:t>
            </w:r>
            <w:proofErr w:type="gramStart"/>
            <w:r w:rsidRPr="00B23145">
              <w:rPr>
                <w:iCs/>
                <w:sz w:val="24"/>
                <w:szCs w:val="24"/>
              </w:rPr>
              <w:t>ACEs, and</w:t>
            </w:r>
            <w:proofErr w:type="gramEnd"/>
            <w:r w:rsidRPr="00B23145">
              <w:rPr>
                <w:iCs/>
                <w:sz w:val="24"/>
                <w:szCs w:val="24"/>
              </w:rPr>
              <w:t xml:space="preserve"> review current research and case law concerning safeguarding parents with psychological needs.</w:t>
            </w:r>
          </w:p>
          <w:p w14:paraId="2E28814E" w14:textId="77777777" w:rsidR="00921DE9" w:rsidRPr="00B23145" w:rsidRDefault="00921DE9" w:rsidP="00B23145">
            <w:pPr>
              <w:jc w:val="both"/>
              <w:rPr>
                <w:iCs/>
                <w:sz w:val="24"/>
                <w:szCs w:val="24"/>
              </w:rPr>
            </w:pPr>
          </w:p>
          <w:p w14:paraId="6DD6F4E5" w14:textId="62F560E1" w:rsidR="00B23145" w:rsidRDefault="00B23145" w:rsidP="00B23145">
            <w:pPr>
              <w:jc w:val="both"/>
              <w:rPr>
                <w:iCs/>
                <w:sz w:val="24"/>
                <w:szCs w:val="24"/>
              </w:rPr>
            </w:pPr>
            <w:r w:rsidRPr="00B23145">
              <w:rPr>
                <w:iCs/>
                <w:sz w:val="24"/>
                <w:szCs w:val="24"/>
              </w:rPr>
              <w:t>The case also highlighted the importance of effective multi-agency collaboration. Professional disagreements can arise even when all parties are committed to safeguarding, as was the case when the mental health team advocated for 1 to be returned to the mother while the psychological assessment indicated she remained a moderate risk. To enhance collaboration in future practice, I will develop my skills in negotiation, communication, and conflict resolution during multi-agency meetings, actively engage with all professionals’ perspectives while clearly articulating the rationale for my decisions, and document the reasoning behind interventions to ensure transparency and accountability.</w:t>
            </w:r>
          </w:p>
          <w:p w14:paraId="347103EE" w14:textId="77777777" w:rsidR="003B44BC" w:rsidRPr="00B23145" w:rsidRDefault="003B44BC" w:rsidP="00B23145">
            <w:pPr>
              <w:jc w:val="both"/>
              <w:rPr>
                <w:iCs/>
                <w:sz w:val="24"/>
                <w:szCs w:val="24"/>
              </w:rPr>
            </w:pPr>
          </w:p>
          <w:p w14:paraId="6A7DE49C" w14:textId="77777777" w:rsidR="00B23145" w:rsidRDefault="00B23145" w:rsidP="00B23145">
            <w:pPr>
              <w:jc w:val="both"/>
              <w:rPr>
                <w:iCs/>
                <w:sz w:val="24"/>
                <w:szCs w:val="24"/>
              </w:rPr>
            </w:pPr>
            <w:r w:rsidRPr="00B23145">
              <w:rPr>
                <w:iCs/>
                <w:sz w:val="24"/>
                <w:szCs w:val="24"/>
              </w:rPr>
              <w:t>Maintaining up-to-date knowledge of legislative and policy frameworks is also essential. Safeguarding in Wales requires constant awareness of evolving legislation, including the Social Services and Well-being (Wales) Act 2014, the Wales Safeguarding Procedures 2019, the Well-being of Future Generations (Wales) Act 2015, and the UNCRC (Wales) Act 2019. I will continue to stay informed of UK, EU, and international safeguarding frameworks to understand the interface between Wales and wider legal contexts and participate in professional networks and training offered by Social Care Wales to remain current in statutory duties and best practice guidance.</w:t>
            </w:r>
          </w:p>
          <w:p w14:paraId="06E9BA2B" w14:textId="77777777" w:rsidR="003B44BC" w:rsidRPr="00B23145" w:rsidRDefault="003B44BC" w:rsidP="00B23145">
            <w:pPr>
              <w:jc w:val="both"/>
              <w:rPr>
                <w:iCs/>
                <w:sz w:val="24"/>
                <w:szCs w:val="24"/>
              </w:rPr>
            </w:pPr>
          </w:p>
          <w:p w14:paraId="1F5E2CEB" w14:textId="4F97B29A" w:rsidR="00846B0C" w:rsidRPr="00B23145" w:rsidRDefault="00B23145" w:rsidP="00B23145">
            <w:pPr>
              <w:jc w:val="both"/>
              <w:rPr>
                <w:iCs/>
                <w:sz w:val="24"/>
                <w:szCs w:val="24"/>
              </w:rPr>
            </w:pPr>
            <w:r w:rsidRPr="00B23145">
              <w:rPr>
                <w:iCs/>
                <w:sz w:val="24"/>
                <w:szCs w:val="24"/>
              </w:rPr>
              <w:t>Embedding reflective practice and self-awareness remains a priority. The emotional complexity of 1’s case reinforced the need for critical reflection to manage bias, ethical dilemmas, and professional judgment. I will continue using structured tools such as Gibbs’ Reflective Cycle, engage in regular supervision, and seek feedback from colleagues to strengthen accountability, self-awareness, and professional growth.</w:t>
            </w:r>
          </w:p>
          <w:p w14:paraId="701D8D4D" w14:textId="38C2B218"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5445AF02" w:rsidR="00D3203C" w:rsidRPr="009D6BA0" w:rsidRDefault="003B44BC" w:rsidP="00FF7EBB">
            <w:pPr>
              <w:jc w:val="both"/>
              <w:rPr>
                <w:b/>
                <w:bCs/>
                <w:iCs/>
                <w:sz w:val="24"/>
                <w:szCs w:val="24"/>
              </w:rPr>
            </w:pPr>
            <w:r w:rsidRPr="009D6BA0">
              <w:rPr>
                <w:b/>
                <w:bCs/>
                <w:iCs/>
                <w:sz w:val="24"/>
                <w:szCs w:val="24"/>
              </w:rPr>
              <w:t>Word count: 4</w:t>
            </w:r>
            <w:r w:rsidR="00B630A3" w:rsidRPr="009D6BA0">
              <w:rPr>
                <w:b/>
                <w:bCs/>
                <w:iCs/>
                <w:sz w:val="24"/>
                <w:szCs w:val="24"/>
              </w:rPr>
              <w:t>383.</w:t>
            </w: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C4DB5" w14:textId="77777777" w:rsidR="00643C5F" w:rsidRDefault="00643C5F">
      <w:r>
        <w:separator/>
      </w:r>
    </w:p>
  </w:endnote>
  <w:endnote w:type="continuationSeparator" w:id="0">
    <w:p w14:paraId="15E20455" w14:textId="77777777" w:rsidR="00643C5F" w:rsidRDefault="00643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ADCFB" w14:textId="77777777" w:rsidR="00643C5F" w:rsidRDefault="00643C5F">
      <w:r>
        <w:separator/>
      </w:r>
    </w:p>
  </w:footnote>
  <w:footnote w:type="continuationSeparator" w:id="0">
    <w:p w14:paraId="19B18B91" w14:textId="77777777" w:rsidR="00643C5F" w:rsidRDefault="00643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3A4E"/>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31B8"/>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B44BC"/>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55066"/>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4189"/>
    <w:rsid w:val="004A5A64"/>
    <w:rsid w:val="004B5553"/>
    <w:rsid w:val="004B600B"/>
    <w:rsid w:val="004B6822"/>
    <w:rsid w:val="004B69F6"/>
    <w:rsid w:val="004C2D3A"/>
    <w:rsid w:val="004D03C4"/>
    <w:rsid w:val="004D0BF1"/>
    <w:rsid w:val="004D0F4E"/>
    <w:rsid w:val="004D202A"/>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7908"/>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3C5F"/>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23E0"/>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B0C"/>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3CF"/>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1DE9"/>
    <w:rsid w:val="00926436"/>
    <w:rsid w:val="00926C53"/>
    <w:rsid w:val="0093018C"/>
    <w:rsid w:val="0094495F"/>
    <w:rsid w:val="009544C0"/>
    <w:rsid w:val="00954FA4"/>
    <w:rsid w:val="00956AE9"/>
    <w:rsid w:val="00964CC6"/>
    <w:rsid w:val="00967BFA"/>
    <w:rsid w:val="0098262C"/>
    <w:rsid w:val="0098427C"/>
    <w:rsid w:val="00984E2B"/>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BA0"/>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13F6"/>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3145"/>
    <w:rsid w:val="00B24344"/>
    <w:rsid w:val="00B26769"/>
    <w:rsid w:val="00B2754B"/>
    <w:rsid w:val="00B31C91"/>
    <w:rsid w:val="00B3747F"/>
    <w:rsid w:val="00B42E76"/>
    <w:rsid w:val="00B43194"/>
    <w:rsid w:val="00B436BF"/>
    <w:rsid w:val="00B47734"/>
    <w:rsid w:val="00B50FBA"/>
    <w:rsid w:val="00B558EB"/>
    <w:rsid w:val="00B577D3"/>
    <w:rsid w:val="00B60466"/>
    <w:rsid w:val="00B630A3"/>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318B"/>
    <w:rsid w:val="00FF5F6A"/>
    <w:rsid w:val="00FF639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aragraph">
    <w:name w:val="paragraph"/>
    <w:basedOn w:val="Normal"/>
    <w:rsid w:val="00846B0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eop">
    <w:name w:val="eop"/>
    <w:basedOn w:val="DefaultParagraphFont"/>
    <w:rsid w:val="00846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BB6BA-F18C-4F3C-9124-D6778C0F78EC}">
  <ds:schemaRefs>
    <ds:schemaRef ds:uri="http://purl.org/dc/elements/1.1/"/>
    <ds:schemaRef ds:uri="http://schemas.microsoft.com/office/2006/metadata/properties"/>
    <ds:schemaRef ds:uri="26efbe58-47b3-4718-9b64-083ac342c32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9A7CCAFE-9F0B-480D-AAC8-3193164C8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4585</Words>
  <Characters>28842</Characters>
  <Application>Microsoft Office Word</Application>
  <DocSecurity>0</DocSecurity>
  <Lines>240</Lines>
  <Paragraphs>66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Harriett Coles</cp:lastModifiedBy>
  <cp:revision>3</cp:revision>
  <cp:lastPrinted>2020-02-11T19:20:00Z</cp:lastPrinted>
  <dcterms:created xsi:type="dcterms:W3CDTF">2025-10-07T14:31:00Z</dcterms:created>
  <dcterms:modified xsi:type="dcterms:W3CDTF">2025-10-07T19:02:00Z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ies>
</file>