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BFDDA7" w14:textId="75C274FC" w:rsidR="009C6079" w:rsidRPr="002A55D7" w:rsidRDefault="009C6079" w:rsidP="009C6079">
      <w:pPr>
        <w:spacing w:line="360" w:lineRule="auto"/>
        <w:jc w:val="both"/>
        <w:rPr>
          <w:rFonts w:ascii="Arial" w:hAnsi="Arial" w:cs="Arial"/>
          <w:b/>
          <w:bCs/>
        </w:rPr>
      </w:pPr>
      <w:r w:rsidRPr="002A55D7">
        <w:rPr>
          <w:rFonts w:ascii="Arial" w:hAnsi="Arial" w:cs="Arial"/>
          <w:b/>
          <w:bCs/>
        </w:rPr>
        <w:t>BMHP6027 – Empower</w:t>
      </w:r>
      <w:r>
        <w:rPr>
          <w:rFonts w:ascii="Arial" w:hAnsi="Arial" w:cs="Arial"/>
          <w:b/>
          <w:bCs/>
        </w:rPr>
        <w:t>ing</w:t>
      </w:r>
      <w:r w:rsidRPr="002A55D7">
        <w:rPr>
          <w:rFonts w:ascii="Arial" w:hAnsi="Arial" w:cs="Arial"/>
          <w:b/>
          <w:bCs/>
        </w:rPr>
        <w:t xml:space="preserve"> </w:t>
      </w:r>
      <w:r w:rsidR="00A76653">
        <w:rPr>
          <w:rFonts w:ascii="Arial" w:hAnsi="Arial" w:cs="Arial"/>
          <w:b/>
          <w:bCs/>
        </w:rPr>
        <w:t xml:space="preserve">the </w:t>
      </w:r>
      <w:r w:rsidRPr="002A55D7">
        <w:rPr>
          <w:rFonts w:ascii="Arial" w:hAnsi="Arial" w:cs="Arial"/>
          <w:b/>
          <w:bCs/>
        </w:rPr>
        <w:t xml:space="preserve">Older </w:t>
      </w:r>
      <w:r>
        <w:rPr>
          <w:rFonts w:ascii="Arial" w:hAnsi="Arial" w:cs="Arial"/>
          <w:b/>
          <w:bCs/>
        </w:rPr>
        <w:t>Person</w:t>
      </w:r>
    </w:p>
    <w:p w14:paraId="07A7064B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  <w:b/>
          <w:bCs/>
        </w:rPr>
      </w:pPr>
      <w:r w:rsidRPr="002A55D7">
        <w:rPr>
          <w:rFonts w:ascii="Arial" w:hAnsi="Arial" w:cs="Arial"/>
          <w:b/>
          <w:bCs/>
        </w:rPr>
        <w:t>Component 2: Group Debate</w:t>
      </w:r>
    </w:p>
    <w:p w14:paraId="2DA92EAF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  <w:b/>
          <w:bCs/>
        </w:rPr>
      </w:pPr>
      <w:r w:rsidRPr="002A55D7">
        <w:rPr>
          <w:rFonts w:ascii="Arial" w:hAnsi="Arial" w:cs="Arial"/>
          <w:b/>
          <w:bCs/>
        </w:rPr>
        <w:t>Debate Topic</w:t>
      </w:r>
    </w:p>
    <w:p w14:paraId="4E70B555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  <w:r w:rsidRPr="002A55D7">
        <w:rPr>
          <w:rFonts w:ascii="Arial" w:hAnsi="Arial" w:cs="Arial"/>
          <w:b/>
          <w:bCs/>
        </w:rPr>
        <w:t>Are the NHS and Social Care Sector Prepared for the Challenges of a Growing Ageing Population?</w:t>
      </w:r>
    </w:p>
    <w:p w14:paraId="54E95BD7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  <w:b/>
          <w:bCs/>
        </w:rPr>
      </w:pPr>
      <w:r w:rsidRPr="002A55D7">
        <w:rPr>
          <w:rFonts w:ascii="Arial" w:hAnsi="Arial" w:cs="Arial"/>
          <w:b/>
          <w:bCs/>
        </w:rPr>
        <w:t>Student A (Affirmative)</w:t>
      </w:r>
    </w:p>
    <w:p w14:paraId="17751868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  <w:r w:rsidRPr="002A55D7">
        <w:rPr>
          <w:rFonts w:ascii="Arial" w:hAnsi="Arial" w:cs="Arial"/>
          <w:b/>
          <w:bCs/>
        </w:rPr>
        <w:t>Position:</w:t>
      </w:r>
      <w:r w:rsidRPr="002A55D7">
        <w:rPr>
          <w:rFonts w:ascii="Arial" w:hAnsi="Arial" w:cs="Arial"/>
        </w:rPr>
        <w:t xml:space="preserve"> The NHS and social care sector are increasingly prepared for the challenges of a growing ageing population.</w:t>
      </w:r>
    </w:p>
    <w:p w14:paraId="02360455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  <w:b/>
          <w:bCs/>
        </w:rPr>
      </w:pPr>
      <w:r w:rsidRPr="002A55D7">
        <w:rPr>
          <w:rFonts w:ascii="Arial" w:hAnsi="Arial" w:cs="Arial"/>
          <w:b/>
          <w:bCs/>
        </w:rPr>
        <w:t>Student B (Negative)</w:t>
      </w:r>
    </w:p>
    <w:p w14:paraId="6D50ED58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  <w:r w:rsidRPr="002A55D7">
        <w:rPr>
          <w:rFonts w:ascii="Arial" w:hAnsi="Arial" w:cs="Arial"/>
          <w:b/>
          <w:bCs/>
        </w:rPr>
        <w:t>Position:</w:t>
      </w:r>
      <w:r w:rsidRPr="002A55D7">
        <w:rPr>
          <w:rFonts w:ascii="Arial" w:hAnsi="Arial" w:cs="Arial"/>
        </w:rPr>
        <w:t xml:space="preserve"> The NHS and social care sector are not yet adequately prepared for the challenges of a growing ageing population.</w:t>
      </w:r>
    </w:p>
    <w:p w14:paraId="54AE3936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</w:p>
    <w:p w14:paraId="3AD5C148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  <w:r w:rsidRPr="002A55D7">
        <w:rPr>
          <w:rFonts w:ascii="Arial" w:hAnsi="Arial" w:cs="Arial"/>
          <w:b/>
          <w:bCs/>
        </w:rPr>
        <w:t>Module:</w:t>
      </w:r>
      <w:r w:rsidRPr="002A55D7">
        <w:rPr>
          <w:rFonts w:ascii="Arial" w:hAnsi="Arial" w:cs="Arial"/>
        </w:rPr>
        <w:t xml:space="preserve"> BMHP6027 – Care, Support and Empowerment of Older Adults</w:t>
      </w:r>
    </w:p>
    <w:p w14:paraId="3564B9E1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  <w:r w:rsidRPr="002A55D7">
        <w:rPr>
          <w:rFonts w:ascii="Arial" w:hAnsi="Arial" w:cs="Arial"/>
          <w:b/>
          <w:bCs/>
        </w:rPr>
        <w:t>Assessment:</w:t>
      </w:r>
      <w:r w:rsidRPr="002A55D7">
        <w:rPr>
          <w:rFonts w:ascii="Arial" w:hAnsi="Arial" w:cs="Arial"/>
        </w:rPr>
        <w:t xml:space="preserve"> Component 2 – Group Debate</w:t>
      </w:r>
    </w:p>
    <w:p w14:paraId="743BB497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  <w:r w:rsidRPr="002A55D7">
        <w:rPr>
          <w:rFonts w:ascii="Arial" w:hAnsi="Arial" w:cs="Arial"/>
          <w:b/>
          <w:bCs/>
        </w:rPr>
        <w:t>Course:</w:t>
      </w:r>
      <w:r w:rsidRPr="002A55D7">
        <w:rPr>
          <w:rFonts w:ascii="Arial" w:hAnsi="Arial" w:cs="Arial"/>
        </w:rPr>
        <w:t xml:space="preserve"> BSc (Hons) Health and Social Care</w:t>
      </w:r>
    </w:p>
    <w:p w14:paraId="318C0C7A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  <w:r w:rsidRPr="002A55D7">
        <w:rPr>
          <w:rFonts w:ascii="Arial" w:hAnsi="Arial" w:cs="Arial"/>
          <w:b/>
          <w:bCs/>
        </w:rPr>
        <w:t>Academic Year:</w:t>
      </w:r>
      <w:r w:rsidRPr="002A55D7">
        <w:rPr>
          <w:rFonts w:ascii="Arial" w:hAnsi="Arial" w:cs="Arial"/>
        </w:rPr>
        <w:t xml:space="preserve"> 2025–2026</w:t>
      </w:r>
    </w:p>
    <w:p w14:paraId="64C77577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  <w:r w:rsidRPr="002A55D7">
        <w:rPr>
          <w:rFonts w:ascii="Arial" w:hAnsi="Arial" w:cs="Arial"/>
          <w:b/>
          <w:bCs/>
        </w:rPr>
        <w:t>Student A:</w:t>
      </w:r>
      <w:r>
        <w:rPr>
          <w:rFonts w:ascii="Arial" w:hAnsi="Arial" w:cs="Arial"/>
          <w:b/>
          <w:bCs/>
        </w:rPr>
        <w:t xml:space="preserve"> Elisabeta Roxana Pasareanu</w:t>
      </w:r>
    </w:p>
    <w:p w14:paraId="52F24B91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  <w:r w:rsidRPr="002A55D7">
        <w:rPr>
          <w:rFonts w:ascii="Arial" w:hAnsi="Arial" w:cs="Arial"/>
          <w:b/>
          <w:bCs/>
        </w:rPr>
        <w:t>Student ID:</w:t>
      </w:r>
      <w:r>
        <w:rPr>
          <w:rFonts w:ascii="Arial" w:hAnsi="Arial" w:cs="Arial"/>
          <w:b/>
          <w:bCs/>
        </w:rPr>
        <w:t>2319073</w:t>
      </w:r>
    </w:p>
    <w:p w14:paraId="5BB3365E" w14:textId="77777777" w:rsidR="009C6079" w:rsidRPr="002A55D7" w:rsidRDefault="009C6079" w:rsidP="009C6079">
      <w:pPr>
        <w:spacing w:line="360" w:lineRule="auto"/>
        <w:jc w:val="both"/>
        <w:rPr>
          <w:rFonts w:ascii="Arial" w:hAnsi="Arial" w:cs="Arial"/>
        </w:rPr>
      </w:pPr>
      <w:r w:rsidRPr="002A55D7">
        <w:rPr>
          <w:rFonts w:ascii="Arial" w:hAnsi="Arial" w:cs="Arial"/>
          <w:b/>
          <w:bCs/>
        </w:rPr>
        <w:t>Submission Date:</w:t>
      </w:r>
      <w:r w:rsidRPr="002A55D7">
        <w:rPr>
          <w:rFonts w:ascii="Arial" w:hAnsi="Arial" w:cs="Arial"/>
        </w:rPr>
        <w:t xml:space="preserve"> 10 July 2026</w:t>
      </w:r>
    </w:p>
    <w:p w14:paraId="51120907" w14:textId="77777777" w:rsidR="0023537F" w:rsidRDefault="0023537F" w:rsidP="000700AC">
      <w:pPr>
        <w:rPr>
          <w:b/>
          <w:bCs/>
        </w:rPr>
      </w:pPr>
    </w:p>
    <w:p w14:paraId="2E287FA1" w14:textId="77777777" w:rsidR="0023537F" w:rsidRDefault="0023537F" w:rsidP="000700AC">
      <w:pPr>
        <w:rPr>
          <w:b/>
          <w:bCs/>
        </w:rPr>
      </w:pPr>
    </w:p>
    <w:p w14:paraId="52DE0CC8" w14:textId="77777777" w:rsidR="00C74FCB" w:rsidRDefault="00C74FCB" w:rsidP="000700AC">
      <w:pPr>
        <w:rPr>
          <w:b/>
          <w:bCs/>
        </w:rPr>
      </w:pPr>
    </w:p>
    <w:p w14:paraId="4B0D0D47" w14:textId="77777777" w:rsidR="00C74FCB" w:rsidRDefault="00C74FCB" w:rsidP="000700AC">
      <w:pPr>
        <w:rPr>
          <w:b/>
          <w:bCs/>
        </w:rPr>
      </w:pPr>
    </w:p>
    <w:p w14:paraId="33D70238" w14:textId="77777777" w:rsidR="00C74FCB" w:rsidRDefault="00C74FCB" w:rsidP="000700AC">
      <w:pPr>
        <w:rPr>
          <w:b/>
          <w:bCs/>
        </w:rPr>
      </w:pPr>
    </w:p>
    <w:p w14:paraId="298BF24C" w14:textId="4EC34265" w:rsidR="000700AC" w:rsidRDefault="00C74FCB" w:rsidP="000700AC">
      <w:pPr>
        <w:rPr>
          <w:b/>
          <w:bCs/>
        </w:rPr>
      </w:pPr>
      <w:r>
        <w:rPr>
          <w:b/>
          <w:bCs/>
        </w:rPr>
        <w:lastRenderedPageBreak/>
        <w:t>Elisabeta-</w:t>
      </w:r>
      <w:proofErr w:type="gramStart"/>
      <w:r>
        <w:rPr>
          <w:b/>
          <w:bCs/>
        </w:rPr>
        <w:t xml:space="preserve">Roxana </w:t>
      </w:r>
      <w:r w:rsidR="000700AC" w:rsidRPr="000700AC">
        <w:rPr>
          <w:b/>
          <w:bCs/>
        </w:rPr>
        <w:t xml:space="preserve"> </w:t>
      </w:r>
      <w:r>
        <w:rPr>
          <w:b/>
          <w:bCs/>
        </w:rPr>
        <w:t>Pasareanu</w:t>
      </w:r>
      <w:proofErr w:type="gramEnd"/>
      <w:r>
        <w:rPr>
          <w:b/>
          <w:bCs/>
        </w:rPr>
        <w:t xml:space="preserve"> </w:t>
      </w:r>
      <w:r w:rsidR="000700AC" w:rsidRPr="000700AC">
        <w:rPr>
          <w:b/>
          <w:bCs/>
        </w:rPr>
        <w:t xml:space="preserve">(Affirmative) </w:t>
      </w:r>
    </w:p>
    <w:p w14:paraId="6E575361" w14:textId="77777777" w:rsidR="001126D8" w:rsidRDefault="001126D8" w:rsidP="000700AC">
      <w:pPr>
        <w:rPr>
          <w:b/>
          <w:bCs/>
        </w:rPr>
      </w:pPr>
    </w:p>
    <w:p w14:paraId="0E57DE53" w14:textId="72F72DDD" w:rsidR="001126D8" w:rsidRPr="000700AC" w:rsidRDefault="001126D8" w:rsidP="0071499A">
      <w:pPr>
        <w:jc w:val="center"/>
        <w:rPr>
          <w:b/>
          <w:bCs/>
        </w:rPr>
      </w:pPr>
      <w:proofErr w:type="spellStart"/>
      <w:r>
        <w:rPr>
          <w:b/>
          <w:bCs/>
        </w:rPr>
        <w:t>Refernces</w:t>
      </w:r>
      <w:proofErr w:type="spellEnd"/>
    </w:p>
    <w:p w14:paraId="78DB0C79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Age UK (2023) </w:t>
      </w:r>
      <w:r w:rsidRPr="000700AC">
        <w:rPr>
          <w:i/>
          <w:iCs/>
        </w:rPr>
        <w:t>Offline and overlooked: The impact of digital exclusion on older people</w:t>
      </w:r>
      <w:r w:rsidRPr="000700AC">
        <w:t xml:space="preserve">. London: Age UK. </w:t>
      </w:r>
    </w:p>
    <w:p w14:paraId="067A6703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Age UK (2024) </w:t>
      </w:r>
      <w:r w:rsidRPr="000700AC">
        <w:rPr>
          <w:i/>
          <w:iCs/>
        </w:rPr>
        <w:t>Later Life in the United Kingdom 2024</w:t>
      </w:r>
      <w:r w:rsidRPr="000700AC">
        <w:t xml:space="preserve">. London: Age UK. </w:t>
      </w:r>
    </w:p>
    <w:p w14:paraId="20CE84AE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Atchley, R.C. (1989) 'A continuity theory of normal aging', </w:t>
      </w:r>
      <w:r w:rsidRPr="000700AC">
        <w:rPr>
          <w:i/>
          <w:iCs/>
        </w:rPr>
        <w:t>The Gerontologist</w:t>
      </w:r>
      <w:r w:rsidRPr="000700AC">
        <w:t xml:space="preserve">, 29(2), pp. 183–190. </w:t>
      </w:r>
    </w:p>
    <w:p w14:paraId="2DC4CF98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Department of Health (2014) </w:t>
      </w:r>
      <w:r w:rsidRPr="000700AC">
        <w:rPr>
          <w:i/>
          <w:iCs/>
        </w:rPr>
        <w:t>Care and Support Statutory Guidance: Issued under the Care Act 2014</w:t>
      </w:r>
      <w:r w:rsidRPr="000700AC">
        <w:t xml:space="preserve">. London: Department of Health. </w:t>
      </w:r>
    </w:p>
    <w:p w14:paraId="725CBF86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Department of Health and Social Care (2021) </w:t>
      </w:r>
      <w:r w:rsidRPr="000700AC">
        <w:rPr>
          <w:i/>
          <w:iCs/>
        </w:rPr>
        <w:t>People at the Heart of Care: Adult Social Care Reform White Paper</w:t>
      </w:r>
      <w:r w:rsidRPr="000700AC">
        <w:t xml:space="preserve">. London: DHSC. </w:t>
      </w:r>
    </w:p>
    <w:p w14:paraId="6B2C788E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Department of Health and Social Care (2022) </w:t>
      </w:r>
      <w:r w:rsidRPr="000700AC">
        <w:rPr>
          <w:i/>
          <w:iCs/>
        </w:rPr>
        <w:t>Health and Care Act 2022</w:t>
      </w:r>
      <w:r w:rsidRPr="000700AC">
        <w:t xml:space="preserve">. London: The Stationery Office. </w:t>
      </w:r>
    </w:p>
    <w:p w14:paraId="2419C99D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Glasby, J. (2017) </w:t>
      </w:r>
      <w:r w:rsidRPr="000700AC">
        <w:rPr>
          <w:i/>
          <w:iCs/>
        </w:rPr>
        <w:t>Understanding Health and Social Care</w:t>
      </w:r>
      <w:r w:rsidRPr="000700AC">
        <w:t xml:space="preserve">. 3rd </w:t>
      </w:r>
      <w:proofErr w:type="spellStart"/>
      <w:r w:rsidRPr="000700AC">
        <w:t>edn</w:t>
      </w:r>
      <w:proofErr w:type="spellEnd"/>
      <w:r w:rsidRPr="000700AC">
        <w:t xml:space="preserve">. Bristol: Policy Press. </w:t>
      </w:r>
    </w:p>
    <w:p w14:paraId="0C58406A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National Audit Office (2023) </w:t>
      </w:r>
      <w:r w:rsidRPr="000700AC">
        <w:rPr>
          <w:i/>
          <w:iCs/>
        </w:rPr>
        <w:t>Progress in Improving NHS Productivity</w:t>
      </w:r>
      <w:r w:rsidRPr="000700AC">
        <w:t xml:space="preserve">. London: National Audit Office. </w:t>
      </w:r>
    </w:p>
    <w:p w14:paraId="30ABD4B6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National Institute for Health and Care Excellence (2016) </w:t>
      </w:r>
      <w:r w:rsidRPr="000700AC">
        <w:rPr>
          <w:i/>
          <w:iCs/>
        </w:rPr>
        <w:t>Multimorbidity: Clinical Assessment and Management (NG56)</w:t>
      </w:r>
      <w:r w:rsidRPr="000700AC">
        <w:t xml:space="preserve">. London: NICE. </w:t>
      </w:r>
    </w:p>
    <w:p w14:paraId="4B0C186B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National Institute for Health and Care Excellence (2023) </w:t>
      </w:r>
      <w:r w:rsidRPr="000700AC">
        <w:rPr>
          <w:i/>
          <w:iCs/>
        </w:rPr>
        <w:t>People's Experience in Adult Social Care Services: Improving the Experience of Care and Support for People Using Adult Social Care Services</w:t>
      </w:r>
      <w:r w:rsidRPr="000700AC">
        <w:t xml:space="preserve">. London: NICE. </w:t>
      </w:r>
    </w:p>
    <w:p w14:paraId="2A119398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NHS England (2019) </w:t>
      </w:r>
      <w:r w:rsidRPr="000700AC">
        <w:rPr>
          <w:i/>
          <w:iCs/>
        </w:rPr>
        <w:t>The NHS Long Term Plan</w:t>
      </w:r>
      <w:r w:rsidRPr="000700AC">
        <w:t xml:space="preserve">. London: NHS England. </w:t>
      </w:r>
    </w:p>
    <w:p w14:paraId="7F57F612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NHS England (2023) </w:t>
      </w:r>
      <w:r w:rsidRPr="000700AC">
        <w:rPr>
          <w:i/>
          <w:iCs/>
        </w:rPr>
        <w:t>NHS Long Term Workforce Plan</w:t>
      </w:r>
      <w:r w:rsidRPr="000700AC">
        <w:t xml:space="preserve">. London: NHS England. </w:t>
      </w:r>
    </w:p>
    <w:p w14:paraId="6C881828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Office for National Statistics (2024) </w:t>
      </w:r>
      <w:r w:rsidRPr="000700AC">
        <w:rPr>
          <w:i/>
          <w:iCs/>
        </w:rPr>
        <w:t>Living Longer: Older People in the UK</w:t>
      </w:r>
      <w:r w:rsidRPr="000700AC">
        <w:t xml:space="preserve">. Newport: Office for National Statistics. </w:t>
      </w:r>
    </w:p>
    <w:p w14:paraId="3C13AE0B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Oliver, D., Foot, C. and Humphries, R. (2014) </w:t>
      </w:r>
      <w:r w:rsidRPr="000700AC">
        <w:rPr>
          <w:i/>
          <w:iCs/>
        </w:rPr>
        <w:t>Making Our Health and Care Systems Fit for an Ageing Population</w:t>
      </w:r>
      <w:r w:rsidRPr="000700AC">
        <w:t xml:space="preserve">. London: The King's Fund. </w:t>
      </w:r>
    </w:p>
    <w:p w14:paraId="5A08AB0B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lastRenderedPageBreak/>
        <w:t xml:space="preserve">Skills for Care (2023) </w:t>
      </w:r>
      <w:r w:rsidRPr="000700AC">
        <w:rPr>
          <w:i/>
          <w:iCs/>
        </w:rPr>
        <w:t>The State of the Adult Social Care Sector and Workforce in England</w:t>
      </w:r>
      <w:r w:rsidRPr="000700AC">
        <w:t xml:space="preserve">. Leeds: Skills for Care. </w:t>
      </w:r>
    </w:p>
    <w:p w14:paraId="1996B70A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Skills for Care (2024) </w:t>
      </w:r>
      <w:r w:rsidRPr="000700AC">
        <w:rPr>
          <w:i/>
          <w:iCs/>
        </w:rPr>
        <w:t>The State of the Adult Social Care Sector and Workforce in England</w:t>
      </w:r>
      <w:r w:rsidRPr="000700AC">
        <w:t xml:space="preserve">. Leeds: Skills for Care. </w:t>
      </w:r>
    </w:p>
    <w:p w14:paraId="45F8BFA4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The King's Fund (2022) </w:t>
      </w:r>
      <w:r w:rsidRPr="000700AC">
        <w:rPr>
          <w:i/>
          <w:iCs/>
        </w:rPr>
        <w:t>The State of Health and Care 2022</w:t>
      </w:r>
      <w:r w:rsidRPr="000700AC">
        <w:t xml:space="preserve">. London: The King's Fund. </w:t>
      </w:r>
    </w:p>
    <w:p w14:paraId="72DCDB94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The King's Fund (2023) </w:t>
      </w:r>
      <w:r w:rsidRPr="000700AC">
        <w:rPr>
          <w:i/>
          <w:iCs/>
        </w:rPr>
        <w:t>Integrated Care Systems Explained</w:t>
      </w:r>
      <w:r w:rsidRPr="000700AC">
        <w:t xml:space="preserve">. London: The King's Fund. </w:t>
      </w:r>
    </w:p>
    <w:p w14:paraId="1DE0B747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The King's Fund (2024) </w:t>
      </w:r>
      <w:r w:rsidRPr="000700AC">
        <w:rPr>
          <w:i/>
          <w:iCs/>
        </w:rPr>
        <w:t>The State of Health and Care 2024</w:t>
      </w:r>
      <w:r w:rsidRPr="000700AC">
        <w:t xml:space="preserve">. London: The King's Fund. </w:t>
      </w:r>
    </w:p>
    <w:p w14:paraId="50E3D1AB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Topol, E. (2019) </w:t>
      </w:r>
      <w:r w:rsidRPr="000700AC">
        <w:rPr>
          <w:i/>
          <w:iCs/>
        </w:rPr>
        <w:t>The Topol Review: Preparing the Healthcare Workforce to Deliver the Digital Future</w:t>
      </w:r>
      <w:r w:rsidRPr="000700AC">
        <w:t xml:space="preserve">. London: Health Education England. </w:t>
      </w:r>
    </w:p>
    <w:p w14:paraId="4EEF73C6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Verbeek, H., </w:t>
      </w:r>
      <w:proofErr w:type="spellStart"/>
      <w:r w:rsidRPr="000700AC">
        <w:t>Zwakhalen</w:t>
      </w:r>
      <w:proofErr w:type="spellEnd"/>
      <w:r w:rsidRPr="000700AC">
        <w:t xml:space="preserve">, S.M.G., Schols, J.M.G.A., Kempen, G.I.J.M. and Hamers, J.P.H. (2020) 'The living lab in ageing and long-term care: A sustainable model for translational research improving quality of life, quality of care and quality of work', </w:t>
      </w:r>
      <w:r w:rsidRPr="000700AC">
        <w:rPr>
          <w:i/>
          <w:iCs/>
        </w:rPr>
        <w:t>Journal of Nursing Scholarship</w:t>
      </w:r>
      <w:r w:rsidRPr="000700AC">
        <w:t xml:space="preserve">, 52(1), pp. 43–52. </w:t>
      </w:r>
    </w:p>
    <w:p w14:paraId="533946EC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World Health Organization (2021) </w:t>
      </w:r>
      <w:r w:rsidRPr="000700AC">
        <w:rPr>
          <w:i/>
          <w:iCs/>
        </w:rPr>
        <w:t>Decade of Healthy Ageing: Baseline Report</w:t>
      </w:r>
      <w:r w:rsidRPr="000700AC">
        <w:t xml:space="preserve">. Geneva: World Health Organization. </w:t>
      </w:r>
    </w:p>
    <w:p w14:paraId="5762BD53" w14:textId="77777777" w:rsidR="000700AC" w:rsidRPr="000700AC" w:rsidRDefault="000700AC" w:rsidP="000700AC">
      <w:pPr>
        <w:numPr>
          <w:ilvl w:val="0"/>
          <w:numId w:val="1"/>
        </w:numPr>
      </w:pPr>
      <w:r w:rsidRPr="000700AC">
        <w:t xml:space="preserve">World Health Organization (2022) </w:t>
      </w:r>
      <w:r w:rsidRPr="000700AC">
        <w:rPr>
          <w:i/>
          <w:iCs/>
        </w:rPr>
        <w:t>World Report on Ageing and Health</w:t>
      </w:r>
      <w:r w:rsidRPr="000700AC">
        <w:t>. Geneva: World Health Organization.</w:t>
      </w:r>
    </w:p>
    <w:p w14:paraId="24F13CDD" w14:textId="77777777" w:rsidR="006A6A4C" w:rsidRDefault="006A6A4C"/>
    <w:sectPr w:rsidR="006A6A4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086498"/>
    <w:multiLevelType w:val="multilevel"/>
    <w:tmpl w:val="EE024A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663925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28CA"/>
    <w:rsid w:val="000700AC"/>
    <w:rsid w:val="001126D8"/>
    <w:rsid w:val="0023537F"/>
    <w:rsid w:val="00294F2C"/>
    <w:rsid w:val="006A6A4C"/>
    <w:rsid w:val="0071499A"/>
    <w:rsid w:val="007B58EA"/>
    <w:rsid w:val="009C6079"/>
    <w:rsid w:val="00A76653"/>
    <w:rsid w:val="00A82ADC"/>
    <w:rsid w:val="00B828CA"/>
    <w:rsid w:val="00C74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A60FD"/>
  <w15:chartTrackingRefBased/>
  <w15:docId w15:val="{B8867193-9F64-49BF-9EB3-F90CE5A72A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28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28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28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28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28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28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28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28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28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28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28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28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28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28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28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28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28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28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28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28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28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28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28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28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28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28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28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28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28C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518</Words>
  <Characters>2954</Characters>
  <Application>Microsoft Office Word</Application>
  <DocSecurity>0</DocSecurity>
  <Lines>24</Lines>
  <Paragraphs>6</Paragraphs>
  <ScaleCrop>false</ScaleCrop>
  <Company/>
  <LinksUpToDate>false</LinksUpToDate>
  <CharactersWithSpaces>3466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Damaris  Oprea</dc:creator>
  <cp:keywords/>
  <dc:description/>
  <cp:lastModifiedBy>Roxana Pasareanu</cp:lastModifiedBy>
  <cp:revision>8</cp:revision>
  <dcterms:created xsi:type="dcterms:W3CDTF">2026-07-03T20:30:00Z</dcterms:created>
  <dcterms:modified xsi:type="dcterms:W3CDTF">2026-07-09T17:10:00Z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057a5fb5-6e79-4abf-98ea-ef3e8e2e63f6</vt:lpwstr>
  </property>
</Properties>
</file>