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78FA2A" w14:textId="77777777" w:rsidR="00530E16" w:rsidRPr="006028A9" w:rsidRDefault="004468F8" w:rsidP="006028A9">
      <w:pPr>
        <w:pBdr>
          <w:top w:val="nil"/>
          <w:left w:val="nil"/>
          <w:bottom w:val="nil"/>
          <w:right w:val="nil"/>
          <w:between w:val="nil"/>
        </w:pBdr>
        <w:spacing w:after="0" w:line="360" w:lineRule="auto"/>
        <w:rPr>
          <w:rFonts w:ascii="Arial" w:eastAsia="Arial" w:hAnsi="Arial" w:cs="Arial"/>
          <w:color w:val="000000"/>
          <w:sz w:val="22"/>
          <w:szCs w:val="22"/>
        </w:rPr>
      </w:pPr>
      <w:r w:rsidRPr="006028A9">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AEC7B2D" wp14:editId="6D3E40D1">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21B166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825C35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AEC7B2D"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321B166A"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7825C350"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6028A9">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849791B" wp14:editId="05B7B8EF">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ABDD8D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0338DA9"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849791B"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5ABDD8D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0338DA9"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B21C38C" w14:textId="77777777" w:rsidR="00530E16" w:rsidRPr="006028A9" w:rsidRDefault="004468F8" w:rsidP="006028A9">
      <w:pPr>
        <w:spacing w:line="360" w:lineRule="auto"/>
        <w:rPr>
          <w:rFonts w:ascii="Arial" w:eastAsia="Arial" w:hAnsi="Arial" w:cs="Arial"/>
          <w:sz w:val="22"/>
          <w:szCs w:val="22"/>
        </w:rPr>
      </w:pPr>
      <w:r w:rsidRPr="006028A9">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743E5E2C" wp14:editId="17AFA46A">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E5FD005" w14:textId="77777777" w:rsidR="00530E16" w:rsidRDefault="004468F8">
                            <w:pPr>
                              <w:spacing w:after="0" w:line="240" w:lineRule="auto"/>
                              <w:textDirection w:val="btLr"/>
                            </w:pPr>
                            <w:r>
                              <w:rPr>
                                <w:rFonts w:ascii="Play" w:eastAsia="Play" w:hAnsi="Play" w:cs="Play"/>
                                <w:color w:val="262626"/>
                                <w:sz w:val="72"/>
                              </w:rPr>
                              <w:t>Individual Report</w:t>
                            </w:r>
                          </w:p>
                          <w:p w14:paraId="4CBC229D" w14:textId="77777777" w:rsidR="00530E16" w:rsidRDefault="004468F8">
                            <w:pPr>
                              <w:spacing w:before="120" w:line="277" w:lineRule="auto"/>
                              <w:textDirection w:val="btLr"/>
                            </w:pPr>
                            <w:r>
                              <w:rPr>
                                <w:color w:val="404040"/>
                                <w:sz w:val="36"/>
                              </w:rPr>
                              <w:t>Module Name: Digital Skills and Research Methods</w:t>
                            </w:r>
                          </w:p>
                          <w:p w14:paraId="6888AFDC" w14:textId="77777777" w:rsidR="00530E16" w:rsidRDefault="004468F8">
                            <w:pPr>
                              <w:spacing w:before="120" w:line="277" w:lineRule="auto"/>
                              <w:textDirection w:val="btLr"/>
                            </w:pPr>
                            <w:r>
                              <w:rPr>
                                <w:color w:val="404040"/>
                                <w:sz w:val="36"/>
                              </w:rPr>
                              <w:t>Module Code: LCHS 4007</w:t>
                            </w:r>
                          </w:p>
                          <w:p w14:paraId="5ECF680E" w14:textId="7BDEEB18" w:rsidR="00530E16" w:rsidRDefault="004468F8">
                            <w:pPr>
                              <w:spacing w:before="120" w:line="277" w:lineRule="auto"/>
                              <w:textDirection w:val="btLr"/>
                            </w:pPr>
                            <w:r>
                              <w:rPr>
                                <w:color w:val="404040"/>
                                <w:sz w:val="36"/>
                              </w:rPr>
                              <w:t xml:space="preserve">Student name: </w:t>
                            </w:r>
                            <w:r w:rsidR="008B075B">
                              <w:rPr>
                                <w:color w:val="404040"/>
                                <w:sz w:val="36"/>
                              </w:rPr>
                              <w:t>Tosin Awodesu</w:t>
                            </w:r>
                          </w:p>
                          <w:p w14:paraId="55D7D8D2" w14:textId="766D27D5" w:rsidR="00530E16" w:rsidRDefault="004468F8">
                            <w:pPr>
                              <w:spacing w:before="120" w:line="277" w:lineRule="auto"/>
                              <w:textDirection w:val="btLr"/>
                            </w:pPr>
                            <w:r>
                              <w:rPr>
                                <w:color w:val="404040"/>
                                <w:sz w:val="36"/>
                              </w:rPr>
                              <w:t>Student ID:</w:t>
                            </w:r>
                            <w:r w:rsidR="008B075B">
                              <w:rPr>
                                <w:color w:val="404040"/>
                                <w:sz w:val="36"/>
                              </w:rPr>
                              <w:t xml:space="preserve"> </w:t>
                            </w:r>
                            <w:r w:rsidR="008B075B">
                              <w:rPr>
                                <w:color w:val="404040"/>
                                <w:sz w:val="36"/>
                              </w:rPr>
                              <w:t>2442948</w:t>
                            </w:r>
                          </w:p>
                          <w:p w14:paraId="54A5D42B" w14:textId="0B3DE2F3" w:rsidR="00530E16" w:rsidRDefault="004468F8">
                            <w:pPr>
                              <w:spacing w:before="120" w:line="277" w:lineRule="auto"/>
                              <w:textDirection w:val="btLr"/>
                            </w:pPr>
                            <w:r>
                              <w:rPr>
                                <w:color w:val="404040"/>
                                <w:sz w:val="36"/>
                              </w:rPr>
                              <w:t xml:space="preserve">Lecturer’s Name: </w:t>
                            </w:r>
                            <w:r w:rsidR="008B075B">
                              <w:rPr>
                                <w:color w:val="404040"/>
                                <w:sz w:val="36"/>
                              </w:rPr>
                              <w:t>Kwame Asse-Agyei</w:t>
                            </w:r>
                          </w:p>
                        </w:txbxContent>
                      </wps:txbx>
                      <wps:bodyPr spcFirstLastPara="1" wrap="square" lIns="0" tIns="0" rIns="0" bIns="0" anchor="t" anchorCtr="0">
                        <a:noAutofit/>
                      </wps:bodyPr>
                    </wps:wsp>
                  </a:graphicData>
                </a:graphic>
              </wp:anchor>
            </w:drawing>
          </mc:Choice>
          <mc:Fallback>
            <w:pict>
              <v:rect w14:anchorId="743E5E2C"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4E5FD005" w14:textId="77777777" w:rsidR="00530E16" w:rsidRDefault="004468F8">
                      <w:pPr>
                        <w:spacing w:after="0" w:line="240" w:lineRule="auto"/>
                        <w:textDirection w:val="btLr"/>
                      </w:pPr>
                      <w:r>
                        <w:rPr>
                          <w:rFonts w:ascii="Play" w:eastAsia="Play" w:hAnsi="Play" w:cs="Play"/>
                          <w:color w:val="262626"/>
                          <w:sz w:val="72"/>
                        </w:rPr>
                        <w:t>Individual Report</w:t>
                      </w:r>
                    </w:p>
                    <w:p w14:paraId="4CBC229D" w14:textId="77777777" w:rsidR="00530E16" w:rsidRDefault="004468F8">
                      <w:pPr>
                        <w:spacing w:before="120" w:line="277" w:lineRule="auto"/>
                        <w:textDirection w:val="btLr"/>
                      </w:pPr>
                      <w:r>
                        <w:rPr>
                          <w:color w:val="404040"/>
                          <w:sz w:val="36"/>
                        </w:rPr>
                        <w:t>Module Name: Digital Skills and Research Methods</w:t>
                      </w:r>
                    </w:p>
                    <w:p w14:paraId="6888AFDC" w14:textId="77777777" w:rsidR="00530E16" w:rsidRDefault="004468F8">
                      <w:pPr>
                        <w:spacing w:before="120" w:line="277" w:lineRule="auto"/>
                        <w:textDirection w:val="btLr"/>
                      </w:pPr>
                      <w:r>
                        <w:rPr>
                          <w:color w:val="404040"/>
                          <w:sz w:val="36"/>
                        </w:rPr>
                        <w:t>Module Code: LCHS 4007</w:t>
                      </w:r>
                    </w:p>
                    <w:p w14:paraId="5ECF680E" w14:textId="7BDEEB18" w:rsidR="00530E16" w:rsidRDefault="004468F8">
                      <w:pPr>
                        <w:spacing w:before="120" w:line="277" w:lineRule="auto"/>
                        <w:textDirection w:val="btLr"/>
                      </w:pPr>
                      <w:r>
                        <w:rPr>
                          <w:color w:val="404040"/>
                          <w:sz w:val="36"/>
                        </w:rPr>
                        <w:t xml:space="preserve">Student name: </w:t>
                      </w:r>
                      <w:r w:rsidR="008B075B">
                        <w:rPr>
                          <w:color w:val="404040"/>
                          <w:sz w:val="36"/>
                        </w:rPr>
                        <w:t>Tosin Awodesu</w:t>
                      </w:r>
                    </w:p>
                    <w:p w14:paraId="55D7D8D2" w14:textId="766D27D5" w:rsidR="00530E16" w:rsidRDefault="004468F8">
                      <w:pPr>
                        <w:spacing w:before="120" w:line="277" w:lineRule="auto"/>
                        <w:textDirection w:val="btLr"/>
                      </w:pPr>
                      <w:r>
                        <w:rPr>
                          <w:color w:val="404040"/>
                          <w:sz w:val="36"/>
                        </w:rPr>
                        <w:t>Student ID:</w:t>
                      </w:r>
                      <w:r w:rsidR="008B075B">
                        <w:rPr>
                          <w:color w:val="404040"/>
                          <w:sz w:val="36"/>
                        </w:rPr>
                        <w:t xml:space="preserve"> </w:t>
                      </w:r>
                      <w:r w:rsidR="008B075B">
                        <w:rPr>
                          <w:color w:val="404040"/>
                          <w:sz w:val="36"/>
                        </w:rPr>
                        <w:t>2442948</w:t>
                      </w:r>
                    </w:p>
                    <w:p w14:paraId="54A5D42B" w14:textId="0B3DE2F3" w:rsidR="00530E16" w:rsidRDefault="004468F8">
                      <w:pPr>
                        <w:spacing w:before="120" w:line="277" w:lineRule="auto"/>
                        <w:textDirection w:val="btLr"/>
                      </w:pPr>
                      <w:r>
                        <w:rPr>
                          <w:color w:val="404040"/>
                          <w:sz w:val="36"/>
                        </w:rPr>
                        <w:t xml:space="preserve">Lecturer’s Name: </w:t>
                      </w:r>
                      <w:r w:rsidR="008B075B">
                        <w:rPr>
                          <w:color w:val="404040"/>
                          <w:sz w:val="36"/>
                        </w:rPr>
                        <w:t>Kwame Asse-Agyei</w:t>
                      </w:r>
                    </w:p>
                  </w:txbxContent>
                </v:textbox>
                <w10:wrap anchorx="page" anchory="page"/>
              </v:rect>
            </w:pict>
          </mc:Fallback>
        </mc:AlternateContent>
      </w:r>
      <w:r w:rsidRPr="006028A9">
        <w:rPr>
          <w:rFonts w:ascii="Arial" w:hAnsi="Arial" w:cs="Arial"/>
          <w:sz w:val="22"/>
          <w:szCs w:val="22"/>
        </w:rPr>
        <w:br w:type="page"/>
      </w:r>
    </w:p>
    <w:p w14:paraId="1957A4BC" w14:textId="77777777" w:rsidR="00530E16" w:rsidRPr="006028A9" w:rsidRDefault="00530E16" w:rsidP="006028A9">
      <w:pPr>
        <w:spacing w:line="360" w:lineRule="auto"/>
        <w:rPr>
          <w:rFonts w:ascii="Arial" w:eastAsia="Arial" w:hAnsi="Arial" w:cs="Arial"/>
          <w:sz w:val="22"/>
          <w:szCs w:val="22"/>
        </w:rPr>
      </w:pPr>
    </w:p>
    <w:p w14:paraId="52576FBA" w14:textId="77777777" w:rsidR="00530E16" w:rsidRPr="006028A9" w:rsidRDefault="004468F8" w:rsidP="006028A9">
      <w:pPr>
        <w:keepNext/>
        <w:keepLines/>
        <w:pBdr>
          <w:top w:val="nil"/>
          <w:left w:val="nil"/>
          <w:bottom w:val="nil"/>
          <w:right w:val="nil"/>
          <w:between w:val="nil"/>
        </w:pBdr>
        <w:spacing w:before="240" w:after="0" w:line="360" w:lineRule="auto"/>
        <w:rPr>
          <w:rFonts w:ascii="Arial" w:eastAsia="Play" w:hAnsi="Arial" w:cs="Arial"/>
          <w:color w:val="0F4761"/>
          <w:sz w:val="22"/>
          <w:szCs w:val="22"/>
        </w:rPr>
      </w:pPr>
      <w:r w:rsidRPr="006028A9">
        <w:rPr>
          <w:rFonts w:ascii="Arial" w:eastAsia="Play" w:hAnsi="Arial" w:cs="Arial"/>
          <w:color w:val="0F4761"/>
          <w:sz w:val="22"/>
          <w:szCs w:val="22"/>
        </w:rPr>
        <w:t>Table of Contents</w:t>
      </w:r>
    </w:p>
    <w:sdt>
      <w:sdtPr>
        <w:rPr>
          <w:rFonts w:ascii="Arial" w:hAnsi="Arial" w:cs="Arial"/>
          <w:sz w:val="22"/>
          <w:szCs w:val="22"/>
        </w:rPr>
        <w:id w:val="-2066176513"/>
        <w:docPartObj>
          <w:docPartGallery w:val="Table of Contents"/>
          <w:docPartUnique/>
        </w:docPartObj>
      </w:sdtPr>
      <w:sdtContent>
        <w:p w14:paraId="7F660B95" w14:textId="77777777" w:rsidR="00432D05" w:rsidRPr="006028A9" w:rsidRDefault="004468F8" w:rsidP="006028A9">
          <w:pPr>
            <w:pStyle w:val="TOC1"/>
            <w:tabs>
              <w:tab w:val="right" w:leader="dot" w:pos="9016"/>
            </w:tabs>
            <w:spacing w:line="360" w:lineRule="auto"/>
            <w:rPr>
              <w:rFonts w:ascii="Arial" w:eastAsiaTheme="minorEastAsia" w:hAnsi="Arial" w:cs="Arial"/>
              <w:noProof/>
              <w:sz w:val="22"/>
              <w:szCs w:val="22"/>
            </w:rPr>
          </w:pPr>
          <w:r w:rsidRPr="006028A9">
            <w:rPr>
              <w:rFonts w:ascii="Arial" w:hAnsi="Arial" w:cs="Arial"/>
              <w:sz w:val="22"/>
              <w:szCs w:val="22"/>
            </w:rPr>
            <w:fldChar w:fldCharType="begin"/>
          </w:r>
          <w:r w:rsidRPr="006028A9">
            <w:rPr>
              <w:rFonts w:ascii="Arial" w:hAnsi="Arial" w:cs="Arial"/>
              <w:sz w:val="22"/>
              <w:szCs w:val="22"/>
            </w:rPr>
            <w:instrText xml:space="preserve"> TOC \h \u \z \t "Heading 1,1,Heading 2,2,Heading 3,3,"</w:instrText>
          </w:r>
          <w:r w:rsidRPr="006028A9">
            <w:rPr>
              <w:rFonts w:ascii="Arial" w:hAnsi="Arial" w:cs="Arial"/>
              <w:sz w:val="22"/>
              <w:szCs w:val="22"/>
            </w:rPr>
            <w:fldChar w:fldCharType="separate"/>
          </w:r>
          <w:hyperlink w:anchor="_Toc225024735" w:history="1">
            <w:r w:rsidR="00432D05" w:rsidRPr="006028A9">
              <w:rPr>
                <w:rStyle w:val="Hyperlink"/>
                <w:rFonts w:ascii="Arial" w:eastAsia="Arial" w:hAnsi="Arial" w:cs="Arial"/>
                <w:noProof/>
                <w:sz w:val="22"/>
                <w:szCs w:val="22"/>
              </w:rPr>
              <w:t>Introduction</w:t>
            </w:r>
            <w:r w:rsidR="00432D05" w:rsidRPr="006028A9">
              <w:rPr>
                <w:rFonts w:ascii="Arial" w:hAnsi="Arial" w:cs="Arial"/>
                <w:noProof/>
                <w:webHidden/>
                <w:sz w:val="22"/>
                <w:szCs w:val="22"/>
              </w:rPr>
              <w:tab/>
            </w:r>
            <w:r w:rsidR="00432D05" w:rsidRPr="006028A9">
              <w:rPr>
                <w:rFonts w:ascii="Arial" w:hAnsi="Arial" w:cs="Arial"/>
                <w:noProof/>
                <w:webHidden/>
                <w:sz w:val="22"/>
                <w:szCs w:val="22"/>
              </w:rPr>
              <w:fldChar w:fldCharType="begin"/>
            </w:r>
            <w:r w:rsidR="00432D05" w:rsidRPr="006028A9">
              <w:rPr>
                <w:rFonts w:ascii="Arial" w:hAnsi="Arial" w:cs="Arial"/>
                <w:noProof/>
                <w:webHidden/>
                <w:sz w:val="22"/>
                <w:szCs w:val="22"/>
              </w:rPr>
              <w:instrText xml:space="preserve"> PAGEREF _Toc225024735 \h </w:instrText>
            </w:r>
            <w:r w:rsidR="00432D05" w:rsidRPr="006028A9">
              <w:rPr>
                <w:rFonts w:ascii="Arial" w:hAnsi="Arial" w:cs="Arial"/>
                <w:noProof/>
                <w:webHidden/>
                <w:sz w:val="22"/>
                <w:szCs w:val="22"/>
              </w:rPr>
            </w:r>
            <w:r w:rsidR="00432D05" w:rsidRPr="006028A9">
              <w:rPr>
                <w:rFonts w:ascii="Arial" w:hAnsi="Arial" w:cs="Arial"/>
                <w:noProof/>
                <w:webHidden/>
                <w:sz w:val="22"/>
                <w:szCs w:val="22"/>
              </w:rPr>
              <w:fldChar w:fldCharType="separate"/>
            </w:r>
            <w:r w:rsidR="00432D05" w:rsidRPr="006028A9">
              <w:rPr>
                <w:rFonts w:ascii="Arial" w:hAnsi="Arial" w:cs="Arial"/>
                <w:noProof/>
                <w:webHidden/>
                <w:sz w:val="22"/>
                <w:szCs w:val="22"/>
              </w:rPr>
              <w:t>2</w:t>
            </w:r>
            <w:r w:rsidR="00432D05" w:rsidRPr="006028A9">
              <w:rPr>
                <w:rFonts w:ascii="Arial" w:hAnsi="Arial" w:cs="Arial"/>
                <w:noProof/>
                <w:webHidden/>
                <w:sz w:val="22"/>
                <w:szCs w:val="22"/>
              </w:rPr>
              <w:fldChar w:fldCharType="end"/>
            </w:r>
          </w:hyperlink>
        </w:p>
        <w:p w14:paraId="08D74B3E" w14:textId="77777777" w:rsidR="00432D05" w:rsidRPr="006028A9" w:rsidRDefault="00432D05" w:rsidP="006028A9">
          <w:pPr>
            <w:pStyle w:val="TOC1"/>
            <w:tabs>
              <w:tab w:val="right" w:leader="dot" w:pos="9016"/>
            </w:tabs>
            <w:spacing w:line="360" w:lineRule="auto"/>
            <w:rPr>
              <w:rFonts w:ascii="Arial" w:eastAsiaTheme="minorEastAsia" w:hAnsi="Arial" w:cs="Arial"/>
              <w:noProof/>
              <w:sz w:val="22"/>
              <w:szCs w:val="22"/>
            </w:rPr>
          </w:pPr>
          <w:hyperlink w:anchor="_Toc225024736" w:history="1">
            <w:r w:rsidRPr="006028A9">
              <w:rPr>
                <w:rStyle w:val="Hyperlink"/>
                <w:rFonts w:ascii="Arial" w:eastAsia="Arial" w:hAnsi="Arial" w:cs="Arial"/>
                <w:noProof/>
                <w:sz w:val="22"/>
                <w:szCs w:val="22"/>
              </w:rPr>
              <w:t>Task 1 – Selection of a Research Topic</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_Toc225024736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2</w:t>
            </w:r>
            <w:r w:rsidRPr="006028A9">
              <w:rPr>
                <w:rFonts w:ascii="Arial" w:hAnsi="Arial" w:cs="Arial"/>
                <w:noProof/>
                <w:webHidden/>
                <w:sz w:val="22"/>
                <w:szCs w:val="22"/>
              </w:rPr>
              <w:fldChar w:fldCharType="end"/>
            </w:r>
          </w:hyperlink>
        </w:p>
        <w:p w14:paraId="466E4398" w14:textId="77777777" w:rsidR="00432D05" w:rsidRPr="006028A9" w:rsidRDefault="00432D05" w:rsidP="006028A9">
          <w:pPr>
            <w:pStyle w:val="TOC2"/>
            <w:tabs>
              <w:tab w:val="right" w:leader="dot" w:pos="9016"/>
            </w:tabs>
            <w:spacing w:line="360" w:lineRule="auto"/>
            <w:rPr>
              <w:rFonts w:ascii="Arial" w:eastAsiaTheme="minorEastAsia" w:hAnsi="Arial" w:cs="Arial"/>
              <w:noProof/>
              <w:sz w:val="22"/>
              <w:szCs w:val="22"/>
            </w:rPr>
          </w:pPr>
          <w:hyperlink w:anchor="_Toc225024737" w:history="1">
            <w:r w:rsidRPr="006028A9">
              <w:rPr>
                <w:rStyle w:val="Hyperlink"/>
                <w:rFonts w:ascii="Arial" w:eastAsia="Arial" w:hAnsi="Arial" w:cs="Arial"/>
                <w:noProof/>
                <w:sz w:val="22"/>
                <w:szCs w:val="22"/>
              </w:rPr>
              <w:t>1.1 The Issue and Why It Matters</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_Toc225024737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2</w:t>
            </w:r>
            <w:r w:rsidRPr="006028A9">
              <w:rPr>
                <w:rFonts w:ascii="Arial" w:hAnsi="Arial" w:cs="Arial"/>
                <w:noProof/>
                <w:webHidden/>
                <w:sz w:val="22"/>
                <w:szCs w:val="22"/>
              </w:rPr>
              <w:fldChar w:fldCharType="end"/>
            </w:r>
          </w:hyperlink>
        </w:p>
        <w:p w14:paraId="0F23EF4B" w14:textId="77777777" w:rsidR="00432D05" w:rsidRPr="006028A9" w:rsidRDefault="00432D05" w:rsidP="006028A9">
          <w:pPr>
            <w:pStyle w:val="TOC2"/>
            <w:tabs>
              <w:tab w:val="right" w:leader="dot" w:pos="9016"/>
            </w:tabs>
            <w:spacing w:line="360" w:lineRule="auto"/>
            <w:rPr>
              <w:rFonts w:ascii="Arial" w:eastAsiaTheme="minorEastAsia" w:hAnsi="Arial" w:cs="Arial"/>
              <w:noProof/>
              <w:sz w:val="22"/>
              <w:szCs w:val="22"/>
            </w:rPr>
          </w:pPr>
          <w:hyperlink w:anchor="_Toc225024738" w:history="1">
            <w:r w:rsidRPr="006028A9">
              <w:rPr>
                <w:rStyle w:val="Hyperlink"/>
                <w:rFonts w:ascii="Arial" w:eastAsia="Arial" w:hAnsi="Arial" w:cs="Arial"/>
                <w:noProof/>
                <w:sz w:val="22"/>
                <w:szCs w:val="22"/>
              </w:rPr>
              <w:t>1.2 Personal Reflection – Why I Chose This Topic</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_Toc225024738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2</w:t>
            </w:r>
            <w:r w:rsidRPr="006028A9">
              <w:rPr>
                <w:rFonts w:ascii="Arial" w:hAnsi="Arial" w:cs="Arial"/>
                <w:noProof/>
                <w:webHidden/>
                <w:sz w:val="22"/>
                <w:szCs w:val="22"/>
              </w:rPr>
              <w:fldChar w:fldCharType="end"/>
            </w:r>
          </w:hyperlink>
        </w:p>
        <w:p w14:paraId="709FD840" w14:textId="77777777" w:rsidR="00432D05" w:rsidRPr="006028A9" w:rsidRDefault="00432D05" w:rsidP="006028A9">
          <w:pPr>
            <w:pStyle w:val="TOC1"/>
            <w:tabs>
              <w:tab w:val="right" w:leader="dot" w:pos="9016"/>
            </w:tabs>
            <w:spacing w:line="360" w:lineRule="auto"/>
            <w:rPr>
              <w:rFonts w:ascii="Arial" w:eastAsiaTheme="minorEastAsia" w:hAnsi="Arial" w:cs="Arial"/>
              <w:noProof/>
              <w:sz w:val="22"/>
              <w:szCs w:val="22"/>
            </w:rPr>
          </w:pPr>
          <w:hyperlink w:anchor="_Toc225024739" w:history="1">
            <w:r w:rsidRPr="006028A9">
              <w:rPr>
                <w:rStyle w:val="Hyperlink"/>
                <w:rFonts w:ascii="Arial" w:eastAsia="Arial" w:hAnsi="Arial" w:cs="Arial"/>
                <w:noProof/>
                <w:sz w:val="22"/>
                <w:szCs w:val="22"/>
              </w:rPr>
              <w:t>Task 2 – Evaluating Information Sources</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_Toc225024739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2</w:t>
            </w:r>
            <w:r w:rsidRPr="006028A9">
              <w:rPr>
                <w:rFonts w:ascii="Arial" w:hAnsi="Arial" w:cs="Arial"/>
                <w:noProof/>
                <w:webHidden/>
                <w:sz w:val="22"/>
                <w:szCs w:val="22"/>
              </w:rPr>
              <w:fldChar w:fldCharType="end"/>
            </w:r>
          </w:hyperlink>
        </w:p>
        <w:p w14:paraId="3F37FE72" w14:textId="77777777" w:rsidR="00432D05" w:rsidRPr="006028A9" w:rsidRDefault="00432D05" w:rsidP="006028A9">
          <w:pPr>
            <w:pStyle w:val="TOC2"/>
            <w:tabs>
              <w:tab w:val="right" w:leader="dot" w:pos="9016"/>
            </w:tabs>
            <w:spacing w:line="360" w:lineRule="auto"/>
            <w:rPr>
              <w:rFonts w:ascii="Arial" w:eastAsiaTheme="minorEastAsia" w:hAnsi="Arial" w:cs="Arial"/>
              <w:noProof/>
              <w:sz w:val="22"/>
              <w:szCs w:val="22"/>
            </w:rPr>
          </w:pPr>
          <w:hyperlink w:anchor="_Toc225024740" w:history="1">
            <w:r w:rsidRPr="006028A9">
              <w:rPr>
                <w:rStyle w:val="Hyperlink"/>
                <w:rFonts w:ascii="Arial" w:eastAsia="Arial" w:hAnsi="Arial" w:cs="Arial"/>
                <w:noProof/>
                <w:sz w:val="22"/>
                <w:szCs w:val="22"/>
              </w:rPr>
              <w:t>2.1 Source 1</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_Toc225024740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2</w:t>
            </w:r>
            <w:r w:rsidRPr="006028A9">
              <w:rPr>
                <w:rFonts w:ascii="Arial" w:hAnsi="Arial" w:cs="Arial"/>
                <w:noProof/>
                <w:webHidden/>
                <w:sz w:val="22"/>
                <w:szCs w:val="22"/>
              </w:rPr>
              <w:fldChar w:fldCharType="end"/>
            </w:r>
          </w:hyperlink>
        </w:p>
        <w:p w14:paraId="6229242B" w14:textId="77777777" w:rsidR="00432D05" w:rsidRPr="006028A9" w:rsidRDefault="00432D05" w:rsidP="006028A9">
          <w:pPr>
            <w:pStyle w:val="TOC2"/>
            <w:tabs>
              <w:tab w:val="right" w:leader="dot" w:pos="9016"/>
            </w:tabs>
            <w:spacing w:line="360" w:lineRule="auto"/>
            <w:rPr>
              <w:rFonts w:ascii="Arial" w:eastAsiaTheme="minorEastAsia" w:hAnsi="Arial" w:cs="Arial"/>
              <w:noProof/>
              <w:sz w:val="22"/>
              <w:szCs w:val="22"/>
            </w:rPr>
          </w:pPr>
          <w:hyperlink w:anchor="_Toc225024741" w:history="1">
            <w:r w:rsidRPr="006028A9">
              <w:rPr>
                <w:rStyle w:val="Hyperlink"/>
                <w:rFonts w:ascii="Arial" w:eastAsia="Arial" w:hAnsi="Arial" w:cs="Arial"/>
                <w:noProof/>
                <w:sz w:val="22"/>
                <w:szCs w:val="22"/>
              </w:rPr>
              <w:t>2.2 Source 2</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_Toc225024741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2</w:t>
            </w:r>
            <w:r w:rsidRPr="006028A9">
              <w:rPr>
                <w:rFonts w:ascii="Arial" w:hAnsi="Arial" w:cs="Arial"/>
                <w:noProof/>
                <w:webHidden/>
                <w:sz w:val="22"/>
                <w:szCs w:val="22"/>
              </w:rPr>
              <w:fldChar w:fldCharType="end"/>
            </w:r>
          </w:hyperlink>
        </w:p>
        <w:p w14:paraId="5F5D6DC5" w14:textId="77777777" w:rsidR="00432D05" w:rsidRPr="006028A9" w:rsidRDefault="00432D05" w:rsidP="006028A9">
          <w:pPr>
            <w:pStyle w:val="TOC2"/>
            <w:tabs>
              <w:tab w:val="right" w:leader="dot" w:pos="9016"/>
            </w:tabs>
            <w:spacing w:line="360" w:lineRule="auto"/>
            <w:rPr>
              <w:rFonts w:ascii="Arial" w:eastAsiaTheme="minorEastAsia" w:hAnsi="Arial" w:cs="Arial"/>
              <w:noProof/>
              <w:sz w:val="22"/>
              <w:szCs w:val="22"/>
            </w:rPr>
          </w:pPr>
          <w:hyperlink w:anchor="_Toc225024742" w:history="1">
            <w:r w:rsidRPr="006028A9">
              <w:rPr>
                <w:rStyle w:val="Hyperlink"/>
                <w:rFonts w:ascii="Arial" w:eastAsia="Arial" w:hAnsi="Arial" w:cs="Arial"/>
                <w:noProof/>
                <w:sz w:val="22"/>
                <w:szCs w:val="22"/>
              </w:rPr>
              <w:t>2.3 Source 3</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_Toc225024742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2</w:t>
            </w:r>
            <w:r w:rsidRPr="006028A9">
              <w:rPr>
                <w:rFonts w:ascii="Arial" w:hAnsi="Arial" w:cs="Arial"/>
                <w:noProof/>
                <w:webHidden/>
                <w:sz w:val="22"/>
                <w:szCs w:val="22"/>
              </w:rPr>
              <w:fldChar w:fldCharType="end"/>
            </w:r>
          </w:hyperlink>
        </w:p>
        <w:p w14:paraId="1E490AD7" w14:textId="77777777" w:rsidR="00432D05" w:rsidRPr="006028A9" w:rsidRDefault="00432D05" w:rsidP="006028A9">
          <w:pPr>
            <w:pStyle w:val="TOC2"/>
            <w:tabs>
              <w:tab w:val="right" w:leader="dot" w:pos="9016"/>
            </w:tabs>
            <w:spacing w:line="360" w:lineRule="auto"/>
            <w:rPr>
              <w:rFonts w:ascii="Arial" w:eastAsiaTheme="minorEastAsia" w:hAnsi="Arial" w:cs="Arial"/>
              <w:noProof/>
              <w:sz w:val="22"/>
              <w:szCs w:val="22"/>
            </w:rPr>
          </w:pPr>
          <w:hyperlink w:anchor="_Toc225024743" w:history="1">
            <w:r w:rsidRPr="006028A9">
              <w:rPr>
                <w:rStyle w:val="Hyperlink"/>
                <w:rFonts w:ascii="Arial" w:eastAsia="Arial" w:hAnsi="Arial" w:cs="Arial"/>
                <w:noProof/>
                <w:sz w:val="22"/>
                <w:szCs w:val="22"/>
              </w:rPr>
              <w:t>2.4 Gaps in Current Research</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_Toc225024743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2</w:t>
            </w:r>
            <w:r w:rsidRPr="006028A9">
              <w:rPr>
                <w:rFonts w:ascii="Arial" w:hAnsi="Arial" w:cs="Arial"/>
                <w:noProof/>
                <w:webHidden/>
                <w:sz w:val="22"/>
                <w:szCs w:val="22"/>
              </w:rPr>
              <w:fldChar w:fldCharType="end"/>
            </w:r>
          </w:hyperlink>
        </w:p>
        <w:p w14:paraId="73319FA3" w14:textId="77777777" w:rsidR="00432D05" w:rsidRPr="006028A9" w:rsidRDefault="00432D05" w:rsidP="006028A9">
          <w:pPr>
            <w:pStyle w:val="TOC1"/>
            <w:tabs>
              <w:tab w:val="right" w:leader="dot" w:pos="9016"/>
            </w:tabs>
            <w:spacing w:line="360" w:lineRule="auto"/>
            <w:rPr>
              <w:rFonts w:ascii="Arial" w:eastAsiaTheme="minorEastAsia" w:hAnsi="Arial" w:cs="Arial"/>
              <w:noProof/>
              <w:sz w:val="22"/>
              <w:szCs w:val="22"/>
            </w:rPr>
          </w:pPr>
          <w:hyperlink w:anchor="_Toc225024744" w:history="1">
            <w:r w:rsidRPr="006028A9">
              <w:rPr>
                <w:rStyle w:val="Hyperlink"/>
                <w:rFonts w:ascii="Arial" w:eastAsia="Arial" w:hAnsi="Arial" w:cs="Arial"/>
                <w:noProof/>
                <w:sz w:val="22"/>
                <w:szCs w:val="22"/>
              </w:rPr>
              <w:t>Task 3 – Research Methodologies</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_Toc225024744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2</w:t>
            </w:r>
            <w:r w:rsidRPr="006028A9">
              <w:rPr>
                <w:rFonts w:ascii="Arial" w:hAnsi="Arial" w:cs="Arial"/>
                <w:noProof/>
                <w:webHidden/>
                <w:sz w:val="22"/>
                <w:szCs w:val="22"/>
              </w:rPr>
              <w:fldChar w:fldCharType="end"/>
            </w:r>
          </w:hyperlink>
        </w:p>
        <w:p w14:paraId="51C61FA2" w14:textId="77777777" w:rsidR="00432D05" w:rsidRPr="006028A9" w:rsidRDefault="00432D05" w:rsidP="006028A9">
          <w:pPr>
            <w:pStyle w:val="TOC2"/>
            <w:tabs>
              <w:tab w:val="right" w:leader="dot" w:pos="9016"/>
            </w:tabs>
            <w:spacing w:line="360" w:lineRule="auto"/>
            <w:rPr>
              <w:rFonts w:ascii="Arial" w:eastAsiaTheme="minorEastAsia" w:hAnsi="Arial" w:cs="Arial"/>
              <w:noProof/>
              <w:sz w:val="22"/>
              <w:szCs w:val="22"/>
            </w:rPr>
          </w:pPr>
          <w:hyperlink w:anchor="_Toc225024745" w:history="1">
            <w:r w:rsidRPr="006028A9">
              <w:rPr>
                <w:rStyle w:val="Hyperlink"/>
                <w:rFonts w:ascii="Arial" w:eastAsia="Arial" w:hAnsi="Arial" w:cs="Arial"/>
                <w:noProof/>
                <w:sz w:val="22"/>
                <w:szCs w:val="22"/>
              </w:rPr>
              <w:t>3.1 Definitions and Examples</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_Toc225024745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2</w:t>
            </w:r>
            <w:r w:rsidRPr="006028A9">
              <w:rPr>
                <w:rFonts w:ascii="Arial" w:hAnsi="Arial" w:cs="Arial"/>
                <w:noProof/>
                <w:webHidden/>
                <w:sz w:val="22"/>
                <w:szCs w:val="22"/>
              </w:rPr>
              <w:fldChar w:fldCharType="end"/>
            </w:r>
          </w:hyperlink>
        </w:p>
        <w:p w14:paraId="38B86796" w14:textId="77777777" w:rsidR="00432D05" w:rsidRPr="006028A9" w:rsidRDefault="00432D05" w:rsidP="006028A9">
          <w:pPr>
            <w:pStyle w:val="TOC2"/>
            <w:tabs>
              <w:tab w:val="right" w:leader="dot" w:pos="9016"/>
            </w:tabs>
            <w:spacing w:line="360" w:lineRule="auto"/>
            <w:rPr>
              <w:rFonts w:ascii="Arial" w:eastAsiaTheme="minorEastAsia" w:hAnsi="Arial" w:cs="Arial"/>
              <w:noProof/>
              <w:sz w:val="22"/>
              <w:szCs w:val="22"/>
            </w:rPr>
          </w:pPr>
          <w:hyperlink w:anchor="_Toc225024746" w:history="1">
            <w:r w:rsidRPr="006028A9">
              <w:rPr>
                <w:rStyle w:val="Hyperlink"/>
                <w:rFonts w:ascii="Arial" w:eastAsia="Arial" w:hAnsi="Arial" w:cs="Arial"/>
                <w:noProof/>
                <w:sz w:val="22"/>
                <w:szCs w:val="22"/>
              </w:rPr>
              <w:t>3.2 Chosen Methodology and Justification</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_Toc225024746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2</w:t>
            </w:r>
            <w:r w:rsidRPr="006028A9">
              <w:rPr>
                <w:rFonts w:ascii="Arial" w:hAnsi="Arial" w:cs="Arial"/>
                <w:noProof/>
                <w:webHidden/>
                <w:sz w:val="22"/>
                <w:szCs w:val="22"/>
              </w:rPr>
              <w:fldChar w:fldCharType="end"/>
            </w:r>
          </w:hyperlink>
        </w:p>
        <w:p w14:paraId="156AC840" w14:textId="77777777" w:rsidR="00432D05" w:rsidRPr="006028A9" w:rsidRDefault="00432D05" w:rsidP="006028A9">
          <w:pPr>
            <w:pStyle w:val="TOC1"/>
            <w:tabs>
              <w:tab w:val="right" w:leader="dot" w:pos="9016"/>
            </w:tabs>
            <w:spacing w:line="360" w:lineRule="auto"/>
            <w:rPr>
              <w:rFonts w:ascii="Arial" w:eastAsiaTheme="minorEastAsia" w:hAnsi="Arial" w:cs="Arial"/>
              <w:noProof/>
              <w:sz w:val="22"/>
              <w:szCs w:val="22"/>
            </w:rPr>
          </w:pPr>
          <w:hyperlink w:anchor="_Toc225024747" w:history="1">
            <w:r w:rsidRPr="006028A9">
              <w:rPr>
                <w:rStyle w:val="Hyperlink"/>
                <w:rFonts w:ascii="Arial" w:eastAsia="Arial" w:hAnsi="Arial" w:cs="Arial"/>
                <w:noProof/>
                <w:sz w:val="22"/>
                <w:szCs w:val="22"/>
              </w:rPr>
              <w:t>Task 4 – Data Collection</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_Toc225024747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2</w:t>
            </w:r>
            <w:r w:rsidRPr="006028A9">
              <w:rPr>
                <w:rFonts w:ascii="Arial" w:hAnsi="Arial" w:cs="Arial"/>
                <w:noProof/>
                <w:webHidden/>
                <w:sz w:val="22"/>
                <w:szCs w:val="22"/>
              </w:rPr>
              <w:fldChar w:fldCharType="end"/>
            </w:r>
          </w:hyperlink>
        </w:p>
        <w:p w14:paraId="3C910229" w14:textId="77777777" w:rsidR="00432D05" w:rsidRPr="006028A9" w:rsidRDefault="00432D05" w:rsidP="006028A9">
          <w:pPr>
            <w:pStyle w:val="TOC2"/>
            <w:tabs>
              <w:tab w:val="right" w:leader="dot" w:pos="9016"/>
            </w:tabs>
            <w:spacing w:line="360" w:lineRule="auto"/>
            <w:rPr>
              <w:rFonts w:ascii="Arial" w:eastAsiaTheme="minorEastAsia" w:hAnsi="Arial" w:cs="Arial"/>
              <w:noProof/>
              <w:sz w:val="22"/>
              <w:szCs w:val="22"/>
            </w:rPr>
          </w:pPr>
          <w:hyperlink w:anchor="_Toc225024748" w:history="1">
            <w:r w:rsidRPr="006028A9">
              <w:rPr>
                <w:rStyle w:val="Hyperlink"/>
                <w:rFonts w:ascii="Arial" w:eastAsia="Arial" w:hAnsi="Arial" w:cs="Arial"/>
                <w:noProof/>
                <w:sz w:val="22"/>
                <w:szCs w:val="22"/>
              </w:rPr>
              <w:t>4.1 Primary vs Secondary Data</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_Toc225024748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2</w:t>
            </w:r>
            <w:r w:rsidRPr="006028A9">
              <w:rPr>
                <w:rFonts w:ascii="Arial" w:hAnsi="Arial" w:cs="Arial"/>
                <w:noProof/>
                <w:webHidden/>
                <w:sz w:val="22"/>
                <w:szCs w:val="22"/>
              </w:rPr>
              <w:fldChar w:fldCharType="end"/>
            </w:r>
          </w:hyperlink>
        </w:p>
        <w:p w14:paraId="220CC09A" w14:textId="77777777" w:rsidR="00432D05" w:rsidRPr="006028A9" w:rsidRDefault="00432D05" w:rsidP="006028A9">
          <w:pPr>
            <w:pStyle w:val="TOC2"/>
            <w:tabs>
              <w:tab w:val="right" w:leader="dot" w:pos="9016"/>
            </w:tabs>
            <w:spacing w:line="360" w:lineRule="auto"/>
            <w:rPr>
              <w:rFonts w:ascii="Arial" w:eastAsiaTheme="minorEastAsia" w:hAnsi="Arial" w:cs="Arial"/>
              <w:noProof/>
              <w:sz w:val="22"/>
              <w:szCs w:val="22"/>
            </w:rPr>
          </w:pPr>
          <w:hyperlink w:anchor="_Toc225024749" w:history="1">
            <w:r w:rsidRPr="006028A9">
              <w:rPr>
                <w:rStyle w:val="Hyperlink"/>
                <w:rFonts w:ascii="Arial" w:eastAsia="Arial" w:hAnsi="Arial" w:cs="Arial"/>
                <w:noProof/>
                <w:sz w:val="22"/>
                <w:szCs w:val="22"/>
              </w:rPr>
              <w:t>4.2 Chosen Data Type and Justification</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_Toc225024749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3</w:t>
            </w:r>
            <w:r w:rsidRPr="006028A9">
              <w:rPr>
                <w:rFonts w:ascii="Arial" w:hAnsi="Arial" w:cs="Arial"/>
                <w:noProof/>
                <w:webHidden/>
                <w:sz w:val="22"/>
                <w:szCs w:val="22"/>
              </w:rPr>
              <w:fldChar w:fldCharType="end"/>
            </w:r>
          </w:hyperlink>
        </w:p>
        <w:p w14:paraId="5E45A863" w14:textId="77777777" w:rsidR="00432D05" w:rsidRPr="006028A9" w:rsidRDefault="00432D05" w:rsidP="006028A9">
          <w:pPr>
            <w:pStyle w:val="TOC2"/>
            <w:tabs>
              <w:tab w:val="right" w:leader="dot" w:pos="9016"/>
            </w:tabs>
            <w:spacing w:line="360" w:lineRule="auto"/>
            <w:rPr>
              <w:rFonts w:ascii="Arial" w:eastAsiaTheme="minorEastAsia" w:hAnsi="Arial" w:cs="Arial"/>
              <w:noProof/>
              <w:sz w:val="22"/>
              <w:szCs w:val="22"/>
            </w:rPr>
          </w:pPr>
          <w:hyperlink w:anchor="_Toc225024750" w:history="1">
            <w:r w:rsidRPr="006028A9">
              <w:rPr>
                <w:rStyle w:val="Hyperlink"/>
                <w:rFonts w:ascii="Arial" w:eastAsia="Arial" w:hAnsi="Arial" w:cs="Arial"/>
                <w:noProof/>
                <w:sz w:val="22"/>
                <w:szCs w:val="22"/>
              </w:rPr>
              <w:t>4.3 Advantages and Challenges</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_Toc225024750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3</w:t>
            </w:r>
            <w:r w:rsidRPr="006028A9">
              <w:rPr>
                <w:rFonts w:ascii="Arial" w:hAnsi="Arial" w:cs="Arial"/>
                <w:noProof/>
                <w:webHidden/>
                <w:sz w:val="22"/>
                <w:szCs w:val="22"/>
              </w:rPr>
              <w:fldChar w:fldCharType="end"/>
            </w:r>
          </w:hyperlink>
        </w:p>
        <w:p w14:paraId="3159D301" w14:textId="77777777" w:rsidR="00432D05" w:rsidRPr="006028A9" w:rsidRDefault="00432D05" w:rsidP="006028A9">
          <w:pPr>
            <w:pStyle w:val="TOC1"/>
            <w:tabs>
              <w:tab w:val="right" w:leader="dot" w:pos="9016"/>
            </w:tabs>
            <w:spacing w:line="360" w:lineRule="auto"/>
            <w:rPr>
              <w:rFonts w:ascii="Arial" w:eastAsiaTheme="minorEastAsia" w:hAnsi="Arial" w:cs="Arial"/>
              <w:noProof/>
              <w:sz w:val="22"/>
              <w:szCs w:val="22"/>
            </w:rPr>
          </w:pPr>
          <w:hyperlink w:anchor="_Toc225024751" w:history="1">
            <w:r w:rsidRPr="006028A9">
              <w:rPr>
                <w:rStyle w:val="Hyperlink"/>
                <w:rFonts w:ascii="Arial" w:eastAsia="Arial" w:hAnsi="Arial" w:cs="Arial"/>
                <w:noProof/>
                <w:sz w:val="22"/>
                <w:szCs w:val="22"/>
              </w:rPr>
              <w:t>Conclusion</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_Toc225024751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3</w:t>
            </w:r>
            <w:r w:rsidRPr="006028A9">
              <w:rPr>
                <w:rFonts w:ascii="Arial" w:hAnsi="Arial" w:cs="Arial"/>
                <w:noProof/>
                <w:webHidden/>
                <w:sz w:val="22"/>
                <w:szCs w:val="22"/>
              </w:rPr>
              <w:fldChar w:fldCharType="end"/>
            </w:r>
          </w:hyperlink>
        </w:p>
        <w:p w14:paraId="5E009C90" w14:textId="77777777" w:rsidR="00432D05" w:rsidRPr="006028A9" w:rsidRDefault="00432D05" w:rsidP="006028A9">
          <w:pPr>
            <w:pStyle w:val="TOC1"/>
            <w:tabs>
              <w:tab w:val="right" w:leader="dot" w:pos="9016"/>
            </w:tabs>
            <w:spacing w:line="360" w:lineRule="auto"/>
            <w:rPr>
              <w:rFonts w:ascii="Arial" w:eastAsiaTheme="minorEastAsia" w:hAnsi="Arial" w:cs="Arial"/>
              <w:noProof/>
              <w:sz w:val="22"/>
              <w:szCs w:val="22"/>
            </w:rPr>
          </w:pPr>
          <w:hyperlink w:anchor="_Toc225024752" w:history="1">
            <w:r w:rsidRPr="006028A9">
              <w:rPr>
                <w:rStyle w:val="Hyperlink"/>
                <w:rFonts w:ascii="Arial" w:eastAsia="Arial" w:hAnsi="Arial" w:cs="Arial"/>
                <w:noProof/>
                <w:sz w:val="22"/>
                <w:szCs w:val="22"/>
              </w:rPr>
              <w:t>Reference List</w:t>
            </w:r>
            <w:r w:rsidRPr="006028A9">
              <w:rPr>
                <w:rFonts w:ascii="Arial" w:hAnsi="Arial" w:cs="Arial"/>
                <w:noProof/>
                <w:webHidden/>
                <w:sz w:val="22"/>
                <w:szCs w:val="22"/>
              </w:rPr>
              <w:tab/>
            </w:r>
            <w:r w:rsidRPr="006028A9">
              <w:rPr>
                <w:rFonts w:ascii="Arial" w:hAnsi="Arial" w:cs="Arial"/>
                <w:noProof/>
                <w:webHidden/>
                <w:sz w:val="22"/>
                <w:szCs w:val="22"/>
              </w:rPr>
              <w:fldChar w:fldCharType="begin"/>
            </w:r>
            <w:r w:rsidRPr="006028A9">
              <w:rPr>
                <w:rFonts w:ascii="Arial" w:hAnsi="Arial" w:cs="Arial"/>
                <w:noProof/>
                <w:webHidden/>
                <w:sz w:val="22"/>
                <w:szCs w:val="22"/>
              </w:rPr>
              <w:instrText xml:space="preserve"> PAGEREF _Toc225024752 \h </w:instrText>
            </w:r>
            <w:r w:rsidRPr="006028A9">
              <w:rPr>
                <w:rFonts w:ascii="Arial" w:hAnsi="Arial" w:cs="Arial"/>
                <w:noProof/>
                <w:webHidden/>
                <w:sz w:val="22"/>
                <w:szCs w:val="22"/>
              </w:rPr>
            </w:r>
            <w:r w:rsidRPr="006028A9">
              <w:rPr>
                <w:rFonts w:ascii="Arial" w:hAnsi="Arial" w:cs="Arial"/>
                <w:noProof/>
                <w:webHidden/>
                <w:sz w:val="22"/>
                <w:szCs w:val="22"/>
              </w:rPr>
              <w:fldChar w:fldCharType="separate"/>
            </w:r>
            <w:r w:rsidRPr="006028A9">
              <w:rPr>
                <w:rFonts w:ascii="Arial" w:hAnsi="Arial" w:cs="Arial"/>
                <w:noProof/>
                <w:webHidden/>
                <w:sz w:val="22"/>
                <w:szCs w:val="22"/>
              </w:rPr>
              <w:t>3</w:t>
            </w:r>
            <w:r w:rsidRPr="006028A9">
              <w:rPr>
                <w:rFonts w:ascii="Arial" w:hAnsi="Arial" w:cs="Arial"/>
                <w:noProof/>
                <w:webHidden/>
                <w:sz w:val="22"/>
                <w:szCs w:val="22"/>
              </w:rPr>
              <w:fldChar w:fldCharType="end"/>
            </w:r>
          </w:hyperlink>
        </w:p>
        <w:p w14:paraId="588319ED" w14:textId="77777777" w:rsidR="00530E16" w:rsidRPr="006028A9" w:rsidRDefault="004468F8" w:rsidP="006028A9">
          <w:pPr>
            <w:spacing w:line="360" w:lineRule="auto"/>
            <w:rPr>
              <w:rFonts w:ascii="Arial" w:hAnsi="Arial" w:cs="Arial"/>
              <w:sz w:val="22"/>
              <w:szCs w:val="22"/>
            </w:rPr>
          </w:pPr>
          <w:r w:rsidRPr="006028A9">
            <w:rPr>
              <w:rFonts w:ascii="Arial" w:hAnsi="Arial" w:cs="Arial"/>
              <w:sz w:val="22"/>
              <w:szCs w:val="22"/>
            </w:rPr>
            <w:fldChar w:fldCharType="end"/>
          </w:r>
        </w:p>
      </w:sdtContent>
    </w:sdt>
    <w:p w14:paraId="38867C3B" w14:textId="77777777" w:rsidR="00530E16" w:rsidRPr="006028A9" w:rsidRDefault="00530E16" w:rsidP="006028A9">
      <w:pPr>
        <w:spacing w:line="360" w:lineRule="auto"/>
        <w:rPr>
          <w:rFonts w:ascii="Arial" w:eastAsia="Arial" w:hAnsi="Arial" w:cs="Arial"/>
          <w:sz w:val="22"/>
          <w:szCs w:val="22"/>
        </w:rPr>
      </w:pPr>
    </w:p>
    <w:p w14:paraId="1A58A2D3" w14:textId="77777777" w:rsidR="00530E16" w:rsidRPr="006028A9" w:rsidRDefault="00530E16" w:rsidP="006028A9">
      <w:pPr>
        <w:spacing w:line="360" w:lineRule="auto"/>
        <w:rPr>
          <w:rFonts w:ascii="Arial" w:eastAsia="Arial" w:hAnsi="Arial" w:cs="Arial"/>
          <w:sz w:val="22"/>
          <w:szCs w:val="22"/>
        </w:rPr>
      </w:pPr>
    </w:p>
    <w:p w14:paraId="556B45C1" w14:textId="77777777" w:rsidR="00530E16" w:rsidRPr="006028A9" w:rsidRDefault="00530E16" w:rsidP="006028A9">
      <w:pPr>
        <w:spacing w:line="360" w:lineRule="auto"/>
        <w:rPr>
          <w:rFonts w:ascii="Arial" w:eastAsia="Arial" w:hAnsi="Arial" w:cs="Arial"/>
          <w:sz w:val="22"/>
          <w:szCs w:val="22"/>
        </w:rPr>
      </w:pPr>
    </w:p>
    <w:p w14:paraId="0F5FD36F" w14:textId="77777777" w:rsidR="00530E16" w:rsidRPr="006028A9" w:rsidRDefault="00530E16" w:rsidP="006028A9">
      <w:pPr>
        <w:spacing w:line="360" w:lineRule="auto"/>
        <w:rPr>
          <w:rFonts w:ascii="Arial" w:eastAsia="Arial" w:hAnsi="Arial" w:cs="Arial"/>
          <w:sz w:val="22"/>
          <w:szCs w:val="22"/>
        </w:rPr>
      </w:pPr>
    </w:p>
    <w:p w14:paraId="6A3F0663" w14:textId="77777777" w:rsidR="00530E16" w:rsidRPr="006028A9" w:rsidRDefault="00530E16" w:rsidP="006028A9">
      <w:pPr>
        <w:spacing w:line="360" w:lineRule="auto"/>
        <w:rPr>
          <w:rFonts w:ascii="Arial" w:eastAsia="Arial" w:hAnsi="Arial" w:cs="Arial"/>
          <w:sz w:val="22"/>
          <w:szCs w:val="22"/>
        </w:rPr>
      </w:pPr>
    </w:p>
    <w:p w14:paraId="0EE50598" w14:textId="77777777" w:rsidR="00530E16" w:rsidRPr="006028A9" w:rsidRDefault="00530E16" w:rsidP="006028A9">
      <w:pPr>
        <w:spacing w:line="360" w:lineRule="auto"/>
        <w:rPr>
          <w:rFonts w:ascii="Arial" w:eastAsia="Arial" w:hAnsi="Arial" w:cs="Arial"/>
          <w:sz w:val="22"/>
          <w:szCs w:val="22"/>
        </w:rPr>
      </w:pPr>
    </w:p>
    <w:p w14:paraId="031454D7" w14:textId="77777777" w:rsidR="00530E16" w:rsidRPr="006028A9" w:rsidRDefault="00530E16" w:rsidP="006028A9">
      <w:pPr>
        <w:spacing w:line="360" w:lineRule="auto"/>
        <w:rPr>
          <w:rFonts w:ascii="Arial" w:eastAsia="Arial" w:hAnsi="Arial" w:cs="Arial"/>
          <w:sz w:val="22"/>
          <w:szCs w:val="22"/>
        </w:rPr>
      </w:pPr>
    </w:p>
    <w:p w14:paraId="3E076D8F" w14:textId="77777777" w:rsidR="00530E16" w:rsidRPr="006028A9" w:rsidRDefault="00530E16" w:rsidP="006028A9">
      <w:pPr>
        <w:spacing w:line="360" w:lineRule="auto"/>
        <w:rPr>
          <w:rFonts w:ascii="Arial" w:eastAsia="Arial" w:hAnsi="Arial" w:cs="Arial"/>
          <w:sz w:val="22"/>
          <w:szCs w:val="22"/>
        </w:rPr>
      </w:pPr>
    </w:p>
    <w:p w14:paraId="3E02DC4C" w14:textId="77777777" w:rsidR="00530E16" w:rsidRPr="006028A9" w:rsidRDefault="00530E16" w:rsidP="006028A9">
      <w:pPr>
        <w:spacing w:line="360" w:lineRule="auto"/>
        <w:rPr>
          <w:rFonts w:ascii="Arial" w:eastAsia="Arial" w:hAnsi="Arial" w:cs="Arial"/>
          <w:sz w:val="22"/>
          <w:szCs w:val="22"/>
        </w:rPr>
      </w:pPr>
    </w:p>
    <w:p w14:paraId="0ECA15D2" w14:textId="77777777" w:rsidR="002A1842" w:rsidRPr="006028A9" w:rsidRDefault="002A1842" w:rsidP="006028A9">
      <w:pPr>
        <w:spacing w:line="360" w:lineRule="auto"/>
        <w:rPr>
          <w:rFonts w:ascii="Arial" w:eastAsia="Arial" w:hAnsi="Arial" w:cs="Arial"/>
          <w:sz w:val="22"/>
          <w:szCs w:val="22"/>
        </w:rPr>
        <w:sectPr w:rsidR="002A1842" w:rsidRPr="006028A9">
          <w:footerReference w:type="default" r:id="rId9"/>
          <w:pgSz w:w="11906" w:h="16838"/>
          <w:pgMar w:top="1440" w:right="1440" w:bottom="1440" w:left="1440" w:header="708" w:footer="708" w:gutter="0"/>
          <w:pgNumType w:start="0"/>
          <w:cols w:space="720"/>
          <w:titlePg/>
        </w:sectPr>
      </w:pPr>
    </w:p>
    <w:p w14:paraId="79B3D454" w14:textId="77777777" w:rsidR="00530E16" w:rsidRPr="006028A9" w:rsidRDefault="00530E16" w:rsidP="006028A9">
      <w:pPr>
        <w:spacing w:line="360" w:lineRule="auto"/>
        <w:rPr>
          <w:rFonts w:ascii="Arial" w:eastAsia="Arial" w:hAnsi="Arial" w:cs="Arial"/>
          <w:sz w:val="22"/>
          <w:szCs w:val="22"/>
        </w:rPr>
      </w:pPr>
    </w:p>
    <w:p w14:paraId="3DDF7B12" w14:textId="77777777" w:rsidR="006028A9" w:rsidRPr="006028A9" w:rsidRDefault="006028A9" w:rsidP="006028A9">
      <w:pPr>
        <w:spacing w:line="360" w:lineRule="auto"/>
        <w:rPr>
          <w:rFonts w:ascii="Arial" w:eastAsia="Arial" w:hAnsi="Arial" w:cs="Arial"/>
          <w:b/>
          <w:bCs/>
          <w:sz w:val="22"/>
          <w:szCs w:val="22"/>
        </w:rPr>
      </w:pPr>
      <w:r w:rsidRPr="006028A9">
        <w:rPr>
          <w:rFonts w:ascii="Arial" w:eastAsia="Arial" w:hAnsi="Arial" w:cs="Arial"/>
          <w:b/>
          <w:bCs/>
          <w:sz w:val="22"/>
          <w:szCs w:val="22"/>
        </w:rPr>
        <w:t>Meningitis in the UK: Public Health, Staff Burnout and the Impact on Care</w:t>
      </w:r>
    </w:p>
    <w:p w14:paraId="4181480B" w14:textId="77777777" w:rsidR="006028A9" w:rsidRPr="006028A9" w:rsidRDefault="006028A9" w:rsidP="006028A9">
      <w:pPr>
        <w:spacing w:line="360" w:lineRule="auto"/>
        <w:rPr>
          <w:rFonts w:ascii="Arial" w:eastAsia="Arial" w:hAnsi="Arial" w:cs="Arial"/>
          <w:b/>
          <w:bCs/>
          <w:sz w:val="22"/>
          <w:szCs w:val="22"/>
        </w:rPr>
      </w:pPr>
      <w:r w:rsidRPr="006028A9">
        <w:rPr>
          <w:rFonts w:ascii="Arial" w:eastAsia="Arial" w:hAnsi="Arial" w:cs="Arial"/>
          <w:b/>
          <w:bCs/>
          <w:sz w:val="22"/>
          <w:szCs w:val="22"/>
        </w:rPr>
        <w:t>Introduction</w:t>
      </w:r>
    </w:p>
    <w:p w14:paraId="17B5940F"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Meningitis is a serious illness that causes swelling around the brain and spinal cord. It can develop very quickly and can become life threatening if it is not treated early. In the United Kingdom, meningitis is still an important public health issue, especially for babies, teenagers, and young adults. Vaccines have helped to reduce the number of cases over the years, but bacterial meningitis remains dangerous and can cause long term health problems or even death (Meningitis Research Foundation, 2023; NHS, 2023; UK Health Security Agency, 2023).</w:t>
      </w:r>
    </w:p>
    <w:p w14:paraId="2BFDB08F"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Public health is about protecting and improving the health of the population. Meningitis is a key public health concern because it can spread quickly, especially in places where people live closely together, such as schools, universities, and shared housing (Public Health England, 2020). Early detection, vaccination, and awareness are all important in preventing serious outcomes.</w:t>
      </w:r>
    </w:p>
    <w:p w14:paraId="3E6B1EC3"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This report explains why meningitis is an important topic in health and social care. It evaluates different sources of information, explains research methods, and describes how data can be collected. It also explores staff burnout in the NHS and social care sector. Burnout happens when workers feel very tired, stressed, and emotionally drained due to their work. This can affect the quality of care they provide (NHS England, 2023; Health Foundation, 2022). By linking meningitis and staff burnout, this report shows how patient safety and staff wellbeing are closely connected.</w:t>
      </w:r>
    </w:p>
    <w:p w14:paraId="2E87FD40" w14:textId="77777777" w:rsidR="006028A9" w:rsidRPr="006028A9" w:rsidRDefault="006028A9" w:rsidP="006028A9">
      <w:pPr>
        <w:spacing w:line="360" w:lineRule="auto"/>
        <w:rPr>
          <w:rFonts w:ascii="Arial" w:eastAsia="Arial" w:hAnsi="Arial" w:cs="Arial"/>
          <w:sz w:val="22"/>
          <w:szCs w:val="22"/>
        </w:rPr>
      </w:pPr>
    </w:p>
    <w:p w14:paraId="320B54FF" w14:textId="77777777" w:rsidR="006028A9" w:rsidRPr="006028A9" w:rsidRDefault="006028A9" w:rsidP="006028A9">
      <w:pPr>
        <w:spacing w:line="360" w:lineRule="auto"/>
        <w:rPr>
          <w:rFonts w:ascii="Arial" w:eastAsia="Arial" w:hAnsi="Arial" w:cs="Arial"/>
          <w:b/>
          <w:bCs/>
          <w:sz w:val="22"/>
          <w:szCs w:val="22"/>
        </w:rPr>
      </w:pPr>
      <w:r w:rsidRPr="006028A9">
        <w:rPr>
          <w:rFonts w:ascii="Arial" w:eastAsia="Arial" w:hAnsi="Arial" w:cs="Arial"/>
          <w:b/>
          <w:bCs/>
          <w:sz w:val="22"/>
          <w:szCs w:val="22"/>
        </w:rPr>
        <w:t>Task 1 – Why Meningitis Was Chosen as a Research Topic</w:t>
      </w:r>
    </w:p>
    <w:p w14:paraId="77C87ED2" w14:textId="77777777" w:rsidR="006028A9" w:rsidRPr="006028A9" w:rsidRDefault="006028A9" w:rsidP="006028A9">
      <w:pPr>
        <w:spacing w:line="360" w:lineRule="auto"/>
        <w:rPr>
          <w:rFonts w:ascii="Arial" w:eastAsia="Arial" w:hAnsi="Arial" w:cs="Arial"/>
          <w:b/>
          <w:bCs/>
          <w:sz w:val="22"/>
          <w:szCs w:val="22"/>
        </w:rPr>
      </w:pPr>
      <w:r w:rsidRPr="006028A9">
        <w:rPr>
          <w:rFonts w:ascii="Arial" w:eastAsia="Arial" w:hAnsi="Arial" w:cs="Arial"/>
          <w:b/>
          <w:bCs/>
          <w:sz w:val="22"/>
          <w:szCs w:val="22"/>
        </w:rPr>
        <w:t>What Meningitis Is</w:t>
      </w:r>
    </w:p>
    <w:p w14:paraId="61B6235E"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Meningitis happens when the protective layers around the brain and spinal cord, called the meninges, become inflamed. This inflammation is usually caused by an infection. The two main types are viral meningitis and bacterial meningitis. Viral meningitis is more common and usually less serious, while bacterial meningitis is rare but much more dangerous and needs urgent medical treatment (NHS, 2023; World Health Organization, 2021).</w:t>
      </w:r>
    </w:p>
    <w:p w14:paraId="2377A857"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lastRenderedPageBreak/>
        <w:t>Symptoms of meningitis can include a high temperature, headache, stiff neck, sensitivity to light, confusion, vomiting, and a rash. In babies, symptoms may also include a high-pitched cry, floppy or unresponsive behaviour, and difficulty feeding. These symptoms can appear quickly and get worse within hours, which is why early recognition is very important (NICE, 2022).</w:t>
      </w:r>
    </w:p>
    <w:p w14:paraId="4081C741"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Bacterial meningitis can lead to serious complications such as septicaemia (blood poisoning), hearing loss, brain damage, seizures, learning difficulties, limb loss, and death. In the UK, around 3,200 people develop bacterial meningitis each year. About one in ten people die, and many survivors experience long term health problems that affect their daily lives (Meningitis Research Foundation, 2023; World Health Organization, 2021).</w:t>
      </w:r>
    </w:p>
    <w:p w14:paraId="4DC5E48D" w14:textId="77777777" w:rsidR="006028A9" w:rsidRPr="006028A9" w:rsidRDefault="006028A9" w:rsidP="006028A9">
      <w:pPr>
        <w:spacing w:line="360" w:lineRule="auto"/>
        <w:rPr>
          <w:rFonts w:ascii="Arial" w:eastAsia="Arial" w:hAnsi="Arial" w:cs="Arial"/>
          <w:sz w:val="22"/>
          <w:szCs w:val="22"/>
        </w:rPr>
      </w:pPr>
    </w:p>
    <w:p w14:paraId="3BDDCA31" w14:textId="77777777" w:rsidR="006028A9" w:rsidRPr="006028A9" w:rsidRDefault="006028A9" w:rsidP="006028A9">
      <w:pPr>
        <w:spacing w:line="360" w:lineRule="auto"/>
        <w:rPr>
          <w:rFonts w:ascii="Arial" w:eastAsia="Arial" w:hAnsi="Arial" w:cs="Arial"/>
          <w:b/>
          <w:bCs/>
          <w:sz w:val="22"/>
          <w:szCs w:val="22"/>
        </w:rPr>
      </w:pPr>
      <w:r w:rsidRPr="006028A9">
        <w:rPr>
          <w:rFonts w:ascii="Arial" w:eastAsia="Arial" w:hAnsi="Arial" w:cs="Arial"/>
          <w:b/>
          <w:bCs/>
          <w:sz w:val="22"/>
          <w:szCs w:val="22"/>
        </w:rPr>
        <w:t>Who Is Most at Risk</w:t>
      </w:r>
    </w:p>
    <w:p w14:paraId="46A292E4"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Some groups of people are more at risk of getting meningitis. Babies under one year old are at the highest risk because their immune systems are still developing. Teenagers and young adults are also at higher risk, especially those living in shared accommodation such as university halls. This is because meningitis bacteria can spread through coughing, sneezing, and close contact.</w:t>
      </w:r>
    </w:p>
    <w:p w14:paraId="65EA0D8B"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People with weak immune systems, such as those with long term illnesses or those receiving certain treatments, are also more vulnerable. The UK Health Security Agency (2023) explains that crowded environments increase the risk of infection, which is why vaccination programmes are important in preventing outbreaks.</w:t>
      </w:r>
    </w:p>
    <w:p w14:paraId="5F1669BB" w14:textId="77777777" w:rsidR="006028A9" w:rsidRPr="006028A9" w:rsidRDefault="006028A9" w:rsidP="006028A9">
      <w:pPr>
        <w:spacing w:line="360" w:lineRule="auto"/>
        <w:rPr>
          <w:rFonts w:ascii="Arial" w:eastAsia="Arial" w:hAnsi="Arial" w:cs="Arial"/>
          <w:sz w:val="22"/>
          <w:szCs w:val="22"/>
        </w:rPr>
      </w:pPr>
    </w:p>
    <w:p w14:paraId="79E31BC6" w14:textId="77777777" w:rsidR="006028A9" w:rsidRPr="006028A9" w:rsidRDefault="006028A9" w:rsidP="006028A9">
      <w:pPr>
        <w:spacing w:line="360" w:lineRule="auto"/>
        <w:rPr>
          <w:rFonts w:ascii="Arial" w:eastAsia="Arial" w:hAnsi="Arial" w:cs="Arial"/>
          <w:b/>
          <w:bCs/>
          <w:sz w:val="22"/>
          <w:szCs w:val="22"/>
        </w:rPr>
      </w:pPr>
      <w:r w:rsidRPr="006028A9">
        <w:rPr>
          <w:rFonts w:ascii="Arial" w:eastAsia="Arial" w:hAnsi="Arial" w:cs="Arial"/>
          <w:b/>
          <w:bCs/>
          <w:sz w:val="22"/>
          <w:szCs w:val="22"/>
        </w:rPr>
        <w:t>Why Meningitis Matters in Health and Social Care</w:t>
      </w:r>
    </w:p>
    <w:p w14:paraId="18AD69E7"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Meningitis is an important issue in health and social care because it creates both immediate and long-term challenges. The first challenge is early diagnosis. Because meningitis develops quickly, healthcare professionals must be able to recognise symptoms and act fast. Staff working in GP surgeries, NHS 111 services, and emergency departments need good knowledge and quick decision-making skills to provide life-saving treatment (Kneen et al., 2020; NICE, 2022).</w:t>
      </w:r>
    </w:p>
    <w:p w14:paraId="4FC476D8"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 xml:space="preserve">The second challenge is long term support. Many people who survive meningitis need ongoing care, such as hearing support, physical rehabilitation, mental health support, and social care services. This means that different professionals, including doctors, nurses, </w:t>
      </w:r>
      <w:r w:rsidRPr="006028A9">
        <w:rPr>
          <w:rFonts w:ascii="Arial" w:eastAsia="Arial" w:hAnsi="Arial" w:cs="Arial"/>
          <w:sz w:val="22"/>
          <w:szCs w:val="22"/>
        </w:rPr>
        <w:lastRenderedPageBreak/>
        <w:t>social workers, and therapists, must work together to support patients over time (Skills for Care, 2023; Department of Health and Social Care, 2021).</w:t>
      </w:r>
    </w:p>
    <w:p w14:paraId="3F101196" w14:textId="77777777" w:rsidR="006028A9" w:rsidRPr="006028A9" w:rsidRDefault="006028A9" w:rsidP="006028A9">
      <w:pPr>
        <w:spacing w:line="360" w:lineRule="auto"/>
        <w:rPr>
          <w:rFonts w:ascii="Arial" w:eastAsia="Arial" w:hAnsi="Arial" w:cs="Arial"/>
          <w:sz w:val="22"/>
          <w:szCs w:val="22"/>
        </w:rPr>
      </w:pPr>
    </w:p>
    <w:p w14:paraId="667F8E84" w14:textId="77777777" w:rsidR="006028A9" w:rsidRPr="006028A9" w:rsidRDefault="006028A9" w:rsidP="006028A9">
      <w:pPr>
        <w:spacing w:line="360" w:lineRule="auto"/>
        <w:rPr>
          <w:rFonts w:ascii="Arial" w:eastAsia="Arial" w:hAnsi="Arial" w:cs="Arial"/>
          <w:b/>
          <w:bCs/>
          <w:sz w:val="22"/>
          <w:szCs w:val="22"/>
        </w:rPr>
      </w:pPr>
      <w:r w:rsidRPr="006028A9">
        <w:rPr>
          <w:rFonts w:ascii="Arial" w:eastAsia="Arial" w:hAnsi="Arial" w:cs="Arial"/>
          <w:b/>
          <w:bCs/>
          <w:sz w:val="22"/>
          <w:szCs w:val="22"/>
        </w:rPr>
        <w:t>Personal Reason for Choosing This Topic</w:t>
      </w:r>
    </w:p>
    <w:p w14:paraId="6A40A65E" w14:textId="47B20FB0"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I chose this topic because someone close to my family had meningitis when they were young and now lives with hearing loss. This experience showed me how quickly meningitis can change someone’s life. It also made me realise how important early treatment and support are.</w:t>
      </w:r>
      <w:r>
        <w:rPr>
          <w:rFonts w:ascii="Arial" w:eastAsia="Arial" w:hAnsi="Arial" w:cs="Arial"/>
          <w:sz w:val="22"/>
          <w:szCs w:val="22"/>
        </w:rPr>
        <w:t xml:space="preserve"> </w:t>
      </w:r>
      <w:r w:rsidRPr="006028A9">
        <w:rPr>
          <w:rFonts w:ascii="Arial" w:eastAsia="Arial" w:hAnsi="Arial" w:cs="Arial"/>
          <w:sz w:val="22"/>
          <w:szCs w:val="22"/>
        </w:rPr>
        <w:t>This topic is important to me because I want to work in health and social care, where I can help people in the community. Learning about meningitis helps me understand the importance of awareness, early diagnosis, and long-term care.</w:t>
      </w:r>
    </w:p>
    <w:p w14:paraId="4D3B4DF2" w14:textId="77777777" w:rsidR="006028A9" w:rsidRPr="006028A9" w:rsidRDefault="006028A9" w:rsidP="006028A9">
      <w:pPr>
        <w:spacing w:line="360" w:lineRule="auto"/>
        <w:rPr>
          <w:rFonts w:ascii="Arial" w:eastAsia="Arial" w:hAnsi="Arial" w:cs="Arial"/>
          <w:sz w:val="22"/>
          <w:szCs w:val="22"/>
        </w:rPr>
      </w:pPr>
    </w:p>
    <w:p w14:paraId="772A2908" w14:textId="77777777" w:rsidR="006028A9" w:rsidRPr="006028A9" w:rsidRDefault="006028A9" w:rsidP="006028A9">
      <w:pPr>
        <w:spacing w:line="360" w:lineRule="auto"/>
        <w:rPr>
          <w:rFonts w:ascii="Arial" w:eastAsia="Arial" w:hAnsi="Arial" w:cs="Arial"/>
          <w:b/>
          <w:bCs/>
          <w:sz w:val="22"/>
          <w:szCs w:val="22"/>
        </w:rPr>
      </w:pPr>
      <w:r w:rsidRPr="006028A9">
        <w:rPr>
          <w:rFonts w:ascii="Arial" w:eastAsia="Arial" w:hAnsi="Arial" w:cs="Arial"/>
          <w:b/>
          <w:bCs/>
          <w:sz w:val="22"/>
          <w:szCs w:val="22"/>
        </w:rPr>
        <w:t>Linking Meningitis to Staff Burnout in the UK</w:t>
      </w:r>
    </w:p>
    <w:p w14:paraId="27751C3B"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Staff burnout is a serious issue in the NHS and social care sector. Burnout happens when workers feel emotionally exhausted, stressed, and unable to cope with their workload. According to NHS England (2023), many healthcare workers report feeling burnt out due to high pressure and demanding working conditions.</w:t>
      </w:r>
    </w:p>
    <w:p w14:paraId="52C8D4E1" w14:textId="77777777" w:rsidR="006028A9" w:rsidRPr="006028A9" w:rsidRDefault="006028A9" w:rsidP="006028A9">
      <w:pPr>
        <w:spacing w:line="360" w:lineRule="auto"/>
        <w:rPr>
          <w:rFonts w:ascii="Arial" w:eastAsia="Arial" w:hAnsi="Arial" w:cs="Arial"/>
          <w:b/>
          <w:bCs/>
          <w:sz w:val="22"/>
          <w:szCs w:val="22"/>
        </w:rPr>
      </w:pPr>
      <w:r w:rsidRPr="006028A9">
        <w:rPr>
          <w:rFonts w:ascii="Arial" w:eastAsia="Arial" w:hAnsi="Arial" w:cs="Arial"/>
          <w:b/>
          <w:bCs/>
          <w:sz w:val="22"/>
          <w:szCs w:val="22"/>
        </w:rPr>
        <w:t>Meningitis and burnout are linked in several ways.</w:t>
      </w:r>
    </w:p>
    <w:p w14:paraId="7D9BA695"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b/>
          <w:bCs/>
          <w:sz w:val="22"/>
          <w:szCs w:val="22"/>
        </w:rPr>
        <w:t>Firstly</w:t>
      </w:r>
      <w:r w:rsidRPr="006028A9">
        <w:rPr>
          <w:rFonts w:ascii="Arial" w:eastAsia="Arial" w:hAnsi="Arial" w:cs="Arial"/>
          <w:sz w:val="22"/>
          <w:szCs w:val="22"/>
        </w:rPr>
        <w:t>, there is pressure to diagnose quickly. Meningitis requires urgent action, and healthcare staff must make fast decisions. If staff are tired or stressed, their ability to concentrate may be affected, which can delay diagnosis and treatment (Health Foundation, 2022).</w:t>
      </w:r>
    </w:p>
    <w:p w14:paraId="5752A314"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b/>
          <w:bCs/>
          <w:sz w:val="22"/>
          <w:szCs w:val="22"/>
        </w:rPr>
        <w:t>Secondly</w:t>
      </w:r>
      <w:r w:rsidRPr="006028A9">
        <w:rPr>
          <w:rFonts w:ascii="Arial" w:eastAsia="Arial" w:hAnsi="Arial" w:cs="Arial"/>
          <w:sz w:val="22"/>
          <w:szCs w:val="22"/>
        </w:rPr>
        <w:t>, there is emotional stress. Caring for very ill patients, especially children, can be emotionally challenging. Repeated exposure to serious cases can lead to emotional exhaustion and compassion fatigue (The King’s Fund, 2022).</w:t>
      </w:r>
    </w:p>
    <w:p w14:paraId="18472756"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b/>
          <w:bCs/>
          <w:sz w:val="22"/>
          <w:szCs w:val="22"/>
        </w:rPr>
        <w:t>Thirdly</w:t>
      </w:r>
      <w:r w:rsidRPr="006028A9">
        <w:rPr>
          <w:rFonts w:ascii="Arial" w:eastAsia="Arial" w:hAnsi="Arial" w:cs="Arial"/>
          <w:sz w:val="22"/>
          <w:szCs w:val="22"/>
        </w:rPr>
        <w:t>, staff shortages increase workload. When staff leave due to stress or burnout, fewer workers are available. This increases pressure on the remaining staff and can affect patient care (Royal College of Nursing, 2023).</w:t>
      </w:r>
    </w:p>
    <w:p w14:paraId="7CBCC563"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b/>
          <w:bCs/>
          <w:sz w:val="22"/>
          <w:szCs w:val="22"/>
        </w:rPr>
        <w:t>Fourthly</w:t>
      </w:r>
      <w:r w:rsidRPr="006028A9">
        <w:rPr>
          <w:rFonts w:ascii="Arial" w:eastAsia="Arial" w:hAnsi="Arial" w:cs="Arial"/>
          <w:sz w:val="22"/>
          <w:szCs w:val="22"/>
        </w:rPr>
        <w:t>, there is the pressure of long-term care. Supporting meningitis survivors often requires ongoing care from social workers and healthcare teams. High caseloads can make it difficult for staff to provide the best level of support (Skills for Care, 2023).</w:t>
      </w:r>
    </w:p>
    <w:p w14:paraId="70ED5B2D"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lastRenderedPageBreak/>
        <w:t>Finally, burnout affects communication. Families need clear information and emotional support during difficult times. Burnt out staff may struggle to communicate effectively, which can increase stress for families.</w:t>
      </w:r>
    </w:p>
    <w:p w14:paraId="5CCFC30F" w14:textId="77777777" w:rsidR="006028A9" w:rsidRPr="006028A9" w:rsidRDefault="006028A9" w:rsidP="006028A9">
      <w:pPr>
        <w:spacing w:line="360" w:lineRule="auto"/>
        <w:rPr>
          <w:rFonts w:ascii="Arial" w:eastAsia="Arial" w:hAnsi="Arial" w:cs="Arial"/>
          <w:sz w:val="22"/>
          <w:szCs w:val="22"/>
        </w:rPr>
      </w:pPr>
    </w:p>
    <w:p w14:paraId="297AFE14" w14:textId="77777777" w:rsidR="006028A9" w:rsidRPr="006028A9" w:rsidRDefault="006028A9" w:rsidP="006028A9">
      <w:pPr>
        <w:spacing w:line="360" w:lineRule="auto"/>
        <w:rPr>
          <w:rFonts w:ascii="Arial" w:eastAsia="Arial" w:hAnsi="Arial" w:cs="Arial"/>
          <w:b/>
          <w:bCs/>
          <w:sz w:val="22"/>
          <w:szCs w:val="22"/>
        </w:rPr>
      </w:pPr>
      <w:r w:rsidRPr="006028A9">
        <w:rPr>
          <w:rFonts w:ascii="Arial" w:eastAsia="Arial" w:hAnsi="Arial" w:cs="Arial"/>
          <w:b/>
          <w:bCs/>
          <w:sz w:val="22"/>
          <w:szCs w:val="22"/>
        </w:rPr>
        <w:t>Task 2 – Evaluating Information Sources</w:t>
      </w:r>
    </w:p>
    <w:p w14:paraId="2693F4DC" w14:textId="503CEFE0"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The Meningitis Research Foundation (2023) is a reliable source because it provides UK-specific data and statistics. It is a trusted charity that works closely with healthcare organisations. However, it may not fully explain wider social factors.</w:t>
      </w:r>
      <w:r>
        <w:rPr>
          <w:rFonts w:ascii="Arial" w:eastAsia="Arial" w:hAnsi="Arial" w:cs="Arial"/>
          <w:sz w:val="22"/>
          <w:szCs w:val="22"/>
        </w:rPr>
        <w:t xml:space="preserve"> </w:t>
      </w:r>
      <w:r w:rsidRPr="006028A9">
        <w:rPr>
          <w:rFonts w:ascii="Arial" w:eastAsia="Arial" w:hAnsi="Arial" w:cs="Arial"/>
          <w:sz w:val="22"/>
          <w:szCs w:val="22"/>
        </w:rPr>
        <w:t>The UK Health Security Agency (2023) is a government source that provides accurate and up-to-date information about meningitis and vaccination. It is highly reliable but focuses mainly on specific types of meningitis.</w:t>
      </w:r>
    </w:p>
    <w:p w14:paraId="1525626F"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Kneen et al. (2020) is a peer-reviewed academic article that explains diagnosis and treatment. It is reliable but focuses mainly on adults and may not include recent digital tools. The NHS website (2023) provides clear and simple information about symptoms and treatment. It is easy to understand but less detailed than academic sources.</w:t>
      </w:r>
    </w:p>
    <w:p w14:paraId="563DECE0" w14:textId="77777777" w:rsidR="006028A9" w:rsidRPr="006028A9" w:rsidRDefault="006028A9" w:rsidP="006028A9">
      <w:pPr>
        <w:spacing w:line="360" w:lineRule="auto"/>
        <w:rPr>
          <w:rFonts w:ascii="Arial" w:eastAsia="Arial" w:hAnsi="Arial" w:cs="Arial"/>
          <w:sz w:val="22"/>
          <w:szCs w:val="22"/>
        </w:rPr>
      </w:pPr>
    </w:p>
    <w:p w14:paraId="20B54231" w14:textId="77777777" w:rsidR="006028A9" w:rsidRPr="006028A9" w:rsidRDefault="006028A9" w:rsidP="006028A9">
      <w:pPr>
        <w:spacing w:line="360" w:lineRule="auto"/>
        <w:rPr>
          <w:rFonts w:ascii="Arial" w:eastAsia="Arial" w:hAnsi="Arial" w:cs="Arial"/>
          <w:b/>
          <w:bCs/>
          <w:sz w:val="22"/>
          <w:szCs w:val="22"/>
        </w:rPr>
      </w:pPr>
      <w:r w:rsidRPr="006028A9">
        <w:rPr>
          <w:rFonts w:ascii="Arial" w:eastAsia="Arial" w:hAnsi="Arial" w:cs="Arial"/>
          <w:b/>
          <w:bCs/>
          <w:sz w:val="22"/>
          <w:szCs w:val="22"/>
        </w:rPr>
        <w:t>Task 3 – Research Methodologies</w:t>
      </w:r>
    </w:p>
    <w:p w14:paraId="2A11DAB3" w14:textId="08B253F8"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Quantitative research uses numbers and statistics to understand patterns. For example, it can show how many people get meningitis each year or how many people recover. This type of research is useful for identifying trends and making comparisons (Creswell and Creswell, 2018).</w:t>
      </w:r>
      <w:r>
        <w:rPr>
          <w:rFonts w:ascii="Arial" w:eastAsia="Arial" w:hAnsi="Arial" w:cs="Arial"/>
          <w:sz w:val="22"/>
          <w:szCs w:val="22"/>
        </w:rPr>
        <w:t xml:space="preserve"> </w:t>
      </w:r>
      <w:r w:rsidRPr="006028A9">
        <w:rPr>
          <w:rFonts w:ascii="Arial" w:eastAsia="Arial" w:hAnsi="Arial" w:cs="Arial"/>
          <w:sz w:val="22"/>
          <w:szCs w:val="22"/>
        </w:rPr>
        <w:t>Qualitative research focuses on people’s experiences. It can include interviews or focus groups with patients, families, or healthcare workers. This helps us understand how meningitis affects people’s lives.</w:t>
      </w:r>
    </w:p>
    <w:p w14:paraId="09FFC0AD"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Mixed methods research combines both approaches. This is useful because meningitis involves both medical data and personal experiences. Using both methods together gives a more complete understanding of the issue (Creswell and Creswell, 2018).</w:t>
      </w:r>
    </w:p>
    <w:p w14:paraId="338F5071" w14:textId="77777777" w:rsidR="006028A9" w:rsidRPr="006028A9" w:rsidRDefault="006028A9" w:rsidP="006028A9">
      <w:pPr>
        <w:spacing w:line="360" w:lineRule="auto"/>
        <w:rPr>
          <w:rFonts w:ascii="Arial" w:eastAsia="Arial" w:hAnsi="Arial" w:cs="Arial"/>
          <w:sz w:val="22"/>
          <w:szCs w:val="22"/>
        </w:rPr>
      </w:pPr>
    </w:p>
    <w:p w14:paraId="1C0DBD3E" w14:textId="77777777" w:rsidR="006028A9" w:rsidRPr="006028A9" w:rsidRDefault="006028A9" w:rsidP="006028A9">
      <w:pPr>
        <w:spacing w:line="360" w:lineRule="auto"/>
        <w:rPr>
          <w:rFonts w:ascii="Arial" w:eastAsia="Arial" w:hAnsi="Arial" w:cs="Arial"/>
          <w:b/>
          <w:bCs/>
          <w:sz w:val="22"/>
          <w:szCs w:val="22"/>
        </w:rPr>
      </w:pPr>
      <w:r w:rsidRPr="006028A9">
        <w:rPr>
          <w:rFonts w:ascii="Arial" w:eastAsia="Arial" w:hAnsi="Arial" w:cs="Arial"/>
          <w:b/>
          <w:bCs/>
          <w:sz w:val="22"/>
          <w:szCs w:val="22"/>
        </w:rPr>
        <w:t>Task 4 – Data Collection</w:t>
      </w:r>
    </w:p>
    <w:p w14:paraId="5621C438"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 xml:space="preserve">Data collection is important because it helps gather information for the research. There are two main types: primary data and secondary data. Primary data is collected directly by the researcher through methods like interviews, surveys, and questionnaires. It provides detailed and personal information, such as the experiences of meningitis survivors or the views of </w:t>
      </w:r>
      <w:r w:rsidRPr="006028A9">
        <w:rPr>
          <w:rFonts w:ascii="Arial" w:eastAsia="Arial" w:hAnsi="Arial" w:cs="Arial"/>
          <w:sz w:val="22"/>
          <w:szCs w:val="22"/>
        </w:rPr>
        <w:lastRenderedPageBreak/>
        <w:t>healthcare workers about burnout. However, it can take time to collect and requires ethical approval (NHS, 2023).</w:t>
      </w:r>
    </w:p>
    <w:p w14:paraId="68718A3C"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Secondary data is information that has already been collected by organisations such as the NHS, UK Health Security Agency, and Meningitis Research Foundation. It includes statistics and reports, which are quick and cost-effective to use. However, it may not fully match the research topic. For this study, using both primary and secondary data is the best approach. Secondary data helps explain the size of the problem, while primary data gives real-life experiences. It is also important to follow ethical rules, such as getting consent and keeping information confidential (Department of Health and Social Care, 2021). Overall, combining both types of data helps provide a better understanding of meningitis and staff burnout.</w:t>
      </w:r>
    </w:p>
    <w:p w14:paraId="66D0FD3B" w14:textId="77777777" w:rsidR="006028A9" w:rsidRPr="006028A9" w:rsidRDefault="006028A9" w:rsidP="006028A9">
      <w:pPr>
        <w:spacing w:line="360" w:lineRule="auto"/>
        <w:rPr>
          <w:rFonts w:ascii="Arial" w:eastAsia="Arial" w:hAnsi="Arial" w:cs="Arial"/>
          <w:sz w:val="22"/>
          <w:szCs w:val="22"/>
        </w:rPr>
      </w:pPr>
    </w:p>
    <w:p w14:paraId="7A8FADAD" w14:textId="77777777" w:rsidR="006028A9" w:rsidRPr="006028A9" w:rsidRDefault="006028A9" w:rsidP="006028A9">
      <w:pPr>
        <w:spacing w:line="360" w:lineRule="auto"/>
        <w:rPr>
          <w:rFonts w:ascii="Arial" w:eastAsia="Arial" w:hAnsi="Arial" w:cs="Arial"/>
          <w:b/>
          <w:bCs/>
          <w:sz w:val="22"/>
          <w:szCs w:val="22"/>
        </w:rPr>
      </w:pPr>
      <w:r w:rsidRPr="006028A9">
        <w:rPr>
          <w:rFonts w:ascii="Arial" w:eastAsia="Arial" w:hAnsi="Arial" w:cs="Arial"/>
          <w:b/>
          <w:bCs/>
          <w:sz w:val="22"/>
          <w:szCs w:val="22"/>
        </w:rPr>
        <w:t>Conclusion</w:t>
      </w:r>
    </w:p>
    <w:p w14:paraId="7506BF9A"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 xml:space="preserve">Meningitis remains a serious public health issue in the UK. It can develop quickly and cause serious health problems or death. Even though vaccines have reduced cases, early diagnosis and treatment are still very important. Staff burnout is also a growing problem in the NHS and social care sector. Burnout affects how staff work, make decisions, and communicate. This can have a direct impact on patient care (Health Foundation, 2022). </w:t>
      </w:r>
    </w:p>
    <w:p w14:paraId="1EF17D98"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By linking meningitis and staff burnout, this report shows that supporting healthcare workers is essential for improving patient outcomes. A mixed methods approach provides the best understanding of this issue by combining statistics with personal experiences. Overall, improving awareness, supporting staff, and strengthening healthcare systems can help improve outcomes for people affected by meningitis in the UK.</w:t>
      </w:r>
    </w:p>
    <w:p w14:paraId="316BF36E" w14:textId="77777777" w:rsidR="006028A9" w:rsidRPr="006028A9" w:rsidRDefault="006028A9" w:rsidP="006028A9">
      <w:pPr>
        <w:spacing w:line="360" w:lineRule="auto"/>
        <w:rPr>
          <w:rFonts w:ascii="Arial" w:eastAsia="Arial" w:hAnsi="Arial" w:cs="Arial"/>
          <w:sz w:val="22"/>
          <w:szCs w:val="22"/>
        </w:rPr>
      </w:pPr>
    </w:p>
    <w:p w14:paraId="15669A2E" w14:textId="77777777" w:rsidR="006028A9" w:rsidRPr="006028A9" w:rsidRDefault="006028A9" w:rsidP="006028A9">
      <w:pPr>
        <w:spacing w:line="360" w:lineRule="auto"/>
        <w:rPr>
          <w:rFonts w:ascii="Arial" w:eastAsia="Arial" w:hAnsi="Arial" w:cs="Arial"/>
          <w:b/>
          <w:bCs/>
          <w:sz w:val="22"/>
          <w:szCs w:val="22"/>
        </w:rPr>
      </w:pPr>
      <w:r w:rsidRPr="006028A9">
        <w:rPr>
          <w:rFonts w:ascii="Arial" w:eastAsia="Arial" w:hAnsi="Arial" w:cs="Arial"/>
          <w:b/>
          <w:bCs/>
          <w:sz w:val="22"/>
          <w:szCs w:val="22"/>
        </w:rPr>
        <w:t>Reference List (Harvard Style with Links and Access Dates)</w:t>
      </w:r>
    </w:p>
    <w:p w14:paraId="1C359AAC"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 xml:space="preserve">Department of Health and Social Care (2021) </w:t>
      </w:r>
      <w:r w:rsidRPr="006028A9">
        <w:rPr>
          <w:rFonts w:ascii="Arial" w:eastAsia="Arial" w:hAnsi="Arial" w:cs="Arial"/>
          <w:i/>
          <w:iCs/>
          <w:sz w:val="22"/>
          <w:szCs w:val="22"/>
        </w:rPr>
        <w:t>Health and social care integration</w:t>
      </w:r>
      <w:r w:rsidRPr="006028A9">
        <w:rPr>
          <w:rFonts w:ascii="Arial" w:eastAsia="Arial" w:hAnsi="Arial" w:cs="Arial"/>
          <w:sz w:val="22"/>
          <w:szCs w:val="22"/>
        </w:rPr>
        <w:t>. Available at: https://www.gov.uk/government/publications/health-and-social-care-integration (Accessed: 12 April 2026).</w:t>
      </w:r>
    </w:p>
    <w:p w14:paraId="4F7B88A8"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 xml:space="preserve">Health Foundation (2022) </w:t>
      </w:r>
      <w:r w:rsidRPr="006028A9">
        <w:rPr>
          <w:rFonts w:ascii="Arial" w:eastAsia="Arial" w:hAnsi="Arial" w:cs="Arial"/>
          <w:i/>
          <w:iCs/>
          <w:sz w:val="22"/>
          <w:szCs w:val="22"/>
        </w:rPr>
        <w:t>Workforce burnout in the NHS</w:t>
      </w:r>
      <w:r w:rsidRPr="006028A9">
        <w:rPr>
          <w:rFonts w:ascii="Arial" w:eastAsia="Arial" w:hAnsi="Arial" w:cs="Arial"/>
          <w:sz w:val="22"/>
          <w:szCs w:val="22"/>
        </w:rPr>
        <w:t xml:space="preserve">. Available at: </w:t>
      </w:r>
      <w:hyperlink r:id="rId10" w:tgtFrame="_new" w:history="1">
        <w:r w:rsidRPr="006028A9">
          <w:rPr>
            <w:rStyle w:val="Hyperlink"/>
            <w:rFonts w:ascii="Arial" w:eastAsia="Arial" w:hAnsi="Arial" w:cs="Arial"/>
            <w:sz w:val="22"/>
            <w:szCs w:val="22"/>
          </w:rPr>
          <w:t>https://www.health.org.uk</w:t>
        </w:r>
      </w:hyperlink>
      <w:r w:rsidRPr="006028A9">
        <w:rPr>
          <w:rFonts w:ascii="Arial" w:eastAsia="Arial" w:hAnsi="Arial" w:cs="Arial"/>
          <w:sz w:val="22"/>
          <w:szCs w:val="22"/>
        </w:rPr>
        <w:t xml:space="preserve"> (Accessed: 12 April 2026).</w:t>
      </w:r>
    </w:p>
    <w:p w14:paraId="51367C82"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 xml:space="preserve">Kneen, R. et al. (2020) ‘Management of suspected viral encephalitis in adults’, </w:t>
      </w:r>
      <w:r w:rsidRPr="006028A9">
        <w:rPr>
          <w:rFonts w:ascii="Arial" w:eastAsia="Arial" w:hAnsi="Arial" w:cs="Arial"/>
          <w:i/>
          <w:iCs/>
          <w:sz w:val="22"/>
          <w:szCs w:val="22"/>
        </w:rPr>
        <w:t>Journal of Infection</w:t>
      </w:r>
      <w:r w:rsidRPr="006028A9">
        <w:rPr>
          <w:rFonts w:ascii="Arial" w:eastAsia="Arial" w:hAnsi="Arial" w:cs="Arial"/>
          <w:sz w:val="22"/>
          <w:szCs w:val="22"/>
        </w:rPr>
        <w:t xml:space="preserve">. Available at: </w:t>
      </w:r>
      <w:hyperlink r:id="rId11" w:tgtFrame="_new" w:history="1">
        <w:r w:rsidRPr="006028A9">
          <w:rPr>
            <w:rStyle w:val="Hyperlink"/>
            <w:rFonts w:ascii="Arial" w:eastAsia="Arial" w:hAnsi="Arial" w:cs="Arial"/>
            <w:sz w:val="22"/>
            <w:szCs w:val="22"/>
          </w:rPr>
          <w:t>https://doi.org/10.1016/j.jinf.2020.05.002</w:t>
        </w:r>
      </w:hyperlink>
      <w:r w:rsidRPr="006028A9">
        <w:rPr>
          <w:rFonts w:ascii="Arial" w:eastAsia="Arial" w:hAnsi="Arial" w:cs="Arial"/>
          <w:sz w:val="22"/>
          <w:szCs w:val="22"/>
        </w:rPr>
        <w:t xml:space="preserve"> (Accessed: 12 April 2026).</w:t>
      </w:r>
    </w:p>
    <w:p w14:paraId="32535B26"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lastRenderedPageBreak/>
        <w:t xml:space="preserve">Meningitis Research Foundation (2023) </w:t>
      </w:r>
      <w:r w:rsidRPr="006028A9">
        <w:rPr>
          <w:rFonts w:ascii="Arial" w:eastAsia="Arial" w:hAnsi="Arial" w:cs="Arial"/>
          <w:i/>
          <w:iCs/>
          <w:sz w:val="22"/>
          <w:szCs w:val="22"/>
        </w:rPr>
        <w:t>Meningitis statistics UK</w:t>
      </w:r>
      <w:r w:rsidRPr="006028A9">
        <w:rPr>
          <w:rFonts w:ascii="Arial" w:eastAsia="Arial" w:hAnsi="Arial" w:cs="Arial"/>
          <w:sz w:val="22"/>
          <w:szCs w:val="22"/>
        </w:rPr>
        <w:t>. Available at: https://www.meningitis.org/meningitis/statistics (Accessed: 12 April 2026).</w:t>
      </w:r>
    </w:p>
    <w:p w14:paraId="42DC8511"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 xml:space="preserve">NHS (2023) </w:t>
      </w:r>
      <w:r w:rsidRPr="006028A9">
        <w:rPr>
          <w:rFonts w:ascii="Arial" w:eastAsia="Arial" w:hAnsi="Arial" w:cs="Arial"/>
          <w:i/>
          <w:iCs/>
          <w:sz w:val="22"/>
          <w:szCs w:val="22"/>
        </w:rPr>
        <w:t>Meningitis</w:t>
      </w:r>
      <w:r w:rsidRPr="006028A9">
        <w:rPr>
          <w:rFonts w:ascii="Arial" w:eastAsia="Arial" w:hAnsi="Arial" w:cs="Arial"/>
          <w:sz w:val="22"/>
          <w:szCs w:val="22"/>
        </w:rPr>
        <w:t xml:space="preserve">. Available at: </w:t>
      </w:r>
      <w:hyperlink r:id="rId12" w:tgtFrame="_new" w:history="1">
        <w:r w:rsidRPr="006028A9">
          <w:rPr>
            <w:rStyle w:val="Hyperlink"/>
            <w:rFonts w:ascii="Arial" w:eastAsia="Arial" w:hAnsi="Arial" w:cs="Arial"/>
            <w:sz w:val="22"/>
            <w:szCs w:val="22"/>
          </w:rPr>
          <w:t>https://www.nhs.uk/conditions/meningitis/</w:t>
        </w:r>
      </w:hyperlink>
      <w:r w:rsidRPr="006028A9">
        <w:rPr>
          <w:rFonts w:ascii="Arial" w:eastAsia="Arial" w:hAnsi="Arial" w:cs="Arial"/>
          <w:sz w:val="22"/>
          <w:szCs w:val="22"/>
        </w:rPr>
        <w:t xml:space="preserve"> (Accessed: 12 April 2026).</w:t>
      </w:r>
    </w:p>
    <w:p w14:paraId="20E9A2DC"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 xml:space="preserve">NHS England (2023) </w:t>
      </w:r>
      <w:r w:rsidRPr="006028A9">
        <w:rPr>
          <w:rFonts w:ascii="Arial" w:eastAsia="Arial" w:hAnsi="Arial" w:cs="Arial"/>
          <w:i/>
          <w:iCs/>
          <w:sz w:val="22"/>
          <w:szCs w:val="22"/>
        </w:rPr>
        <w:t>NHS workforce burnout report</w:t>
      </w:r>
      <w:r w:rsidRPr="006028A9">
        <w:rPr>
          <w:rFonts w:ascii="Arial" w:eastAsia="Arial" w:hAnsi="Arial" w:cs="Arial"/>
          <w:sz w:val="22"/>
          <w:szCs w:val="22"/>
        </w:rPr>
        <w:t xml:space="preserve">. Available at: </w:t>
      </w:r>
      <w:hyperlink r:id="rId13" w:tgtFrame="_new" w:history="1">
        <w:r w:rsidRPr="006028A9">
          <w:rPr>
            <w:rStyle w:val="Hyperlink"/>
            <w:rFonts w:ascii="Arial" w:eastAsia="Arial" w:hAnsi="Arial" w:cs="Arial"/>
            <w:sz w:val="22"/>
            <w:szCs w:val="22"/>
          </w:rPr>
          <w:t>https://www.england.nhs.uk</w:t>
        </w:r>
      </w:hyperlink>
      <w:r w:rsidRPr="006028A9">
        <w:rPr>
          <w:rFonts w:ascii="Arial" w:eastAsia="Arial" w:hAnsi="Arial" w:cs="Arial"/>
          <w:sz w:val="22"/>
          <w:szCs w:val="22"/>
        </w:rPr>
        <w:t xml:space="preserve"> (Accessed: 12 April 2026).</w:t>
      </w:r>
    </w:p>
    <w:p w14:paraId="3E19A8EA"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 xml:space="preserve">NICE (2022) </w:t>
      </w:r>
      <w:r w:rsidRPr="006028A9">
        <w:rPr>
          <w:rFonts w:ascii="Arial" w:eastAsia="Arial" w:hAnsi="Arial" w:cs="Arial"/>
          <w:i/>
          <w:iCs/>
          <w:sz w:val="22"/>
          <w:szCs w:val="22"/>
        </w:rPr>
        <w:t>Meningitis guidance</w:t>
      </w:r>
      <w:r w:rsidRPr="006028A9">
        <w:rPr>
          <w:rFonts w:ascii="Arial" w:eastAsia="Arial" w:hAnsi="Arial" w:cs="Arial"/>
          <w:sz w:val="22"/>
          <w:szCs w:val="22"/>
        </w:rPr>
        <w:t xml:space="preserve">. Available at: </w:t>
      </w:r>
      <w:hyperlink r:id="rId14" w:tgtFrame="_new" w:history="1">
        <w:r w:rsidRPr="006028A9">
          <w:rPr>
            <w:rStyle w:val="Hyperlink"/>
            <w:rFonts w:ascii="Arial" w:eastAsia="Arial" w:hAnsi="Arial" w:cs="Arial"/>
            <w:sz w:val="22"/>
            <w:szCs w:val="22"/>
          </w:rPr>
          <w:t>https://www.nice.org.uk</w:t>
        </w:r>
      </w:hyperlink>
      <w:r w:rsidRPr="006028A9">
        <w:rPr>
          <w:rFonts w:ascii="Arial" w:eastAsia="Arial" w:hAnsi="Arial" w:cs="Arial"/>
          <w:sz w:val="22"/>
          <w:szCs w:val="22"/>
        </w:rPr>
        <w:t xml:space="preserve"> (Accessed: 12 April 2026).</w:t>
      </w:r>
    </w:p>
    <w:p w14:paraId="7971EE6C"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 xml:space="preserve">UK Health Security Agency (2023) </w:t>
      </w:r>
      <w:r w:rsidRPr="006028A9">
        <w:rPr>
          <w:rFonts w:ascii="Arial" w:eastAsia="Arial" w:hAnsi="Arial" w:cs="Arial"/>
          <w:i/>
          <w:iCs/>
          <w:sz w:val="22"/>
          <w:szCs w:val="22"/>
        </w:rPr>
        <w:t>Meningococcal disease guidance</w:t>
      </w:r>
      <w:r w:rsidRPr="006028A9">
        <w:rPr>
          <w:rFonts w:ascii="Arial" w:eastAsia="Arial" w:hAnsi="Arial" w:cs="Arial"/>
          <w:sz w:val="22"/>
          <w:szCs w:val="22"/>
        </w:rPr>
        <w:t xml:space="preserve">. Available at: </w:t>
      </w:r>
      <w:hyperlink r:id="rId15" w:tgtFrame="_new" w:history="1">
        <w:r w:rsidRPr="006028A9">
          <w:rPr>
            <w:rStyle w:val="Hyperlink"/>
            <w:rFonts w:ascii="Arial" w:eastAsia="Arial" w:hAnsi="Arial" w:cs="Arial"/>
            <w:sz w:val="22"/>
            <w:szCs w:val="22"/>
          </w:rPr>
          <w:t>https://www.gov.uk/government/organisations/uk-health-security-agency</w:t>
        </w:r>
      </w:hyperlink>
      <w:r w:rsidRPr="006028A9">
        <w:rPr>
          <w:rFonts w:ascii="Arial" w:eastAsia="Arial" w:hAnsi="Arial" w:cs="Arial"/>
          <w:sz w:val="22"/>
          <w:szCs w:val="22"/>
        </w:rPr>
        <w:t xml:space="preserve"> (Accessed: 12 April 2026).</w:t>
      </w:r>
    </w:p>
    <w:p w14:paraId="22D4A823" w14:textId="77777777" w:rsidR="006028A9" w:rsidRPr="006028A9" w:rsidRDefault="006028A9" w:rsidP="006028A9">
      <w:pPr>
        <w:spacing w:line="360" w:lineRule="auto"/>
        <w:rPr>
          <w:rFonts w:ascii="Arial" w:eastAsia="Arial" w:hAnsi="Arial" w:cs="Arial"/>
          <w:sz w:val="22"/>
          <w:szCs w:val="22"/>
        </w:rPr>
      </w:pPr>
      <w:r w:rsidRPr="006028A9">
        <w:rPr>
          <w:rFonts w:ascii="Arial" w:eastAsia="Arial" w:hAnsi="Arial" w:cs="Arial"/>
          <w:sz w:val="22"/>
          <w:szCs w:val="22"/>
        </w:rPr>
        <w:t xml:space="preserve">World Health Organization (2021) </w:t>
      </w:r>
      <w:r w:rsidRPr="006028A9">
        <w:rPr>
          <w:rFonts w:ascii="Arial" w:eastAsia="Arial" w:hAnsi="Arial" w:cs="Arial"/>
          <w:i/>
          <w:iCs/>
          <w:sz w:val="22"/>
          <w:szCs w:val="22"/>
        </w:rPr>
        <w:t>Defeating meningitis by 2030</w:t>
      </w:r>
      <w:r w:rsidRPr="006028A9">
        <w:rPr>
          <w:rFonts w:ascii="Arial" w:eastAsia="Arial" w:hAnsi="Arial" w:cs="Arial"/>
          <w:sz w:val="22"/>
          <w:szCs w:val="22"/>
        </w:rPr>
        <w:t xml:space="preserve">. Available at: </w:t>
      </w:r>
      <w:hyperlink r:id="rId16" w:tgtFrame="_new" w:history="1">
        <w:r w:rsidRPr="006028A9">
          <w:rPr>
            <w:rStyle w:val="Hyperlink"/>
            <w:rFonts w:ascii="Arial" w:eastAsia="Arial" w:hAnsi="Arial" w:cs="Arial"/>
            <w:sz w:val="22"/>
            <w:szCs w:val="22"/>
          </w:rPr>
          <w:t>https://www.who.int</w:t>
        </w:r>
      </w:hyperlink>
      <w:r w:rsidRPr="006028A9">
        <w:rPr>
          <w:rFonts w:ascii="Arial" w:eastAsia="Arial" w:hAnsi="Arial" w:cs="Arial"/>
          <w:sz w:val="22"/>
          <w:szCs w:val="22"/>
        </w:rPr>
        <w:t xml:space="preserve"> (Accessed: 12 April 2026).</w:t>
      </w:r>
    </w:p>
    <w:p w14:paraId="534306C7" w14:textId="77777777" w:rsidR="006028A9" w:rsidRPr="006028A9" w:rsidRDefault="006028A9" w:rsidP="006028A9">
      <w:pPr>
        <w:spacing w:line="360" w:lineRule="auto"/>
        <w:rPr>
          <w:rFonts w:ascii="Arial" w:eastAsia="Arial" w:hAnsi="Arial" w:cs="Arial"/>
          <w:sz w:val="22"/>
          <w:szCs w:val="22"/>
        </w:rPr>
      </w:pPr>
    </w:p>
    <w:p w14:paraId="393C94A5" w14:textId="77777777" w:rsidR="00E213A9" w:rsidRPr="006028A9" w:rsidRDefault="00E213A9" w:rsidP="006028A9">
      <w:pPr>
        <w:spacing w:line="360" w:lineRule="auto"/>
        <w:rPr>
          <w:rFonts w:ascii="Arial" w:eastAsia="Arial" w:hAnsi="Arial" w:cs="Arial"/>
          <w:sz w:val="22"/>
          <w:szCs w:val="22"/>
        </w:rPr>
      </w:pPr>
    </w:p>
    <w:p w14:paraId="21E1C08C" w14:textId="77777777" w:rsidR="00E213A9" w:rsidRPr="006028A9" w:rsidRDefault="00E213A9" w:rsidP="006028A9">
      <w:pPr>
        <w:spacing w:line="360" w:lineRule="auto"/>
        <w:rPr>
          <w:rFonts w:ascii="Arial" w:eastAsia="Arial" w:hAnsi="Arial" w:cs="Arial"/>
          <w:sz w:val="22"/>
          <w:szCs w:val="22"/>
        </w:rPr>
      </w:pPr>
    </w:p>
    <w:p w14:paraId="7B3DCA01" w14:textId="77777777" w:rsidR="00E213A9" w:rsidRPr="006028A9" w:rsidRDefault="00E213A9" w:rsidP="006028A9">
      <w:pPr>
        <w:spacing w:line="360" w:lineRule="auto"/>
        <w:rPr>
          <w:rFonts w:ascii="Arial" w:eastAsia="Arial" w:hAnsi="Arial" w:cs="Arial"/>
          <w:sz w:val="22"/>
          <w:szCs w:val="22"/>
        </w:rPr>
      </w:pPr>
    </w:p>
    <w:p w14:paraId="59D13BB5" w14:textId="06F6A089" w:rsidR="00530E16" w:rsidRPr="006028A9" w:rsidRDefault="00530E16" w:rsidP="006028A9">
      <w:pPr>
        <w:spacing w:line="360" w:lineRule="auto"/>
        <w:rPr>
          <w:rFonts w:ascii="Arial" w:eastAsia="Arial" w:hAnsi="Arial" w:cs="Arial"/>
          <w:sz w:val="22"/>
          <w:szCs w:val="22"/>
        </w:rPr>
      </w:pPr>
    </w:p>
    <w:sectPr w:rsidR="00530E16" w:rsidRPr="006028A9" w:rsidSect="00722EFE">
      <w:footerReference w:type="first" r:id="rId17"/>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B8A376" w14:textId="77777777" w:rsidR="0020403E" w:rsidRDefault="0020403E" w:rsidP="002A1842">
      <w:pPr>
        <w:spacing w:after="0" w:line="240" w:lineRule="auto"/>
      </w:pPr>
      <w:r>
        <w:separator/>
      </w:r>
    </w:p>
  </w:endnote>
  <w:endnote w:type="continuationSeparator" w:id="0">
    <w:p w14:paraId="72AD40B5" w14:textId="77777777" w:rsidR="0020403E" w:rsidRDefault="0020403E"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89C0EE4"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35F3F428"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F1B5C72"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17B65F27"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E60B6" w14:textId="77777777" w:rsidR="0020403E" w:rsidRDefault="0020403E" w:rsidP="002A1842">
      <w:pPr>
        <w:spacing w:after="0" w:line="240" w:lineRule="auto"/>
      </w:pPr>
      <w:r>
        <w:separator/>
      </w:r>
    </w:p>
  </w:footnote>
  <w:footnote w:type="continuationSeparator" w:id="0">
    <w:p w14:paraId="7C082BAC" w14:textId="77777777" w:rsidR="0020403E" w:rsidRDefault="0020403E"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759450930">
    <w:abstractNumId w:val="5"/>
  </w:num>
  <w:num w:numId="2" w16cid:durableId="1831210484">
    <w:abstractNumId w:val="3"/>
  </w:num>
  <w:num w:numId="3" w16cid:durableId="1204707385">
    <w:abstractNumId w:val="2"/>
  </w:num>
  <w:num w:numId="4" w16cid:durableId="68773583">
    <w:abstractNumId w:val="1"/>
  </w:num>
  <w:num w:numId="5" w16cid:durableId="1835951143">
    <w:abstractNumId w:val="4"/>
  </w:num>
  <w:num w:numId="6" w16cid:durableId="1891111407">
    <w:abstractNumId w:val="0"/>
  </w:num>
  <w:num w:numId="7" w16cid:durableId="1920286787">
    <w:abstractNumId w:val="7"/>
  </w:num>
  <w:num w:numId="8" w16cid:durableId="1729647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72AD1"/>
    <w:rsid w:val="001813E7"/>
    <w:rsid w:val="00191562"/>
    <w:rsid w:val="001E0AF6"/>
    <w:rsid w:val="0020403E"/>
    <w:rsid w:val="00236D1C"/>
    <w:rsid w:val="002A1842"/>
    <w:rsid w:val="002E627F"/>
    <w:rsid w:val="00432D05"/>
    <w:rsid w:val="004468F8"/>
    <w:rsid w:val="004B2F0D"/>
    <w:rsid w:val="00530E16"/>
    <w:rsid w:val="00575E73"/>
    <w:rsid w:val="006028A9"/>
    <w:rsid w:val="00627E45"/>
    <w:rsid w:val="00722EFE"/>
    <w:rsid w:val="007637E9"/>
    <w:rsid w:val="008B075B"/>
    <w:rsid w:val="008E7834"/>
    <w:rsid w:val="009F60D1"/>
    <w:rsid w:val="00A75B15"/>
    <w:rsid w:val="00AE06EA"/>
    <w:rsid w:val="00B65ED6"/>
    <w:rsid w:val="00BA0043"/>
    <w:rsid w:val="00C40DAB"/>
    <w:rsid w:val="00CF650B"/>
    <w:rsid w:val="00D62A9C"/>
    <w:rsid w:val="00DB181C"/>
    <w:rsid w:val="00E213A9"/>
    <w:rsid w:val="00EA04EC"/>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535F4"/>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6028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ngland.nhs.uk"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hs.uk/conditions/meningitis/"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who.i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jinf.2020.05.002" TargetMode="External"/><Relationship Id="rId5" Type="http://schemas.openxmlformats.org/officeDocument/2006/relationships/settings" Target="settings.xml"/><Relationship Id="rId15" Type="http://schemas.openxmlformats.org/officeDocument/2006/relationships/hyperlink" Target="https://www.gov.uk/government/organisations/uk-health-security-agency" TargetMode="External"/><Relationship Id="rId10" Type="http://schemas.openxmlformats.org/officeDocument/2006/relationships/hyperlink" Target="https://www.health.org.uk"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2044</Words>
  <Characters>11920</Characters>
  <Application>Microsoft Office Word</Application>
  <DocSecurity>0</DocSecurity>
  <Lines>233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Tosin Awodesu (2442948)</cp:lastModifiedBy>
  <cp:revision>3</cp:revision>
  <dcterms:created xsi:type="dcterms:W3CDTF">2026-04-12T23:18:00Z</dcterms:created>
  <dcterms:modified xsi:type="dcterms:W3CDTF">2026-04-12T23:22:00Z</dcterms:modified>
</cp:coreProperties>
</file>