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3E07" w:rsidRPr="00CD3E07" w:rsidRDefault="00CD3E07" w:rsidP="00CD3E07">
      <w:pPr>
        <w:rPr>
          <w:b/>
          <w:sz w:val="44"/>
          <w:szCs w:val="44"/>
        </w:rPr>
      </w:pPr>
      <w:r w:rsidRPr="00CD3E07">
        <w:rPr>
          <w:b/>
          <w:sz w:val="44"/>
          <w:szCs w:val="44"/>
        </w:rPr>
        <w:t>Programme: BA Business Management (BABM)</w:t>
      </w:r>
    </w:p>
    <w:p w:rsidR="00CD3E07" w:rsidRPr="00CD3E07" w:rsidRDefault="00CD3E07" w:rsidP="00CD3E07">
      <w:pPr>
        <w:rPr>
          <w:b/>
          <w:sz w:val="44"/>
          <w:szCs w:val="44"/>
        </w:rPr>
      </w:pPr>
      <w:r w:rsidRPr="00CD3E07">
        <w:rPr>
          <w:b/>
          <w:sz w:val="44"/>
          <w:szCs w:val="44"/>
        </w:rPr>
        <w:t>Module: Accounting Fundamentals</w:t>
      </w:r>
    </w:p>
    <w:p w:rsidR="00776D61" w:rsidRPr="00CD3E07" w:rsidRDefault="00CD3E07" w:rsidP="00CD3E07">
      <w:pPr>
        <w:rPr>
          <w:b/>
          <w:sz w:val="44"/>
          <w:szCs w:val="44"/>
          <w:lang w:val="en-US"/>
        </w:rPr>
      </w:pPr>
      <w:r w:rsidRPr="00CD3E07">
        <w:rPr>
          <w:b/>
          <w:sz w:val="44"/>
          <w:szCs w:val="44"/>
        </w:rPr>
        <w:t>Module code: LCBB4001</w:t>
      </w:r>
    </w:p>
    <w:p w:rsidR="00CD3E07" w:rsidRPr="00CD3E07" w:rsidRDefault="00CD3E07" w:rsidP="00CD3E07">
      <w:pPr>
        <w:rPr>
          <w:b/>
          <w:sz w:val="44"/>
          <w:szCs w:val="44"/>
          <w:lang w:val="en-US"/>
        </w:rPr>
      </w:pPr>
      <w:r w:rsidRPr="00CD3E07">
        <w:rPr>
          <w:b/>
          <w:sz w:val="44"/>
          <w:szCs w:val="44"/>
          <w:lang w:val="en-US"/>
        </w:rPr>
        <w:t>Student ID</w:t>
      </w:r>
      <w:r w:rsidR="00A127A6">
        <w:rPr>
          <w:b/>
          <w:sz w:val="44"/>
          <w:szCs w:val="44"/>
        </w:rPr>
        <w:t>: 21145</w:t>
      </w:r>
      <w:r w:rsidR="003B7B2F">
        <w:rPr>
          <w:b/>
          <w:sz w:val="44"/>
          <w:szCs w:val="44"/>
        </w:rPr>
        <w:t>08</w:t>
      </w:r>
    </w:p>
    <w:p w:rsidR="00CD3E07" w:rsidRDefault="00CD3E07" w:rsidP="00CD3E07">
      <w:pPr>
        <w:rPr>
          <w:b/>
          <w:sz w:val="44"/>
          <w:szCs w:val="44"/>
          <w:lang w:val="en-US"/>
        </w:rPr>
      </w:pPr>
      <w:r w:rsidRPr="00CD3E07">
        <w:rPr>
          <w:b/>
          <w:sz w:val="44"/>
          <w:szCs w:val="44"/>
          <w:lang w:val="en-US"/>
        </w:rPr>
        <w:t xml:space="preserve">Student name: </w:t>
      </w:r>
      <w:r w:rsidR="003B7B2F">
        <w:rPr>
          <w:b/>
          <w:sz w:val="44"/>
          <w:szCs w:val="44"/>
        </w:rPr>
        <w:t xml:space="preserve">Ralitsa Georgieva </w:t>
      </w:r>
    </w:p>
    <w:p w:rsidR="005F0948" w:rsidRDefault="005F0948" w:rsidP="00CD3E07">
      <w:pPr>
        <w:rPr>
          <w:b/>
          <w:sz w:val="44"/>
          <w:szCs w:val="44"/>
          <w:lang w:val="en-US"/>
        </w:rPr>
      </w:pPr>
    </w:p>
    <w:p w:rsidR="005F0948" w:rsidRDefault="005F0948"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p w:rsidR="003D0D6A" w:rsidRDefault="003D0D6A" w:rsidP="00CD3E07">
      <w:pPr>
        <w:rPr>
          <w:b/>
          <w:sz w:val="44"/>
          <w:szCs w:val="44"/>
          <w:lang w:val="en-US"/>
        </w:rPr>
      </w:pPr>
    </w:p>
    <w:sdt>
      <w:sdtPr>
        <w:rPr>
          <w:rFonts w:asciiTheme="minorHAnsi" w:eastAsiaTheme="minorHAnsi" w:hAnsiTheme="minorHAnsi" w:cstheme="minorBidi"/>
          <w:b w:val="0"/>
          <w:bCs w:val="0"/>
          <w:color w:val="auto"/>
          <w:sz w:val="22"/>
          <w:szCs w:val="22"/>
          <w:lang w:val="bg-BG" w:eastAsia="en-US"/>
        </w:rPr>
        <w:id w:val="-1366984399"/>
        <w:docPartObj>
          <w:docPartGallery w:val="Table of Contents"/>
          <w:docPartUnique/>
        </w:docPartObj>
      </w:sdtPr>
      <w:sdtEndPr>
        <w:rPr>
          <w:noProof/>
        </w:rPr>
      </w:sdtEndPr>
      <w:sdtContent>
        <w:p w:rsidR="00635C49" w:rsidRDefault="00635C49">
          <w:pPr>
            <w:pStyle w:val="TOCHeading"/>
          </w:pPr>
          <w:r>
            <w:t>Contents</w:t>
          </w:r>
        </w:p>
        <w:p w:rsidR="00635C49" w:rsidRDefault="00635C49">
          <w:pPr>
            <w:pStyle w:val="TOC1"/>
            <w:tabs>
              <w:tab w:val="right" w:leader="dot" w:pos="9016"/>
            </w:tabs>
            <w:rPr>
              <w:noProof/>
            </w:rPr>
          </w:pPr>
          <w:r>
            <w:fldChar w:fldCharType="begin"/>
          </w:r>
          <w:r>
            <w:instrText xml:space="preserve"> TOC \o "1-3" \h \z \u </w:instrText>
          </w:r>
          <w:r>
            <w:fldChar w:fldCharType="separate"/>
          </w:r>
          <w:hyperlink w:anchor="_Toc112500222" w:history="1">
            <w:r w:rsidRPr="00AF1861">
              <w:rPr>
                <w:rStyle w:val="Hyperlink"/>
                <w:noProof/>
                <w:lang w:val="en-US"/>
              </w:rPr>
              <w:t>QUESTION 1</w:t>
            </w:r>
            <w:r>
              <w:rPr>
                <w:noProof/>
                <w:webHidden/>
              </w:rPr>
              <w:tab/>
            </w:r>
            <w:r>
              <w:rPr>
                <w:noProof/>
                <w:webHidden/>
              </w:rPr>
              <w:fldChar w:fldCharType="begin"/>
            </w:r>
            <w:r>
              <w:rPr>
                <w:noProof/>
                <w:webHidden/>
              </w:rPr>
              <w:instrText xml:space="preserve"> PAGEREF _Toc112500222 \h </w:instrText>
            </w:r>
            <w:r>
              <w:rPr>
                <w:noProof/>
                <w:webHidden/>
              </w:rPr>
            </w:r>
            <w:r>
              <w:rPr>
                <w:noProof/>
                <w:webHidden/>
              </w:rPr>
              <w:fldChar w:fldCharType="separate"/>
            </w:r>
            <w:r w:rsidR="007B3836">
              <w:rPr>
                <w:noProof/>
                <w:webHidden/>
              </w:rPr>
              <w:t>2</w:t>
            </w:r>
            <w:r>
              <w:rPr>
                <w:noProof/>
                <w:webHidden/>
              </w:rPr>
              <w:fldChar w:fldCharType="end"/>
            </w:r>
          </w:hyperlink>
        </w:p>
        <w:p w:rsidR="00635C49" w:rsidRDefault="00000000">
          <w:pPr>
            <w:pStyle w:val="TOC2"/>
            <w:tabs>
              <w:tab w:val="right" w:leader="dot" w:pos="9016"/>
            </w:tabs>
            <w:rPr>
              <w:noProof/>
            </w:rPr>
          </w:pPr>
          <w:hyperlink w:anchor="_Toc112500223" w:history="1">
            <w:r w:rsidR="00635C49" w:rsidRPr="00AF1861">
              <w:rPr>
                <w:rStyle w:val="Hyperlink"/>
                <w:rFonts w:ascii="Arial" w:hAnsi="Arial" w:cs="Arial"/>
                <w:noProof/>
                <w:lang w:val="en-US"/>
              </w:rPr>
              <w:t>Income statement</w:t>
            </w:r>
            <w:r w:rsidR="00635C49">
              <w:rPr>
                <w:noProof/>
                <w:webHidden/>
              </w:rPr>
              <w:tab/>
            </w:r>
            <w:r w:rsidR="00635C49">
              <w:rPr>
                <w:noProof/>
                <w:webHidden/>
              </w:rPr>
              <w:fldChar w:fldCharType="begin"/>
            </w:r>
            <w:r w:rsidR="00635C49">
              <w:rPr>
                <w:noProof/>
                <w:webHidden/>
              </w:rPr>
              <w:instrText xml:space="preserve"> PAGEREF _Toc112500223 \h </w:instrText>
            </w:r>
            <w:r w:rsidR="00635C49">
              <w:rPr>
                <w:noProof/>
                <w:webHidden/>
              </w:rPr>
            </w:r>
            <w:r w:rsidR="00635C49">
              <w:rPr>
                <w:noProof/>
                <w:webHidden/>
              </w:rPr>
              <w:fldChar w:fldCharType="separate"/>
            </w:r>
            <w:r w:rsidR="007B3836">
              <w:rPr>
                <w:noProof/>
                <w:webHidden/>
              </w:rPr>
              <w:t>2</w:t>
            </w:r>
            <w:r w:rsidR="00635C49">
              <w:rPr>
                <w:noProof/>
                <w:webHidden/>
              </w:rPr>
              <w:fldChar w:fldCharType="end"/>
            </w:r>
          </w:hyperlink>
        </w:p>
        <w:p w:rsidR="00635C49" w:rsidRDefault="00000000">
          <w:pPr>
            <w:pStyle w:val="TOC2"/>
            <w:tabs>
              <w:tab w:val="right" w:leader="dot" w:pos="9016"/>
            </w:tabs>
            <w:rPr>
              <w:noProof/>
            </w:rPr>
          </w:pPr>
          <w:hyperlink w:anchor="_Toc112500224" w:history="1">
            <w:r w:rsidR="00635C49" w:rsidRPr="00AF1861">
              <w:rPr>
                <w:rStyle w:val="Hyperlink"/>
                <w:rFonts w:ascii="Arial" w:hAnsi="Arial" w:cs="Arial"/>
                <w:noProof/>
                <w:lang w:val="en-US"/>
              </w:rPr>
              <w:t>Statement of financial position</w:t>
            </w:r>
            <w:r w:rsidR="00635C49">
              <w:rPr>
                <w:noProof/>
                <w:webHidden/>
              </w:rPr>
              <w:tab/>
            </w:r>
            <w:r w:rsidR="00635C49">
              <w:rPr>
                <w:noProof/>
                <w:webHidden/>
              </w:rPr>
              <w:fldChar w:fldCharType="begin"/>
            </w:r>
            <w:r w:rsidR="00635C49">
              <w:rPr>
                <w:noProof/>
                <w:webHidden/>
              </w:rPr>
              <w:instrText xml:space="preserve"> PAGEREF _Toc112500224 \h </w:instrText>
            </w:r>
            <w:r w:rsidR="00635C49">
              <w:rPr>
                <w:noProof/>
                <w:webHidden/>
              </w:rPr>
            </w:r>
            <w:r w:rsidR="00635C49">
              <w:rPr>
                <w:noProof/>
                <w:webHidden/>
              </w:rPr>
              <w:fldChar w:fldCharType="separate"/>
            </w:r>
            <w:r w:rsidR="007B3836">
              <w:rPr>
                <w:noProof/>
                <w:webHidden/>
              </w:rPr>
              <w:t>4</w:t>
            </w:r>
            <w:r w:rsidR="00635C49">
              <w:rPr>
                <w:noProof/>
                <w:webHidden/>
              </w:rPr>
              <w:fldChar w:fldCharType="end"/>
            </w:r>
          </w:hyperlink>
        </w:p>
        <w:p w:rsidR="00635C49" w:rsidRDefault="00000000">
          <w:pPr>
            <w:pStyle w:val="TOC2"/>
            <w:tabs>
              <w:tab w:val="right" w:leader="dot" w:pos="9016"/>
            </w:tabs>
            <w:rPr>
              <w:noProof/>
            </w:rPr>
          </w:pPr>
          <w:hyperlink w:anchor="_Toc112500225" w:history="1">
            <w:r w:rsidR="00635C49" w:rsidRPr="00AF1861">
              <w:rPr>
                <w:rStyle w:val="Hyperlink"/>
                <w:rFonts w:ascii="Arial" w:hAnsi="Arial" w:cs="Arial"/>
                <w:noProof/>
                <w:lang w:val="en-US"/>
              </w:rPr>
              <w:t>Why does the statement of financial position balance?</w:t>
            </w:r>
            <w:r w:rsidR="00635C49">
              <w:rPr>
                <w:noProof/>
                <w:webHidden/>
              </w:rPr>
              <w:tab/>
            </w:r>
            <w:r w:rsidR="00635C49">
              <w:rPr>
                <w:noProof/>
                <w:webHidden/>
              </w:rPr>
              <w:fldChar w:fldCharType="begin"/>
            </w:r>
            <w:r w:rsidR="00635C49">
              <w:rPr>
                <w:noProof/>
                <w:webHidden/>
              </w:rPr>
              <w:instrText xml:space="preserve"> PAGEREF _Toc112500225 \h </w:instrText>
            </w:r>
            <w:r w:rsidR="00635C49">
              <w:rPr>
                <w:noProof/>
                <w:webHidden/>
              </w:rPr>
            </w:r>
            <w:r w:rsidR="00635C49">
              <w:rPr>
                <w:noProof/>
                <w:webHidden/>
              </w:rPr>
              <w:fldChar w:fldCharType="separate"/>
            </w:r>
            <w:r w:rsidR="007B3836">
              <w:rPr>
                <w:noProof/>
                <w:webHidden/>
              </w:rPr>
              <w:t>5</w:t>
            </w:r>
            <w:r w:rsidR="00635C49">
              <w:rPr>
                <w:noProof/>
                <w:webHidden/>
              </w:rPr>
              <w:fldChar w:fldCharType="end"/>
            </w:r>
          </w:hyperlink>
        </w:p>
        <w:p w:rsidR="00635C49" w:rsidRDefault="00000000">
          <w:pPr>
            <w:pStyle w:val="TOC1"/>
            <w:tabs>
              <w:tab w:val="right" w:leader="dot" w:pos="9016"/>
            </w:tabs>
            <w:rPr>
              <w:noProof/>
            </w:rPr>
          </w:pPr>
          <w:hyperlink w:anchor="_Toc112500226" w:history="1">
            <w:r w:rsidR="00635C49" w:rsidRPr="00AF1861">
              <w:rPr>
                <w:rStyle w:val="Hyperlink"/>
                <w:rFonts w:ascii="Arial" w:hAnsi="Arial" w:cs="Arial"/>
                <w:noProof/>
                <w:lang w:val="en-US"/>
              </w:rPr>
              <w:t>QUESTION 2</w:t>
            </w:r>
            <w:r w:rsidR="00635C49">
              <w:rPr>
                <w:noProof/>
                <w:webHidden/>
              </w:rPr>
              <w:tab/>
            </w:r>
            <w:r w:rsidR="00635C49">
              <w:rPr>
                <w:noProof/>
                <w:webHidden/>
              </w:rPr>
              <w:fldChar w:fldCharType="begin"/>
            </w:r>
            <w:r w:rsidR="00635C49">
              <w:rPr>
                <w:noProof/>
                <w:webHidden/>
              </w:rPr>
              <w:instrText xml:space="preserve"> PAGEREF _Toc112500226 \h </w:instrText>
            </w:r>
            <w:r w:rsidR="00635C49">
              <w:rPr>
                <w:noProof/>
                <w:webHidden/>
              </w:rPr>
            </w:r>
            <w:r w:rsidR="00635C49">
              <w:rPr>
                <w:noProof/>
                <w:webHidden/>
              </w:rPr>
              <w:fldChar w:fldCharType="separate"/>
            </w:r>
            <w:r w:rsidR="007B3836">
              <w:rPr>
                <w:noProof/>
                <w:webHidden/>
              </w:rPr>
              <w:t>5</w:t>
            </w:r>
            <w:r w:rsidR="00635C49">
              <w:rPr>
                <w:noProof/>
                <w:webHidden/>
              </w:rPr>
              <w:fldChar w:fldCharType="end"/>
            </w:r>
          </w:hyperlink>
        </w:p>
        <w:p w:rsidR="00635C49" w:rsidRDefault="00000000">
          <w:pPr>
            <w:pStyle w:val="TOC2"/>
            <w:tabs>
              <w:tab w:val="right" w:leader="dot" w:pos="9016"/>
            </w:tabs>
            <w:rPr>
              <w:noProof/>
            </w:rPr>
          </w:pPr>
          <w:hyperlink w:anchor="_Toc112500227" w:history="1">
            <w:r w:rsidR="00635C49" w:rsidRPr="00AF1861">
              <w:rPr>
                <w:rStyle w:val="Hyperlink"/>
                <w:rFonts w:ascii="Arial" w:hAnsi="Arial" w:cs="Arial"/>
                <w:noProof/>
                <w:lang w:val="en-US"/>
              </w:rPr>
              <w:t>Ratios for Sweets plc for 2021 and 2020</w:t>
            </w:r>
            <w:r w:rsidR="00635C49">
              <w:rPr>
                <w:noProof/>
                <w:webHidden/>
              </w:rPr>
              <w:tab/>
            </w:r>
            <w:r w:rsidR="00635C49">
              <w:rPr>
                <w:noProof/>
                <w:webHidden/>
              </w:rPr>
              <w:fldChar w:fldCharType="begin"/>
            </w:r>
            <w:r w:rsidR="00635C49">
              <w:rPr>
                <w:noProof/>
                <w:webHidden/>
              </w:rPr>
              <w:instrText xml:space="preserve"> PAGEREF _Toc112500227 \h </w:instrText>
            </w:r>
            <w:r w:rsidR="00635C49">
              <w:rPr>
                <w:noProof/>
                <w:webHidden/>
              </w:rPr>
            </w:r>
            <w:r w:rsidR="00635C49">
              <w:rPr>
                <w:noProof/>
                <w:webHidden/>
              </w:rPr>
              <w:fldChar w:fldCharType="separate"/>
            </w:r>
            <w:r w:rsidR="007B3836">
              <w:rPr>
                <w:noProof/>
                <w:webHidden/>
              </w:rPr>
              <w:t>5</w:t>
            </w:r>
            <w:r w:rsidR="00635C49">
              <w:rPr>
                <w:noProof/>
                <w:webHidden/>
              </w:rPr>
              <w:fldChar w:fldCharType="end"/>
            </w:r>
          </w:hyperlink>
        </w:p>
        <w:p w:rsidR="00635C49" w:rsidRDefault="00000000">
          <w:pPr>
            <w:pStyle w:val="TOC2"/>
            <w:tabs>
              <w:tab w:val="right" w:leader="dot" w:pos="9016"/>
            </w:tabs>
            <w:rPr>
              <w:noProof/>
            </w:rPr>
          </w:pPr>
          <w:hyperlink w:anchor="_Toc112500228" w:history="1">
            <w:r w:rsidR="00635C49" w:rsidRPr="00AF1861">
              <w:rPr>
                <w:rStyle w:val="Hyperlink"/>
                <w:rFonts w:ascii="Arial" w:hAnsi="Arial" w:cs="Arial"/>
                <w:noProof/>
                <w:lang w:val="en-US"/>
              </w:rPr>
              <w:t>Using the information in the financial statements and the ratios you have calculated, comment on the financial performance and position of Sweets plc.</w:t>
            </w:r>
            <w:r w:rsidR="00635C49">
              <w:rPr>
                <w:noProof/>
                <w:webHidden/>
              </w:rPr>
              <w:tab/>
            </w:r>
            <w:r w:rsidR="00635C49">
              <w:rPr>
                <w:noProof/>
                <w:webHidden/>
              </w:rPr>
              <w:fldChar w:fldCharType="begin"/>
            </w:r>
            <w:r w:rsidR="00635C49">
              <w:rPr>
                <w:noProof/>
                <w:webHidden/>
              </w:rPr>
              <w:instrText xml:space="preserve"> PAGEREF _Toc112500228 \h </w:instrText>
            </w:r>
            <w:r w:rsidR="00635C49">
              <w:rPr>
                <w:noProof/>
                <w:webHidden/>
              </w:rPr>
            </w:r>
            <w:r w:rsidR="00635C49">
              <w:rPr>
                <w:noProof/>
                <w:webHidden/>
              </w:rPr>
              <w:fldChar w:fldCharType="separate"/>
            </w:r>
            <w:r w:rsidR="007B3836">
              <w:rPr>
                <w:noProof/>
                <w:webHidden/>
              </w:rPr>
              <w:t>8</w:t>
            </w:r>
            <w:r w:rsidR="00635C49">
              <w:rPr>
                <w:noProof/>
                <w:webHidden/>
              </w:rPr>
              <w:fldChar w:fldCharType="end"/>
            </w:r>
          </w:hyperlink>
        </w:p>
        <w:p w:rsidR="00635C49" w:rsidRDefault="00000000">
          <w:pPr>
            <w:pStyle w:val="TOC1"/>
            <w:tabs>
              <w:tab w:val="right" w:leader="dot" w:pos="9016"/>
            </w:tabs>
            <w:rPr>
              <w:noProof/>
            </w:rPr>
          </w:pPr>
          <w:hyperlink w:anchor="_Toc112500229" w:history="1">
            <w:r w:rsidR="00635C49" w:rsidRPr="00AF1861">
              <w:rPr>
                <w:rStyle w:val="Hyperlink"/>
                <w:noProof/>
                <w:lang w:val="en-US"/>
              </w:rPr>
              <w:t>Referencing list</w:t>
            </w:r>
            <w:r w:rsidR="00635C49">
              <w:rPr>
                <w:noProof/>
                <w:webHidden/>
              </w:rPr>
              <w:tab/>
            </w:r>
            <w:r w:rsidR="00635C49">
              <w:rPr>
                <w:noProof/>
                <w:webHidden/>
              </w:rPr>
              <w:fldChar w:fldCharType="begin"/>
            </w:r>
            <w:r w:rsidR="00635C49">
              <w:rPr>
                <w:noProof/>
                <w:webHidden/>
              </w:rPr>
              <w:instrText xml:space="preserve"> PAGEREF _Toc112500229 \h </w:instrText>
            </w:r>
            <w:r w:rsidR="00635C49">
              <w:rPr>
                <w:noProof/>
                <w:webHidden/>
              </w:rPr>
            </w:r>
            <w:r w:rsidR="00635C49">
              <w:rPr>
                <w:noProof/>
                <w:webHidden/>
              </w:rPr>
              <w:fldChar w:fldCharType="separate"/>
            </w:r>
            <w:r w:rsidR="007B3836">
              <w:rPr>
                <w:noProof/>
                <w:webHidden/>
              </w:rPr>
              <w:t>10</w:t>
            </w:r>
            <w:r w:rsidR="00635C49">
              <w:rPr>
                <w:noProof/>
                <w:webHidden/>
              </w:rPr>
              <w:fldChar w:fldCharType="end"/>
            </w:r>
          </w:hyperlink>
        </w:p>
        <w:p w:rsidR="00635C49" w:rsidRDefault="00635C49">
          <w:r>
            <w:rPr>
              <w:b/>
              <w:bCs/>
              <w:noProof/>
            </w:rPr>
            <w:fldChar w:fldCharType="end"/>
          </w:r>
        </w:p>
      </w:sdtContent>
    </w:sdt>
    <w:p w:rsidR="00635C49" w:rsidRDefault="00635C49" w:rsidP="003D0D6A">
      <w:pPr>
        <w:pStyle w:val="Heading1"/>
        <w:rPr>
          <w:lang w:val="en-US"/>
        </w:rPr>
      </w:pPr>
    </w:p>
    <w:p w:rsidR="00635C49" w:rsidRDefault="00635C49" w:rsidP="003D0D6A">
      <w:pPr>
        <w:pStyle w:val="Heading1"/>
        <w:rPr>
          <w:lang w:val="en-US"/>
        </w:rPr>
      </w:pPr>
    </w:p>
    <w:p w:rsidR="00635C49" w:rsidRDefault="00635C49" w:rsidP="003D0D6A">
      <w:pPr>
        <w:pStyle w:val="Heading1"/>
        <w:rPr>
          <w:lang w:val="en-US"/>
        </w:rPr>
      </w:pPr>
    </w:p>
    <w:p w:rsidR="00635C49" w:rsidRDefault="00635C49" w:rsidP="003D0D6A">
      <w:pPr>
        <w:pStyle w:val="Heading1"/>
        <w:rPr>
          <w:lang w:val="en-US"/>
        </w:rPr>
      </w:pPr>
    </w:p>
    <w:p w:rsidR="00635C49" w:rsidRDefault="00635C49" w:rsidP="003D0D6A">
      <w:pPr>
        <w:pStyle w:val="Heading1"/>
        <w:rPr>
          <w:lang w:val="en-US"/>
        </w:rPr>
      </w:pPr>
    </w:p>
    <w:p w:rsidR="00635C49" w:rsidRDefault="00635C49" w:rsidP="003D0D6A">
      <w:pPr>
        <w:pStyle w:val="Heading1"/>
        <w:rPr>
          <w:lang w:val="en-US"/>
        </w:rPr>
      </w:pPr>
    </w:p>
    <w:p w:rsidR="003D0D6A" w:rsidRPr="003D0D6A" w:rsidRDefault="003D0D6A" w:rsidP="003D0D6A">
      <w:pPr>
        <w:pStyle w:val="Heading1"/>
        <w:rPr>
          <w:lang w:val="en-US"/>
        </w:rPr>
      </w:pPr>
      <w:bookmarkStart w:id="0" w:name="_Toc112500222"/>
      <w:r w:rsidRPr="003D0D6A">
        <w:rPr>
          <w:lang w:val="en-US"/>
        </w:rPr>
        <w:t>QUESTION 1</w:t>
      </w:r>
      <w:bookmarkEnd w:id="0"/>
    </w:p>
    <w:p w:rsidR="003D0D6A" w:rsidRDefault="003D0D6A" w:rsidP="003D0D6A">
      <w:pPr>
        <w:rPr>
          <w:sz w:val="24"/>
          <w:szCs w:val="24"/>
          <w:lang w:val="en-US"/>
        </w:rPr>
      </w:pPr>
      <w:r w:rsidRPr="003D0D6A">
        <w:rPr>
          <w:sz w:val="24"/>
          <w:szCs w:val="24"/>
          <w:lang w:val="en-US"/>
        </w:rPr>
        <w:t>The following balances relate to Wales plc for the year ended 31st December 2021:</w:t>
      </w:r>
    </w:p>
    <w:p w:rsidR="003D0D6A" w:rsidRDefault="003D0D6A" w:rsidP="003D0D6A">
      <w:pPr>
        <w:rPr>
          <w:sz w:val="24"/>
          <w:szCs w:val="24"/>
          <w:lang w:val="en-US"/>
        </w:rPr>
      </w:pPr>
    </w:p>
    <w:p w:rsidR="003D0D6A" w:rsidRDefault="003D0D6A" w:rsidP="003D0D6A">
      <w:pPr>
        <w:pStyle w:val="Heading2"/>
        <w:rPr>
          <w:rFonts w:ascii="Arial" w:hAnsi="Arial" w:cs="Arial"/>
          <w:sz w:val="24"/>
          <w:szCs w:val="24"/>
          <w:lang w:val="en-US"/>
        </w:rPr>
      </w:pPr>
      <w:bookmarkStart w:id="1" w:name="_Toc112500223"/>
      <w:r w:rsidRPr="003D0D6A">
        <w:rPr>
          <w:rFonts w:ascii="Arial" w:hAnsi="Arial" w:cs="Arial"/>
          <w:sz w:val="24"/>
          <w:szCs w:val="24"/>
          <w:lang w:val="en-US"/>
        </w:rPr>
        <w:t>Income statement</w:t>
      </w:r>
      <w:bookmarkEnd w:id="1"/>
    </w:p>
    <w:p w:rsidR="006F629A" w:rsidRDefault="006F629A" w:rsidP="006F629A">
      <w:pPr>
        <w:rPr>
          <w:lang w:val="en-US"/>
        </w:rPr>
      </w:pPr>
    </w:p>
    <w:tbl>
      <w:tblPr>
        <w:tblW w:w="12960" w:type="dxa"/>
        <w:tblCellMar>
          <w:left w:w="0" w:type="dxa"/>
          <w:right w:w="0" w:type="dxa"/>
        </w:tblCellMar>
        <w:tblLook w:val="0600" w:firstRow="0" w:lastRow="0" w:firstColumn="0" w:lastColumn="0" w:noHBand="1" w:noVBand="1"/>
      </w:tblPr>
      <w:tblGrid>
        <w:gridCol w:w="129"/>
        <w:gridCol w:w="4088"/>
        <w:gridCol w:w="983"/>
        <w:gridCol w:w="1809"/>
        <w:gridCol w:w="2531"/>
        <w:gridCol w:w="3420"/>
      </w:tblGrid>
      <w:tr w:rsidR="00652FDA" w:rsidRPr="00652FDA" w:rsidTr="00632C9D">
        <w:trPr>
          <w:trHeight w:val="757"/>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509"/>
        </w:trPr>
        <w:tc>
          <w:tcPr>
            <w:tcW w:w="6880" w:type="dxa"/>
            <w:gridSpan w:val="3"/>
            <w:vMerge w:val="restart"/>
            <w:tcBorders>
              <w:top w:val="single" w:sz="4" w:space="0" w:color="auto"/>
              <w:left w:val="single" w:sz="4" w:space="0" w:color="auto"/>
              <w:bottom w:val="single" w:sz="4" w:space="0" w:color="000000"/>
              <w:right w:val="nil"/>
            </w:tcBorders>
            <w:shd w:val="clear" w:color="auto" w:fill="auto"/>
            <w:noWrap/>
            <w:vAlign w:val="bottom"/>
            <w:hideMark/>
          </w:tcPr>
          <w:p w:rsidR="00632C9D" w:rsidRDefault="00632C9D">
            <w:pPr>
              <w:jc w:val="center"/>
              <w:rPr>
                <w:rFonts w:ascii="Calibri" w:hAnsi="Calibri" w:cs="Calibri"/>
                <w:b/>
                <w:bCs/>
              </w:rPr>
            </w:pPr>
            <w:r>
              <w:rPr>
                <w:rFonts w:ascii="Calibri" w:hAnsi="Calibri" w:cs="Calibri"/>
                <w:b/>
                <w:bCs/>
              </w:rPr>
              <w:t>INCOME STATEMENT Wales plc for the year ended 31st December 2021</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509"/>
        </w:trPr>
        <w:tc>
          <w:tcPr>
            <w:tcW w:w="6880" w:type="dxa"/>
            <w:gridSpan w:val="3"/>
            <w:vMerge/>
            <w:tcBorders>
              <w:top w:val="single" w:sz="4" w:space="0" w:color="auto"/>
              <w:left w:val="single" w:sz="4" w:space="0" w:color="auto"/>
              <w:bottom w:val="single" w:sz="4" w:space="0" w:color="000000"/>
              <w:right w:val="nil"/>
            </w:tcBorders>
            <w:vAlign w:val="center"/>
            <w:hideMark/>
          </w:tcPr>
          <w:p w:rsidR="00632C9D" w:rsidRDefault="00632C9D">
            <w:pPr>
              <w:rPr>
                <w:rFonts w:ascii="Calibri" w:hAnsi="Calibri" w:cs="Calibri"/>
                <w:b/>
                <w:bCs/>
              </w:rPr>
            </w:pP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900"/>
        </w:trPr>
        <w:tc>
          <w:tcPr>
            <w:tcW w:w="4088" w:type="dxa"/>
            <w:tcBorders>
              <w:top w:val="single" w:sz="4" w:space="0" w:color="auto"/>
              <w:left w:val="single" w:sz="4" w:space="0" w:color="auto"/>
              <w:bottom w:val="single" w:sz="4" w:space="0" w:color="auto"/>
              <w:right w:val="single" w:sz="4" w:space="0" w:color="000000"/>
            </w:tcBorders>
            <w:shd w:val="clear" w:color="auto" w:fill="auto"/>
            <w:vAlign w:val="bottom"/>
            <w:hideMark/>
          </w:tcPr>
          <w:p w:rsidR="00632C9D" w:rsidRDefault="00632C9D">
            <w:pPr>
              <w:jc w:val="center"/>
              <w:rPr>
                <w:rFonts w:ascii="Calibri" w:hAnsi="Calibri" w:cs="Calibri"/>
                <w:color w:val="000000"/>
              </w:rPr>
            </w:pPr>
            <w:r>
              <w:rPr>
                <w:rFonts w:ascii="Calibri" w:hAnsi="Calibri" w:cs="Calibri"/>
                <w:color w:val="000000"/>
              </w:rPr>
              <w:t>Revenue</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2021</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Revenue</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800,000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Cost of sales</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578,650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Gross profit</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221,350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Distribution costs</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28,000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Administration expenses</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30,000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Other income</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132,000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Operating profit</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295,350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Income from investments</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170,125</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Finance costs</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57,000</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Profit before tax</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408,475</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Taxation</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20%</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color w:val="000000"/>
              </w:rPr>
            </w:pPr>
            <w:r>
              <w:rPr>
                <w:rFonts w:ascii="Calibri" w:hAnsi="Calibri" w:cs="Calibri"/>
                <w:color w:val="000000"/>
              </w:rPr>
              <w:t>81,695</w:t>
            </w:r>
          </w:p>
        </w:tc>
      </w:tr>
      <w:tr w:rsidR="00632C9D" w:rsidTr="00632C9D">
        <w:tblPrEx>
          <w:tblCellMar>
            <w:left w:w="70" w:type="dxa"/>
            <w:right w:w="70" w:type="dxa"/>
          </w:tblCellMar>
          <w:tblLook w:val="04A0" w:firstRow="1" w:lastRow="0" w:firstColumn="1" w:lastColumn="0" w:noHBand="0" w:noVBand="1"/>
        </w:tblPrEx>
        <w:trPr>
          <w:gridBefore w:val="1"/>
          <w:gridAfter w:val="2"/>
          <w:wBefore w:w="129" w:type="dxa"/>
          <w:wAfter w:w="5951" w:type="dxa"/>
          <w:trHeight w:val="300"/>
        </w:trPr>
        <w:tc>
          <w:tcPr>
            <w:tcW w:w="408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Profit for the period</w:t>
            </w:r>
          </w:p>
        </w:tc>
        <w:tc>
          <w:tcPr>
            <w:tcW w:w="983" w:type="dxa"/>
            <w:tcBorders>
              <w:top w:val="single" w:sz="4" w:space="0" w:color="auto"/>
              <w:left w:val="nil"/>
              <w:bottom w:val="nil"/>
              <w:right w:val="nil"/>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 </w:t>
            </w:r>
          </w:p>
        </w:tc>
        <w:tc>
          <w:tcPr>
            <w:tcW w:w="1809" w:type="dxa"/>
            <w:tcBorders>
              <w:top w:val="nil"/>
              <w:left w:val="nil"/>
              <w:bottom w:val="single" w:sz="4" w:space="0" w:color="auto"/>
              <w:right w:val="single" w:sz="4" w:space="0" w:color="auto"/>
            </w:tcBorders>
            <w:shd w:val="clear" w:color="auto" w:fill="auto"/>
            <w:noWrap/>
            <w:vAlign w:val="bottom"/>
            <w:hideMark/>
          </w:tcPr>
          <w:p w:rsidR="00632C9D" w:rsidRDefault="00632C9D">
            <w:pPr>
              <w:jc w:val="center"/>
              <w:rPr>
                <w:rFonts w:ascii="Calibri" w:hAnsi="Calibri" w:cs="Calibri"/>
                <w:b/>
                <w:bCs/>
                <w:color w:val="000000"/>
              </w:rPr>
            </w:pPr>
            <w:r>
              <w:rPr>
                <w:rFonts w:ascii="Calibri" w:hAnsi="Calibri" w:cs="Calibri"/>
                <w:b/>
                <w:bCs/>
                <w:color w:val="000000"/>
              </w:rPr>
              <w:t>326,780</w:t>
            </w:r>
          </w:p>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39"/>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17"/>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39"/>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39"/>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39"/>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41"/>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r w:rsidR="00652FDA" w:rsidRPr="00652FDA" w:rsidTr="00632C9D">
        <w:trPr>
          <w:trHeight w:val="517"/>
        </w:trPr>
        <w:tc>
          <w:tcPr>
            <w:tcW w:w="9540" w:type="dxa"/>
            <w:gridSpan w:val="5"/>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c>
          <w:tcPr>
            <w:tcW w:w="3420" w:type="dxa"/>
            <w:tcBorders>
              <w:top w:val="nil"/>
              <w:left w:val="nil"/>
              <w:bottom w:val="nil"/>
              <w:right w:val="nil"/>
            </w:tcBorders>
            <w:shd w:val="clear" w:color="auto" w:fill="auto"/>
            <w:tcMar>
              <w:top w:w="72" w:type="dxa"/>
              <w:left w:w="144" w:type="dxa"/>
              <w:bottom w:w="72" w:type="dxa"/>
              <w:right w:w="144" w:type="dxa"/>
            </w:tcMar>
          </w:tcPr>
          <w:p w:rsidR="00652FDA" w:rsidRPr="00652FDA" w:rsidRDefault="00652FDA" w:rsidP="00652FDA"/>
        </w:tc>
      </w:tr>
    </w:tbl>
    <w:p w:rsidR="003D0D6A" w:rsidRDefault="003D0D6A" w:rsidP="003D0D6A">
      <w:pPr>
        <w:pStyle w:val="Heading2"/>
        <w:rPr>
          <w:rFonts w:ascii="Arial" w:hAnsi="Arial" w:cs="Arial"/>
          <w:sz w:val="24"/>
          <w:szCs w:val="24"/>
          <w:lang w:val="en-US"/>
        </w:rPr>
      </w:pPr>
      <w:bookmarkStart w:id="2" w:name="_Toc112500224"/>
      <w:r>
        <w:rPr>
          <w:rFonts w:ascii="Arial" w:hAnsi="Arial" w:cs="Arial"/>
          <w:sz w:val="24"/>
          <w:szCs w:val="24"/>
          <w:lang w:val="en-US"/>
        </w:rPr>
        <w:t>S</w:t>
      </w:r>
      <w:r w:rsidRPr="003D0D6A">
        <w:rPr>
          <w:rFonts w:ascii="Arial" w:hAnsi="Arial" w:cs="Arial"/>
          <w:sz w:val="24"/>
          <w:szCs w:val="24"/>
          <w:lang w:val="en-US"/>
        </w:rPr>
        <w:t>tatement of financial position</w:t>
      </w:r>
      <w:bookmarkEnd w:id="2"/>
    </w:p>
    <w:p w:rsidR="00632C9D" w:rsidRDefault="00632C9D" w:rsidP="00632C9D">
      <w:pPr>
        <w:rPr>
          <w:lang w:val="en-US"/>
        </w:rPr>
      </w:pPr>
    </w:p>
    <w:tbl>
      <w:tblPr>
        <w:tblStyle w:val="TableGrid"/>
        <w:tblW w:w="0" w:type="auto"/>
        <w:tblLook w:val="04A0" w:firstRow="1" w:lastRow="0" w:firstColumn="1" w:lastColumn="0" w:noHBand="0" w:noVBand="1"/>
      </w:tblPr>
      <w:tblGrid>
        <w:gridCol w:w="5200"/>
        <w:gridCol w:w="1157"/>
        <w:gridCol w:w="990"/>
      </w:tblGrid>
      <w:tr w:rsidR="009655EF" w:rsidRPr="009655EF" w:rsidTr="009655EF">
        <w:trPr>
          <w:trHeight w:val="630"/>
        </w:trPr>
        <w:tc>
          <w:tcPr>
            <w:tcW w:w="5200" w:type="dxa"/>
            <w:hideMark/>
          </w:tcPr>
          <w:p w:rsidR="009655EF" w:rsidRPr="009655EF" w:rsidRDefault="009655EF">
            <w:pPr>
              <w:rPr>
                <w:b/>
                <w:bCs/>
                <w:u w:val="single"/>
              </w:rPr>
            </w:pPr>
            <w:r w:rsidRPr="009655EF">
              <w:rPr>
                <w:b/>
                <w:bCs/>
                <w:u w:val="single"/>
              </w:rPr>
              <w:t>ASSETS</w:t>
            </w:r>
          </w:p>
        </w:tc>
        <w:tc>
          <w:tcPr>
            <w:tcW w:w="960" w:type="dxa"/>
            <w:hideMark/>
          </w:tcPr>
          <w:p w:rsidR="009655EF" w:rsidRPr="009655EF" w:rsidRDefault="009655EF" w:rsidP="009655EF">
            <w:r w:rsidRPr="009655EF">
              <w:t> </w:t>
            </w:r>
          </w:p>
        </w:tc>
        <w:tc>
          <w:tcPr>
            <w:tcW w:w="960" w:type="dxa"/>
            <w:hideMark/>
          </w:tcPr>
          <w:p w:rsidR="009655EF" w:rsidRPr="009655EF" w:rsidRDefault="009655EF" w:rsidP="009655EF">
            <w:r w:rsidRPr="009655EF">
              <w:t> </w:t>
            </w:r>
          </w:p>
        </w:tc>
      </w:tr>
      <w:tr w:rsidR="009655EF" w:rsidRPr="009655EF" w:rsidTr="009655EF">
        <w:trPr>
          <w:trHeight w:val="945"/>
        </w:trPr>
        <w:tc>
          <w:tcPr>
            <w:tcW w:w="5200" w:type="dxa"/>
            <w:hideMark/>
          </w:tcPr>
          <w:p w:rsidR="009655EF" w:rsidRPr="009655EF" w:rsidRDefault="009655EF">
            <w:pPr>
              <w:rPr>
                <w:b/>
                <w:bCs/>
              </w:rPr>
            </w:pPr>
            <w:r w:rsidRPr="009655EF">
              <w:rPr>
                <w:b/>
                <w:bCs/>
              </w:rPr>
              <w:t>Non current assets</w:t>
            </w:r>
          </w:p>
        </w:tc>
        <w:tc>
          <w:tcPr>
            <w:tcW w:w="960" w:type="dxa"/>
            <w:hideMark/>
          </w:tcPr>
          <w:p w:rsidR="009655EF" w:rsidRPr="009655EF" w:rsidRDefault="009655EF" w:rsidP="009655EF">
            <w:r w:rsidRPr="009655EF">
              <w:t> </w:t>
            </w:r>
          </w:p>
        </w:tc>
        <w:tc>
          <w:tcPr>
            <w:tcW w:w="960" w:type="dxa"/>
            <w:hideMark/>
          </w:tcPr>
          <w:p w:rsidR="009655EF" w:rsidRPr="009655EF" w:rsidRDefault="009655EF" w:rsidP="009655EF">
            <w:r w:rsidRPr="009655EF">
              <w:t> </w:t>
            </w:r>
          </w:p>
        </w:tc>
      </w:tr>
      <w:tr w:rsidR="009655EF" w:rsidRPr="009655EF" w:rsidTr="009655EF">
        <w:trPr>
          <w:trHeight w:val="1020"/>
        </w:trPr>
        <w:tc>
          <w:tcPr>
            <w:tcW w:w="5200" w:type="dxa"/>
            <w:hideMark/>
          </w:tcPr>
          <w:p w:rsidR="009655EF" w:rsidRPr="009655EF" w:rsidRDefault="009655EF">
            <w:r w:rsidRPr="009655EF">
              <w:t>Property, plant, equipment</w:t>
            </w:r>
          </w:p>
        </w:tc>
        <w:tc>
          <w:tcPr>
            <w:tcW w:w="960" w:type="dxa"/>
            <w:hideMark/>
          </w:tcPr>
          <w:p w:rsidR="009655EF" w:rsidRPr="00E07E30" w:rsidRDefault="00E07E30" w:rsidP="009655EF">
            <w:pPr>
              <w:rPr>
                <w:lang w:val="en-US"/>
              </w:rPr>
            </w:pPr>
            <w:r>
              <w:rPr>
                <w:lang w:val="en-US"/>
              </w:rPr>
              <w:t>650,000</w:t>
            </w:r>
          </w:p>
        </w:tc>
        <w:tc>
          <w:tcPr>
            <w:tcW w:w="960" w:type="dxa"/>
            <w:hideMark/>
          </w:tcPr>
          <w:p w:rsidR="009655EF" w:rsidRPr="009655EF" w:rsidRDefault="009655EF" w:rsidP="009655EF">
            <w:r w:rsidRPr="009655EF">
              <w:t> </w:t>
            </w:r>
          </w:p>
        </w:tc>
      </w:tr>
      <w:tr w:rsidR="009655EF" w:rsidRPr="009655EF" w:rsidTr="009655EF">
        <w:trPr>
          <w:trHeight w:val="510"/>
        </w:trPr>
        <w:tc>
          <w:tcPr>
            <w:tcW w:w="5200" w:type="dxa"/>
            <w:hideMark/>
          </w:tcPr>
          <w:p w:rsidR="009655EF" w:rsidRPr="009655EF" w:rsidRDefault="009655EF">
            <w:r w:rsidRPr="009655EF">
              <w:t>Intangible assets</w:t>
            </w:r>
          </w:p>
        </w:tc>
        <w:tc>
          <w:tcPr>
            <w:tcW w:w="960" w:type="dxa"/>
            <w:hideMark/>
          </w:tcPr>
          <w:p w:rsidR="009655EF" w:rsidRPr="009655EF" w:rsidRDefault="009655EF" w:rsidP="009655EF">
            <w:pPr>
              <w:rPr>
                <w:u w:val="single"/>
              </w:rPr>
            </w:pPr>
            <w:r w:rsidRPr="009655EF">
              <w:rPr>
                <w:u w:val="single"/>
              </w:rPr>
              <w:t>X</w:t>
            </w:r>
          </w:p>
        </w:tc>
        <w:tc>
          <w:tcPr>
            <w:tcW w:w="960" w:type="dxa"/>
            <w:hideMark/>
          </w:tcPr>
          <w:p w:rsidR="009655EF" w:rsidRPr="00E07E30" w:rsidRDefault="00E07E30" w:rsidP="009655EF">
            <w:pPr>
              <w:rPr>
                <w:b/>
                <w:bCs/>
                <w:lang w:val="en-US"/>
              </w:rPr>
            </w:pPr>
            <w:r>
              <w:rPr>
                <w:b/>
                <w:bCs/>
                <w:lang w:val="en-US"/>
              </w:rPr>
              <w:t>800,000</w:t>
            </w:r>
          </w:p>
        </w:tc>
      </w:tr>
      <w:tr w:rsidR="009655EF" w:rsidRPr="009655EF" w:rsidTr="009655EF">
        <w:trPr>
          <w:trHeight w:val="945"/>
        </w:trPr>
        <w:tc>
          <w:tcPr>
            <w:tcW w:w="5200" w:type="dxa"/>
            <w:hideMark/>
          </w:tcPr>
          <w:p w:rsidR="009655EF" w:rsidRPr="009655EF" w:rsidRDefault="009655EF">
            <w:pPr>
              <w:rPr>
                <w:b/>
                <w:bCs/>
              </w:rPr>
            </w:pPr>
            <w:r w:rsidRPr="009655EF">
              <w:rPr>
                <w:b/>
                <w:bCs/>
              </w:rPr>
              <w:t>Current assets</w:t>
            </w:r>
          </w:p>
        </w:tc>
        <w:tc>
          <w:tcPr>
            <w:tcW w:w="960" w:type="dxa"/>
            <w:hideMark/>
          </w:tcPr>
          <w:p w:rsidR="009655EF" w:rsidRPr="009655EF" w:rsidRDefault="009655EF" w:rsidP="009655EF">
            <w:r w:rsidRPr="009655EF">
              <w:t> </w:t>
            </w:r>
          </w:p>
        </w:tc>
        <w:tc>
          <w:tcPr>
            <w:tcW w:w="960" w:type="dxa"/>
            <w:hideMark/>
          </w:tcPr>
          <w:p w:rsidR="009655EF" w:rsidRPr="009655EF" w:rsidRDefault="009655EF" w:rsidP="009655EF">
            <w:r w:rsidRPr="009655EF">
              <w:t> </w:t>
            </w:r>
          </w:p>
        </w:tc>
      </w:tr>
      <w:tr w:rsidR="009655EF" w:rsidRPr="009655EF" w:rsidTr="009655EF">
        <w:trPr>
          <w:trHeight w:val="510"/>
        </w:trPr>
        <w:tc>
          <w:tcPr>
            <w:tcW w:w="5200" w:type="dxa"/>
            <w:hideMark/>
          </w:tcPr>
          <w:p w:rsidR="009655EF" w:rsidRPr="009655EF" w:rsidRDefault="009655EF">
            <w:r w:rsidRPr="009655EF">
              <w:t>Inventories</w:t>
            </w:r>
          </w:p>
        </w:tc>
        <w:tc>
          <w:tcPr>
            <w:tcW w:w="960" w:type="dxa"/>
            <w:hideMark/>
          </w:tcPr>
          <w:p w:rsidR="009655EF" w:rsidRPr="00E07E30" w:rsidRDefault="00E07E30" w:rsidP="009655EF">
            <w:pPr>
              <w:rPr>
                <w:lang w:val="en-US"/>
              </w:rPr>
            </w:pPr>
            <w:r>
              <w:rPr>
                <w:lang w:val="en-US"/>
              </w:rPr>
              <w:t>330,600</w:t>
            </w:r>
          </w:p>
        </w:tc>
        <w:tc>
          <w:tcPr>
            <w:tcW w:w="960" w:type="dxa"/>
            <w:hideMark/>
          </w:tcPr>
          <w:p w:rsidR="009655EF" w:rsidRPr="009655EF" w:rsidRDefault="009655EF" w:rsidP="009655EF">
            <w:r w:rsidRPr="009655EF">
              <w:t> </w:t>
            </w:r>
          </w:p>
        </w:tc>
      </w:tr>
      <w:tr w:rsidR="009655EF" w:rsidRPr="009655EF" w:rsidTr="009655EF">
        <w:trPr>
          <w:trHeight w:val="765"/>
        </w:trPr>
        <w:tc>
          <w:tcPr>
            <w:tcW w:w="5200" w:type="dxa"/>
            <w:hideMark/>
          </w:tcPr>
          <w:p w:rsidR="009655EF" w:rsidRPr="009655EF" w:rsidRDefault="009655EF">
            <w:r w:rsidRPr="009655EF">
              <w:t>Trade receivables</w:t>
            </w:r>
          </w:p>
        </w:tc>
        <w:tc>
          <w:tcPr>
            <w:tcW w:w="960" w:type="dxa"/>
            <w:hideMark/>
          </w:tcPr>
          <w:p w:rsidR="009655EF" w:rsidRPr="00E30BC3" w:rsidRDefault="00E30BC3" w:rsidP="009655EF">
            <w:pPr>
              <w:rPr>
                <w:lang w:val="en-US"/>
              </w:rPr>
            </w:pPr>
            <w:r>
              <w:rPr>
                <w:lang w:val="en-US"/>
              </w:rPr>
              <w:t>170,125</w:t>
            </w:r>
          </w:p>
        </w:tc>
        <w:tc>
          <w:tcPr>
            <w:tcW w:w="960" w:type="dxa"/>
            <w:hideMark/>
          </w:tcPr>
          <w:p w:rsidR="009655EF" w:rsidRPr="009655EF" w:rsidRDefault="009655EF" w:rsidP="009655EF">
            <w:r w:rsidRPr="009655EF">
              <w:t> </w:t>
            </w:r>
          </w:p>
        </w:tc>
      </w:tr>
      <w:tr w:rsidR="009655EF" w:rsidRPr="009655EF" w:rsidTr="009655EF">
        <w:trPr>
          <w:trHeight w:val="300"/>
        </w:trPr>
        <w:tc>
          <w:tcPr>
            <w:tcW w:w="5200" w:type="dxa"/>
            <w:hideMark/>
          </w:tcPr>
          <w:p w:rsidR="009655EF" w:rsidRPr="009655EF" w:rsidRDefault="009655EF">
            <w:r w:rsidRPr="009655EF">
              <w:t>Cash</w:t>
            </w:r>
          </w:p>
        </w:tc>
        <w:tc>
          <w:tcPr>
            <w:tcW w:w="960" w:type="dxa"/>
            <w:hideMark/>
          </w:tcPr>
          <w:p w:rsidR="009655EF" w:rsidRPr="00E30BC3" w:rsidRDefault="00E30BC3" w:rsidP="009655EF">
            <w:pPr>
              <w:rPr>
                <w:u w:val="single"/>
                <w:lang w:val="en-US"/>
              </w:rPr>
            </w:pPr>
            <w:r>
              <w:rPr>
                <w:u w:val="single"/>
                <w:lang w:val="en-US"/>
              </w:rPr>
              <w:t>76,250</w:t>
            </w:r>
          </w:p>
        </w:tc>
        <w:tc>
          <w:tcPr>
            <w:tcW w:w="960" w:type="dxa"/>
            <w:hideMark/>
          </w:tcPr>
          <w:p w:rsidR="009655EF" w:rsidRPr="009655EF" w:rsidRDefault="009655EF" w:rsidP="009655EF">
            <w:pPr>
              <w:rPr>
                <w:b/>
                <w:bCs/>
                <w:u w:val="single"/>
              </w:rPr>
            </w:pPr>
            <w:r w:rsidRPr="009655EF">
              <w:rPr>
                <w:b/>
                <w:bCs/>
                <w:u w:val="single"/>
              </w:rPr>
              <w:t>X</w:t>
            </w:r>
          </w:p>
        </w:tc>
      </w:tr>
      <w:tr w:rsidR="009655EF" w:rsidRPr="009655EF" w:rsidTr="009655EF">
        <w:trPr>
          <w:trHeight w:val="1080"/>
        </w:trPr>
        <w:tc>
          <w:tcPr>
            <w:tcW w:w="5200" w:type="dxa"/>
            <w:hideMark/>
          </w:tcPr>
          <w:p w:rsidR="009655EF" w:rsidRPr="009655EF" w:rsidRDefault="009655EF">
            <w:pPr>
              <w:rPr>
                <w:b/>
                <w:bCs/>
              </w:rPr>
            </w:pPr>
            <w:r w:rsidRPr="009655EF">
              <w:rPr>
                <w:b/>
                <w:bCs/>
              </w:rPr>
              <w:t>Total assets</w:t>
            </w:r>
          </w:p>
        </w:tc>
        <w:tc>
          <w:tcPr>
            <w:tcW w:w="960" w:type="dxa"/>
            <w:hideMark/>
          </w:tcPr>
          <w:p w:rsidR="009655EF" w:rsidRPr="00E30BC3" w:rsidRDefault="009655EF" w:rsidP="009655EF">
            <w:pPr>
              <w:rPr>
                <w:lang w:val="en-US"/>
              </w:rPr>
            </w:pPr>
            <w:r w:rsidRPr="009655EF">
              <w:t> </w:t>
            </w:r>
            <w:r w:rsidR="00E30BC3">
              <w:rPr>
                <w:lang w:val="en-US"/>
              </w:rPr>
              <w:t>1,226,975</w:t>
            </w:r>
          </w:p>
        </w:tc>
        <w:tc>
          <w:tcPr>
            <w:tcW w:w="960" w:type="dxa"/>
            <w:hideMark/>
          </w:tcPr>
          <w:p w:rsidR="009655EF" w:rsidRPr="009655EF" w:rsidRDefault="009655EF" w:rsidP="009655EF">
            <w:pPr>
              <w:rPr>
                <w:b/>
                <w:bCs/>
                <w:u w:val="single"/>
              </w:rPr>
            </w:pPr>
            <w:r w:rsidRPr="009655EF">
              <w:rPr>
                <w:b/>
                <w:bCs/>
                <w:u w:val="single"/>
              </w:rPr>
              <w:t>X</w:t>
            </w:r>
          </w:p>
        </w:tc>
      </w:tr>
      <w:tr w:rsidR="009655EF" w:rsidRPr="009655EF" w:rsidTr="009655EF">
        <w:trPr>
          <w:trHeight w:val="630"/>
        </w:trPr>
        <w:tc>
          <w:tcPr>
            <w:tcW w:w="5200" w:type="dxa"/>
            <w:hideMark/>
          </w:tcPr>
          <w:p w:rsidR="009655EF" w:rsidRPr="009655EF" w:rsidRDefault="009655EF">
            <w:pPr>
              <w:rPr>
                <w:b/>
                <w:bCs/>
                <w:u w:val="single"/>
              </w:rPr>
            </w:pPr>
            <w:r w:rsidRPr="009655EF">
              <w:rPr>
                <w:b/>
                <w:bCs/>
                <w:u w:val="single"/>
              </w:rPr>
              <w:t>LIABILITIES</w:t>
            </w:r>
          </w:p>
        </w:tc>
        <w:tc>
          <w:tcPr>
            <w:tcW w:w="960" w:type="dxa"/>
            <w:hideMark/>
          </w:tcPr>
          <w:p w:rsidR="009655EF" w:rsidRPr="009655EF" w:rsidRDefault="009655EF" w:rsidP="009655EF">
            <w:r w:rsidRPr="009655EF">
              <w:t> </w:t>
            </w:r>
          </w:p>
        </w:tc>
        <w:tc>
          <w:tcPr>
            <w:tcW w:w="960" w:type="dxa"/>
            <w:hideMark/>
          </w:tcPr>
          <w:p w:rsidR="009655EF" w:rsidRPr="009655EF" w:rsidRDefault="009655EF" w:rsidP="009655EF">
            <w:r w:rsidRPr="009655EF">
              <w:t> </w:t>
            </w:r>
          </w:p>
        </w:tc>
      </w:tr>
      <w:tr w:rsidR="009655EF" w:rsidRPr="009655EF" w:rsidTr="009655EF">
        <w:trPr>
          <w:trHeight w:val="765"/>
        </w:trPr>
        <w:tc>
          <w:tcPr>
            <w:tcW w:w="5200" w:type="dxa"/>
            <w:hideMark/>
          </w:tcPr>
          <w:p w:rsidR="009655EF" w:rsidRPr="009655EF" w:rsidRDefault="009655EF">
            <w:pPr>
              <w:rPr>
                <w:b/>
                <w:bCs/>
              </w:rPr>
            </w:pPr>
            <w:r w:rsidRPr="009655EF">
              <w:rPr>
                <w:b/>
                <w:bCs/>
              </w:rPr>
              <w:t>Current liabilities</w:t>
            </w:r>
          </w:p>
        </w:tc>
        <w:tc>
          <w:tcPr>
            <w:tcW w:w="960" w:type="dxa"/>
            <w:hideMark/>
          </w:tcPr>
          <w:p w:rsidR="009655EF" w:rsidRPr="0019291F" w:rsidRDefault="009655EF" w:rsidP="009655EF">
            <w:pPr>
              <w:rPr>
                <w:lang w:val="en-US"/>
              </w:rPr>
            </w:pPr>
          </w:p>
        </w:tc>
        <w:tc>
          <w:tcPr>
            <w:tcW w:w="960" w:type="dxa"/>
            <w:hideMark/>
          </w:tcPr>
          <w:p w:rsidR="009655EF" w:rsidRPr="0019291F" w:rsidRDefault="009655EF" w:rsidP="009655EF">
            <w:pPr>
              <w:rPr>
                <w:lang w:val="en-US"/>
              </w:rPr>
            </w:pPr>
            <w:r w:rsidRPr="009655EF">
              <w:t> </w:t>
            </w:r>
            <w:r w:rsidR="0019291F">
              <w:rPr>
                <w:lang w:val="en-US"/>
              </w:rPr>
              <w:t>188,625</w:t>
            </w:r>
          </w:p>
        </w:tc>
      </w:tr>
      <w:tr w:rsidR="009655EF" w:rsidRPr="009655EF" w:rsidTr="009655EF">
        <w:trPr>
          <w:trHeight w:val="1020"/>
        </w:trPr>
        <w:tc>
          <w:tcPr>
            <w:tcW w:w="5200" w:type="dxa"/>
            <w:hideMark/>
          </w:tcPr>
          <w:p w:rsidR="009655EF" w:rsidRPr="009655EF" w:rsidRDefault="009655EF">
            <w:pPr>
              <w:rPr>
                <w:b/>
                <w:bCs/>
              </w:rPr>
            </w:pPr>
            <w:r w:rsidRPr="009655EF">
              <w:rPr>
                <w:b/>
                <w:bCs/>
              </w:rPr>
              <w:t>Non current liabilities</w:t>
            </w:r>
          </w:p>
        </w:tc>
        <w:tc>
          <w:tcPr>
            <w:tcW w:w="960" w:type="dxa"/>
            <w:hideMark/>
          </w:tcPr>
          <w:p w:rsidR="009655EF" w:rsidRPr="009655EF" w:rsidRDefault="009655EF" w:rsidP="009655EF">
            <w:r w:rsidRPr="009655EF">
              <w:t>X</w:t>
            </w:r>
          </w:p>
        </w:tc>
        <w:tc>
          <w:tcPr>
            <w:tcW w:w="960" w:type="dxa"/>
            <w:hideMark/>
          </w:tcPr>
          <w:p w:rsidR="009655EF" w:rsidRPr="0019291F" w:rsidRDefault="009655EF" w:rsidP="009655EF">
            <w:pPr>
              <w:rPr>
                <w:lang w:val="en-US"/>
              </w:rPr>
            </w:pPr>
            <w:r w:rsidRPr="009655EF">
              <w:t> </w:t>
            </w:r>
            <w:r w:rsidR="0019291F">
              <w:rPr>
                <w:lang w:val="en-US"/>
              </w:rPr>
              <w:t>578,650</w:t>
            </w:r>
          </w:p>
        </w:tc>
      </w:tr>
      <w:tr w:rsidR="009655EF" w:rsidRPr="009655EF" w:rsidTr="009655EF">
        <w:trPr>
          <w:trHeight w:val="765"/>
        </w:trPr>
        <w:tc>
          <w:tcPr>
            <w:tcW w:w="5200" w:type="dxa"/>
            <w:hideMark/>
          </w:tcPr>
          <w:p w:rsidR="009655EF" w:rsidRPr="009655EF" w:rsidRDefault="009655EF">
            <w:pPr>
              <w:rPr>
                <w:b/>
                <w:bCs/>
              </w:rPr>
            </w:pPr>
            <w:r w:rsidRPr="009655EF">
              <w:rPr>
                <w:b/>
                <w:bCs/>
              </w:rPr>
              <w:t>Total liabilities</w:t>
            </w:r>
          </w:p>
        </w:tc>
        <w:tc>
          <w:tcPr>
            <w:tcW w:w="960" w:type="dxa"/>
            <w:hideMark/>
          </w:tcPr>
          <w:p w:rsidR="009655EF" w:rsidRPr="009655EF" w:rsidRDefault="009655EF" w:rsidP="009655EF">
            <w:r w:rsidRPr="009655EF">
              <w:t> </w:t>
            </w:r>
          </w:p>
        </w:tc>
        <w:tc>
          <w:tcPr>
            <w:tcW w:w="960" w:type="dxa"/>
            <w:hideMark/>
          </w:tcPr>
          <w:p w:rsidR="009655EF" w:rsidRPr="0074430F" w:rsidRDefault="0074430F" w:rsidP="009655EF">
            <w:pPr>
              <w:rPr>
                <w:b/>
                <w:bCs/>
                <w:u w:val="single"/>
                <w:lang w:val="en-US"/>
              </w:rPr>
            </w:pPr>
            <w:r>
              <w:rPr>
                <w:b/>
                <w:bCs/>
                <w:u w:val="single"/>
                <w:lang w:val="en-US"/>
              </w:rPr>
              <w:t>767275</w:t>
            </w:r>
          </w:p>
        </w:tc>
      </w:tr>
      <w:tr w:rsidR="009655EF" w:rsidRPr="009655EF" w:rsidTr="009655EF">
        <w:trPr>
          <w:trHeight w:val="630"/>
        </w:trPr>
        <w:tc>
          <w:tcPr>
            <w:tcW w:w="5200" w:type="dxa"/>
            <w:hideMark/>
          </w:tcPr>
          <w:p w:rsidR="009655EF" w:rsidRPr="009655EF" w:rsidRDefault="009655EF">
            <w:pPr>
              <w:rPr>
                <w:b/>
                <w:bCs/>
                <w:u w:val="single"/>
              </w:rPr>
            </w:pPr>
            <w:r w:rsidRPr="009655EF">
              <w:rPr>
                <w:b/>
                <w:bCs/>
                <w:u w:val="single"/>
              </w:rPr>
              <w:t>EQUITY</w:t>
            </w:r>
          </w:p>
        </w:tc>
        <w:tc>
          <w:tcPr>
            <w:tcW w:w="960" w:type="dxa"/>
            <w:hideMark/>
          </w:tcPr>
          <w:p w:rsidR="009655EF" w:rsidRPr="009655EF" w:rsidRDefault="009655EF">
            <w:r w:rsidRPr="009655EF">
              <w:t> </w:t>
            </w:r>
          </w:p>
        </w:tc>
        <w:tc>
          <w:tcPr>
            <w:tcW w:w="960" w:type="dxa"/>
            <w:hideMark/>
          </w:tcPr>
          <w:p w:rsidR="009655EF" w:rsidRPr="009655EF" w:rsidRDefault="009655EF">
            <w:r w:rsidRPr="009655EF">
              <w:t> </w:t>
            </w:r>
          </w:p>
        </w:tc>
      </w:tr>
      <w:tr w:rsidR="009655EF" w:rsidRPr="009655EF" w:rsidTr="009655EF">
        <w:trPr>
          <w:trHeight w:val="510"/>
        </w:trPr>
        <w:tc>
          <w:tcPr>
            <w:tcW w:w="5200" w:type="dxa"/>
            <w:hideMark/>
          </w:tcPr>
          <w:p w:rsidR="009655EF" w:rsidRPr="009655EF" w:rsidRDefault="009655EF">
            <w:r w:rsidRPr="009655EF">
              <w:t>Share capital</w:t>
            </w:r>
          </w:p>
        </w:tc>
        <w:tc>
          <w:tcPr>
            <w:tcW w:w="960" w:type="dxa"/>
            <w:hideMark/>
          </w:tcPr>
          <w:p w:rsidR="009655EF" w:rsidRPr="0074430F" w:rsidRDefault="0074430F" w:rsidP="009655EF">
            <w:pPr>
              <w:rPr>
                <w:lang w:val="en-US"/>
              </w:rPr>
            </w:pPr>
            <w:r>
              <w:rPr>
                <w:lang w:val="en-US"/>
              </w:rPr>
              <w:t>500,000</w:t>
            </w:r>
          </w:p>
        </w:tc>
        <w:tc>
          <w:tcPr>
            <w:tcW w:w="960" w:type="dxa"/>
            <w:hideMark/>
          </w:tcPr>
          <w:p w:rsidR="009655EF" w:rsidRPr="009655EF" w:rsidRDefault="009655EF">
            <w:r w:rsidRPr="009655EF">
              <w:t> </w:t>
            </w:r>
          </w:p>
        </w:tc>
      </w:tr>
      <w:tr w:rsidR="009655EF" w:rsidRPr="009655EF" w:rsidTr="009655EF">
        <w:trPr>
          <w:trHeight w:val="510"/>
        </w:trPr>
        <w:tc>
          <w:tcPr>
            <w:tcW w:w="5200" w:type="dxa"/>
            <w:hideMark/>
          </w:tcPr>
          <w:p w:rsidR="009655EF" w:rsidRPr="009655EF" w:rsidRDefault="009655EF">
            <w:r w:rsidRPr="009655EF">
              <w:t>Share premium</w:t>
            </w:r>
          </w:p>
        </w:tc>
        <w:tc>
          <w:tcPr>
            <w:tcW w:w="960" w:type="dxa"/>
            <w:hideMark/>
          </w:tcPr>
          <w:p w:rsidR="009655EF" w:rsidRPr="009655EF" w:rsidRDefault="009655EF" w:rsidP="009655EF">
            <w:r w:rsidRPr="009655EF">
              <w:t>X</w:t>
            </w:r>
          </w:p>
        </w:tc>
        <w:tc>
          <w:tcPr>
            <w:tcW w:w="960" w:type="dxa"/>
            <w:hideMark/>
          </w:tcPr>
          <w:p w:rsidR="009655EF" w:rsidRPr="009655EF" w:rsidRDefault="009655EF">
            <w:r w:rsidRPr="009655EF">
              <w:t> </w:t>
            </w:r>
          </w:p>
        </w:tc>
      </w:tr>
      <w:tr w:rsidR="009655EF" w:rsidRPr="009655EF" w:rsidTr="009655EF">
        <w:trPr>
          <w:trHeight w:val="510"/>
        </w:trPr>
        <w:tc>
          <w:tcPr>
            <w:tcW w:w="5200" w:type="dxa"/>
            <w:hideMark/>
          </w:tcPr>
          <w:p w:rsidR="009655EF" w:rsidRPr="009655EF" w:rsidRDefault="009655EF">
            <w:r w:rsidRPr="009655EF">
              <w:t>Other reserves</w:t>
            </w:r>
          </w:p>
        </w:tc>
        <w:tc>
          <w:tcPr>
            <w:tcW w:w="960" w:type="dxa"/>
            <w:hideMark/>
          </w:tcPr>
          <w:p w:rsidR="009655EF" w:rsidRPr="009655EF" w:rsidRDefault="009655EF" w:rsidP="009655EF">
            <w:r w:rsidRPr="009655EF">
              <w:t>X</w:t>
            </w:r>
          </w:p>
        </w:tc>
        <w:tc>
          <w:tcPr>
            <w:tcW w:w="960" w:type="dxa"/>
            <w:hideMark/>
          </w:tcPr>
          <w:p w:rsidR="009655EF" w:rsidRPr="009655EF" w:rsidRDefault="009655EF">
            <w:r w:rsidRPr="009655EF">
              <w:t> </w:t>
            </w:r>
          </w:p>
        </w:tc>
      </w:tr>
      <w:tr w:rsidR="009655EF" w:rsidRPr="009655EF" w:rsidTr="009655EF">
        <w:trPr>
          <w:trHeight w:val="510"/>
        </w:trPr>
        <w:tc>
          <w:tcPr>
            <w:tcW w:w="5200" w:type="dxa"/>
            <w:hideMark/>
          </w:tcPr>
          <w:p w:rsidR="009655EF" w:rsidRPr="009655EF" w:rsidRDefault="009655EF">
            <w:r w:rsidRPr="009655EF">
              <w:t>Retained earnings</w:t>
            </w:r>
          </w:p>
        </w:tc>
        <w:tc>
          <w:tcPr>
            <w:tcW w:w="960" w:type="dxa"/>
            <w:vMerge w:val="restart"/>
            <w:hideMark/>
          </w:tcPr>
          <w:p w:rsidR="009655EF" w:rsidRPr="0074430F" w:rsidRDefault="0074430F" w:rsidP="009655EF">
            <w:pPr>
              <w:rPr>
                <w:u w:val="single"/>
                <w:lang w:val="en-US"/>
              </w:rPr>
            </w:pPr>
            <w:r>
              <w:rPr>
                <w:u w:val="single"/>
                <w:lang w:val="en-US"/>
              </w:rPr>
              <w:t>132,000</w:t>
            </w:r>
          </w:p>
        </w:tc>
        <w:tc>
          <w:tcPr>
            <w:tcW w:w="960" w:type="dxa"/>
            <w:vMerge w:val="restart"/>
            <w:hideMark/>
          </w:tcPr>
          <w:p w:rsidR="009655EF" w:rsidRPr="009655EF" w:rsidRDefault="009655EF" w:rsidP="009655EF">
            <w:pPr>
              <w:rPr>
                <w:b/>
                <w:bCs/>
                <w:u w:val="single"/>
              </w:rPr>
            </w:pPr>
            <w:r w:rsidRPr="009655EF">
              <w:rPr>
                <w:b/>
                <w:bCs/>
                <w:u w:val="single"/>
              </w:rPr>
              <w:t>X</w:t>
            </w:r>
          </w:p>
        </w:tc>
      </w:tr>
      <w:tr w:rsidR="009655EF" w:rsidRPr="009655EF" w:rsidTr="009655EF">
        <w:trPr>
          <w:trHeight w:val="510"/>
        </w:trPr>
        <w:tc>
          <w:tcPr>
            <w:tcW w:w="5200" w:type="dxa"/>
            <w:hideMark/>
          </w:tcPr>
          <w:p w:rsidR="009655EF" w:rsidRPr="009655EF" w:rsidRDefault="009655EF">
            <w:pPr>
              <w:rPr>
                <w:b/>
                <w:bCs/>
              </w:rPr>
            </w:pPr>
          </w:p>
        </w:tc>
        <w:tc>
          <w:tcPr>
            <w:tcW w:w="960" w:type="dxa"/>
            <w:vMerge/>
            <w:hideMark/>
          </w:tcPr>
          <w:p w:rsidR="009655EF" w:rsidRPr="009655EF" w:rsidRDefault="009655EF">
            <w:pPr>
              <w:rPr>
                <w:u w:val="single"/>
              </w:rPr>
            </w:pPr>
          </w:p>
        </w:tc>
        <w:tc>
          <w:tcPr>
            <w:tcW w:w="960" w:type="dxa"/>
            <w:vMerge/>
            <w:hideMark/>
          </w:tcPr>
          <w:p w:rsidR="009655EF" w:rsidRPr="009655EF" w:rsidRDefault="009655EF">
            <w:pPr>
              <w:rPr>
                <w:b/>
                <w:bCs/>
                <w:u w:val="single"/>
              </w:rPr>
            </w:pPr>
          </w:p>
        </w:tc>
      </w:tr>
      <w:tr w:rsidR="009655EF" w:rsidRPr="009655EF" w:rsidTr="009655EF">
        <w:trPr>
          <w:trHeight w:val="465"/>
        </w:trPr>
        <w:tc>
          <w:tcPr>
            <w:tcW w:w="5200" w:type="dxa"/>
            <w:hideMark/>
          </w:tcPr>
          <w:p w:rsidR="009655EF" w:rsidRPr="009655EF" w:rsidRDefault="009655EF">
            <w:r w:rsidRPr="009655EF">
              <w:t> </w:t>
            </w:r>
            <w:r w:rsidR="0074430F" w:rsidRPr="0074430F">
              <w:t>Total equity</w:t>
            </w:r>
          </w:p>
        </w:tc>
        <w:tc>
          <w:tcPr>
            <w:tcW w:w="960" w:type="dxa"/>
            <w:hideMark/>
          </w:tcPr>
          <w:p w:rsidR="009655EF" w:rsidRPr="0074430F" w:rsidRDefault="009655EF" w:rsidP="0074430F">
            <w:pPr>
              <w:rPr>
                <w:lang w:val="en-US"/>
              </w:rPr>
            </w:pPr>
            <w:r w:rsidRPr="009655EF">
              <w:t> </w:t>
            </w:r>
            <w:r w:rsidR="0074430F">
              <w:rPr>
                <w:lang w:val="en-US"/>
              </w:rPr>
              <w:t>632,000</w:t>
            </w:r>
          </w:p>
        </w:tc>
        <w:tc>
          <w:tcPr>
            <w:tcW w:w="960" w:type="dxa"/>
            <w:hideMark/>
          </w:tcPr>
          <w:p w:rsidR="009655EF" w:rsidRPr="009655EF" w:rsidRDefault="009655EF" w:rsidP="009655EF">
            <w:pPr>
              <w:rPr>
                <w:b/>
                <w:bCs/>
                <w:u w:val="single"/>
              </w:rPr>
            </w:pPr>
            <w:r w:rsidRPr="009655EF">
              <w:rPr>
                <w:b/>
                <w:bCs/>
                <w:u w:val="single"/>
              </w:rPr>
              <w:t>X</w:t>
            </w:r>
          </w:p>
        </w:tc>
      </w:tr>
    </w:tbl>
    <w:p w:rsidR="00632C9D" w:rsidRDefault="00632C9D" w:rsidP="00632C9D">
      <w:pPr>
        <w:rPr>
          <w:lang w:val="en-US"/>
        </w:rPr>
      </w:pPr>
    </w:p>
    <w:p w:rsidR="00632C9D" w:rsidRDefault="00632C9D" w:rsidP="00632C9D">
      <w:pPr>
        <w:rPr>
          <w:lang w:val="en-US"/>
        </w:rPr>
      </w:pPr>
    </w:p>
    <w:p w:rsidR="00632C9D" w:rsidRDefault="00632C9D" w:rsidP="00632C9D">
      <w:pPr>
        <w:rPr>
          <w:lang w:val="en-US"/>
        </w:rPr>
      </w:pPr>
    </w:p>
    <w:p w:rsidR="00632C9D" w:rsidRPr="00632C9D" w:rsidRDefault="00632C9D" w:rsidP="00632C9D">
      <w:pPr>
        <w:rPr>
          <w:lang w:val="en-US"/>
        </w:rPr>
      </w:pPr>
    </w:p>
    <w:p w:rsidR="003D0D6A" w:rsidRDefault="003D0D6A" w:rsidP="003D0D6A">
      <w:pPr>
        <w:rPr>
          <w:lang w:val="en-US"/>
        </w:rPr>
      </w:pPr>
    </w:p>
    <w:p w:rsidR="003D0D6A" w:rsidRDefault="003D0D6A" w:rsidP="003D0D6A">
      <w:pPr>
        <w:pStyle w:val="Heading2"/>
        <w:rPr>
          <w:lang w:val="en-US"/>
        </w:rPr>
      </w:pPr>
    </w:p>
    <w:p w:rsidR="003D0D6A" w:rsidRPr="008F4C8C" w:rsidRDefault="003D0D6A" w:rsidP="008F4C8C">
      <w:pPr>
        <w:pStyle w:val="Heading2"/>
        <w:spacing w:line="360" w:lineRule="auto"/>
        <w:jc w:val="both"/>
        <w:rPr>
          <w:rFonts w:ascii="Arial" w:hAnsi="Arial" w:cs="Arial"/>
          <w:sz w:val="24"/>
          <w:szCs w:val="24"/>
          <w:lang w:val="en-US"/>
        </w:rPr>
      </w:pPr>
      <w:bookmarkStart w:id="3" w:name="_Toc112500225"/>
      <w:r w:rsidRPr="008F4C8C">
        <w:rPr>
          <w:rFonts w:ascii="Arial" w:hAnsi="Arial" w:cs="Arial"/>
          <w:sz w:val="24"/>
          <w:szCs w:val="24"/>
          <w:lang w:val="en-US"/>
        </w:rPr>
        <w:t>Why does the statement of financial position balance?</w:t>
      </w:r>
      <w:bookmarkEnd w:id="3"/>
    </w:p>
    <w:p w:rsidR="003D0D6A" w:rsidRPr="008F4C8C" w:rsidRDefault="003D0D6A" w:rsidP="008F4C8C">
      <w:pPr>
        <w:spacing w:line="360" w:lineRule="auto"/>
        <w:jc w:val="both"/>
        <w:rPr>
          <w:rFonts w:ascii="Arial" w:hAnsi="Arial" w:cs="Arial"/>
          <w:sz w:val="24"/>
          <w:szCs w:val="24"/>
          <w:lang w:val="en-US"/>
        </w:rPr>
      </w:pPr>
    </w:p>
    <w:p w:rsidR="003D0D6A" w:rsidRPr="008F4C8C" w:rsidRDefault="005A69F9" w:rsidP="008F4C8C">
      <w:pPr>
        <w:spacing w:line="360" w:lineRule="auto"/>
        <w:jc w:val="both"/>
        <w:rPr>
          <w:rFonts w:ascii="Arial" w:hAnsi="Arial" w:cs="Arial"/>
          <w:sz w:val="24"/>
          <w:szCs w:val="24"/>
          <w:lang w:val="en-US"/>
        </w:rPr>
      </w:pPr>
      <w:r w:rsidRPr="005A69F9">
        <w:rPr>
          <w:rFonts w:ascii="Arial" w:hAnsi="Arial" w:cs="Arial"/>
          <w:sz w:val="24"/>
          <w:szCs w:val="24"/>
          <w:lang w:val="en-US"/>
        </w:rPr>
        <w:t>The main accounting principle that makes a balance sheet balance is the idea of double entry. This accounting system also acts as a check to make sure the documents are correct because every transaction is documented in at least two distinct accounts. Since it affects both parties, there should always be a balance after every money is transferred. How the cash is being used and wherever it came from. As a result, if the double-entry accounting policy is correctly applied, it will remain the equivalent.</w:t>
      </w:r>
    </w:p>
    <w:p w:rsidR="003D0D6A" w:rsidRPr="008F4C8C" w:rsidRDefault="003D0D6A" w:rsidP="008F4C8C">
      <w:pPr>
        <w:pStyle w:val="Heading1"/>
        <w:spacing w:line="360" w:lineRule="auto"/>
        <w:jc w:val="both"/>
        <w:rPr>
          <w:rFonts w:ascii="Arial" w:hAnsi="Arial" w:cs="Arial"/>
          <w:sz w:val="24"/>
          <w:szCs w:val="24"/>
          <w:lang w:val="en-US"/>
        </w:rPr>
      </w:pPr>
      <w:bookmarkStart w:id="4" w:name="_Toc112500226"/>
      <w:r w:rsidRPr="008F4C8C">
        <w:rPr>
          <w:rFonts w:ascii="Arial" w:hAnsi="Arial" w:cs="Arial"/>
          <w:sz w:val="24"/>
          <w:szCs w:val="24"/>
          <w:lang w:val="en-US"/>
        </w:rPr>
        <w:t>QUESTION 2</w:t>
      </w:r>
      <w:bookmarkEnd w:id="4"/>
    </w:p>
    <w:p w:rsidR="003D0D6A" w:rsidRPr="008F4C8C" w:rsidRDefault="003D0D6A" w:rsidP="008F4C8C">
      <w:pPr>
        <w:spacing w:line="360" w:lineRule="auto"/>
        <w:jc w:val="both"/>
        <w:rPr>
          <w:rFonts w:ascii="Arial" w:hAnsi="Arial" w:cs="Arial"/>
          <w:sz w:val="24"/>
          <w:szCs w:val="24"/>
          <w:lang w:val="en-US"/>
        </w:rPr>
      </w:pPr>
    </w:p>
    <w:p w:rsidR="00F97F38" w:rsidRPr="008F4C8C" w:rsidRDefault="00F97F38" w:rsidP="008F4C8C">
      <w:pPr>
        <w:pStyle w:val="Heading2"/>
        <w:spacing w:line="360" w:lineRule="auto"/>
        <w:jc w:val="both"/>
        <w:rPr>
          <w:rFonts w:ascii="Arial" w:hAnsi="Arial" w:cs="Arial"/>
          <w:sz w:val="24"/>
          <w:szCs w:val="24"/>
          <w:lang w:val="en-US"/>
        </w:rPr>
      </w:pPr>
      <w:bookmarkStart w:id="5" w:name="_Toc112500227"/>
      <w:r w:rsidRPr="008F4C8C">
        <w:rPr>
          <w:rFonts w:ascii="Arial" w:hAnsi="Arial" w:cs="Arial"/>
          <w:sz w:val="24"/>
          <w:szCs w:val="24"/>
          <w:lang w:val="en-US"/>
        </w:rPr>
        <w:t>Ratios for Sweets plc for 2021 and 2020</w:t>
      </w:r>
      <w:bookmarkEnd w:id="5"/>
    </w:p>
    <w:p w:rsidR="00F97F38" w:rsidRPr="008F4C8C" w:rsidRDefault="00F97F38" w:rsidP="008F4C8C">
      <w:pPr>
        <w:spacing w:line="360" w:lineRule="auto"/>
        <w:jc w:val="both"/>
        <w:rPr>
          <w:rFonts w:ascii="Arial" w:hAnsi="Arial" w:cs="Arial"/>
          <w:sz w:val="24"/>
          <w:szCs w:val="24"/>
          <w:lang w:val="en-US"/>
        </w:rPr>
      </w:pP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ROCE</w:t>
      </w:r>
    </w:p>
    <w:p w:rsidR="00677B83" w:rsidRPr="008F4C8C" w:rsidRDefault="00605DD8" w:rsidP="008F4C8C">
      <w:pPr>
        <w:spacing w:line="360" w:lineRule="auto"/>
        <w:jc w:val="both"/>
        <w:rPr>
          <w:rFonts w:ascii="Arial" w:hAnsi="Arial" w:cs="Arial"/>
          <w:sz w:val="24"/>
          <w:szCs w:val="24"/>
          <w:lang w:val="en-US"/>
        </w:rPr>
      </w:pPr>
      <w:r w:rsidRPr="008F4C8C">
        <w:rPr>
          <w:rFonts w:ascii="Arial" w:hAnsi="Arial" w:cs="Arial"/>
          <w:sz w:val="24"/>
          <w:szCs w:val="24"/>
          <w:lang w:val="en-US"/>
        </w:rPr>
        <w:t xml:space="preserve">ROCE = </w:t>
      </w:r>
      <w:r w:rsidR="000012B5" w:rsidRPr="008F4C8C">
        <w:rPr>
          <w:rFonts w:ascii="Arial" w:hAnsi="Arial" w:cs="Arial"/>
          <w:sz w:val="24"/>
          <w:szCs w:val="24"/>
          <w:lang w:val="en-US"/>
        </w:rPr>
        <w:t>profit before int</w:t>
      </w:r>
      <w:r w:rsidR="00B73927" w:rsidRPr="008F4C8C">
        <w:rPr>
          <w:rFonts w:ascii="Arial" w:hAnsi="Arial" w:cs="Arial"/>
          <w:sz w:val="24"/>
          <w:szCs w:val="24"/>
          <w:lang w:val="en-US"/>
        </w:rPr>
        <w:t xml:space="preserve">erest / assets employed * 100% </w:t>
      </w:r>
    </w:p>
    <w:p w:rsidR="00B73927" w:rsidRPr="008F4C8C" w:rsidRDefault="00B73927" w:rsidP="008F4C8C">
      <w:pPr>
        <w:spacing w:line="360" w:lineRule="auto"/>
        <w:jc w:val="both"/>
        <w:rPr>
          <w:rFonts w:ascii="Arial" w:hAnsi="Arial" w:cs="Arial"/>
          <w:sz w:val="24"/>
          <w:szCs w:val="24"/>
          <w:lang w:val="en-US"/>
        </w:rPr>
      </w:pPr>
      <w:r w:rsidRPr="008F4C8C">
        <w:rPr>
          <w:rFonts w:ascii="Arial" w:hAnsi="Arial" w:cs="Arial"/>
          <w:sz w:val="24"/>
          <w:szCs w:val="24"/>
          <w:lang w:val="en-US"/>
        </w:rPr>
        <w:t>ROCE 2021= 431 / 2303*100% =</w:t>
      </w:r>
      <w:r w:rsidR="006A4AB6" w:rsidRPr="008F4C8C">
        <w:rPr>
          <w:rFonts w:ascii="Arial" w:hAnsi="Arial" w:cs="Arial"/>
          <w:sz w:val="24"/>
          <w:szCs w:val="24"/>
          <w:lang w:val="en-US"/>
        </w:rPr>
        <w:t>0.18</w:t>
      </w:r>
    </w:p>
    <w:p w:rsidR="00B73927" w:rsidRPr="008F4C8C" w:rsidRDefault="00B73927" w:rsidP="008F4C8C">
      <w:pPr>
        <w:spacing w:line="360" w:lineRule="auto"/>
        <w:jc w:val="both"/>
        <w:rPr>
          <w:rFonts w:ascii="Arial" w:hAnsi="Arial" w:cs="Arial"/>
          <w:sz w:val="24"/>
          <w:szCs w:val="24"/>
          <w:lang w:val="en-US"/>
        </w:rPr>
      </w:pPr>
      <w:r w:rsidRPr="008F4C8C">
        <w:rPr>
          <w:rFonts w:ascii="Arial" w:hAnsi="Arial" w:cs="Arial"/>
          <w:sz w:val="24"/>
          <w:szCs w:val="24"/>
          <w:lang w:val="en-US"/>
        </w:rPr>
        <w:t>ROCE 2020= 366 / 2356</w:t>
      </w:r>
      <w:r w:rsidR="008A2902" w:rsidRPr="008F4C8C">
        <w:rPr>
          <w:rFonts w:ascii="Arial" w:hAnsi="Arial" w:cs="Arial"/>
          <w:sz w:val="24"/>
          <w:szCs w:val="24"/>
          <w:lang w:val="en-US"/>
        </w:rPr>
        <w:t>*100% =</w:t>
      </w:r>
      <w:r w:rsidR="006A4AB6" w:rsidRPr="008F4C8C">
        <w:rPr>
          <w:rFonts w:ascii="Arial" w:hAnsi="Arial" w:cs="Arial"/>
          <w:sz w:val="24"/>
          <w:szCs w:val="24"/>
          <w:lang w:val="en-US"/>
        </w:rPr>
        <w:t>0.15</w:t>
      </w: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ROE</w:t>
      </w:r>
    </w:p>
    <w:p w:rsidR="00605DD8" w:rsidRPr="008F4C8C" w:rsidRDefault="00605DD8" w:rsidP="008F4C8C">
      <w:pPr>
        <w:spacing w:line="360" w:lineRule="auto"/>
        <w:jc w:val="both"/>
        <w:rPr>
          <w:rFonts w:ascii="Arial" w:hAnsi="Arial" w:cs="Arial"/>
          <w:sz w:val="24"/>
          <w:szCs w:val="24"/>
          <w:lang w:val="en-US"/>
        </w:rPr>
      </w:pPr>
      <w:r w:rsidRPr="008F4C8C">
        <w:rPr>
          <w:rFonts w:ascii="Arial" w:hAnsi="Arial" w:cs="Arial"/>
          <w:sz w:val="24"/>
          <w:szCs w:val="24"/>
          <w:lang w:val="en-US"/>
        </w:rPr>
        <w:t>ROE=</w:t>
      </w:r>
      <w:r w:rsidR="000012B5" w:rsidRPr="008F4C8C">
        <w:rPr>
          <w:rFonts w:ascii="Arial" w:hAnsi="Arial" w:cs="Arial"/>
          <w:sz w:val="24"/>
          <w:szCs w:val="24"/>
          <w:lang w:val="en-US"/>
        </w:rPr>
        <w:t xml:space="preserve"> Earnings /  Ordinary share capital and reserves * 100% =</w:t>
      </w:r>
    </w:p>
    <w:p w:rsidR="00677B83" w:rsidRPr="008F4C8C" w:rsidRDefault="00605DD8" w:rsidP="008F4C8C">
      <w:pPr>
        <w:spacing w:line="360" w:lineRule="auto"/>
        <w:jc w:val="both"/>
        <w:rPr>
          <w:rFonts w:ascii="Arial" w:hAnsi="Arial" w:cs="Arial"/>
          <w:sz w:val="24"/>
          <w:szCs w:val="24"/>
          <w:lang w:val="en-US"/>
        </w:rPr>
      </w:pPr>
      <w:r w:rsidRPr="008F4C8C">
        <w:rPr>
          <w:rFonts w:ascii="Arial" w:hAnsi="Arial" w:cs="Arial"/>
          <w:sz w:val="24"/>
          <w:szCs w:val="24"/>
          <w:lang w:val="en-US"/>
        </w:rPr>
        <w:t>​</w:t>
      </w:r>
      <w:r w:rsidR="008A2902" w:rsidRPr="008F4C8C">
        <w:rPr>
          <w:rFonts w:ascii="Arial" w:hAnsi="Arial" w:cs="Arial"/>
          <w:sz w:val="24"/>
          <w:szCs w:val="24"/>
        </w:rPr>
        <w:t xml:space="preserve"> </w:t>
      </w:r>
      <w:r w:rsidR="008A2902" w:rsidRPr="008F4C8C">
        <w:rPr>
          <w:rFonts w:ascii="Arial" w:hAnsi="Arial" w:cs="Arial"/>
          <w:sz w:val="24"/>
          <w:szCs w:val="24"/>
          <w:lang w:val="en-US"/>
        </w:rPr>
        <w:t>ROE 2021 = 6738 / 300 *100% =</w:t>
      </w:r>
      <w:r w:rsidR="006A4AB6" w:rsidRPr="008F4C8C">
        <w:rPr>
          <w:rFonts w:ascii="Arial" w:hAnsi="Arial" w:cs="Arial"/>
          <w:sz w:val="24"/>
          <w:szCs w:val="24"/>
          <w:lang w:val="en-US"/>
        </w:rPr>
        <w:t>22</w:t>
      </w:r>
    </w:p>
    <w:p w:rsidR="008A2902" w:rsidRPr="008F4C8C" w:rsidRDefault="008A2902" w:rsidP="008F4C8C">
      <w:pPr>
        <w:spacing w:line="360" w:lineRule="auto"/>
        <w:jc w:val="both"/>
        <w:rPr>
          <w:rFonts w:ascii="Arial" w:hAnsi="Arial" w:cs="Arial"/>
          <w:sz w:val="24"/>
          <w:szCs w:val="24"/>
          <w:lang w:val="en-US"/>
        </w:rPr>
      </w:pPr>
      <w:r w:rsidRPr="008F4C8C">
        <w:rPr>
          <w:rFonts w:ascii="Arial" w:hAnsi="Arial" w:cs="Arial"/>
          <w:sz w:val="24"/>
          <w:szCs w:val="24"/>
          <w:lang w:val="en-US"/>
        </w:rPr>
        <w:t xml:space="preserve"> ROE 2020 = 6441 / 300 *100% =</w:t>
      </w:r>
      <w:r w:rsidR="006A4AB6" w:rsidRPr="008F4C8C">
        <w:rPr>
          <w:rFonts w:ascii="Arial" w:hAnsi="Arial" w:cs="Arial"/>
          <w:sz w:val="24"/>
          <w:szCs w:val="24"/>
          <w:lang w:val="en-US"/>
        </w:rPr>
        <w:t>21</w:t>
      </w: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Earnings per share</w:t>
      </w:r>
    </w:p>
    <w:p w:rsidR="00F6543F" w:rsidRPr="008F4C8C" w:rsidRDefault="000012B5" w:rsidP="008F4C8C">
      <w:pPr>
        <w:spacing w:line="360" w:lineRule="auto"/>
        <w:jc w:val="both"/>
        <w:rPr>
          <w:rFonts w:ascii="Arial" w:hAnsi="Arial" w:cs="Arial"/>
          <w:sz w:val="24"/>
          <w:szCs w:val="24"/>
          <w:lang w:val="en-US"/>
        </w:rPr>
      </w:pPr>
      <w:r w:rsidRPr="008F4C8C">
        <w:rPr>
          <w:rFonts w:ascii="Arial" w:hAnsi="Arial" w:cs="Arial"/>
          <w:sz w:val="24"/>
          <w:szCs w:val="24"/>
          <w:lang w:val="en-US"/>
        </w:rPr>
        <w:t xml:space="preserve">EPS = Earnings / Number of ordinary shares </w:t>
      </w:r>
    </w:p>
    <w:p w:rsidR="002D586F" w:rsidRPr="008F4C8C" w:rsidRDefault="002D586F" w:rsidP="008F4C8C">
      <w:pPr>
        <w:spacing w:line="360" w:lineRule="auto"/>
        <w:jc w:val="both"/>
        <w:rPr>
          <w:rFonts w:ascii="Arial" w:hAnsi="Arial" w:cs="Arial"/>
          <w:sz w:val="24"/>
          <w:szCs w:val="24"/>
          <w:lang w:val="en-US"/>
        </w:rPr>
      </w:pPr>
      <w:r w:rsidRPr="008F4C8C">
        <w:rPr>
          <w:rFonts w:ascii="Arial" w:hAnsi="Arial" w:cs="Arial"/>
          <w:sz w:val="24"/>
          <w:szCs w:val="24"/>
          <w:lang w:val="en-US"/>
        </w:rPr>
        <w:t>EPS 202</w:t>
      </w:r>
      <w:r w:rsidR="00EC3F4D" w:rsidRPr="008F4C8C">
        <w:rPr>
          <w:rFonts w:ascii="Arial" w:hAnsi="Arial" w:cs="Arial"/>
          <w:sz w:val="24"/>
          <w:szCs w:val="24"/>
          <w:lang w:val="en-US"/>
        </w:rPr>
        <w:t>1</w:t>
      </w:r>
      <w:r w:rsidRPr="008F4C8C">
        <w:rPr>
          <w:rFonts w:ascii="Arial" w:hAnsi="Arial" w:cs="Arial"/>
          <w:sz w:val="24"/>
          <w:szCs w:val="24"/>
          <w:lang w:val="en-US"/>
        </w:rPr>
        <w:t xml:space="preserve">=6738 / </w:t>
      </w:r>
      <w:r w:rsidR="000263F7" w:rsidRPr="008F4C8C">
        <w:rPr>
          <w:rFonts w:ascii="Arial" w:hAnsi="Arial" w:cs="Arial"/>
          <w:sz w:val="24"/>
          <w:szCs w:val="24"/>
          <w:lang w:val="en-US"/>
        </w:rPr>
        <w:t>58593 =</w:t>
      </w:r>
      <w:r w:rsidR="002700C2" w:rsidRPr="008F4C8C">
        <w:rPr>
          <w:rFonts w:ascii="Arial" w:hAnsi="Arial" w:cs="Arial"/>
          <w:sz w:val="24"/>
          <w:szCs w:val="24"/>
          <w:lang w:val="en-US"/>
        </w:rPr>
        <w:t xml:space="preserve"> 0.11</w:t>
      </w:r>
    </w:p>
    <w:p w:rsidR="00F6543F" w:rsidRPr="008F4C8C" w:rsidRDefault="002D586F" w:rsidP="008F4C8C">
      <w:pPr>
        <w:spacing w:line="360" w:lineRule="auto"/>
        <w:jc w:val="both"/>
        <w:rPr>
          <w:rFonts w:ascii="Arial" w:hAnsi="Arial" w:cs="Arial"/>
          <w:sz w:val="24"/>
          <w:szCs w:val="24"/>
          <w:lang w:val="en-US"/>
        </w:rPr>
      </w:pPr>
      <w:r w:rsidRPr="008F4C8C">
        <w:rPr>
          <w:rFonts w:ascii="Arial" w:hAnsi="Arial" w:cs="Arial"/>
          <w:sz w:val="24"/>
          <w:szCs w:val="24"/>
          <w:lang w:val="en-US"/>
        </w:rPr>
        <w:t>EPS 202</w:t>
      </w:r>
      <w:r w:rsidR="00EC3F4D" w:rsidRPr="008F4C8C">
        <w:rPr>
          <w:rFonts w:ascii="Arial" w:hAnsi="Arial" w:cs="Arial"/>
          <w:sz w:val="24"/>
          <w:szCs w:val="24"/>
          <w:lang w:val="en-US"/>
        </w:rPr>
        <w:t>0</w:t>
      </w:r>
      <w:r w:rsidRPr="008F4C8C">
        <w:rPr>
          <w:rFonts w:ascii="Arial" w:hAnsi="Arial" w:cs="Arial"/>
          <w:sz w:val="24"/>
          <w:szCs w:val="24"/>
          <w:lang w:val="en-US"/>
        </w:rPr>
        <w:t xml:space="preserve">=6441 / </w:t>
      </w:r>
      <w:r w:rsidR="000263F7" w:rsidRPr="008F4C8C">
        <w:rPr>
          <w:rFonts w:ascii="Arial" w:hAnsi="Arial" w:cs="Arial"/>
          <w:sz w:val="24"/>
          <w:szCs w:val="24"/>
          <w:lang w:val="en-US"/>
        </w:rPr>
        <w:t>75000 =</w:t>
      </w:r>
      <w:r w:rsidR="002700C2" w:rsidRPr="008F4C8C">
        <w:rPr>
          <w:rFonts w:ascii="Arial" w:hAnsi="Arial" w:cs="Arial"/>
          <w:sz w:val="24"/>
          <w:szCs w:val="24"/>
          <w:lang w:val="en-US"/>
        </w:rPr>
        <w:t>0.08</w:t>
      </w: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Net profit margin</w:t>
      </w:r>
    </w:p>
    <w:p w:rsidR="007B20C7" w:rsidRPr="008F4C8C" w:rsidRDefault="007B20C7" w:rsidP="008F4C8C">
      <w:pPr>
        <w:spacing w:line="360" w:lineRule="auto"/>
        <w:jc w:val="both"/>
        <w:rPr>
          <w:rFonts w:ascii="Arial" w:hAnsi="Arial" w:cs="Arial"/>
          <w:sz w:val="24"/>
          <w:szCs w:val="24"/>
          <w:lang w:val="en-US"/>
        </w:rPr>
      </w:pPr>
      <w:r w:rsidRPr="008F4C8C">
        <w:rPr>
          <w:rFonts w:ascii="Arial" w:hAnsi="Arial" w:cs="Arial"/>
          <w:sz w:val="24"/>
          <w:szCs w:val="24"/>
          <w:lang w:val="en-US"/>
        </w:rPr>
        <w:t>Net Profit margin = Net Profit ⁄ Total revenue x 100</w:t>
      </w:r>
    </w:p>
    <w:p w:rsidR="007B20C7" w:rsidRPr="008F4C8C" w:rsidRDefault="000263F7" w:rsidP="008F4C8C">
      <w:pPr>
        <w:spacing w:line="360" w:lineRule="auto"/>
        <w:jc w:val="both"/>
        <w:rPr>
          <w:rFonts w:ascii="Arial" w:hAnsi="Arial" w:cs="Arial"/>
          <w:sz w:val="24"/>
          <w:szCs w:val="24"/>
          <w:lang w:val="en-US"/>
        </w:rPr>
      </w:pPr>
      <w:r w:rsidRPr="008F4C8C">
        <w:rPr>
          <w:rFonts w:ascii="Arial" w:hAnsi="Arial" w:cs="Arial"/>
          <w:sz w:val="24"/>
          <w:szCs w:val="24"/>
          <w:lang w:val="en-US"/>
        </w:rPr>
        <w:t>Net Profit margin 2020=</w:t>
      </w:r>
      <w:r w:rsidR="00452204" w:rsidRPr="008F4C8C">
        <w:rPr>
          <w:rFonts w:ascii="Arial" w:hAnsi="Arial" w:cs="Arial"/>
          <w:sz w:val="24"/>
          <w:szCs w:val="24"/>
          <w:lang w:val="en-US"/>
        </w:rPr>
        <w:t xml:space="preserve"> </w:t>
      </w:r>
      <w:r w:rsidR="00EC3F4D" w:rsidRPr="008F4C8C">
        <w:rPr>
          <w:rFonts w:ascii="Arial" w:hAnsi="Arial" w:cs="Arial"/>
          <w:sz w:val="24"/>
          <w:szCs w:val="24"/>
          <w:lang w:val="en-US"/>
        </w:rPr>
        <w:t>366 /</w:t>
      </w:r>
      <w:r w:rsidR="00EC3F4D" w:rsidRPr="008F4C8C">
        <w:rPr>
          <w:rFonts w:ascii="Arial" w:hAnsi="Arial" w:cs="Arial"/>
          <w:sz w:val="24"/>
          <w:szCs w:val="24"/>
        </w:rPr>
        <w:t xml:space="preserve"> </w:t>
      </w:r>
      <w:r w:rsidR="00EC3F4D" w:rsidRPr="008F4C8C">
        <w:rPr>
          <w:rFonts w:ascii="Arial" w:hAnsi="Arial" w:cs="Arial"/>
          <w:sz w:val="24"/>
          <w:szCs w:val="24"/>
          <w:lang w:val="en-US"/>
        </w:rPr>
        <w:t>6,441 x 100 =</w:t>
      </w:r>
      <w:r w:rsidR="00C44D4D" w:rsidRPr="008F4C8C">
        <w:rPr>
          <w:rFonts w:ascii="Arial" w:hAnsi="Arial" w:cs="Arial"/>
          <w:sz w:val="24"/>
          <w:szCs w:val="24"/>
          <w:lang w:val="en-US"/>
        </w:rPr>
        <w:t>5.68</w:t>
      </w:r>
    </w:p>
    <w:p w:rsidR="000263F7" w:rsidRPr="008F4C8C" w:rsidRDefault="000263F7" w:rsidP="008F4C8C">
      <w:pPr>
        <w:spacing w:line="360" w:lineRule="auto"/>
        <w:jc w:val="both"/>
        <w:rPr>
          <w:rFonts w:ascii="Arial" w:hAnsi="Arial" w:cs="Arial"/>
          <w:sz w:val="24"/>
          <w:szCs w:val="24"/>
          <w:lang w:val="en-US"/>
        </w:rPr>
      </w:pPr>
      <w:r w:rsidRPr="008F4C8C">
        <w:rPr>
          <w:rFonts w:ascii="Arial" w:hAnsi="Arial" w:cs="Arial"/>
          <w:sz w:val="24"/>
          <w:szCs w:val="24"/>
          <w:lang w:val="en-US"/>
        </w:rPr>
        <w:t>Net Profit margin 2021=</w:t>
      </w:r>
      <w:r w:rsidR="00452204" w:rsidRPr="008F4C8C">
        <w:rPr>
          <w:rFonts w:ascii="Arial" w:hAnsi="Arial" w:cs="Arial"/>
          <w:sz w:val="24"/>
          <w:szCs w:val="24"/>
          <w:lang w:val="en-US"/>
        </w:rPr>
        <w:t xml:space="preserve"> 431</w:t>
      </w:r>
      <w:r w:rsidR="00EC3F4D" w:rsidRPr="008F4C8C">
        <w:rPr>
          <w:rFonts w:ascii="Arial" w:hAnsi="Arial" w:cs="Arial"/>
          <w:sz w:val="24"/>
          <w:szCs w:val="24"/>
          <w:lang w:val="en-US"/>
        </w:rPr>
        <w:t xml:space="preserve"> / 6,738 x 100 =</w:t>
      </w:r>
      <w:r w:rsidR="00C44D4D" w:rsidRPr="008F4C8C">
        <w:rPr>
          <w:rFonts w:ascii="Arial" w:hAnsi="Arial" w:cs="Arial"/>
          <w:sz w:val="24"/>
          <w:szCs w:val="24"/>
          <w:lang w:val="en-US"/>
        </w:rPr>
        <w:t>6.39</w:t>
      </w:r>
    </w:p>
    <w:p w:rsidR="00F97F38" w:rsidRPr="008F4C8C" w:rsidRDefault="00F97F38" w:rsidP="008F4C8C">
      <w:pPr>
        <w:spacing w:line="360" w:lineRule="auto"/>
        <w:jc w:val="both"/>
        <w:rPr>
          <w:rFonts w:ascii="Arial" w:hAnsi="Arial" w:cs="Arial"/>
          <w:b/>
          <w:sz w:val="24"/>
          <w:szCs w:val="24"/>
          <w:lang w:val="en-US"/>
        </w:rPr>
      </w:pPr>
      <w:r w:rsidRPr="008F4C8C">
        <w:rPr>
          <w:rFonts w:ascii="Arial" w:hAnsi="Arial" w:cs="Arial"/>
          <w:b/>
          <w:sz w:val="24"/>
          <w:szCs w:val="24"/>
          <w:lang w:val="en-US"/>
        </w:rPr>
        <w:t>5- Asset turnover</w:t>
      </w:r>
    </w:p>
    <w:p w:rsidR="008A78FD" w:rsidRPr="008F4C8C" w:rsidRDefault="008A78FD" w:rsidP="008F4C8C">
      <w:pPr>
        <w:spacing w:line="360" w:lineRule="auto"/>
        <w:jc w:val="both"/>
        <w:rPr>
          <w:rFonts w:ascii="Arial" w:hAnsi="Arial" w:cs="Arial"/>
          <w:sz w:val="24"/>
          <w:szCs w:val="24"/>
          <w:lang w:val="en-US"/>
        </w:rPr>
      </w:pPr>
      <w:r w:rsidRPr="008F4C8C">
        <w:rPr>
          <w:rFonts w:ascii="Arial" w:hAnsi="Arial" w:cs="Arial"/>
          <w:sz w:val="24"/>
          <w:szCs w:val="24"/>
          <w:lang w:val="en-US"/>
        </w:rPr>
        <w:t>Asset turnover = Sales Revenue / Total Assets (CA + FA)</w:t>
      </w:r>
    </w:p>
    <w:p w:rsidR="00EC3F4D" w:rsidRPr="008F4C8C" w:rsidRDefault="00EC3F4D" w:rsidP="008F4C8C">
      <w:pPr>
        <w:spacing w:line="360" w:lineRule="auto"/>
        <w:jc w:val="both"/>
        <w:rPr>
          <w:rFonts w:ascii="Arial" w:hAnsi="Arial" w:cs="Arial"/>
          <w:sz w:val="24"/>
          <w:szCs w:val="24"/>
          <w:lang w:val="en-US"/>
        </w:rPr>
      </w:pPr>
      <w:r w:rsidRPr="008F4C8C">
        <w:rPr>
          <w:rFonts w:ascii="Arial" w:hAnsi="Arial" w:cs="Arial"/>
          <w:sz w:val="24"/>
          <w:szCs w:val="24"/>
          <w:lang w:val="en-US"/>
        </w:rPr>
        <w:t>Asset turnover 2021=</w:t>
      </w:r>
      <w:r w:rsidR="00167E7B" w:rsidRPr="008F4C8C">
        <w:rPr>
          <w:rFonts w:ascii="Arial" w:hAnsi="Arial" w:cs="Arial"/>
          <w:sz w:val="24"/>
          <w:szCs w:val="24"/>
          <w:lang w:val="en-US"/>
        </w:rPr>
        <w:t xml:space="preserve"> 6,738 / 9,736 = </w:t>
      </w:r>
      <w:r w:rsidR="00C44D4D" w:rsidRPr="008F4C8C">
        <w:rPr>
          <w:rFonts w:ascii="Arial" w:hAnsi="Arial" w:cs="Arial"/>
          <w:sz w:val="24"/>
          <w:szCs w:val="24"/>
          <w:lang w:val="en-US"/>
        </w:rPr>
        <w:t>0.69</w:t>
      </w:r>
    </w:p>
    <w:p w:rsidR="00EC3F4D" w:rsidRPr="008F4C8C" w:rsidRDefault="00EC3F4D" w:rsidP="008F4C8C">
      <w:pPr>
        <w:spacing w:line="360" w:lineRule="auto"/>
        <w:jc w:val="both"/>
        <w:rPr>
          <w:rFonts w:ascii="Arial" w:hAnsi="Arial" w:cs="Arial"/>
          <w:sz w:val="24"/>
          <w:szCs w:val="24"/>
          <w:lang w:val="en-US"/>
        </w:rPr>
      </w:pPr>
      <w:r w:rsidRPr="008F4C8C">
        <w:rPr>
          <w:rFonts w:ascii="Arial" w:hAnsi="Arial" w:cs="Arial"/>
          <w:sz w:val="24"/>
          <w:szCs w:val="24"/>
          <w:lang w:val="en-US"/>
        </w:rPr>
        <w:t>Asset turnover 2020=</w:t>
      </w:r>
      <w:r w:rsidR="00167E7B" w:rsidRPr="008F4C8C">
        <w:rPr>
          <w:rFonts w:ascii="Arial" w:hAnsi="Arial" w:cs="Arial"/>
          <w:sz w:val="24"/>
          <w:szCs w:val="24"/>
          <w:lang w:val="en-US"/>
        </w:rPr>
        <w:t xml:space="preserve"> 6,441 / 10,087 = </w:t>
      </w:r>
      <w:r w:rsidR="00C44D4D" w:rsidRPr="008F4C8C">
        <w:rPr>
          <w:rFonts w:ascii="Arial" w:hAnsi="Arial" w:cs="Arial"/>
          <w:sz w:val="24"/>
          <w:szCs w:val="24"/>
          <w:lang w:val="en-US"/>
        </w:rPr>
        <w:t>0.64</w:t>
      </w: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Stock holding days</w:t>
      </w:r>
    </w:p>
    <w:p w:rsidR="00347AE9" w:rsidRPr="008F4C8C" w:rsidRDefault="0003732F" w:rsidP="008F4C8C">
      <w:pPr>
        <w:spacing w:line="360" w:lineRule="auto"/>
        <w:jc w:val="both"/>
        <w:rPr>
          <w:rFonts w:ascii="Arial" w:hAnsi="Arial" w:cs="Arial"/>
          <w:b/>
          <w:sz w:val="24"/>
          <w:szCs w:val="24"/>
          <w:lang w:val="en-US"/>
        </w:rPr>
      </w:pPr>
      <w:r w:rsidRPr="008F4C8C">
        <w:rPr>
          <w:rFonts w:ascii="Arial" w:hAnsi="Arial" w:cs="Arial"/>
          <w:b/>
          <w:sz w:val="24"/>
          <w:szCs w:val="24"/>
          <w:lang w:val="en-US"/>
        </w:rPr>
        <w:t xml:space="preserve">Stock holding days </w:t>
      </w:r>
      <w:r w:rsidR="00347AE9" w:rsidRPr="008F4C8C">
        <w:rPr>
          <w:rFonts w:ascii="Arial" w:hAnsi="Arial" w:cs="Arial"/>
          <w:b/>
          <w:sz w:val="24"/>
          <w:szCs w:val="24"/>
          <w:lang w:val="en-US"/>
        </w:rPr>
        <w:t>= (Average Inventory / Cost of goods sold)×365</w:t>
      </w:r>
    </w:p>
    <w:p w:rsidR="007E02CE" w:rsidRPr="008F4C8C" w:rsidRDefault="007E02CE" w:rsidP="008F4C8C">
      <w:pPr>
        <w:spacing w:line="360" w:lineRule="auto"/>
        <w:jc w:val="both"/>
        <w:rPr>
          <w:rFonts w:ascii="Arial" w:hAnsi="Arial" w:cs="Arial"/>
          <w:sz w:val="24"/>
          <w:szCs w:val="24"/>
          <w:lang w:val="en-US"/>
        </w:rPr>
      </w:pPr>
      <w:r w:rsidRPr="008F4C8C">
        <w:rPr>
          <w:rFonts w:ascii="Arial" w:hAnsi="Arial" w:cs="Arial"/>
          <w:sz w:val="24"/>
          <w:szCs w:val="24"/>
          <w:lang w:val="en-US"/>
        </w:rPr>
        <w:t>Stock holding days 2021 = 708 / 3235×365 =</w:t>
      </w:r>
      <w:r w:rsidR="00C44D4D" w:rsidRPr="008F4C8C">
        <w:rPr>
          <w:rFonts w:ascii="Arial" w:hAnsi="Arial" w:cs="Arial"/>
          <w:sz w:val="24"/>
          <w:szCs w:val="24"/>
          <w:lang w:val="en-US"/>
        </w:rPr>
        <w:t xml:space="preserve"> 80</w:t>
      </w:r>
    </w:p>
    <w:p w:rsidR="007E02CE" w:rsidRPr="008F4C8C" w:rsidRDefault="007E02CE" w:rsidP="008F4C8C">
      <w:pPr>
        <w:spacing w:line="360" w:lineRule="auto"/>
        <w:jc w:val="both"/>
        <w:rPr>
          <w:rFonts w:ascii="Arial" w:hAnsi="Arial" w:cs="Arial"/>
          <w:sz w:val="24"/>
          <w:szCs w:val="24"/>
          <w:lang w:val="en-US"/>
        </w:rPr>
      </w:pPr>
      <w:r w:rsidRPr="008F4C8C">
        <w:rPr>
          <w:rFonts w:ascii="Arial" w:hAnsi="Arial" w:cs="Arial"/>
          <w:sz w:val="24"/>
          <w:szCs w:val="24"/>
          <w:lang w:val="en-US"/>
        </w:rPr>
        <w:t>Stock holding days 2020 = 659 / 3096×365 =</w:t>
      </w:r>
      <w:r w:rsidR="00C44D4D" w:rsidRPr="008F4C8C">
        <w:rPr>
          <w:rFonts w:ascii="Arial" w:hAnsi="Arial" w:cs="Arial"/>
          <w:sz w:val="24"/>
          <w:szCs w:val="24"/>
          <w:lang w:val="en-US"/>
        </w:rPr>
        <w:t>77</w:t>
      </w:r>
    </w:p>
    <w:p w:rsidR="007E02CE" w:rsidRPr="008F4C8C" w:rsidRDefault="007E02CE" w:rsidP="008F4C8C">
      <w:pPr>
        <w:spacing w:line="360" w:lineRule="auto"/>
        <w:jc w:val="both"/>
        <w:rPr>
          <w:rFonts w:ascii="Arial" w:hAnsi="Arial" w:cs="Arial"/>
          <w:b/>
          <w:sz w:val="24"/>
          <w:szCs w:val="24"/>
          <w:lang w:val="en-US"/>
        </w:rPr>
      </w:pPr>
    </w:p>
    <w:p w:rsidR="00F97F38" w:rsidRPr="008F4C8C" w:rsidRDefault="00F97F38" w:rsidP="008F4C8C">
      <w:pPr>
        <w:pStyle w:val="ListParagraph"/>
        <w:numPr>
          <w:ilvl w:val="0"/>
          <w:numId w:val="1"/>
        </w:numPr>
        <w:spacing w:line="360" w:lineRule="auto"/>
        <w:jc w:val="both"/>
        <w:rPr>
          <w:rFonts w:ascii="Arial" w:hAnsi="Arial" w:cs="Arial"/>
          <w:b/>
          <w:sz w:val="24"/>
          <w:szCs w:val="24"/>
          <w:lang w:val="en-US"/>
        </w:rPr>
      </w:pPr>
      <w:r w:rsidRPr="008F4C8C">
        <w:rPr>
          <w:rFonts w:ascii="Arial" w:hAnsi="Arial" w:cs="Arial"/>
          <w:b/>
          <w:sz w:val="24"/>
          <w:szCs w:val="24"/>
          <w:lang w:val="en-US"/>
        </w:rPr>
        <w:t>Debtors collection period</w:t>
      </w:r>
    </w:p>
    <w:p w:rsidR="00347AE9" w:rsidRPr="008F4C8C" w:rsidRDefault="000012B5" w:rsidP="008F4C8C">
      <w:pPr>
        <w:spacing w:line="360" w:lineRule="auto"/>
        <w:jc w:val="both"/>
        <w:rPr>
          <w:rFonts w:ascii="Arial" w:hAnsi="Arial" w:cs="Arial"/>
          <w:sz w:val="24"/>
          <w:szCs w:val="24"/>
          <w:lang w:val="en-US"/>
        </w:rPr>
      </w:pPr>
      <w:r w:rsidRPr="008F4C8C">
        <w:rPr>
          <w:rFonts w:ascii="Arial" w:hAnsi="Arial" w:cs="Arial"/>
          <w:sz w:val="24"/>
          <w:szCs w:val="24"/>
          <w:lang w:val="en-US"/>
        </w:rPr>
        <w:t>Debtors collection period</w:t>
      </w:r>
      <w:r w:rsidR="00347AE9" w:rsidRPr="008F4C8C">
        <w:rPr>
          <w:rFonts w:ascii="Arial" w:hAnsi="Arial" w:cs="Arial"/>
          <w:sz w:val="24"/>
          <w:szCs w:val="24"/>
          <w:lang w:val="en-US"/>
        </w:rPr>
        <w:t xml:space="preserve">= (trade </w:t>
      </w:r>
      <w:r w:rsidRPr="008F4C8C">
        <w:rPr>
          <w:rFonts w:ascii="Arial" w:hAnsi="Arial" w:cs="Arial"/>
          <w:sz w:val="24"/>
          <w:szCs w:val="24"/>
          <w:lang w:val="en-US"/>
        </w:rPr>
        <w:t>receivables</w:t>
      </w:r>
      <w:r w:rsidR="00347AE9" w:rsidRPr="008F4C8C">
        <w:rPr>
          <w:rFonts w:ascii="Arial" w:hAnsi="Arial" w:cs="Arial"/>
          <w:sz w:val="24"/>
          <w:szCs w:val="24"/>
          <w:lang w:val="en-US"/>
        </w:rPr>
        <w:t>/cost of sales) * 365 days (or a different period of time such as financial year)</w:t>
      </w:r>
    </w:p>
    <w:p w:rsidR="00347AE9" w:rsidRPr="008F4C8C" w:rsidRDefault="0072464F" w:rsidP="008F4C8C">
      <w:pPr>
        <w:spacing w:line="360" w:lineRule="auto"/>
        <w:jc w:val="both"/>
        <w:rPr>
          <w:rFonts w:ascii="Arial" w:hAnsi="Arial" w:cs="Arial"/>
          <w:sz w:val="24"/>
          <w:szCs w:val="24"/>
          <w:lang w:val="en-US"/>
        </w:rPr>
      </w:pPr>
      <w:r w:rsidRPr="008F4C8C">
        <w:rPr>
          <w:rFonts w:ascii="Arial" w:hAnsi="Arial" w:cs="Arial"/>
          <w:sz w:val="24"/>
          <w:szCs w:val="24"/>
          <w:lang w:val="en-US"/>
        </w:rPr>
        <w:t>Debtors collection period 2021=</w:t>
      </w:r>
      <w:r w:rsidR="00276672" w:rsidRPr="008F4C8C">
        <w:rPr>
          <w:rFonts w:ascii="Arial" w:hAnsi="Arial" w:cs="Arial"/>
          <w:sz w:val="24"/>
          <w:szCs w:val="24"/>
        </w:rPr>
        <w:t xml:space="preserve"> </w:t>
      </w:r>
      <w:r w:rsidR="00276672" w:rsidRPr="008F4C8C">
        <w:rPr>
          <w:rFonts w:ascii="Arial" w:hAnsi="Arial" w:cs="Arial"/>
          <w:sz w:val="24"/>
          <w:szCs w:val="24"/>
          <w:lang w:val="en-US"/>
        </w:rPr>
        <w:t>1,249 / 3235 * 365</w:t>
      </w:r>
      <w:r w:rsidR="00E14038" w:rsidRPr="008F4C8C">
        <w:rPr>
          <w:rFonts w:ascii="Arial" w:hAnsi="Arial" w:cs="Arial"/>
          <w:sz w:val="24"/>
          <w:szCs w:val="24"/>
          <w:lang w:val="en-US"/>
        </w:rPr>
        <w:t xml:space="preserve"> =</w:t>
      </w:r>
      <w:r w:rsidR="00845555" w:rsidRPr="008F4C8C">
        <w:rPr>
          <w:rFonts w:ascii="Arial" w:hAnsi="Arial" w:cs="Arial"/>
          <w:sz w:val="24"/>
          <w:szCs w:val="24"/>
          <w:lang w:val="en-US"/>
        </w:rPr>
        <w:t xml:space="preserve"> 140</w:t>
      </w:r>
    </w:p>
    <w:p w:rsidR="0072464F" w:rsidRPr="008F4C8C" w:rsidRDefault="0072464F" w:rsidP="008F4C8C">
      <w:pPr>
        <w:spacing w:line="360" w:lineRule="auto"/>
        <w:jc w:val="both"/>
        <w:rPr>
          <w:rFonts w:ascii="Arial" w:hAnsi="Arial" w:cs="Arial"/>
          <w:sz w:val="24"/>
          <w:szCs w:val="24"/>
          <w:lang w:val="en-US"/>
        </w:rPr>
      </w:pPr>
      <w:r w:rsidRPr="008F4C8C">
        <w:rPr>
          <w:rFonts w:ascii="Arial" w:hAnsi="Arial" w:cs="Arial"/>
          <w:sz w:val="24"/>
          <w:szCs w:val="24"/>
          <w:lang w:val="en-US"/>
        </w:rPr>
        <w:t>Debtors collection period 2020=</w:t>
      </w:r>
      <w:r w:rsidR="00276672" w:rsidRPr="008F4C8C">
        <w:rPr>
          <w:rFonts w:ascii="Arial" w:hAnsi="Arial" w:cs="Arial"/>
          <w:sz w:val="24"/>
          <w:szCs w:val="24"/>
        </w:rPr>
        <w:t xml:space="preserve"> </w:t>
      </w:r>
      <w:r w:rsidR="00276672" w:rsidRPr="008F4C8C">
        <w:rPr>
          <w:rFonts w:ascii="Arial" w:hAnsi="Arial" w:cs="Arial"/>
          <w:sz w:val="24"/>
          <w:szCs w:val="24"/>
          <w:lang w:val="en-US"/>
        </w:rPr>
        <w:t>1,287 / 3096 * 365</w:t>
      </w:r>
      <w:r w:rsidR="00E14038" w:rsidRPr="008F4C8C">
        <w:rPr>
          <w:rFonts w:ascii="Arial" w:hAnsi="Arial" w:cs="Arial"/>
          <w:sz w:val="24"/>
          <w:szCs w:val="24"/>
          <w:lang w:val="en-US"/>
        </w:rPr>
        <w:t xml:space="preserve"> =</w:t>
      </w:r>
      <w:r w:rsidR="00845555" w:rsidRPr="008F4C8C">
        <w:rPr>
          <w:rFonts w:ascii="Arial" w:hAnsi="Arial" w:cs="Arial"/>
          <w:sz w:val="24"/>
          <w:szCs w:val="24"/>
          <w:lang w:val="en-US"/>
        </w:rPr>
        <w:t xml:space="preserve"> 15</w:t>
      </w:r>
      <w:r w:rsidR="00443097" w:rsidRPr="008F4C8C">
        <w:rPr>
          <w:rFonts w:ascii="Arial" w:hAnsi="Arial" w:cs="Arial"/>
          <w:sz w:val="24"/>
          <w:szCs w:val="24"/>
          <w:lang w:val="en-US"/>
        </w:rPr>
        <w:t>1</w:t>
      </w:r>
    </w:p>
    <w:p w:rsidR="00347AE9" w:rsidRPr="008F4C8C" w:rsidRDefault="00347AE9" w:rsidP="008F4C8C">
      <w:pPr>
        <w:spacing w:line="360" w:lineRule="auto"/>
        <w:jc w:val="both"/>
        <w:rPr>
          <w:rFonts w:ascii="Arial" w:hAnsi="Arial" w:cs="Arial"/>
          <w:sz w:val="24"/>
          <w:szCs w:val="24"/>
          <w:lang w:val="en-US"/>
        </w:rPr>
      </w:pPr>
      <w:r w:rsidRPr="008F4C8C">
        <w:rPr>
          <w:rFonts w:ascii="Arial" w:hAnsi="Arial" w:cs="Arial"/>
          <w:sz w:val="24"/>
          <w:szCs w:val="24"/>
          <w:lang w:val="en-US"/>
        </w:rPr>
        <w:t>The debtor collection period ratio is calculated by dividing the amount owed by trade debtors by the annual sales on credit and multiplying by 365</w:t>
      </w:r>
    </w:p>
    <w:p w:rsidR="00F97F38" w:rsidRPr="008F4C8C" w:rsidRDefault="00F97F38" w:rsidP="008F4C8C">
      <w:pPr>
        <w:spacing w:line="360" w:lineRule="auto"/>
        <w:jc w:val="both"/>
        <w:rPr>
          <w:rFonts w:ascii="Arial" w:hAnsi="Arial" w:cs="Arial"/>
          <w:b/>
          <w:sz w:val="24"/>
          <w:szCs w:val="24"/>
          <w:lang w:val="en-US"/>
        </w:rPr>
      </w:pPr>
      <w:r w:rsidRPr="008F4C8C">
        <w:rPr>
          <w:rFonts w:ascii="Arial" w:hAnsi="Arial" w:cs="Arial"/>
          <w:b/>
          <w:sz w:val="24"/>
          <w:szCs w:val="24"/>
          <w:lang w:val="en-US"/>
        </w:rPr>
        <w:t>8- Current ratio</w:t>
      </w:r>
    </w:p>
    <w:p w:rsidR="008A78FD" w:rsidRPr="008F4C8C" w:rsidRDefault="008A78FD" w:rsidP="008F4C8C">
      <w:pPr>
        <w:spacing w:line="360" w:lineRule="auto"/>
        <w:jc w:val="both"/>
        <w:rPr>
          <w:rFonts w:ascii="Arial" w:hAnsi="Arial" w:cs="Arial"/>
          <w:sz w:val="24"/>
          <w:szCs w:val="24"/>
          <w:lang w:val="en-US"/>
        </w:rPr>
      </w:pPr>
      <w:r w:rsidRPr="008F4C8C">
        <w:rPr>
          <w:rFonts w:ascii="Arial" w:hAnsi="Arial" w:cs="Arial"/>
          <w:sz w:val="24"/>
          <w:szCs w:val="24"/>
          <w:lang w:val="en-US"/>
        </w:rPr>
        <w:t>Current Ratio = Current assets ÷ Current liabilities</w:t>
      </w:r>
    </w:p>
    <w:p w:rsidR="00C91370" w:rsidRPr="008F4C8C" w:rsidRDefault="00C91370" w:rsidP="008F4C8C">
      <w:pPr>
        <w:spacing w:line="360" w:lineRule="auto"/>
        <w:jc w:val="both"/>
        <w:rPr>
          <w:rFonts w:ascii="Arial" w:hAnsi="Arial" w:cs="Arial"/>
          <w:sz w:val="24"/>
          <w:szCs w:val="24"/>
          <w:lang w:val="en-US"/>
        </w:rPr>
      </w:pPr>
      <w:r w:rsidRPr="008F4C8C">
        <w:rPr>
          <w:rFonts w:ascii="Arial" w:hAnsi="Arial" w:cs="Arial"/>
          <w:sz w:val="24"/>
          <w:szCs w:val="24"/>
          <w:lang w:val="en-US"/>
        </w:rPr>
        <w:t>Current Ratio 2021 =</w:t>
      </w:r>
      <w:r w:rsidR="00AE6A1F" w:rsidRPr="008F4C8C">
        <w:rPr>
          <w:rFonts w:ascii="Arial" w:hAnsi="Arial" w:cs="Arial"/>
          <w:sz w:val="24"/>
          <w:szCs w:val="24"/>
          <w:lang w:val="en-US"/>
        </w:rPr>
        <w:t xml:space="preserve"> 2,303 / 2,511 =</w:t>
      </w:r>
      <w:r w:rsidR="00443097" w:rsidRPr="008F4C8C">
        <w:rPr>
          <w:rFonts w:ascii="Arial" w:hAnsi="Arial" w:cs="Arial"/>
          <w:sz w:val="24"/>
          <w:szCs w:val="24"/>
          <w:lang w:val="en-US"/>
        </w:rPr>
        <w:t xml:space="preserve"> 0.91</w:t>
      </w:r>
    </w:p>
    <w:p w:rsidR="00C91370" w:rsidRPr="008F4C8C" w:rsidRDefault="00C91370" w:rsidP="008F4C8C">
      <w:pPr>
        <w:spacing w:line="360" w:lineRule="auto"/>
        <w:jc w:val="both"/>
        <w:rPr>
          <w:rFonts w:ascii="Arial" w:hAnsi="Arial" w:cs="Arial"/>
          <w:sz w:val="24"/>
          <w:szCs w:val="24"/>
          <w:lang w:val="en-US"/>
        </w:rPr>
      </w:pPr>
      <w:r w:rsidRPr="008F4C8C">
        <w:rPr>
          <w:rFonts w:ascii="Arial" w:hAnsi="Arial" w:cs="Arial"/>
          <w:sz w:val="24"/>
          <w:szCs w:val="24"/>
          <w:lang w:val="en-US"/>
        </w:rPr>
        <w:t>Current Ratio 2020 =</w:t>
      </w:r>
      <w:r w:rsidR="00AE6A1F" w:rsidRPr="008F4C8C">
        <w:rPr>
          <w:rFonts w:ascii="Arial" w:hAnsi="Arial" w:cs="Arial"/>
          <w:sz w:val="24"/>
          <w:szCs w:val="24"/>
        </w:rPr>
        <w:t xml:space="preserve"> </w:t>
      </w:r>
      <w:r w:rsidR="00AE6A1F" w:rsidRPr="008F4C8C">
        <w:rPr>
          <w:rFonts w:ascii="Arial" w:hAnsi="Arial" w:cs="Arial"/>
          <w:sz w:val="24"/>
          <w:szCs w:val="24"/>
          <w:lang w:val="en-US"/>
        </w:rPr>
        <w:t xml:space="preserve">2,355 / 3,046 = </w:t>
      </w:r>
      <w:r w:rsidR="00443097" w:rsidRPr="008F4C8C">
        <w:rPr>
          <w:rFonts w:ascii="Arial" w:hAnsi="Arial" w:cs="Arial"/>
          <w:sz w:val="24"/>
          <w:szCs w:val="24"/>
          <w:lang w:val="en-US"/>
        </w:rPr>
        <w:t>0.77</w:t>
      </w:r>
    </w:p>
    <w:p w:rsidR="00C91370" w:rsidRPr="008F4C8C" w:rsidRDefault="00C91370" w:rsidP="008F4C8C">
      <w:pPr>
        <w:spacing w:line="360" w:lineRule="auto"/>
        <w:jc w:val="both"/>
        <w:rPr>
          <w:rFonts w:ascii="Arial" w:hAnsi="Arial" w:cs="Arial"/>
          <w:b/>
          <w:sz w:val="24"/>
          <w:szCs w:val="24"/>
          <w:lang w:val="en-US"/>
        </w:rPr>
      </w:pPr>
    </w:p>
    <w:p w:rsidR="008A78FD" w:rsidRPr="008F4C8C" w:rsidRDefault="00F97F38" w:rsidP="008F4C8C">
      <w:pPr>
        <w:spacing w:line="360" w:lineRule="auto"/>
        <w:jc w:val="both"/>
        <w:rPr>
          <w:rFonts w:ascii="Arial" w:hAnsi="Arial" w:cs="Arial"/>
          <w:b/>
          <w:sz w:val="24"/>
          <w:szCs w:val="24"/>
          <w:lang w:val="en-US"/>
        </w:rPr>
      </w:pPr>
      <w:r w:rsidRPr="008F4C8C">
        <w:rPr>
          <w:rFonts w:ascii="Arial" w:hAnsi="Arial" w:cs="Arial"/>
          <w:b/>
          <w:sz w:val="24"/>
          <w:szCs w:val="24"/>
          <w:lang w:val="en-US"/>
        </w:rPr>
        <w:t>9- Gearing ratio</w:t>
      </w:r>
    </w:p>
    <w:p w:rsidR="008A78FD" w:rsidRPr="008F4C8C" w:rsidRDefault="008A78FD" w:rsidP="008F4C8C">
      <w:pPr>
        <w:spacing w:line="360" w:lineRule="auto"/>
        <w:jc w:val="both"/>
        <w:rPr>
          <w:rFonts w:ascii="Arial" w:hAnsi="Arial" w:cs="Arial"/>
          <w:sz w:val="24"/>
          <w:szCs w:val="24"/>
          <w:lang w:val="en-US"/>
        </w:rPr>
      </w:pPr>
      <w:r w:rsidRPr="008F4C8C">
        <w:rPr>
          <w:rFonts w:ascii="Arial" w:hAnsi="Arial" w:cs="Arial"/>
          <w:sz w:val="24"/>
          <w:szCs w:val="24"/>
          <w:lang w:val="en-US"/>
        </w:rPr>
        <w:t>Gearing Ratio =</w:t>
      </w:r>
      <w:r w:rsidRPr="008F4C8C">
        <w:rPr>
          <w:rFonts w:ascii="Arial" w:hAnsi="Arial" w:cs="Arial"/>
          <w:sz w:val="24"/>
          <w:szCs w:val="24"/>
          <w:lang w:val="en-US"/>
        </w:rPr>
        <w:tab/>
        <w:t>D/E</w:t>
      </w:r>
    </w:p>
    <w:p w:rsidR="00390BCE" w:rsidRPr="008F4C8C" w:rsidRDefault="00390BCE" w:rsidP="008F4C8C">
      <w:pPr>
        <w:spacing w:line="360" w:lineRule="auto"/>
        <w:jc w:val="both"/>
        <w:rPr>
          <w:rFonts w:ascii="Arial" w:hAnsi="Arial" w:cs="Arial"/>
          <w:sz w:val="24"/>
          <w:szCs w:val="24"/>
          <w:lang w:val="en-US"/>
        </w:rPr>
      </w:pPr>
      <w:r w:rsidRPr="008F4C8C">
        <w:rPr>
          <w:rFonts w:ascii="Arial" w:hAnsi="Arial" w:cs="Arial"/>
          <w:sz w:val="24"/>
          <w:szCs w:val="24"/>
          <w:lang w:val="en-US"/>
        </w:rPr>
        <w:t xml:space="preserve">Gearing Ratio 2020 = </w:t>
      </w:r>
      <w:r w:rsidR="00867F1E" w:rsidRPr="008F4C8C">
        <w:rPr>
          <w:rFonts w:ascii="Arial" w:hAnsi="Arial" w:cs="Arial"/>
          <w:sz w:val="24"/>
          <w:szCs w:val="24"/>
          <w:lang w:val="en-US"/>
        </w:rPr>
        <w:t xml:space="preserve">2,912 / 10,087 = </w:t>
      </w:r>
      <w:r w:rsidR="00443097" w:rsidRPr="008F4C8C">
        <w:rPr>
          <w:rFonts w:ascii="Arial" w:hAnsi="Arial" w:cs="Arial"/>
          <w:sz w:val="24"/>
          <w:szCs w:val="24"/>
          <w:lang w:val="en-US"/>
        </w:rPr>
        <w:t>0.29</w:t>
      </w:r>
    </w:p>
    <w:p w:rsidR="00390BCE" w:rsidRPr="008F4C8C" w:rsidRDefault="00390BCE" w:rsidP="008F4C8C">
      <w:pPr>
        <w:spacing w:line="360" w:lineRule="auto"/>
        <w:jc w:val="both"/>
        <w:rPr>
          <w:rFonts w:ascii="Arial" w:hAnsi="Arial" w:cs="Arial"/>
          <w:sz w:val="24"/>
          <w:szCs w:val="24"/>
          <w:lang w:val="en-US"/>
        </w:rPr>
      </w:pPr>
      <w:r w:rsidRPr="008F4C8C">
        <w:rPr>
          <w:rFonts w:ascii="Arial" w:hAnsi="Arial" w:cs="Arial"/>
          <w:sz w:val="24"/>
          <w:szCs w:val="24"/>
          <w:lang w:val="en-US"/>
        </w:rPr>
        <w:t>Gearing Ratio 2021 =</w:t>
      </w:r>
      <w:r w:rsidR="00867F1E" w:rsidRPr="008F4C8C">
        <w:rPr>
          <w:rFonts w:ascii="Arial" w:hAnsi="Arial" w:cs="Arial"/>
          <w:sz w:val="24"/>
          <w:szCs w:val="24"/>
        </w:rPr>
        <w:t xml:space="preserve"> </w:t>
      </w:r>
      <w:r w:rsidR="00867F1E" w:rsidRPr="008F4C8C">
        <w:rPr>
          <w:rFonts w:ascii="Arial" w:hAnsi="Arial" w:cs="Arial"/>
          <w:sz w:val="24"/>
          <w:szCs w:val="24"/>
          <w:lang w:val="en-US"/>
        </w:rPr>
        <w:t xml:space="preserve">3,088 / 9,736 = </w:t>
      </w:r>
      <w:r w:rsidR="00443097" w:rsidRPr="008F4C8C">
        <w:rPr>
          <w:rFonts w:ascii="Arial" w:hAnsi="Arial" w:cs="Arial"/>
          <w:sz w:val="24"/>
          <w:szCs w:val="24"/>
          <w:lang w:val="en-US"/>
        </w:rPr>
        <w:t>0.32</w:t>
      </w:r>
    </w:p>
    <w:p w:rsidR="008A78FD" w:rsidRPr="008F4C8C" w:rsidRDefault="008A78FD" w:rsidP="008F4C8C">
      <w:pPr>
        <w:spacing w:line="360" w:lineRule="auto"/>
        <w:jc w:val="both"/>
        <w:rPr>
          <w:rFonts w:ascii="Arial" w:hAnsi="Arial" w:cs="Arial"/>
          <w:sz w:val="24"/>
          <w:szCs w:val="24"/>
          <w:lang w:val="en-US"/>
        </w:rPr>
      </w:pPr>
      <w:r w:rsidRPr="008F4C8C">
        <w:rPr>
          <w:rFonts w:ascii="Arial" w:hAnsi="Arial" w:cs="Arial"/>
          <w:sz w:val="24"/>
          <w:szCs w:val="24"/>
          <w:lang w:val="en-US"/>
        </w:rPr>
        <w:t>The gearing ratio calculated by dividing total debt by total capital (which equals total debt plus shareholders equity)</w:t>
      </w:r>
    </w:p>
    <w:p w:rsidR="00F21BC4" w:rsidRDefault="00F21BC4" w:rsidP="008F4C8C">
      <w:pPr>
        <w:spacing w:line="360" w:lineRule="auto"/>
        <w:jc w:val="both"/>
        <w:rPr>
          <w:rFonts w:ascii="Arial" w:hAnsi="Arial" w:cs="Arial"/>
          <w:sz w:val="24"/>
          <w:szCs w:val="24"/>
        </w:rPr>
      </w:pPr>
      <w:r w:rsidRPr="00F21BC4">
        <w:rPr>
          <w:rFonts w:ascii="Arial" w:hAnsi="Arial" w:cs="Arial"/>
          <w:sz w:val="24"/>
          <w:szCs w:val="24"/>
          <w:lang w:val="en-US"/>
        </w:rPr>
        <w:t>Where D is the total debt, which includes both long- and short-term debt that is interest-bearing and includes things like bonds, bank loans, etc. It also consists of other interest-bearing responsibilities, such as lease liabilities and pension liabilities. Existing shareholders, extra paid capital, retained earnings, irredeemable preferred stock, etc. are all included in what is referred to as shares outstanding (abbreviated E).</w:t>
      </w:r>
    </w:p>
    <w:p w:rsidR="003D0D6A" w:rsidRPr="008F4C8C" w:rsidRDefault="00F97F38" w:rsidP="008F4C8C">
      <w:pPr>
        <w:spacing w:line="360" w:lineRule="auto"/>
        <w:jc w:val="both"/>
        <w:rPr>
          <w:rFonts w:ascii="Arial" w:hAnsi="Arial" w:cs="Arial"/>
          <w:b/>
          <w:sz w:val="24"/>
          <w:szCs w:val="24"/>
          <w:lang w:val="en-US"/>
        </w:rPr>
      </w:pPr>
      <w:r w:rsidRPr="008F4C8C">
        <w:rPr>
          <w:rFonts w:ascii="Arial" w:hAnsi="Arial" w:cs="Arial"/>
          <w:b/>
          <w:sz w:val="24"/>
          <w:szCs w:val="24"/>
          <w:lang w:val="en-US"/>
        </w:rPr>
        <w:t>10- Interest cover</w:t>
      </w:r>
    </w:p>
    <w:p w:rsidR="008A78FD" w:rsidRPr="008F4C8C" w:rsidRDefault="008A78FD" w:rsidP="008F4C8C">
      <w:pPr>
        <w:spacing w:line="360" w:lineRule="auto"/>
        <w:jc w:val="both"/>
        <w:rPr>
          <w:rFonts w:ascii="Arial" w:hAnsi="Arial" w:cs="Arial"/>
          <w:b/>
          <w:sz w:val="24"/>
          <w:szCs w:val="24"/>
          <w:lang w:val="en-US"/>
        </w:rPr>
      </w:pPr>
      <w:r w:rsidRPr="008F4C8C">
        <w:rPr>
          <w:rFonts w:ascii="Arial" w:hAnsi="Arial" w:cs="Arial"/>
          <w:b/>
          <w:sz w:val="24"/>
          <w:szCs w:val="24"/>
          <w:lang w:val="en-US"/>
        </w:rPr>
        <w:t>Interest cover = Operating profit ÷ Interest payable</w:t>
      </w:r>
    </w:p>
    <w:p w:rsidR="00F97F38" w:rsidRPr="008F4C8C" w:rsidRDefault="006A4AB6" w:rsidP="008F4C8C">
      <w:pPr>
        <w:spacing w:line="360" w:lineRule="auto"/>
        <w:jc w:val="both"/>
        <w:rPr>
          <w:rFonts w:ascii="Arial" w:hAnsi="Arial" w:cs="Arial"/>
          <w:sz w:val="24"/>
          <w:szCs w:val="24"/>
          <w:lang w:val="en-US"/>
        </w:rPr>
      </w:pPr>
      <w:r w:rsidRPr="008F4C8C">
        <w:rPr>
          <w:rFonts w:ascii="Arial" w:hAnsi="Arial" w:cs="Arial"/>
          <w:sz w:val="24"/>
          <w:szCs w:val="24"/>
          <w:lang w:val="en-US"/>
        </w:rPr>
        <w:t>Interest cover 2021= 805 / 226 =</w:t>
      </w:r>
      <w:r w:rsidR="00443097" w:rsidRPr="008F4C8C">
        <w:rPr>
          <w:rFonts w:ascii="Arial" w:hAnsi="Arial" w:cs="Arial"/>
          <w:sz w:val="24"/>
          <w:szCs w:val="24"/>
          <w:lang w:val="en-US"/>
        </w:rPr>
        <w:t xml:space="preserve"> 3.56</w:t>
      </w:r>
    </w:p>
    <w:p w:rsidR="00F97F38" w:rsidRPr="008F4C8C" w:rsidRDefault="006A4AB6" w:rsidP="008F4C8C">
      <w:pPr>
        <w:spacing w:line="360" w:lineRule="auto"/>
        <w:jc w:val="both"/>
        <w:rPr>
          <w:rFonts w:ascii="Arial" w:hAnsi="Arial" w:cs="Arial"/>
          <w:sz w:val="24"/>
          <w:szCs w:val="24"/>
          <w:lang w:val="en-US"/>
        </w:rPr>
      </w:pPr>
      <w:r w:rsidRPr="008F4C8C">
        <w:rPr>
          <w:rFonts w:ascii="Arial" w:hAnsi="Arial" w:cs="Arial"/>
          <w:sz w:val="24"/>
          <w:szCs w:val="24"/>
          <w:lang w:val="en-US"/>
        </w:rPr>
        <w:t xml:space="preserve">Interest cover 2020= 699 / 181 = </w:t>
      </w:r>
      <w:r w:rsidR="00443097" w:rsidRPr="008F4C8C">
        <w:rPr>
          <w:rFonts w:ascii="Arial" w:hAnsi="Arial" w:cs="Arial"/>
          <w:sz w:val="24"/>
          <w:szCs w:val="24"/>
          <w:lang w:val="en-US"/>
        </w:rPr>
        <w:t>3.86</w:t>
      </w:r>
    </w:p>
    <w:p w:rsidR="000320DE" w:rsidRPr="008F4C8C" w:rsidRDefault="000320DE" w:rsidP="008F4C8C">
      <w:pPr>
        <w:pStyle w:val="Heading2"/>
        <w:spacing w:line="360" w:lineRule="auto"/>
        <w:jc w:val="both"/>
        <w:rPr>
          <w:rFonts w:ascii="Arial" w:hAnsi="Arial" w:cs="Arial"/>
          <w:sz w:val="24"/>
          <w:szCs w:val="24"/>
          <w:lang w:val="en-US"/>
        </w:rPr>
      </w:pPr>
    </w:p>
    <w:p w:rsidR="00F97F38" w:rsidRPr="008F4C8C" w:rsidRDefault="00F97F38" w:rsidP="008F4C8C">
      <w:pPr>
        <w:pStyle w:val="Heading2"/>
        <w:spacing w:line="360" w:lineRule="auto"/>
        <w:jc w:val="both"/>
        <w:rPr>
          <w:rFonts w:ascii="Arial" w:hAnsi="Arial" w:cs="Arial"/>
          <w:sz w:val="24"/>
          <w:szCs w:val="24"/>
          <w:lang w:val="en-US"/>
        </w:rPr>
      </w:pPr>
      <w:bookmarkStart w:id="6" w:name="_Toc112500228"/>
      <w:r w:rsidRPr="008F4C8C">
        <w:rPr>
          <w:rFonts w:ascii="Arial" w:hAnsi="Arial" w:cs="Arial"/>
          <w:sz w:val="24"/>
          <w:szCs w:val="24"/>
          <w:lang w:val="en-US"/>
        </w:rPr>
        <w:t>Using the information in the financial statements and the ratios you have calculated, comment on the financial performance and position of Sweets plc.</w:t>
      </w:r>
      <w:bookmarkEnd w:id="6"/>
    </w:p>
    <w:p w:rsidR="003F2CAB" w:rsidRPr="008F4C8C" w:rsidRDefault="003F2CAB" w:rsidP="008F4C8C">
      <w:pPr>
        <w:spacing w:line="360" w:lineRule="auto"/>
        <w:jc w:val="both"/>
        <w:rPr>
          <w:rFonts w:ascii="Arial" w:hAnsi="Arial" w:cs="Arial"/>
          <w:sz w:val="24"/>
          <w:szCs w:val="24"/>
          <w:lang w:val="en-US"/>
        </w:rPr>
      </w:pPr>
    </w:p>
    <w:p w:rsidR="003F2CAB" w:rsidRPr="008F4C8C" w:rsidRDefault="003F2CAB" w:rsidP="008F4C8C">
      <w:pPr>
        <w:spacing w:line="360" w:lineRule="auto"/>
        <w:jc w:val="both"/>
        <w:rPr>
          <w:rFonts w:ascii="Arial" w:hAnsi="Arial" w:cs="Arial"/>
          <w:sz w:val="24"/>
          <w:szCs w:val="24"/>
          <w:lang w:val="en-US"/>
        </w:rPr>
      </w:pPr>
    </w:p>
    <w:p w:rsidR="00F21BC4" w:rsidRPr="00F21BC4" w:rsidRDefault="00F21BC4" w:rsidP="00F21BC4">
      <w:pPr>
        <w:spacing w:line="360" w:lineRule="auto"/>
        <w:jc w:val="both"/>
        <w:rPr>
          <w:rFonts w:ascii="Arial" w:hAnsi="Arial" w:cs="Arial"/>
          <w:sz w:val="24"/>
          <w:szCs w:val="24"/>
          <w:lang w:val="en-US"/>
        </w:rPr>
      </w:pPr>
      <w:r w:rsidRPr="00F21BC4">
        <w:rPr>
          <w:rFonts w:ascii="Arial" w:hAnsi="Arial" w:cs="Arial"/>
          <w:sz w:val="24"/>
          <w:szCs w:val="24"/>
          <w:lang w:val="en-US"/>
        </w:rPr>
        <w:t>As we can see, Sweets Plc's ROCE performance for 2021 was 0.18 and for 2020 was 0.15, which indicates that the company is underperforming. Because ROCE is correlated with profit, the higher it is, the better the results for the company. Companies with ROCE values over 20 typically perform well and produce positive results.</w:t>
      </w:r>
    </w:p>
    <w:p w:rsidR="00F21BC4" w:rsidRPr="00F21BC4" w:rsidRDefault="00F21BC4" w:rsidP="00F21BC4">
      <w:pPr>
        <w:spacing w:line="360" w:lineRule="auto"/>
        <w:jc w:val="both"/>
        <w:rPr>
          <w:rFonts w:ascii="Arial" w:hAnsi="Arial" w:cs="Arial"/>
          <w:sz w:val="24"/>
          <w:szCs w:val="24"/>
          <w:lang w:val="en-US"/>
        </w:rPr>
      </w:pPr>
      <w:r w:rsidRPr="00F21BC4">
        <w:rPr>
          <w:rFonts w:ascii="Arial" w:hAnsi="Arial" w:cs="Arial"/>
          <w:sz w:val="24"/>
          <w:szCs w:val="24"/>
          <w:lang w:val="en-US"/>
        </w:rPr>
        <w:t>The ROE ratio is for the years 2021–2022 and 2020–2021. When comparing the financial performance of businesses in the same industry, ROE is used. It serves as a gauge of management's capacity to make a profit using the equity at its disposal.</w:t>
      </w:r>
      <w:r>
        <w:rPr>
          <w:rFonts w:ascii="Arial" w:hAnsi="Arial" w:cs="Arial"/>
          <w:sz w:val="24"/>
          <w:szCs w:val="24"/>
        </w:rPr>
        <w:t xml:space="preserve"> </w:t>
      </w:r>
      <w:r w:rsidRPr="00F21BC4">
        <w:rPr>
          <w:rFonts w:ascii="Arial" w:hAnsi="Arial" w:cs="Arial"/>
          <w:sz w:val="24"/>
          <w:szCs w:val="24"/>
          <w:lang w:val="en-US"/>
        </w:rPr>
        <w:t>A return of between 15% and 20% is regarded as favorable. The achievement for the ROE is good, according to the business's figures, and it must be sustained over the long term.</w:t>
      </w:r>
    </w:p>
    <w:p w:rsidR="00F21BC4" w:rsidRDefault="00F21BC4" w:rsidP="00F21BC4">
      <w:pPr>
        <w:spacing w:line="360" w:lineRule="auto"/>
        <w:jc w:val="both"/>
        <w:rPr>
          <w:rFonts w:ascii="Arial" w:hAnsi="Arial" w:cs="Arial"/>
          <w:sz w:val="24"/>
          <w:szCs w:val="24"/>
        </w:rPr>
      </w:pPr>
      <w:r w:rsidRPr="00F21BC4">
        <w:rPr>
          <w:rFonts w:ascii="Arial" w:hAnsi="Arial" w:cs="Arial"/>
          <w:sz w:val="24"/>
          <w:szCs w:val="24"/>
          <w:lang w:val="en-US"/>
        </w:rPr>
        <w:t>Considering that the today's market average P/E ratio is between 20 and 25, a PE ratio above that range may be bad, while one below that may be advantageous. In our illustration, the company's earnings per share for 2021 are 0.11 and for 2020 are 0.08, demonstrating strong performance for this ratio.</w:t>
      </w:r>
    </w:p>
    <w:p w:rsidR="00F21BC4" w:rsidRPr="00F21BC4" w:rsidRDefault="00F21BC4" w:rsidP="00F21BC4">
      <w:pPr>
        <w:spacing w:line="360" w:lineRule="auto"/>
        <w:jc w:val="both"/>
        <w:rPr>
          <w:rFonts w:ascii="Arial" w:hAnsi="Arial" w:cs="Arial"/>
          <w:sz w:val="24"/>
          <w:szCs w:val="24"/>
          <w:lang w:val="en-US"/>
        </w:rPr>
      </w:pPr>
      <w:r w:rsidRPr="00F21BC4">
        <w:rPr>
          <w:rFonts w:ascii="Arial" w:hAnsi="Arial" w:cs="Arial"/>
          <w:sz w:val="24"/>
          <w:szCs w:val="24"/>
          <w:lang w:val="en-US"/>
        </w:rPr>
        <w:t>The overall average for our business is around 10, which indicates that the outcomes are not good and that managerial choices and actions are required to increase the net profit margin over the long term. Net profit margin is regarded to be very good when it exceeds 20%. This ratio is only 5.68 for 2020 and 6.39 for 2021, indicating the urgent need for improvement.</w:t>
      </w:r>
    </w:p>
    <w:p w:rsidR="00D83B02" w:rsidRPr="008F4C8C" w:rsidRDefault="00F21BC4" w:rsidP="00F21BC4">
      <w:pPr>
        <w:spacing w:line="360" w:lineRule="auto"/>
        <w:jc w:val="both"/>
        <w:rPr>
          <w:rFonts w:ascii="Arial" w:hAnsi="Arial" w:cs="Arial"/>
          <w:sz w:val="24"/>
          <w:szCs w:val="24"/>
          <w:lang w:val="en-US"/>
        </w:rPr>
      </w:pPr>
      <w:r w:rsidRPr="00F21BC4">
        <w:rPr>
          <w:rFonts w:ascii="Arial" w:hAnsi="Arial" w:cs="Arial"/>
          <w:sz w:val="24"/>
          <w:szCs w:val="24"/>
          <w:lang w:val="en-US"/>
        </w:rPr>
        <w:t>The better the organization is operating, the higher the asset turnover ratio. The asset turnover ratio in our business is extremely low, with 2020 showing a value of 0.64 and 2021 showing a value of 0.69, indicating that there is a problem with using the company assets appropriately and efficiently and to boost the producing results for the business in the short and long terms.</w:t>
      </w:r>
    </w:p>
    <w:p w:rsidR="00F21BC4" w:rsidRDefault="00F21BC4" w:rsidP="00F0746D">
      <w:pPr>
        <w:spacing w:line="360" w:lineRule="auto"/>
        <w:jc w:val="both"/>
        <w:rPr>
          <w:rFonts w:ascii="Arial" w:hAnsi="Arial" w:cs="Arial"/>
          <w:sz w:val="24"/>
          <w:szCs w:val="24"/>
        </w:rPr>
      </w:pPr>
      <w:r w:rsidRPr="00F21BC4">
        <w:rPr>
          <w:rFonts w:ascii="Arial" w:hAnsi="Arial" w:cs="Arial"/>
          <w:sz w:val="24"/>
          <w:szCs w:val="24"/>
          <w:lang w:val="en-US"/>
        </w:rPr>
        <w:t>You should sell and restock your inventory every one to two months if your industry's average turnover rate of inventories is between 5 and 10. This ratio successfully strikes a balance between keeping enough stock on hand and preventing poin</w:t>
      </w:r>
      <w:r>
        <w:rPr>
          <w:rFonts w:ascii="Arial" w:hAnsi="Arial" w:cs="Arial"/>
          <w:sz w:val="24"/>
          <w:szCs w:val="24"/>
          <w:lang w:val="en-US"/>
        </w:rPr>
        <w:t>tless reorders. In our instance</w:t>
      </w:r>
      <w:r w:rsidRPr="00F21BC4">
        <w:rPr>
          <w:rFonts w:ascii="Arial" w:hAnsi="Arial" w:cs="Arial"/>
          <w:sz w:val="24"/>
          <w:szCs w:val="24"/>
          <w:lang w:val="en-US"/>
        </w:rPr>
        <w:t>, the business's results for 2020 - 77 and for 2021 - 80 indicate that the stock was held for 80 days between delivering and sale, which is an unfavorable stay with the organization because it prevented the business from making money.</w:t>
      </w:r>
    </w:p>
    <w:p w:rsidR="009711F0" w:rsidRDefault="009711F0" w:rsidP="00F0746D">
      <w:pPr>
        <w:spacing w:line="360" w:lineRule="auto"/>
        <w:jc w:val="both"/>
        <w:rPr>
          <w:rFonts w:ascii="Arial" w:hAnsi="Arial" w:cs="Arial"/>
          <w:sz w:val="24"/>
          <w:szCs w:val="24"/>
        </w:rPr>
      </w:pPr>
      <w:r w:rsidRPr="009711F0">
        <w:rPr>
          <w:rFonts w:ascii="Arial" w:hAnsi="Arial" w:cs="Arial"/>
          <w:sz w:val="24"/>
          <w:szCs w:val="24"/>
          <w:lang w:val="en-US"/>
        </w:rPr>
        <w:t>The majority of experts agree that the accounts receivable should be 90 days or less if a company offers a two-month interest-free credit period. This period serves as an example of the amount of time needed to make and receive a credit payment following a credit transaction. In our instance, the debtholders' collection period for 2020 and 2021 is 151 and 140 respectively, which is significantly longer than the typical 90 days. The leadership must take action to lower this number by making more wise choices.</w:t>
      </w:r>
    </w:p>
    <w:p w:rsidR="009711F0" w:rsidRPr="009711F0" w:rsidRDefault="009711F0" w:rsidP="009711F0">
      <w:pPr>
        <w:spacing w:line="360" w:lineRule="auto"/>
        <w:jc w:val="both"/>
        <w:rPr>
          <w:rFonts w:ascii="Arial" w:hAnsi="Arial" w:cs="Arial"/>
          <w:sz w:val="24"/>
          <w:szCs w:val="24"/>
          <w:lang w:val="en-US"/>
        </w:rPr>
      </w:pPr>
      <w:r w:rsidRPr="009711F0">
        <w:rPr>
          <w:rFonts w:ascii="Arial" w:hAnsi="Arial" w:cs="Arial"/>
          <w:sz w:val="24"/>
          <w:szCs w:val="24"/>
          <w:lang w:val="en-US"/>
        </w:rPr>
        <w:t>The current ratio determines whether a company has enough cash on hand to cover immediate obligations. If it's less than 1.00, the business won't have enough cash on hand to pay all of its immediate obligations. In the case of our company, the current ratios are 0.77 for 2020 and 0.91 for 2021, indicating that the company does not have enough cash on hand to cover its short-term obligations. The management must pay special attention to this right away in order to improve the outcome.</w:t>
      </w:r>
      <w:r>
        <w:rPr>
          <w:rFonts w:ascii="Arial" w:hAnsi="Arial" w:cs="Arial"/>
          <w:sz w:val="24"/>
          <w:szCs w:val="24"/>
        </w:rPr>
        <w:t xml:space="preserve"> </w:t>
      </w:r>
      <w:r w:rsidRPr="009711F0">
        <w:rPr>
          <w:rFonts w:ascii="Arial" w:hAnsi="Arial" w:cs="Arial"/>
          <w:sz w:val="24"/>
          <w:szCs w:val="24"/>
          <w:lang w:val="en-US"/>
        </w:rPr>
        <w:t>A gearing ratio under 25% is typically regarded as low-risk by lenders and investors. For well-established businesses, a gearing ratio of between 25% and 50% is generally regarded as ideal or conventional. The gearing ratio used in our business's calculations is 0.29 for 2020 and 0.32 for 2021, which indicates that the result is unfavorable to lenders and investors and comply with applicable improvement.</w:t>
      </w:r>
    </w:p>
    <w:p w:rsidR="00103650" w:rsidRDefault="009711F0" w:rsidP="005C27FE">
      <w:pPr>
        <w:spacing w:line="360" w:lineRule="auto"/>
        <w:jc w:val="both"/>
        <w:rPr>
          <w:rFonts w:ascii="Arial" w:hAnsi="Arial" w:cs="Arial"/>
          <w:sz w:val="24"/>
          <w:szCs w:val="24"/>
          <w:lang w:val="en-US"/>
        </w:rPr>
      </w:pPr>
      <w:r w:rsidRPr="009711F0">
        <w:rPr>
          <w:rFonts w:ascii="Arial" w:hAnsi="Arial" w:cs="Arial"/>
          <w:sz w:val="24"/>
          <w:szCs w:val="24"/>
          <w:lang w:val="en-US"/>
        </w:rPr>
        <w:t>Analysts prefer to see a coverage ratio of three (3) or more. If a company's coverage ratio is less than one (1), which indicates that it is unable to meet its current interest-paying obligations, then it is not in good financial health.</w:t>
      </w:r>
      <w:r>
        <w:rPr>
          <w:rFonts w:ascii="Arial" w:hAnsi="Arial" w:cs="Arial"/>
          <w:sz w:val="24"/>
          <w:szCs w:val="24"/>
        </w:rPr>
        <w:t xml:space="preserve"> </w:t>
      </w:r>
      <w:r w:rsidRPr="009711F0">
        <w:rPr>
          <w:rFonts w:ascii="Arial" w:hAnsi="Arial" w:cs="Arial"/>
          <w:sz w:val="24"/>
          <w:szCs w:val="24"/>
          <w:lang w:val="en-US"/>
        </w:rPr>
        <w:t>The outcomes for our business for 2020 are 3.86 and for 2021 are 3.56, indicating that the interest ratio is not in a nice situation and that leadership must take steps to ensure that the current earning interest can be accomplished without difficulty.</w:t>
      </w:r>
    </w:p>
    <w:p w:rsidR="00103650" w:rsidRDefault="00635C49" w:rsidP="00635C49">
      <w:pPr>
        <w:pStyle w:val="Heading1"/>
        <w:rPr>
          <w:lang w:val="en-US"/>
        </w:rPr>
      </w:pPr>
      <w:bookmarkStart w:id="7" w:name="_Toc112500229"/>
      <w:r>
        <w:rPr>
          <w:lang w:val="en-US"/>
        </w:rPr>
        <w:t>Referencing list</w:t>
      </w:r>
      <w:bookmarkEnd w:id="7"/>
    </w:p>
    <w:p w:rsidR="00635C49" w:rsidRDefault="00635C49" w:rsidP="00103650">
      <w:pPr>
        <w:spacing w:line="360" w:lineRule="auto"/>
        <w:jc w:val="both"/>
        <w:rPr>
          <w:rFonts w:ascii="Arial" w:hAnsi="Arial" w:cs="Arial"/>
          <w:sz w:val="24"/>
          <w:szCs w:val="24"/>
          <w:lang w:val="en-US"/>
        </w:rPr>
      </w:pPr>
    </w:p>
    <w:p w:rsidR="007B3836" w:rsidRPr="007B3836" w:rsidRDefault="007B3836" w:rsidP="007B3836">
      <w:pPr>
        <w:spacing w:line="360" w:lineRule="auto"/>
        <w:jc w:val="both"/>
        <w:rPr>
          <w:rFonts w:ascii="Arial" w:hAnsi="Arial" w:cs="Arial"/>
          <w:sz w:val="24"/>
          <w:szCs w:val="24"/>
          <w:lang w:val="en-US"/>
        </w:rPr>
      </w:pPr>
      <w:proofErr w:type="spellStart"/>
      <w:r w:rsidRPr="007B3836">
        <w:rPr>
          <w:rFonts w:ascii="Arial" w:hAnsi="Arial" w:cs="Arial"/>
          <w:sz w:val="24"/>
          <w:szCs w:val="24"/>
          <w:lang w:val="en-US"/>
        </w:rPr>
        <w:t>Bebbington</w:t>
      </w:r>
      <w:proofErr w:type="spellEnd"/>
      <w:r w:rsidRPr="007B3836">
        <w:rPr>
          <w:rFonts w:ascii="Arial" w:hAnsi="Arial" w:cs="Arial"/>
          <w:sz w:val="24"/>
          <w:szCs w:val="24"/>
          <w:lang w:val="en-US"/>
        </w:rPr>
        <w:t xml:space="preserve">, J., Gray, R., </w:t>
      </w:r>
      <w:proofErr w:type="spellStart"/>
      <w:r w:rsidRPr="007B3836">
        <w:rPr>
          <w:rFonts w:ascii="Arial" w:hAnsi="Arial" w:cs="Arial"/>
          <w:sz w:val="24"/>
          <w:szCs w:val="24"/>
          <w:lang w:val="en-US"/>
        </w:rPr>
        <w:t>Hibbitt</w:t>
      </w:r>
      <w:proofErr w:type="spellEnd"/>
      <w:r w:rsidRPr="007B3836">
        <w:rPr>
          <w:rFonts w:ascii="Arial" w:hAnsi="Arial" w:cs="Arial"/>
          <w:sz w:val="24"/>
          <w:szCs w:val="24"/>
          <w:lang w:val="en-US"/>
        </w:rPr>
        <w:t>, C. and Kirk, E., 2001. Full cost accounting: An agenda for action (No. 73, p. 172). London: Certified Accountants Educational Trust.</w:t>
      </w:r>
    </w:p>
    <w:p w:rsidR="007B3836" w:rsidRPr="007B3836" w:rsidRDefault="007B3836" w:rsidP="007B3836">
      <w:pPr>
        <w:spacing w:line="360" w:lineRule="auto"/>
        <w:jc w:val="both"/>
        <w:rPr>
          <w:rFonts w:ascii="Arial" w:hAnsi="Arial" w:cs="Arial"/>
          <w:sz w:val="24"/>
          <w:szCs w:val="24"/>
          <w:lang w:val="en-US"/>
        </w:rPr>
      </w:pPr>
      <w:proofErr w:type="spellStart"/>
      <w:r w:rsidRPr="007B3836">
        <w:rPr>
          <w:rFonts w:ascii="Arial" w:hAnsi="Arial" w:cs="Arial"/>
          <w:sz w:val="24"/>
          <w:szCs w:val="24"/>
          <w:lang w:val="en-US"/>
        </w:rPr>
        <w:t>Clatworthy</w:t>
      </w:r>
      <w:proofErr w:type="spellEnd"/>
      <w:r w:rsidRPr="007B3836">
        <w:rPr>
          <w:rFonts w:ascii="Arial" w:hAnsi="Arial" w:cs="Arial"/>
          <w:sz w:val="24"/>
          <w:szCs w:val="24"/>
          <w:lang w:val="en-US"/>
        </w:rPr>
        <w:t>, M.A. and Peel, M.J., 2021. Reporting accountant appointments and accounting restatements: Evidence from UK private companies. The British Accounting Review, 53(3), p.100974.</w:t>
      </w:r>
    </w:p>
    <w:p w:rsidR="007B3836" w:rsidRPr="007B3836" w:rsidRDefault="007B3836" w:rsidP="007B3836">
      <w:pPr>
        <w:spacing w:line="360" w:lineRule="auto"/>
        <w:jc w:val="both"/>
        <w:rPr>
          <w:rFonts w:ascii="Arial" w:hAnsi="Arial" w:cs="Arial"/>
          <w:sz w:val="24"/>
          <w:szCs w:val="24"/>
          <w:lang w:val="en-US"/>
        </w:rPr>
      </w:pPr>
      <w:r w:rsidRPr="007B3836">
        <w:rPr>
          <w:rFonts w:ascii="Arial" w:hAnsi="Arial" w:cs="Arial"/>
          <w:sz w:val="24"/>
          <w:szCs w:val="24"/>
          <w:lang w:val="en-US"/>
        </w:rPr>
        <w:t xml:space="preserve">Garrison, R.H., Noreen, E.W., Brewer, P.C. and </w:t>
      </w:r>
      <w:proofErr w:type="spellStart"/>
      <w:r w:rsidRPr="007B3836">
        <w:rPr>
          <w:rFonts w:ascii="Arial" w:hAnsi="Arial" w:cs="Arial"/>
          <w:sz w:val="24"/>
          <w:szCs w:val="24"/>
          <w:lang w:val="en-US"/>
        </w:rPr>
        <w:t>Mardini</w:t>
      </w:r>
      <w:proofErr w:type="spellEnd"/>
      <w:r w:rsidRPr="007B3836">
        <w:rPr>
          <w:rFonts w:ascii="Arial" w:hAnsi="Arial" w:cs="Arial"/>
          <w:sz w:val="24"/>
          <w:szCs w:val="24"/>
          <w:lang w:val="en-US"/>
        </w:rPr>
        <w:t>, R.U., 2003. Managerial accounting. New York: McGraw-Hill/Irwin.</w:t>
      </w:r>
    </w:p>
    <w:p w:rsidR="007B3836" w:rsidRPr="007B3836" w:rsidRDefault="007B3836" w:rsidP="007B3836">
      <w:pPr>
        <w:spacing w:line="360" w:lineRule="auto"/>
        <w:jc w:val="both"/>
        <w:rPr>
          <w:rFonts w:ascii="Arial" w:hAnsi="Arial" w:cs="Arial"/>
          <w:sz w:val="24"/>
          <w:szCs w:val="24"/>
          <w:lang w:val="en-US"/>
        </w:rPr>
      </w:pPr>
      <w:r w:rsidRPr="007B3836">
        <w:rPr>
          <w:rFonts w:ascii="Arial" w:hAnsi="Arial" w:cs="Arial"/>
          <w:sz w:val="24"/>
          <w:szCs w:val="24"/>
          <w:lang w:val="en-US"/>
        </w:rPr>
        <w:t>Linares-</w:t>
      </w:r>
      <w:proofErr w:type="spellStart"/>
      <w:r w:rsidRPr="007B3836">
        <w:rPr>
          <w:rFonts w:ascii="Arial" w:hAnsi="Arial" w:cs="Arial"/>
          <w:sz w:val="24"/>
          <w:szCs w:val="24"/>
          <w:lang w:val="en-US"/>
        </w:rPr>
        <w:t>Mustarós</w:t>
      </w:r>
      <w:proofErr w:type="spellEnd"/>
      <w:r w:rsidRPr="007B3836">
        <w:rPr>
          <w:rFonts w:ascii="Arial" w:hAnsi="Arial" w:cs="Arial"/>
          <w:sz w:val="24"/>
          <w:szCs w:val="24"/>
          <w:lang w:val="en-US"/>
        </w:rPr>
        <w:t xml:space="preserve">, S., </w:t>
      </w:r>
      <w:proofErr w:type="spellStart"/>
      <w:r w:rsidRPr="007B3836">
        <w:rPr>
          <w:rFonts w:ascii="Arial" w:hAnsi="Arial" w:cs="Arial"/>
          <w:sz w:val="24"/>
          <w:szCs w:val="24"/>
          <w:lang w:val="en-US"/>
        </w:rPr>
        <w:t>Coenders</w:t>
      </w:r>
      <w:proofErr w:type="spellEnd"/>
      <w:r w:rsidRPr="007B3836">
        <w:rPr>
          <w:rFonts w:ascii="Arial" w:hAnsi="Arial" w:cs="Arial"/>
          <w:sz w:val="24"/>
          <w:szCs w:val="24"/>
          <w:lang w:val="en-US"/>
        </w:rPr>
        <w:t xml:space="preserve">, G. and </w:t>
      </w:r>
      <w:proofErr w:type="spellStart"/>
      <w:r w:rsidRPr="007B3836">
        <w:rPr>
          <w:rFonts w:ascii="Arial" w:hAnsi="Arial" w:cs="Arial"/>
          <w:sz w:val="24"/>
          <w:szCs w:val="24"/>
          <w:lang w:val="en-US"/>
        </w:rPr>
        <w:t>Vives-Mestres</w:t>
      </w:r>
      <w:proofErr w:type="spellEnd"/>
      <w:r w:rsidRPr="007B3836">
        <w:rPr>
          <w:rFonts w:ascii="Arial" w:hAnsi="Arial" w:cs="Arial"/>
          <w:sz w:val="24"/>
          <w:szCs w:val="24"/>
          <w:lang w:val="en-US"/>
        </w:rPr>
        <w:t>, M., 2018. Financial performance and distress profiles. From classification according to financial ratios to compositional classification. Advances in Accounting, 40, pp.1-10.</w:t>
      </w:r>
    </w:p>
    <w:p w:rsidR="007B3836" w:rsidRPr="007B3836" w:rsidRDefault="007B3836" w:rsidP="007B3836">
      <w:pPr>
        <w:spacing w:line="360" w:lineRule="auto"/>
        <w:jc w:val="both"/>
        <w:rPr>
          <w:rFonts w:ascii="Arial" w:hAnsi="Arial" w:cs="Arial"/>
          <w:sz w:val="24"/>
          <w:szCs w:val="24"/>
          <w:lang w:val="en-US"/>
        </w:rPr>
      </w:pPr>
      <w:proofErr w:type="spellStart"/>
      <w:r w:rsidRPr="007B3836">
        <w:rPr>
          <w:rFonts w:ascii="Arial" w:hAnsi="Arial" w:cs="Arial"/>
          <w:sz w:val="24"/>
          <w:szCs w:val="24"/>
          <w:lang w:val="en-US"/>
        </w:rPr>
        <w:t>Maheshwari</w:t>
      </w:r>
      <w:proofErr w:type="spellEnd"/>
      <w:r w:rsidRPr="007B3836">
        <w:rPr>
          <w:rFonts w:ascii="Arial" w:hAnsi="Arial" w:cs="Arial"/>
          <w:sz w:val="24"/>
          <w:szCs w:val="24"/>
          <w:lang w:val="en-US"/>
        </w:rPr>
        <w:t xml:space="preserve">, S.N., </w:t>
      </w:r>
      <w:proofErr w:type="spellStart"/>
      <w:r w:rsidRPr="007B3836">
        <w:rPr>
          <w:rFonts w:ascii="Arial" w:hAnsi="Arial" w:cs="Arial"/>
          <w:sz w:val="24"/>
          <w:szCs w:val="24"/>
          <w:lang w:val="en-US"/>
        </w:rPr>
        <w:t>Maheshwari</w:t>
      </w:r>
      <w:proofErr w:type="spellEnd"/>
      <w:r w:rsidRPr="007B3836">
        <w:rPr>
          <w:rFonts w:ascii="Arial" w:hAnsi="Arial" w:cs="Arial"/>
          <w:sz w:val="24"/>
          <w:szCs w:val="24"/>
          <w:lang w:val="en-US"/>
        </w:rPr>
        <w:t xml:space="preserve">, S.K. and </w:t>
      </w:r>
      <w:proofErr w:type="spellStart"/>
      <w:r w:rsidRPr="007B3836">
        <w:rPr>
          <w:rFonts w:ascii="Arial" w:hAnsi="Arial" w:cs="Arial"/>
          <w:sz w:val="24"/>
          <w:szCs w:val="24"/>
          <w:lang w:val="en-US"/>
        </w:rPr>
        <w:t>Maheshwari</w:t>
      </w:r>
      <w:proofErr w:type="spellEnd"/>
      <w:r w:rsidRPr="007B3836">
        <w:rPr>
          <w:rFonts w:ascii="Arial" w:hAnsi="Arial" w:cs="Arial"/>
          <w:sz w:val="24"/>
          <w:szCs w:val="24"/>
          <w:lang w:val="en-US"/>
        </w:rPr>
        <w:t>, M.S.K., 2021. Principles of Management Accounting. Sultan Chand &amp; Sons.</w:t>
      </w:r>
    </w:p>
    <w:p w:rsidR="00635C49" w:rsidRPr="00F0746D" w:rsidRDefault="007B3836" w:rsidP="007B3836">
      <w:pPr>
        <w:spacing w:line="360" w:lineRule="auto"/>
        <w:jc w:val="both"/>
        <w:rPr>
          <w:rFonts w:ascii="Arial" w:hAnsi="Arial" w:cs="Arial"/>
          <w:sz w:val="24"/>
          <w:szCs w:val="24"/>
          <w:lang w:val="en-US"/>
        </w:rPr>
      </w:pPr>
      <w:proofErr w:type="spellStart"/>
      <w:r w:rsidRPr="007B3836">
        <w:rPr>
          <w:rFonts w:ascii="Arial" w:hAnsi="Arial" w:cs="Arial"/>
          <w:sz w:val="24"/>
          <w:szCs w:val="24"/>
          <w:lang w:val="en-US"/>
        </w:rPr>
        <w:t>Sriram</w:t>
      </w:r>
      <w:proofErr w:type="spellEnd"/>
      <w:r w:rsidRPr="007B3836">
        <w:rPr>
          <w:rFonts w:ascii="Arial" w:hAnsi="Arial" w:cs="Arial"/>
          <w:sz w:val="24"/>
          <w:szCs w:val="24"/>
          <w:lang w:val="en-US"/>
        </w:rPr>
        <w:t>, M., 2020. Do firm specific characteristics and industry classification corroborate voluntary disclosure of financial ratios: an empirical investigation of S&amp;P CNX 500 companies. Journal of Management and Governance, 24(2), pp.431-448.</w:t>
      </w:r>
    </w:p>
    <w:sectPr w:rsidR="00635C49" w:rsidRPr="00F0746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3C33" w:rsidRDefault="00B73C33" w:rsidP="00635C49">
      <w:pPr>
        <w:spacing w:after="0" w:line="240" w:lineRule="auto"/>
      </w:pPr>
      <w:r>
        <w:separator/>
      </w:r>
    </w:p>
  </w:endnote>
  <w:endnote w:type="continuationSeparator" w:id="0">
    <w:p w:rsidR="00B73C33" w:rsidRDefault="00B73C33" w:rsidP="0063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259973"/>
      <w:docPartObj>
        <w:docPartGallery w:val="Page Numbers (Bottom of Page)"/>
        <w:docPartUnique/>
      </w:docPartObj>
    </w:sdtPr>
    <w:sdtEndPr>
      <w:rPr>
        <w:noProof/>
      </w:rPr>
    </w:sdtEndPr>
    <w:sdtContent>
      <w:p w:rsidR="00635C49" w:rsidRDefault="00635C49">
        <w:pPr>
          <w:pStyle w:val="Footer"/>
          <w:jc w:val="center"/>
        </w:pPr>
        <w:r>
          <w:fldChar w:fldCharType="begin"/>
        </w:r>
        <w:r>
          <w:instrText xml:space="preserve"> PAGE   \* MERGEFORMAT </w:instrText>
        </w:r>
        <w:r>
          <w:fldChar w:fldCharType="separate"/>
        </w:r>
        <w:r w:rsidR="00204BAC">
          <w:rPr>
            <w:noProof/>
          </w:rPr>
          <w:t>2</w:t>
        </w:r>
        <w:r>
          <w:rPr>
            <w:noProof/>
          </w:rPr>
          <w:fldChar w:fldCharType="end"/>
        </w:r>
      </w:p>
    </w:sdtContent>
  </w:sdt>
  <w:p w:rsidR="00635C49" w:rsidRDefault="00635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3C33" w:rsidRDefault="00B73C33" w:rsidP="00635C49">
      <w:pPr>
        <w:spacing w:after="0" w:line="240" w:lineRule="auto"/>
      </w:pPr>
      <w:r>
        <w:separator/>
      </w:r>
    </w:p>
  </w:footnote>
  <w:footnote w:type="continuationSeparator" w:id="0">
    <w:p w:rsidR="00B73C33" w:rsidRDefault="00B73C33" w:rsidP="00635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E0E15"/>
    <w:multiLevelType w:val="hybridMultilevel"/>
    <w:tmpl w:val="98766322"/>
    <w:lvl w:ilvl="0" w:tplc="DC2634B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36702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3E07"/>
    <w:rsid w:val="000012B5"/>
    <w:rsid w:val="000061A5"/>
    <w:rsid w:val="000263F7"/>
    <w:rsid w:val="000320DE"/>
    <w:rsid w:val="0003732F"/>
    <w:rsid w:val="000A40BD"/>
    <w:rsid w:val="000A6420"/>
    <w:rsid w:val="00103650"/>
    <w:rsid w:val="001074F8"/>
    <w:rsid w:val="00167E7B"/>
    <w:rsid w:val="0019291F"/>
    <w:rsid w:val="001A7E12"/>
    <w:rsid w:val="00204BAC"/>
    <w:rsid w:val="002700C2"/>
    <w:rsid w:val="00276672"/>
    <w:rsid w:val="002D586F"/>
    <w:rsid w:val="002E64C4"/>
    <w:rsid w:val="00347AE9"/>
    <w:rsid w:val="00390BCE"/>
    <w:rsid w:val="003B7B2F"/>
    <w:rsid w:val="003D0D6A"/>
    <w:rsid w:val="003F2CAB"/>
    <w:rsid w:val="003F6D92"/>
    <w:rsid w:val="00443097"/>
    <w:rsid w:val="00452204"/>
    <w:rsid w:val="004F43B6"/>
    <w:rsid w:val="005168DB"/>
    <w:rsid w:val="005A69F9"/>
    <w:rsid w:val="005C27FE"/>
    <w:rsid w:val="005F0948"/>
    <w:rsid w:val="00605DD8"/>
    <w:rsid w:val="00632C9D"/>
    <w:rsid w:val="00635C49"/>
    <w:rsid w:val="00652FDA"/>
    <w:rsid w:val="00677B83"/>
    <w:rsid w:val="006A4AB6"/>
    <w:rsid w:val="006F629A"/>
    <w:rsid w:val="0072464F"/>
    <w:rsid w:val="0073681C"/>
    <w:rsid w:val="0074430F"/>
    <w:rsid w:val="00776D61"/>
    <w:rsid w:val="00785A73"/>
    <w:rsid w:val="007B20C7"/>
    <w:rsid w:val="007B3836"/>
    <w:rsid w:val="007E02CE"/>
    <w:rsid w:val="00845555"/>
    <w:rsid w:val="00867F1E"/>
    <w:rsid w:val="008A2902"/>
    <w:rsid w:val="008A78FD"/>
    <w:rsid w:val="008F4C8C"/>
    <w:rsid w:val="009020D0"/>
    <w:rsid w:val="009655EF"/>
    <w:rsid w:val="009711F0"/>
    <w:rsid w:val="00A127A6"/>
    <w:rsid w:val="00AD2D88"/>
    <w:rsid w:val="00AE6A1F"/>
    <w:rsid w:val="00B73927"/>
    <w:rsid w:val="00B73C33"/>
    <w:rsid w:val="00C44D4D"/>
    <w:rsid w:val="00C700FF"/>
    <w:rsid w:val="00C86CB7"/>
    <w:rsid w:val="00C91370"/>
    <w:rsid w:val="00CD3E07"/>
    <w:rsid w:val="00D34547"/>
    <w:rsid w:val="00D83B02"/>
    <w:rsid w:val="00E07E30"/>
    <w:rsid w:val="00E14038"/>
    <w:rsid w:val="00E30BC3"/>
    <w:rsid w:val="00EC14B8"/>
    <w:rsid w:val="00EC19C5"/>
    <w:rsid w:val="00EC3F4D"/>
    <w:rsid w:val="00EC5C67"/>
    <w:rsid w:val="00F0746D"/>
    <w:rsid w:val="00F21BC4"/>
    <w:rsid w:val="00F6543F"/>
    <w:rsid w:val="00F97F38"/>
    <w:rsid w:val="00FE2E8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FC4C"/>
  <w15:docId w15:val="{05BE2F8C-76C8-B74B-9B9D-BDE794DD0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D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D0D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D6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D0D6A"/>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965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7B83"/>
    <w:pPr>
      <w:ind w:left="720"/>
      <w:contextualSpacing/>
    </w:pPr>
  </w:style>
  <w:style w:type="paragraph" w:styleId="TOCHeading">
    <w:name w:val="TOC Heading"/>
    <w:basedOn w:val="Heading1"/>
    <w:next w:val="Normal"/>
    <w:uiPriority w:val="39"/>
    <w:semiHidden/>
    <w:unhideWhenUsed/>
    <w:qFormat/>
    <w:rsid w:val="00635C49"/>
    <w:pPr>
      <w:outlineLvl w:val="9"/>
    </w:pPr>
    <w:rPr>
      <w:lang w:val="en-US" w:eastAsia="ja-JP"/>
    </w:rPr>
  </w:style>
  <w:style w:type="paragraph" w:styleId="TOC1">
    <w:name w:val="toc 1"/>
    <w:basedOn w:val="Normal"/>
    <w:next w:val="Normal"/>
    <w:autoRedefine/>
    <w:uiPriority w:val="39"/>
    <w:unhideWhenUsed/>
    <w:rsid w:val="00635C49"/>
    <w:pPr>
      <w:spacing w:after="100"/>
    </w:pPr>
  </w:style>
  <w:style w:type="paragraph" w:styleId="TOC2">
    <w:name w:val="toc 2"/>
    <w:basedOn w:val="Normal"/>
    <w:next w:val="Normal"/>
    <w:autoRedefine/>
    <w:uiPriority w:val="39"/>
    <w:unhideWhenUsed/>
    <w:rsid w:val="00635C49"/>
    <w:pPr>
      <w:spacing w:after="100"/>
      <w:ind w:left="220"/>
    </w:pPr>
  </w:style>
  <w:style w:type="character" w:styleId="Hyperlink">
    <w:name w:val="Hyperlink"/>
    <w:basedOn w:val="DefaultParagraphFont"/>
    <w:uiPriority w:val="99"/>
    <w:unhideWhenUsed/>
    <w:rsid w:val="00635C49"/>
    <w:rPr>
      <w:color w:val="0000FF" w:themeColor="hyperlink"/>
      <w:u w:val="single"/>
    </w:rPr>
  </w:style>
  <w:style w:type="paragraph" w:styleId="BalloonText">
    <w:name w:val="Balloon Text"/>
    <w:basedOn w:val="Normal"/>
    <w:link w:val="BalloonTextChar"/>
    <w:uiPriority w:val="99"/>
    <w:semiHidden/>
    <w:unhideWhenUsed/>
    <w:rsid w:val="00635C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5C49"/>
    <w:rPr>
      <w:rFonts w:ascii="Tahoma" w:hAnsi="Tahoma" w:cs="Tahoma"/>
      <w:sz w:val="16"/>
      <w:szCs w:val="16"/>
    </w:rPr>
  </w:style>
  <w:style w:type="paragraph" w:styleId="Header">
    <w:name w:val="header"/>
    <w:basedOn w:val="Normal"/>
    <w:link w:val="HeaderChar"/>
    <w:uiPriority w:val="99"/>
    <w:unhideWhenUsed/>
    <w:rsid w:val="00635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C49"/>
  </w:style>
  <w:style w:type="paragraph" w:styleId="Footer">
    <w:name w:val="footer"/>
    <w:basedOn w:val="Normal"/>
    <w:link w:val="FooterChar"/>
    <w:uiPriority w:val="99"/>
    <w:unhideWhenUsed/>
    <w:rsid w:val="00635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122392">
      <w:bodyDiv w:val="1"/>
      <w:marLeft w:val="0"/>
      <w:marRight w:val="0"/>
      <w:marTop w:val="0"/>
      <w:marBottom w:val="0"/>
      <w:divBdr>
        <w:top w:val="none" w:sz="0" w:space="0" w:color="auto"/>
        <w:left w:val="none" w:sz="0" w:space="0" w:color="auto"/>
        <w:bottom w:val="none" w:sz="0" w:space="0" w:color="auto"/>
        <w:right w:val="none" w:sz="0" w:space="0" w:color="auto"/>
      </w:divBdr>
    </w:div>
    <w:div w:id="589509560">
      <w:bodyDiv w:val="1"/>
      <w:marLeft w:val="0"/>
      <w:marRight w:val="0"/>
      <w:marTop w:val="0"/>
      <w:marBottom w:val="0"/>
      <w:divBdr>
        <w:top w:val="none" w:sz="0" w:space="0" w:color="auto"/>
        <w:left w:val="none" w:sz="0" w:space="0" w:color="auto"/>
        <w:bottom w:val="none" w:sz="0" w:space="0" w:color="auto"/>
        <w:right w:val="none" w:sz="0" w:space="0" w:color="auto"/>
      </w:divBdr>
    </w:div>
    <w:div w:id="144796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8E2CE4-EAB0-4215-871F-D31082AD3F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1561</Words>
  <Characters>8902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4</cp:revision>
  <dcterms:created xsi:type="dcterms:W3CDTF">2022-08-28T07:38:00Z</dcterms:created>
  <dcterms:modified xsi:type="dcterms:W3CDTF">2022-08-28T20:49:00Z</dcterms:modified>
</cp:coreProperties>
</file>