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467EA" w14:textId="641879A5" w:rsidR="0004286F" w:rsidRPr="0079675E" w:rsidRDefault="0004286F" w:rsidP="0079675E">
      <w:pPr>
        <w:pStyle w:val="NoSpacing"/>
        <w:spacing w:before="1540" w:after="240"/>
        <w:rPr>
          <w:color w:val="156082" w:themeColor="accent1"/>
        </w:rPr>
      </w:pPr>
    </w:p>
    <w:p w14:paraId="74ED5AC4" w14:textId="67917ADC" w:rsidR="00DA70F1" w:rsidRDefault="00DA70F1" w:rsidP="008E147C">
      <w:pPr>
        <w:spacing w:line="360" w:lineRule="auto"/>
        <w:jc w:val="both"/>
        <w:rPr>
          <w:rFonts w:ascii="Arial" w:hAnsi="Arial" w:cs="Arial"/>
          <w:b/>
          <w:bCs/>
        </w:rPr>
      </w:pPr>
    </w:p>
    <w:p w14:paraId="7E14D0F5" w14:textId="6F809F34" w:rsidR="00C14DDC" w:rsidRDefault="00C14DDC" w:rsidP="00DA70F1">
      <w:pPr>
        <w:spacing w:line="360" w:lineRule="auto"/>
        <w:ind w:left="3600"/>
        <w:jc w:val="both"/>
        <w:rPr>
          <w:rFonts w:ascii="Arial" w:hAnsi="Arial" w:cs="Arial"/>
          <w:b/>
          <w:bCs/>
        </w:rPr>
      </w:pPr>
      <w:r>
        <w:rPr>
          <w:rFonts w:ascii="Arial" w:hAnsi="Arial" w:cs="Arial"/>
          <w:b/>
          <w:bCs/>
        </w:rPr>
        <w:t>Module: Health</w:t>
      </w:r>
      <w:r w:rsidR="008941D0">
        <w:rPr>
          <w:rFonts w:ascii="Arial" w:hAnsi="Arial" w:cs="Arial"/>
          <w:b/>
          <w:bCs/>
        </w:rPr>
        <w:t>, Wellbeing and Sustainable Development</w:t>
      </w:r>
    </w:p>
    <w:p w14:paraId="3674FD8A" w14:textId="60070D4D" w:rsidR="002B7420" w:rsidRDefault="002B7420" w:rsidP="00DA70F1">
      <w:pPr>
        <w:spacing w:line="360" w:lineRule="auto"/>
        <w:ind w:left="3600"/>
        <w:jc w:val="both"/>
        <w:rPr>
          <w:rFonts w:ascii="Arial" w:hAnsi="Arial" w:cs="Arial"/>
          <w:b/>
          <w:bCs/>
        </w:rPr>
      </w:pPr>
      <w:r>
        <w:rPr>
          <w:rFonts w:ascii="Arial" w:hAnsi="Arial" w:cs="Arial"/>
          <w:b/>
          <w:bCs/>
        </w:rPr>
        <w:t>Module Code: BMHP60</w:t>
      </w:r>
      <w:r w:rsidR="0029469D">
        <w:rPr>
          <w:rFonts w:ascii="Arial" w:hAnsi="Arial" w:cs="Arial"/>
          <w:b/>
          <w:bCs/>
        </w:rPr>
        <w:t>30</w:t>
      </w:r>
    </w:p>
    <w:p w14:paraId="618B2A53" w14:textId="243D252E" w:rsidR="0029469D" w:rsidRDefault="0029469D" w:rsidP="00DA70F1">
      <w:pPr>
        <w:spacing w:line="360" w:lineRule="auto"/>
        <w:ind w:left="3600"/>
        <w:jc w:val="both"/>
        <w:rPr>
          <w:rFonts w:ascii="Arial" w:hAnsi="Arial" w:cs="Arial"/>
          <w:b/>
          <w:bCs/>
        </w:rPr>
      </w:pPr>
      <w:r>
        <w:rPr>
          <w:rFonts w:ascii="Arial" w:hAnsi="Arial" w:cs="Arial"/>
          <w:b/>
          <w:bCs/>
        </w:rPr>
        <w:t>Student’s Name:</w:t>
      </w:r>
      <w:r w:rsidR="000301AD">
        <w:rPr>
          <w:rFonts w:ascii="Arial" w:hAnsi="Arial" w:cs="Arial"/>
          <w:b/>
          <w:bCs/>
        </w:rPr>
        <w:t xml:space="preserve"> Niculina Carmen Butnaru</w:t>
      </w:r>
    </w:p>
    <w:p w14:paraId="114577E0" w14:textId="44A3AB4C" w:rsidR="000301AD" w:rsidRDefault="000301AD" w:rsidP="00DA70F1">
      <w:pPr>
        <w:spacing w:line="360" w:lineRule="auto"/>
        <w:ind w:left="3600"/>
        <w:jc w:val="both"/>
        <w:rPr>
          <w:rFonts w:ascii="Arial" w:hAnsi="Arial" w:cs="Arial"/>
          <w:b/>
          <w:bCs/>
        </w:rPr>
      </w:pPr>
      <w:r>
        <w:rPr>
          <w:rFonts w:ascii="Arial" w:hAnsi="Arial" w:cs="Arial"/>
          <w:b/>
          <w:bCs/>
        </w:rPr>
        <w:t>Student ID: 2241990</w:t>
      </w:r>
    </w:p>
    <w:p w14:paraId="709466B8" w14:textId="45E67BAC" w:rsidR="003026F7" w:rsidRDefault="00737E10" w:rsidP="003026F7">
      <w:pPr>
        <w:spacing w:line="360" w:lineRule="auto"/>
        <w:ind w:left="3600"/>
        <w:jc w:val="both"/>
        <w:rPr>
          <w:rFonts w:ascii="Arial" w:hAnsi="Arial" w:cs="Arial"/>
          <w:b/>
          <w:bCs/>
        </w:rPr>
      </w:pPr>
      <w:r>
        <w:rPr>
          <w:rFonts w:ascii="Arial" w:hAnsi="Arial" w:cs="Arial"/>
          <w:b/>
          <w:bCs/>
        </w:rPr>
        <w:t xml:space="preserve">Lecturer’s Name: Tomy </w:t>
      </w:r>
      <w:proofErr w:type="spellStart"/>
      <w:r>
        <w:rPr>
          <w:rFonts w:ascii="Arial" w:hAnsi="Arial" w:cs="Arial"/>
          <w:b/>
          <w:bCs/>
        </w:rPr>
        <w:t>Adat</w:t>
      </w:r>
      <w:r w:rsidR="00610D74">
        <w:rPr>
          <w:rFonts w:ascii="Arial" w:hAnsi="Arial" w:cs="Arial"/>
          <w:b/>
          <w:bCs/>
        </w:rPr>
        <w:t>tu</w:t>
      </w:r>
      <w:proofErr w:type="spellEnd"/>
      <w:r>
        <w:rPr>
          <w:rFonts w:ascii="Arial" w:hAnsi="Arial" w:cs="Arial"/>
          <w:b/>
          <w:bCs/>
        </w:rPr>
        <w:t xml:space="preserve"> Chacko</w:t>
      </w:r>
      <w:r w:rsidR="008E147C">
        <w:rPr>
          <w:rFonts w:ascii="Arial" w:hAnsi="Arial" w:cs="Arial"/>
          <w:b/>
          <w:bCs/>
        </w:rPr>
        <w:t>.</w:t>
      </w:r>
    </w:p>
    <w:p w14:paraId="3263863A" w14:textId="77777777" w:rsidR="003026F7" w:rsidRDefault="003026F7" w:rsidP="003026F7">
      <w:pPr>
        <w:spacing w:line="360" w:lineRule="auto"/>
        <w:ind w:left="3600"/>
        <w:jc w:val="both"/>
        <w:rPr>
          <w:rFonts w:ascii="Arial" w:hAnsi="Arial" w:cs="Arial"/>
          <w:b/>
          <w:bCs/>
        </w:rPr>
      </w:pPr>
    </w:p>
    <w:p w14:paraId="5BBA4DF0" w14:textId="0835948A" w:rsidR="000301AD" w:rsidRDefault="000301AD" w:rsidP="00DA70F1">
      <w:pPr>
        <w:spacing w:line="360" w:lineRule="auto"/>
        <w:ind w:left="3600"/>
        <w:jc w:val="both"/>
        <w:rPr>
          <w:rFonts w:ascii="Arial" w:hAnsi="Arial" w:cs="Arial"/>
          <w:b/>
          <w:bCs/>
        </w:rPr>
      </w:pPr>
    </w:p>
    <w:p w14:paraId="7AA8CFCC" w14:textId="77777777" w:rsidR="000177FB" w:rsidRDefault="000177FB" w:rsidP="00DA70F1">
      <w:pPr>
        <w:spacing w:line="360" w:lineRule="auto"/>
        <w:ind w:left="3600"/>
        <w:jc w:val="both"/>
        <w:rPr>
          <w:rFonts w:ascii="Arial" w:hAnsi="Arial" w:cs="Arial"/>
          <w:b/>
          <w:bCs/>
        </w:rPr>
      </w:pPr>
    </w:p>
    <w:p w14:paraId="53A2C38B" w14:textId="77777777" w:rsidR="000177FB" w:rsidRDefault="000177FB" w:rsidP="00DA70F1">
      <w:pPr>
        <w:spacing w:line="360" w:lineRule="auto"/>
        <w:ind w:left="3600"/>
        <w:jc w:val="both"/>
        <w:rPr>
          <w:rFonts w:ascii="Arial" w:hAnsi="Arial" w:cs="Arial"/>
          <w:b/>
          <w:bCs/>
        </w:rPr>
      </w:pPr>
    </w:p>
    <w:p w14:paraId="4781AAB3" w14:textId="77777777" w:rsidR="000177FB" w:rsidRDefault="000177FB" w:rsidP="00DA70F1">
      <w:pPr>
        <w:spacing w:line="360" w:lineRule="auto"/>
        <w:ind w:left="3600"/>
        <w:jc w:val="both"/>
        <w:rPr>
          <w:rFonts w:ascii="Arial" w:hAnsi="Arial" w:cs="Arial"/>
          <w:b/>
          <w:bCs/>
        </w:rPr>
      </w:pPr>
    </w:p>
    <w:p w14:paraId="11396EC8" w14:textId="77777777" w:rsidR="000177FB" w:rsidRDefault="000177FB" w:rsidP="00DA70F1">
      <w:pPr>
        <w:spacing w:line="360" w:lineRule="auto"/>
        <w:ind w:left="3600"/>
        <w:jc w:val="both"/>
        <w:rPr>
          <w:rFonts w:ascii="Arial" w:hAnsi="Arial" w:cs="Arial"/>
          <w:b/>
          <w:bCs/>
        </w:rPr>
      </w:pPr>
    </w:p>
    <w:p w14:paraId="4D92E215" w14:textId="77777777" w:rsidR="000177FB" w:rsidRDefault="000177FB" w:rsidP="00DA70F1">
      <w:pPr>
        <w:spacing w:line="360" w:lineRule="auto"/>
        <w:ind w:left="3600"/>
        <w:jc w:val="both"/>
        <w:rPr>
          <w:rFonts w:ascii="Arial" w:hAnsi="Arial" w:cs="Arial"/>
          <w:b/>
          <w:bCs/>
        </w:rPr>
      </w:pPr>
    </w:p>
    <w:p w14:paraId="4920A94E" w14:textId="77777777" w:rsidR="000177FB" w:rsidRDefault="000177FB" w:rsidP="00DA70F1">
      <w:pPr>
        <w:spacing w:line="360" w:lineRule="auto"/>
        <w:ind w:left="3600"/>
        <w:jc w:val="both"/>
        <w:rPr>
          <w:rFonts w:ascii="Arial" w:hAnsi="Arial" w:cs="Arial"/>
          <w:b/>
          <w:bCs/>
        </w:rPr>
      </w:pPr>
    </w:p>
    <w:p w14:paraId="375BF214" w14:textId="77777777" w:rsidR="000177FB" w:rsidRDefault="000177FB" w:rsidP="00DA70F1">
      <w:pPr>
        <w:spacing w:line="360" w:lineRule="auto"/>
        <w:ind w:left="3600"/>
        <w:jc w:val="both"/>
        <w:rPr>
          <w:rFonts w:ascii="Arial" w:hAnsi="Arial" w:cs="Arial"/>
          <w:b/>
          <w:bCs/>
        </w:rPr>
      </w:pPr>
    </w:p>
    <w:p w14:paraId="30681A0B" w14:textId="77777777" w:rsidR="000177FB" w:rsidRDefault="000177FB" w:rsidP="00DA70F1">
      <w:pPr>
        <w:spacing w:line="360" w:lineRule="auto"/>
        <w:ind w:left="3600"/>
        <w:jc w:val="both"/>
        <w:rPr>
          <w:rFonts w:ascii="Arial" w:hAnsi="Arial" w:cs="Arial"/>
          <w:b/>
          <w:bCs/>
        </w:rPr>
      </w:pPr>
    </w:p>
    <w:p w14:paraId="56F7AA68" w14:textId="77777777" w:rsidR="000177FB" w:rsidRDefault="000177FB" w:rsidP="00DA70F1">
      <w:pPr>
        <w:spacing w:line="360" w:lineRule="auto"/>
        <w:ind w:left="3600"/>
        <w:jc w:val="both"/>
        <w:rPr>
          <w:rFonts w:ascii="Arial" w:hAnsi="Arial" w:cs="Arial"/>
          <w:b/>
          <w:bCs/>
        </w:rPr>
      </w:pPr>
    </w:p>
    <w:p w14:paraId="273F2C07" w14:textId="77777777" w:rsidR="000177FB" w:rsidRDefault="000177FB" w:rsidP="00DA70F1">
      <w:pPr>
        <w:spacing w:line="360" w:lineRule="auto"/>
        <w:ind w:left="3600"/>
        <w:jc w:val="both"/>
        <w:rPr>
          <w:rFonts w:ascii="Arial" w:hAnsi="Arial" w:cs="Arial"/>
          <w:b/>
          <w:bCs/>
        </w:rPr>
      </w:pPr>
    </w:p>
    <w:p w14:paraId="422057CC" w14:textId="77777777" w:rsidR="000177FB" w:rsidRDefault="000177FB" w:rsidP="00DA70F1">
      <w:pPr>
        <w:spacing w:line="360" w:lineRule="auto"/>
        <w:ind w:left="3600"/>
        <w:jc w:val="both"/>
        <w:rPr>
          <w:rFonts w:ascii="Arial" w:hAnsi="Arial" w:cs="Arial"/>
          <w:b/>
          <w:bCs/>
        </w:rPr>
      </w:pPr>
    </w:p>
    <w:p w14:paraId="21F9989F" w14:textId="77777777" w:rsidR="000177FB" w:rsidRDefault="000177FB" w:rsidP="00DA70F1">
      <w:pPr>
        <w:spacing w:line="360" w:lineRule="auto"/>
        <w:ind w:left="3600"/>
        <w:jc w:val="both"/>
        <w:rPr>
          <w:rFonts w:ascii="Arial" w:hAnsi="Arial" w:cs="Arial"/>
          <w:b/>
          <w:bCs/>
        </w:rPr>
      </w:pPr>
    </w:p>
    <w:p w14:paraId="4E649D2C" w14:textId="77777777" w:rsidR="000177FB" w:rsidRDefault="000177FB" w:rsidP="00F54790">
      <w:pPr>
        <w:spacing w:line="360" w:lineRule="auto"/>
        <w:jc w:val="both"/>
        <w:rPr>
          <w:rFonts w:ascii="Arial" w:hAnsi="Arial" w:cs="Arial"/>
          <w:b/>
          <w:bCs/>
        </w:rPr>
      </w:pPr>
    </w:p>
    <w:p w14:paraId="2F75D54C" w14:textId="08F2E80E" w:rsidR="00342F8F" w:rsidRPr="003026F7" w:rsidRDefault="003026F7" w:rsidP="003026F7">
      <w:pPr>
        <w:spacing w:line="360" w:lineRule="auto"/>
        <w:jc w:val="both"/>
        <w:rPr>
          <w:rFonts w:ascii="Arial" w:hAnsi="Arial" w:cs="Arial"/>
          <w:b/>
          <w:bCs/>
        </w:rPr>
      </w:pPr>
      <w:r>
        <w:rPr>
          <w:rFonts w:ascii="Arial" w:hAnsi="Arial" w:cs="Arial"/>
          <w:b/>
          <w:bCs/>
        </w:rPr>
        <w:lastRenderedPageBreak/>
        <w:tab/>
      </w:r>
      <w:r>
        <w:rPr>
          <w:rFonts w:ascii="Arial" w:hAnsi="Arial" w:cs="Arial"/>
          <w:b/>
          <w:bCs/>
        </w:rPr>
        <w:tab/>
      </w:r>
      <w:r>
        <w:rPr>
          <w:rFonts w:ascii="Arial" w:hAnsi="Arial" w:cs="Arial"/>
          <w:b/>
          <w:bCs/>
        </w:rPr>
        <w:tab/>
      </w:r>
      <w:r>
        <w:rPr>
          <w:rFonts w:ascii="Arial" w:hAnsi="Arial" w:cs="Arial"/>
          <w:b/>
          <w:bCs/>
        </w:rPr>
        <w:tab/>
      </w:r>
      <w:r w:rsidR="008E147C">
        <w:rPr>
          <w:rFonts w:ascii="Arial" w:hAnsi="Arial" w:cs="Arial"/>
          <w:b/>
          <w:bCs/>
        </w:rPr>
        <w:t>Abstract</w:t>
      </w:r>
      <w:r w:rsidR="00DA70F1">
        <w:tab/>
      </w:r>
    </w:p>
    <w:p w14:paraId="6DFFC0FE" w14:textId="3711F730" w:rsidR="00654364" w:rsidRPr="00CF6F77" w:rsidRDefault="001C6568" w:rsidP="00CF6F77">
      <w:pPr>
        <w:spacing w:line="360" w:lineRule="auto"/>
        <w:ind w:firstLine="720"/>
        <w:jc w:val="both"/>
        <w:rPr>
          <w:rFonts w:ascii="Arial" w:hAnsi="Arial" w:cs="Arial"/>
        </w:rPr>
      </w:pPr>
      <w:r w:rsidRPr="001C6568">
        <w:rPr>
          <w:rFonts w:ascii="Arial" w:hAnsi="Arial" w:cs="Arial"/>
        </w:rPr>
        <w:t xml:space="preserve">This report analyses how SDG </w:t>
      </w:r>
      <w:r w:rsidR="00F46454">
        <w:rPr>
          <w:rFonts w:ascii="Arial" w:hAnsi="Arial" w:cs="Arial"/>
        </w:rPr>
        <w:t xml:space="preserve">3 </w:t>
      </w:r>
      <w:r w:rsidRPr="001C6568">
        <w:rPr>
          <w:rFonts w:ascii="Arial" w:hAnsi="Arial" w:cs="Arial"/>
        </w:rPr>
        <w:t>an</w:t>
      </w:r>
      <w:r w:rsidR="00F46454">
        <w:rPr>
          <w:rFonts w:ascii="Arial" w:hAnsi="Arial" w:cs="Arial"/>
        </w:rPr>
        <w:t>d</w:t>
      </w:r>
      <w:r w:rsidRPr="001C6568">
        <w:rPr>
          <w:rFonts w:ascii="Arial" w:hAnsi="Arial" w:cs="Arial"/>
        </w:rPr>
        <w:t xml:space="preserve"> SDG 10 interact to shape health outcomes globally</w:t>
      </w:r>
      <w:r w:rsidR="009B26E2">
        <w:rPr>
          <w:rFonts w:ascii="Arial" w:hAnsi="Arial" w:cs="Arial"/>
        </w:rPr>
        <w:t>,</w:t>
      </w:r>
      <w:r w:rsidRPr="001C6568">
        <w:rPr>
          <w:rFonts w:ascii="Arial" w:hAnsi="Arial" w:cs="Arial"/>
        </w:rPr>
        <w:t xml:space="preserve"> nationally </w:t>
      </w:r>
      <w:r w:rsidR="009B26E2">
        <w:rPr>
          <w:rFonts w:ascii="Arial" w:hAnsi="Arial" w:cs="Arial"/>
        </w:rPr>
        <w:t>(</w:t>
      </w:r>
      <w:r w:rsidR="00973515" w:rsidRPr="001C6568">
        <w:rPr>
          <w:rFonts w:ascii="Arial" w:hAnsi="Arial" w:cs="Arial"/>
        </w:rPr>
        <w:t>UK) and</w:t>
      </w:r>
      <w:r w:rsidRPr="001C6568">
        <w:rPr>
          <w:rFonts w:ascii="Arial" w:hAnsi="Arial" w:cs="Arial"/>
        </w:rPr>
        <w:t xml:space="preserve"> locally </w:t>
      </w:r>
      <w:r w:rsidR="009B26E2">
        <w:rPr>
          <w:rFonts w:ascii="Arial" w:hAnsi="Arial" w:cs="Arial"/>
        </w:rPr>
        <w:t>(</w:t>
      </w:r>
      <w:r w:rsidRPr="001C6568">
        <w:rPr>
          <w:rFonts w:ascii="Arial" w:hAnsi="Arial" w:cs="Arial"/>
        </w:rPr>
        <w:t>Northampton</w:t>
      </w:r>
      <w:r w:rsidR="00973515">
        <w:rPr>
          <w:rFonts w:ascii="Arial" w:hAnsi="Arial" w:cs="Arial"/>
        </w:rPr>
        <w:t>).</w:t>
      </w:r>
      <w:r w:rsidRPr="001C6568">
        <w:rPr>
          <w:rFonts w:ascii="Arial" w:hAnsi="Arial" w:cs="Arial"/>
        </w:rPr>
        <w:t xml:space="preserve"> </w:t>
      </w:r>
      <w:r w:rsidR="00973515">
        <w:rPr>
          <w:rFonts w:ascii="Arial" w:hAnsi="Arial" w:cs="Arial"/>
        </w:rPr>
        <w:t>It</w:t>
      </w:r>
      <w:r w:rsidRPr="001C6568">
        <w:rPr>
          <w:rFonts w:ascii="Arial" w:hAnsi="Arial" w:cs="Arial"/>
        </w:rPr>
        <w:t xml:space="preserve"> evaluates current initiatives</w:t>
      </w:r>
      <w:r w:rsidR="00973515">
        <w:rPr>
          <w:rFonts w:ascii="Arial" w:hAnsi="Arial" w:cs="Arial"/>
        </w:rPr>
        <w:t>,</w:t>
      </w:r>
      <w:r w:rsidRPr="001C6568">
        <w:rPr>
          <w:rFonts w:ascii="Arial" w:hAnsi="Arial" w:cs="Arial"/>
        </w:rPr>
        <w:t xml:space="preserve"> identifies progress and inequalities</w:t>
      </w:r>
      <w:r w:rsidR="003A65FF">
        <w:rPr>
          <w:rFonts w:ascii="Arial" w:hAnsi="Arial" w:cs="Arial"/>
        </w:rPr>
        <w:t>,</w:t>
      </w:r>
      <w:r w:rsidRPr="001C6568">
        <w:rPr>
          <w:rFonts w:ascii="Arial" w:hAnsi="Arial" w:cs="Arial"/>
        </w:rPr>
        <w:t xml:space="preserve"> and proposes recommendations to strengthen the policy integration for sustainable HealthEquity</w:t>
      </w:r>
      <w:r w:rsidR="002E5929">
        <w:rPr>
          <w:rFonts w:ascii="Arial" w:hAnsi="Arial" w:cs="Arial"/>
        </w:rPr>
        <w:t xml:space="preserve">. </w:t>
      </w:r>
    </w:p>
    <w:p w14:paraId="3FBA7C1B" w14:textId="12F9DEF3" w:rsidR="001C53E0" w:rsidRPr="00EC4F6F" w:rsidRDefault="002E5929" w:rsidP="00EC4F6F">
      <w:pPr>
        <w:spacing w:line="360" w:lineRule="auto"/>
        <w:ind w:firstLine="720"/>
        <w:jc w:val="both"/>
        <w:rPr>
          <w:rFonts w:ascii="Arial" w:hAnsi="Arial" w:cs="Arial"/>
        </w:rPr>
      </w:pPr>
      <w:r>
        <w:rPr>
          <w:rFonts w:ascii="Arial" w:hAnsi="Arial" w:cs="Arial"/>
        </w:rPr>
        <w:t>Findings</w:t>
      </w:r>
      <w:r w:rsidR="001C6568" w:rsidRPr="001C6568">
        <w:rPr>
          <w:rFonts w:ascii="Arial" w:hAnsi="Arial" w:cs="Arial"/>
        </w:rPr>
        <w:t xml:space="preserve"> show that while policies recognise health inequality links</w:t>
      </w:r>
      <w:r w:rsidR="000552D2">
        <w:rPr>
          <w:rFonts w:ascii="Arial" w:hAnsi="Arial" w:cs="Arial"/>
        </w:rPr>
        <w:t>,</w:t>
      </w:r>
      <w:r w:rsidR="001C6568" w:rsidRPr="001C6568">
        <w:rPr>
          <w:rFonts w:ascii="Arial" w:hAnsi="Arial" w:cs="Arial"/>
        </w:rPr>
        <w:t xml:space="preserve"> </w:t>
      </w:r>
      <w:r w:rsidR="00E10F9C" w:rsidRPr="001C6568">
        <w:rPr>
          <w:rFonts w:ascii="Arial" w:hAnsi="Arial" w:cs="Arial"/>
        </w:rPr>
        <w:t>gaps</w:t>
      </w:r>
      <w:r w:rsidR="00E10F9C">
        <w:rPr>
          <w:rFonts w:ascii="Arial" w:hAnsi="Arial" w:cs="Arial"/>
        </w:rPr>
        <w:t>,</w:t>
      </w:r>
      <w:r w:rsidR="00E10F9C" w:rsidRPr="001C6568">
        <w:rPr>
          <w:rFonts w:ascii="Arial" w:hAnsi="Arial" w:cs="Arial"/>
        </w:rPr>
        <w:t xml:space="preserve"> </w:t>
      </w:r>
      <w:r w:rsidR="00E10F9C">
        <w:rPr>
          <w:rFonts w:ascii="Arial" w:hAnsi="Arial" w:cs="Arial"/>
        </w:rPr>
        <w:t>funding</w:t>
      </w:r>
      <w:r w:rsidR="001C6568" w:rsidRPr="001C6568">
        <w:rPr>
          <w:rFonts w:ascii="Arial" w:hAnsi="Arial" w:cs="Arial"/>
        </w:rPr>
        <w:t xml:space="preserve"> issues</w:t>
      </w:r>
      <w:r w:rsidR="00973515">
        <w:rPr>
          <w:rFonts w:ascii="Arial" w:hAnsi="Arial" w:cs="Arial"/>
        </w:rPr>
        <w:t>,</w:t>
      </w:r>
      <w:r w:rsidR="001C6568" w:rsidRPr="001C6568">
        <w:rPr>
          <w:rFonts w:ascii="Arial" w:hAnsi="Arial" w:cs="Arial"/>
        </w:rPr>
        <w:t xml:space="preserve"> and disparities limit impact</w:t>
      </w:r>
      <w:r w:rsidR="00E10F9C">
        <w:rPr>
          <w:rFonts w:ascii="Arial" w:hAnsi="Arial" w:cs="Arial"/>
        </w:rPr>
        <w:t>.</w:t>
      </w:r>
      <w:r w:rsidR="001C6568" w:rsidRPr="001C6568">
        <w:rPr>
          <w:rFonts w:ascii="Arial" w:hAnsi="Arial" w:cs="Arial"/>
        </w:rPr>
        <w:t xml:space="preserve"> </w:t>
      </w:r>
      <w:r w:rsidR="00E10F9C">
        <w:rPr>
          <w:rFonts w:ascii="Arial" w:hAnsi="Arial" w:cs="Arial"/>
        </w:rPr>
        <w:t>The</w:t>
      </w:r>
      <w:r w:rsidR="001C6568" w:rsidRPr="001C6568">
        <w:rPr>
          <w:rFonts w:ascii="Arial" w:hAnsi="Arial" w:cs="Arial"/>
        </w:rPr>
        <w:t xml:space="preserve"> report proposes </w:t>
      </w:r>
      <w:r w:rsidR="00E10F9C">
        <w:rPr>
          <w:rFonts w:ascii="Arial" w:hAnsi="Arial" w:cs="Arial"/>
        </w:rPr>
        <w:t>evidence-based</w:t>
      </w:r>
      <w:r w:rsidR="001C6568" w:rsidRPr="001C6568">
        <w:rPr>
          <w:rFonts w:ascii="Arial" w:hAnsi="Arial" w:cs="Arial"/>
        </w:rPr>
        <w:t xml:space="preserve"> recommendations to strengthen policy integration and improve sustainable health outcomes across levels</w:t>
      </w:r>
      <w:r w:rsidR="00E10F9C">
        <w:rPr>
          <w:rFonts w:ascii="Arial" w:hAnsi="Arial" w:cs="Arial"/>
        </w:rPr>
        <w:t>.</w:t>
      </w:r>
    </w:p>
    <w:p w14:paraId="5C807823" w14:textId="57D57623" w:rsidR="00342F8F" w:rsidRDefault="00342F8F" w:rsidP="00342F8F">
      <w:pPr>
        <w:spacing w:line="360" w:lineRule="auto"/>
        <w:jc w:val="both"/>
        <w:rPr>
          <w:rFonts w:ascii="Arial" w:hAnsi="Arial" w:cs="Arial"/>
        </w:rPr>
      </w:pPr>
    </w:p>
    <w:p w14:paraId="04CFC2CC" w14:textId="77777777" w:rsidR="00342F8F" w:rsidRDefault="00342F8F" w:rsidP="00342F8F">
      <w:pPr>
        <w:spacing w:line="360" w:lineRule="auto"/>
        <w:jc w:val="both"/>
        <w:rPr>
          <w:rFonts w:ascii="Arial" w:hAnsi="Arial" w:cs="Arial"/>
        </w:rPr>
      </w:pPr>
    </w:p>
    <w:p w14:paraId="45BBE6C6" w14:textId="7E2947E3" w:rsidR="00CC09A3" w:rsidRDefault="00CC09A3" w:rsidP="00FB416F">
      <w:pPr>
        <w:pStyle w:val="TOCHeading"/>
      </w:pPr>
    </w:p>
    <w:p w14:paraId="1F18C3FE" w14:textId="4FF35E56" w:rsidR="0014752E" w:rsidRPr="00D43C6A" w:rsidRDefault="00596EB8" w:rsidP="00D43C6A">
      <w:pPr>
        <w:pStyle w:val="ListParagraph"/>
        <w:numPr>
          <w:ilvl w:val="0"/>
          <w:numId w:val="13"/>
        </w:numPr>
        <w:spacing w:line="360" w:lineRule="auto"/>
        <w:jc w:val="both"/>
        <w:rPr>
          <w:rFonts w:ascii="Arial" w:hAnsi="Arial" w:cs="Arial"/>
          <w:b/>
          <w:bCs/>
        </w:rPr>
      </w:pPr>
      <w:r w:rsidRPr="00D43C6A">
        <w:rPr>
          <w:rFonts w:ascii="Arial" w:hAnsi="Arial" w:cs="Arial"/>
          <w:b/>
          <w:bCs/>
        </w:rPr>
        <w:t>Introduction</w:t>
      </w:r>
    </w:p>
    <w:p w14:paraId="0382E762" w14:textId="6BCCFEC6" w:rsidR="00D43C6A" w:rsidRPr="00D43C6A" w:rsidRDefault="00D43C6A" w:rsidP="00D43C6A">
      <w:pPr>
        <w:spacing w:line="360" w:lineRule="auto"/>
        <w:jc w:val="both"/>
        <w:rPr>
          <w:rFonts w:ascii="Arial" w:hAnsi="Arial" w:cs="Arial"/>
          <w:b/>
          <w:bCs/>
        </w:rPr>
      </w:pPr>
      <w:r>
        <w:rPr>
          <w:rFonts w:ascii="Arial" w:hAnsi="Arial" w:cs="Arial"/>
          <w:b/>
          <w:bCs/>
        </w:rPr>
        <w:t>1.1</w:t>
      </w:r>
      <w:r w:rsidR="001A021E">
        <w:rPr>
          <w:rFonts w:ascii="Arial" w:hAnsi="Arial" w:cs="Arial"/>
          <w:b/>
          <w:bCs/>
        </w:rPr>
        <w:t xml:space="preserve"> Background</w:t>
      </w:r>
    </w:p>
    <w:p w14:paraId="537962B1" w14:textId="77777777" w:rsidR="00FB14FA" w:rsidRDefault="00FB14FA" w:rsidP="00FB14FA">
      <w:pPr>
        <w:spacing w:line="360" w:lineRule="auto"/>
        <w:ind w:firstLine="720"/>
        <w:jc w:val="both"/>
        <w:rPr>
          <w:rFonts w:ascii="Arial" w:hAnsi="Arial" w:cs="Arial"/>
        </w:rPr>
      </w:pPr>
      <w:r w:rsidRPr="00FB14FA">
        <w:rPr>
          <w:rFonts w:ascii="Arial" w:hAnsi="Arial" w:cs="Arial"/>
        </w:rPr>
        <w:t>Health and wellbeing have become central priorities in global development policy following the adoption of the United Nations Sustainable Development Goals in 2015. SDG 3 seeks to ensure healthy lives and promote wellbeing for all ages, reflecting a shift from reactive healthcare systems toward prevention and equitable access to services. However, health outcomes are not determined solely by medical care but are also shaped by wider socioeconomic conditions such as income, employment, housing and education. These structural factors influence exposure to risk and access to resources, resulting in measurable inequalities in morbidity and life expectancy across populations (World Health Organization, 2023).</w:t>
      </w:r>
    </w:p>
    <w:p w14:paraId="72CC0EAB" w14:textId="199EE96E" w:rsidR="00FB14FA" w:rsidRPr="00592EA2" w:rsidRDefault="001A021E" w:rsidP="00592EA2">
      <w:pPr>
        <w:spacing w:line="360" w:lineRule="auto"/>
        <w:jc w:val="both"/>
        <w:rPr>
          <w:rFonts w:ascii="Arial" w:hAnsi="Arial" w:cs="Arial"/>
          <w:b/>
          <w:bCs/>
        </w:rPr>
      </w:pPr>
      <w:r w:rsidRPr="00EF1589">
        <w:rPr>
          <w:rFonts w:ascii="Arial" w:hAnsi="Arial" w:cs="Arial"/>
          <w:b/>
          <w:bCs/>
        </w:rPr>
        <w:t>1.2</w:t>
      </w:r>
      <w:r w:rsidR="00EF1589" w:rsidRPr="00EF1589">
        <w:rPr>
          <w:rFonts w:ascii="Arial" w:hAnsi="Arial" w:cs="Arial"/>
          <w:b/>
          <w:bCs/>
        </w:rPr>
        <w:t xml:space="preserve"> Rationale</w:t>
      </w:r>
    </w:p>
    <w:p w14:paraId="2C4FF9C1" w14:textId="5E5CECDC" w:rsidR="004B28AC" w:rsidRDefault="0090175F" w:rsidP="00FB14FA">
      <w:pPr>
        <w:spacing w:line="360" w:lineRule="auto"/>
        <w:ind w:firstLine="720"/>
        <w:jc w:val="both"/>
        <w:rPr>
          <w:rFonts w:ascii="Arial" w:hAnsi="Arial" w:cs="Arial"/>
        </w:rPr>
      </w:pPr>
      <w:r w:rsidRPr="0090175F">
        <w:rPr>
          <w:rFonts w:ascii="Arial" w:hAnsi="Arial" w:cs="Arial"/>
        </w:rPr>
        <w:t xml:space="preserve"> </w:t>
      </w:r>
      <w:r w:rsidR="006B7CCB">
        <w:rPr>
          <w:rFonts w:ascii="Arial" w:hAnsi="Arial" w:cs="Arial"/>
        </w:rPr>
        <w:t>Despite</w:t>
      </w:r>
      <w:r w:rsidRPr="0090175F">
        <w:rPr>
          <w:rFonts w:ascii="Arial" w:hAnsi="Arial" w:cs="Arial"/>
        </w:rPr>
        <w:t xml:space="preserve"> equity pledges</w:t>
      </w:r>
      <w:r w:rsidR="00B45805">
        <w:rPr>
          <w:rFonts w:ascii="Arial" w:hAnsi="Arial" w:cs="Arial"/>
        </w:rPr>
        <w:t>,</w:t>
      </w:r>
      <w:r w:rsidRPr="0090175F">
        <w:rPr>
          <w:rFonts w:ascii="Arial" w:hAnsi="Arial" w:cs="Arial"/>
        </w:rPr>
        <w:t xml:space="preserve"> health gaps persist in </w:t>
      </w:r>
      <w:r w:rsidR="000B1074">
        <w:rPr>
          <w:rFonts w:ascii="Arial" w:hAnsi="Arial" w:cs="Arial"/>
        </w:rPr>
        <w:t>high-income</w:t>
      </w:r>
      <w:r w:rsidRPr="0090175F">
        <w:rPr>
          <w:rFonts w:ascii="Arial" w:hAnsi="Arial" w:cs="Arial"/>
        </w:rPr>
        <w:t xml:space="preserve"> countries</w:t>
      </w:r>
      <w:r w:rsidR="00B45805">
        <w:rPr>
          <w:rFonts w:ascii="Arial" w:hAnsi="Arial" w:cs="Arial"/>
        </w:rPr>
        <w:t>. In</w:t>
      </w:r>
      <w:r w:rsidRPr="0090175F">
        <w:rPr>
          <w:rFonts w:ascii="Arial" w:hAnsi="Arial" w:cs="Arial"/>
        </w:rPr>
        <w:t xml:space="preserve"> the UK</w:t>
      </w:r>
      <w:r w:rsidR="00B45805">
        <w:rPr>
          <w:rFonts w:ascii="Arial" w:hAnsi="Arial" w:cs="Arial"/>
        </w:rPr>
        <w:t>,</w:t>
      </w:r>
      <w:r w:rsidRPr="0090175F">
        <w:rPr>
          <w:rFonts w:ascii="Arial" w:hAnsi="Arial" w:cs="Arial"/>
        </w:rPr>
        <w:t xml:space="preserve"> the life expectancy gap between the most and least deprived communities has widened</w:t>
      </w:r>
      <w:r w:rsidR="0036402C">
        <w:rPr>
          <w:rFonts w:ascii="Arial" w:hAnsi="Arial" w:cs="Arial"/>
        </w:rPr>
        <w:t>,</w:t>
      </w:r>
      <w:r w:rsidRPr="0090175F">
        <w:rPr>
          <w:rFonts w:ascii="Arial" w:hAnsi="Arial" w:cs="Arial"/>
        </w:rPr>
        <w:t xml:space="preserve"> showing that healthcare alone is insufficient</w:t>
      </w:r>
      <w:r w:rsidR="0036402C">
        <w:rPr>
          <w:rFonts w:ascii="Arial" w:hAnsi="Arial" w:cs="Arial"/>
        </w:rPr>
        <w:t>.</w:t>
      </w:r>
      <w:r w:rsidRPr="0090175F">
        <w:rPr>
          <w:rFonts w:ascii="Arial" w:hAnsi="Arial" w:cs="Arial"/>
        </w:rPr>
        <w:t xml:space="preserve"> </w:t>
      </w:r>
      <w:r w:rsidR="000B1074">
        <w:rPr>
          <w:rFonts w:ascii="Arial" w:hAnsi="Arial" w:cs="Arial"/>
        </w:rPr>
        <w:t>Socio-economic</w:t>
      </w:r>
      <w:r w:rsidRPr="0090175F">
        <w:rPr>
          <w:rFonts w:ascii="Arial" w:hAnsi="Arial" w:cs="Arial"/>
        </w:rPr>
        <w:t xml:space="preserve"> disadvantage</w:t>
      </w:r>
      <w:r w:rsidR="000B1074">
        <w:rPr>
          <w:rFonts w:ascii="Arial" w:hAnsi="Arial" w:cs="Arial"/>
        </w:rPr>
        <w:t xml:space="preserve"> is </w:t>
      </w:r>
      <w:r w:rsidRPr="0090175F">
        <w:rPr>
          <w:rFonts w:ascii="Arial" w:hAnsi="Arial" w:cs="Arial"/>
        </w:rPr>
        <w:t xml:space="preserve">linked to poorer health and less preventive </w:t>
      </w:r>
      <w:r w:rsidR="00736807" w:rsidRPr="0090175F">
        <w:rPr>
          <w:rFonts w:ascii="Arial" w:hAnsi="Arial" w:cs="Arial"/>
        </w:rPr>
        <w:t>access</w:t>
      </w:r>
      <w:r w:rsidR="00736807">
        <w:rPr>
          <w:rFonts w:ascii="Arial" w:hAnsi="Arial" w:cs="Arial"/>
        </w:rPr>
        <w:t xml:space="preserve"> (</w:t>
      </w:r>
      <w:r w:rsidR="00594289">
        <w:rPr>
          <w:rFonts w:ascii="Arial" w:hAnsi="Arial" w:cs="Arial"/>
        </w:rPr>
        <w:t>Office</w:t>
      </w:r>
      <w:r w:rsidRPr="0090175F">
        <w:rPr>
          <w:rFonts w:ascii="Arial" w:hAnsi="Arial" w:cs="Arial"/>
        </w:rPr>
        <w:t xml:space="preserve"> for National Statistics</w:t>
      </w:r>
      <w:r w:rsidR="00594289">
        <w:rPr>
          <w:rFonts w:ascii="Arial" w:hAnsi="Arial" w:cs="Arial"/>
        </w:rPr>
        <w:t>,</w:t>
      </w:r>
      <w:r w:rsidRPr="0090175F">
        <w:rPr>
          <w:rFonts w:ascii="Arial" w:hAnsi="Arial" w:cs="Arial"/>
        </w:rPr>
        <w:t xml:space="preserve"> 2022</w:t>
      </w:r>
      <w:r w:rsidR="00594289">
        <w:rPr>
          <w:rFonts w:ascii="Arial" w:hAnsi="Arial" w:cs="Arial"/>
        </w:rPr>
        <w:t>).</w:t>
      </w:r>
      <w:r w:rsidRPr="0090175F">
        <w:rPr>
          <w:rFonts w:ascii="Arial" w:hAnsi="Arial" w:cs="Arial"/>
        </w:rPr>
        <w:t xml:space="preserve"> </w:t>
      </w:r>
      <w:r w:rsidR="00C31D24">
        <w:rPr>
          <w:rFonts w:ascii="Arial" w:hAnsi="Arial" w:cs="Arial"/>
        </w:rPr>
        <w:t>Analysing</w:t>
      </w:r>
      <w:r w:rsidRPr="0090175F">
        <w:rPr>
          <w:rFonts w:ascii="Arial" w:hAnsi="Arial" w:cs="Arial"/>
        </w:rPr>
        <w:t xml:space="preserve"> SDG </w:t>
      </w:r>
      <w:r w:rsidR="00C31D24">
        <w:rPr>
          <w:rFonts w:ascii="Arial" w:hAnsi="Arial" w:cs="Arial"/>
        </w:rPr>
        <w:t>3</w:t>
      </w:r>
      <w:r w:rsidRPr="0090175F">
        <w:rPr>
          <w:rFonts w:ascii="Arial" w:hAnsi="Arial" w:cs="Arial"/>
        </w:rPr>
        <w:t xml:space="preserve"> </w:t>
      </w:r>
      <w:r w:rsidR="00C31D24">
        <w:rPr>
          <w:rFonts w:ascii="Arial" w:hAnsi="Arial" w:cs="Arial"/>
        </w:rPr>
        <w:t>and</w:t>
      </w:r>
      <w:r w:rsidRPr="0090175F">
        <w:rPr>
          <w:rFonts w:ascii="Arial" w:hAnsi="Arial" w:cs="Arial"/>
        </w:rPr>
        <w:t xml:space="preserve"> SDG 10 clarifies whether policies address the root social and economic causes of disparities</w:t>
      </w:r>
      <w:r w:rsidR="006B7CCB">
        <w:rPr>
          <w:rFonts w:ascii="Arial" w:hAnsi="Arial" w:cs="Arial"/>
        </w:rPr>
        <w:t>.</w:t>
      </w:r>
    </w:p>
    <w:p w14:paraId="6BE1DD2E" w14:textId="50C04E2D" w:rsidR="00FB14FA" w:rsidRPr="00EC0DBA" w:rsidRDefault="00EF1589" w:rsidP="00592EA2">
      <w:pPr>
        <w:spacing w:line="360" w:lineRule="auto"/>
        <w:jc w:val="both"/>
        <w:rPr>
          <w:rFonts w:ascii="Arial" w:hAnsi="Arial" w:cs="Arial"/>
          <w:b/>
          <w:bCs/>
        </w:rPr>
      </w:pPr>
      <w:r w:rsidRPr="00EC0DBA">
        <w:rPr>
          <w:rFonts w:ascii="Arial" w:hAnsi="Arial" w:cs="Arial"/>
          <w:b/>
          <w:bCs/>
        </w:rPr>
        <w:t>1.3</w:t>
      </w:r>
      <w:r w:rsidR="00EC0DBA" w:rsidRPr="00EC0DBA">
        <w:rPr>
          <w:rFonts w:ascii="Arial" w:hAnsi="Arial" w:cs="Arial"/>
          <w:b/>
          <w:bCs/>
        </w:rPr>
        <w:t xml:space="preserve"> Aim and Objectives</w:t>
      </w:r>
    </w:p>
    <w:p w14:paraId="60870453" w14:textId="130F850F" w:rsidR="00D13394" w:rsidRDefault="00F45DEF" w:rsidP="00672607">
      <w:pPr>
        <w:spacing w:line="360" w:lineRule="auto"/>
        <w:ind w:firstLine="720"/>
        <w:jc w:val="both"/>
        <w:rPr>
          <w:rFonts w:ascii="Arial" w:hAnsi="Arial" w:cs="Arial"/>
        </w:rPr>
      </w:pPr>
      <w:r>
        <w:rPr>
          <w:rFonts w:ascii="Arial" w:hAnsi="Arial" w:cs="Arial"/>
        </w:rPr>
        <w:t>This report aims</w:t>
      </w:r>
      <w:r w:rsidR="00FB14FA" w:rsidRPr="00FB14FA">
        <w:rPr>
          <w:rFonts w:ascii="Arial" w:hAnsi="Arial" w:cs="Arial"/>
        </w:rPr>
        <w:t xml:space="preserve"> to critically analyse the interrelationship between SDG 3 (Good Health and Wellbeing) and SDG 10 (Reduced Inequalities) and evaluate their impact on citizens’ health outcomes at global, national and local levels. The objectives are to assess global </w:t>
      </w:r>
      <w:r w:rsidR="00FB14FA" w:rsidRPr="00FB14FA">
        <w:rPr>
          <w:rFonts w:ascii="Arial" w:hAnsi="Arial" w:cs="Arial"/>
        </w:rPr>
        <w:lastRenderedPageBreak/>
        <w:t>progress toward these goals, examine national policy approaches in the United Kingdom, analyse local initiatives within Northampton, and propose evidence-based recommendations for improving policy effectiveness in reducing health inequalities (United Nations, 2023).</w:t>
      </w:r>
    </w:p>
    <w:p w14:paraId="7B6A9EB9" w14:textId="77777777" w:rsidR="00126386" w:rsidRDefault="00126386" w:rsidP="00672607">
      <w:pPr>
        <w:spacing w:line="360" w:lineRule="auto"/>
        <w:ind w:firstLine="720"/>
        <w:jc w:val="both"/>
        <w:rPr>
          <w:rFonts w:ascii="Arial" w:hAnsi="Arial" w:cs="Arial"/>
        </w:rPr>
      </w:pPr>
    </w:p>
    <w:p w14:paraId="4FB6C396" w14:textId="39E95F6D" w:rsidR="00672607" w:rsidRPr="00B42432" w:rsidRDefault="00672607" w:rsidP="00B42432">
      <w:pPr>
        <w:spacing w:line="360" w:lineRule="auto"/>
        <w:ind w:firstLine="1440"/>
        <w:jc w:val="both"/>
        <w:rPr>
          <w:rFonts w:ascii="Arial" w:hAnsi="Arial" w:cs="Arial"/>
          <w:b/>
          <w:bCs/>
        </w:rPr>
      </w:pPr>
      <w:r w:rsidRPr="00B42432">
        <w:rPr>
          <w:rFonts w:ascii="Arial" w:hAnsi="Arial" w:cs="Arial"/>
          <w:b/>
          <w:bCs/>
        </w:rPr>
        <w:t>2.</w:t>
      </w:r>
      <w:r w:rsidR="00B42432" w:rsidRPr="00B42432">
        <w:rPr>
          <w:rFonts w:ascii="Arial" w:hAnsi="Arial" w:cs="Arial"/>
          <w:b/>
          <w:bCs/>
        </w:rPr>
        <w:t xml:space="preserve"> </w:t>
      </w:r>
      <w:r w:rsidRPr="00B42432">
        <w:rPr>
          <w:rFonts w:ascii="Arial" w:hAnsi="Arial" w:cs="Arial"/>
          <w:b/>
          <w:bCs/>
        </w:rPr>
        <w:t>Conceptual and Policy Framework</w:t>
      </w:r>
    </w:p>
    <w:p w14:paraId="62295AA2" w14:textId="77777777" w:rsidR="00943261" w:rsidRDefault="00943261" w:rsidP="00FC3973">
      <w:pPr>
        <w:spacing w:line="360" w:lineRule="auto"/>
        <w:jc w:val="both"/>
        <w:rPr>
          <w:rFonts w:ascii="Arial" w:hAnsi="Arial" w:cs="Arial"/>
        </w:rPr>
      </w:pPr>
    </w:p>
    <w:p w14:paraId="58882829" w14:textId="77777777" w:rsidR="00943261" w:rsidRPr="00943261" w:rsidRDefault="00943261" w:rsidP="00943261">
      <w:pPr>
        <w:spacing w:line="360" w:lineRule="auto"/>
        <w:ind w:firstLine="720"/>
        <w:jc w:val="both"/>
        <w:rPr>
          <w:rFonts w:ascii="Arial" w:hAnsi="Arial" w:cs="Arial"/>
        </w:rPr>
      </w:pPr>
      <w:r w:rsidRPr="00943261">
        <w:rPr>
          <w:rFonts w:ascii="Arial" w:hAnsi="Arial" w:cs="Arial"/>
        </w:rPr>
        <w:t>The Sustainable Development Goals represent an integrated global framework designed to address economic, social and environmental challenges simultaneously. Unlike earlier development agendas, the SDGs emphasise interdependence between goals and highlight that progress in one area is frequently dependent on progress in others. This integrated perspective recognises that health outcomes are influenced by wider social and economic conditions rather than by healthcare systems alone (United Nations, 2015).</w:t>
      </w:r>
    </w:p>
    <w:p w14:paraId="7A799FC2" w14:textId="23F589DA" w:rsidR="00943261" w:rsidRPr="00943261" w:rsidRDefault="00943261" w:rsidP="00943261">
      <w:pPr>
        <w:spacing w:line="360" w:lineRule="auto"/>
        <w:ind w:firstLine="720"/>
        <w:jc w:val="both"/>
        <w:rPr>
          <w:rFonts w:ascii="Arial" w:hAnsi="Arial" w:cs="Arial"/>
        </w:rPr>
      </w:pPr>
      <w:r w:rsidRPr="00943261">
        <w:rPr>
          <w:rFonts w:ascii="Arial" w:hAnsi="Arial" w:cs="Arial"/>
        </w:rPr>
        <w:t xml:space="preserve">Within this framework, SDG 3 focuses on ensuring healthy lives and promoting </w:t>
      </w:r>
      <w:r w:rsidR="008A19C0">
        <w:rPr>
          <w:rFonts w:ascii="Arial" w:hAnsi="Arial" w:cs="Arial"/>
        </w:rPr>
        <w:t xml:space="preserve">well-being through targets such as universal health coverage, improved maternal health, mental health support, and the </w:t>
      </w:r>
      <w:r w:rsidRPr="00943261">
        <w:rPr>
          <w:rFonts w:ascii="Arial" w:hAnsi="Arial" w:cs="Arial"/>
        </w:rPr>
        <w:t>prevention of non-communicable diseases. However, expanding health services does not automatically guarantee equitable health outcomes if underlying inequalities persist. Evidence shows that populations experiencing poverty, unstable employment or inadequate housing face higher exposure to health risks and lower access to preventative services (World Health Organization, 2022).</w:t>
      </w:r>
    </w:p>
    <w:p w14:paraId="26F2C0C7" w14:textId="023E1E0A" w:rsidR="00943261" w:rsidRPr="00943261" w:rsidRDefault="00943261" w:rsidP="00943261">
      <w:pPr>
        <w:spacing w:line="360" w:lineRule="auto"/>
        <w:ind w:firstLine="720"/>
        <w:jc w:val="both"/>
        <w:rPr>
          <w:rFonts w:ascii="Arial" w:hAnsi="Arial" w:cs="Arial"/>
        </w:rPr>
      </w:pPr>
      <w:r w:rsidRPr="00943261">
        <w:rPr>
          <w:rFonts w:ascii="Arial" w:hAnsi="Arial" w:cs="Arial"/>
        </w:rPr>
        <w:t>SDG 10 therefore</w:t>
      </w:r>
      <w:r w:rsidR="008A19C0">
        <w:rPr>
          <w:rFonts w:ascii="Arial" w:hAnsi="Arial" w:cs="Arial"/>
        </w:rPr>
        <w:t>,</w:t>
      </w:r>
      <w:r w:rsidRPr="00943261">
        <w:rPr>
          <w:rFonts w:ascii="Arial" w:hAnsi="Arial" w:cs="Arial"/>
        </w:rPr>
        <w:t xml:space="preserve"> plays a crucial complementary role by addressing structural inequalities in income distribution, social inclusion and access to opportunities. Economic inequality can shape health outcomes indirectly through pathways such as stress exposure, reduced access to education and limited social mobility. Research indicates that societies with higher inequality often experience poorer population health outcomes even when average national income levels are relatively high (Wilkinson and Pickett, 2018).</w:t>
      </w:r>
    </w:p>
    <w:p w14:paraId="49DA49F7" w14:textId="77777777" w:rsidR="00943261" w:rsidRPr="00943261" w:rsidRDefault="00943261" w:rsidP="00943261">
      <w:pPr>
        <w:spacing w:line="360" w:lineRule="auto"/>
        <w:ind w:firstLine="720"/>
        <w:jc w:val="both"/>
        <w:rPr>
          <w:rFonts w:ascii="Arial" w:hAnsi="Arial" w:cs="Arial"/>
        </w:rPr>
      </w:pPr>
      <w:r w:rsidRPr="00943261">
        <w:rPr>
          <w:rFonts w:ascii="Arial" w:hAnsi="Arial" w:cs="Arial"/>
        </w:rPr>
        <w:t>The relationship between these goals is further explained through the Social Determinants of Health framework. The Dahlgren and Whitehead model demonstrates that health outcomes are shaped by multiple layers of influence, including lifestyle factors, social networks, living conditions and broader economic structures. This perspective highlights that health inequalities arise from systematic differences in exposure to risk rather than simply individual behavioural choices (Dahlgren and Whitehead, 1991).</w:t>
      </w:r>
    </w:p>
    <w:p w14:paraId="1C1CB9F3" w14:textId="1DE5B7FA" w:rsidR="00AE2479" w:rsidRDefault="00AE2479" w:rsidP="00AE2479">
      <w:pPr>
        <w:spacing w:line="360" w:lineRule="auto"/>
        <w:ind w:firstLine="720"/>
        <w:jc w:val="center"/>
        <w:rPr>
          <w:rFonts w:ascii="Arial" w:hAnsi="Arial" w:cs="Arial"/>
        </w:rPr>
      </w:pPr>
      <w:r>
        <w:rPr>
          <w:rFonts w:ascii="Arial" w:hAnsi="Arial" w:cs="Arial"/>
          <w:noProof/>
        </w:rPr>
        <w:lastRenderedPageBreak/>
        <w:drawing>
          <wp:inline distT="0" distB="0" distL="0" distR="0" wp14:anchorId="52C3D03F" wp14:editId="0DAB96B9">
            <wp:extent cx="3230451" cy="2184400"/>
            <wp:effectExtent l="0" t="0" r="8255" b="6350"/>
            <wp:docPr id="18995705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32253" cy="2185619"/>
                    </a:xfrm>
                    <a:prstGeom prst="rect">
                      <a:avLst/>
                    </a:prstGeom>
                    <a:noFill/>
                  </pic:spPr>
                </pic:pic>
              </a:graphicData>
            </a:graphic>
          </wp:inline>
        </w:drawing>
      </w:r>
    </w:p>
    <w:p w14:paraId="4EE86676" w14:textId="1142D035" w:rsidR="00AB65CE" w:rsidRDefault="006331B6" w:rsidP="0098780D">
      <w:pPr>
        <w:spacing w:line="360" w:lineRule="auto"/>
        <w:ind w:firstLine="720"/>
        <w:jc w:val="center"/>
        <w:rPr>
          <w:rFonts w:ascii="Arial" w:hAnsi="Arial" w:cs="Arial"/>
        </w:rPr>
      </w:pPr>
      <w:r w:rsidRPr="006331B6">
        <w:rPr>
          <w:rFonts w:ascii="Arial" w:hAnsi="Arial" w:cs="Arial"/>
        </w:rPr>
        <w:t>Figure 1: The Social Determinants of Health Model (Dahlgren &amp; Whitehead, 1991)</w:t>
      </w:r>
      <w:r w:rsidR="0098780D">
        <w:rPr>
          <w:rFonts w:ascii="Arial" w:hAnsi="Arial" w:cs="Arial"/>
        </w:rPr>
        <w:t>.</w:t>
      </w:r>
    </w:p>
    <w:p w14:paraId="1361B778" w14:textId="02E8207D" w:rsidR="0098780D" w:rsidRPr="00012210" w:rsidRDefault="0098780D" w:rsidP="0098780D">
      <w:pPr>
        <w:spacing w:line="360" w:lineRule="auto"/>
        <w:ind w:firstLine="720"/>
        <w:jc w:val="center"/>
        <w:rPr>
          <w:rFonts w:ascii="Arial" w:hAnsi="Arial" w:cs="Arial"/>
          <w:b/>
          <w:bCs/>
        </w:rPr>
      </w:pPr>
      <w:r w:rsidRPr="00012210">
        <w:rPr>
          <w:rFonts w:ascii="Arial" w:hAnsi="Arial" w:cs="Arial"/>
          <w:b/>
          <w:bCs/>
        </w:rPr>
        <w:t>3.</w:t>
      </w:r>
      <w:r w:rsidR="00012210" w:rsidRPr="00012210">
        <w:rPr>
          <w:rFonts w:ascii="Arial" w:hAnsi="Arial" w:cs="Arial"/>
          <w:b/>
          <w:bCs/>
        </w:rPr>
        <w:t xml:space="preserve"> </w:t>
      </w:r>
      <w:r w:rsidRPr="00012210">
        <w:rPr>
          <w:rFonts w:ascii="Arial" w:hAnsi="Arial" w:cs="Arial"/>
          <w:b/>
          <w:bCs/>
        </w:rPr>
        <w:t>Global Perspective</w:t>
      </w:r>
    </w:p>
    <w:p w14:paraId="26AB3BFD" w14:textId="77777777" w:rsidR="00AB65CE" w:rsidRPr="00AB65CE" w:rsidRDefault="00AB65CE" w:rsidP="00AB65CE">
      <w:pPr>
        <w:pStyle w:val="ListParagraph"/>
        <w:ind w:left="1480"/>
      </w:pPr>
    </w:p>
    <w:p w14:paraId="108578EA" w14:textId="1C0611A4" w:rsidR="00F72A52" w:rsidRPr="00F72A52" w:rsidRDefault="00F72A52" w:rsidP="00F72A52">
      <w:pPr>
        <w:spacing w:line="360" w:lineRule="auto"/>
        <w:ind w:firstLine="720"/>
        <w:jc w:val="both"/>
        <w:rPr>
          <w:rFonts w:ascii="Arial" w:hAnsi="Arial" w:cs="Arial"/>
        </w:rPr>
      </w:pPr>
      <w:r w:rsidRPr="00F72A52">
        <w:rPr>
          <w:rFonts w:ascii="Arial" w:hAnsi="Arial" w:cs="Arial"/>
        </w:rPr>
        <w:t>Global progress toward SDG 3 has been uneven. Improvements in health indicators</w:t>
      </w:r>
      <w:r w:rsidR="00012210">
        <w:rPr>
          <w:rFonts w:ascii="Arial" w:hAnsi="Arial" w:cs="Arial"/>
        </w:rPr>
        <w:t>, such as child and maternal mortality, have been observed</w:t>
      </w:r>
      <w:r w:rsidRPr="00F72A52">
        <w:rPr>
          <w:rFonts w:ascii="Arial" w:hAnsi="Arial" w:cs="Arial"/>
        </w:rPr>
        <w:t xml:space="preserve"> over the past two decades, reflecting expanded access to essential healthcare services and immunisation programmes. These gains demonstrate the potential of coordinated international policy initiatives to improve health outcomes at scale (United Nations, 2023).</w:t>
      </w:r>
    </w:p>
    <w:p w14:paraId="6B7C66AC" w14:textId="3BC784BE" w:rsidR="00F72A52" w:rsidRPr="00F72A52" w:rsidRDefault="00F72A52" w:rsidP="00F72A52">
      <w:pPr>
        <w:spacing w:line="360" w:lineRule="auto"/>
        <w:ind w:firstLine="720"/>
        <w:jc w:val="both"/>
        <w:rPr>
          <w:rFonts w:ascii="Arial" w:hAnsi="Arial" w:cs="Arial"/>
        </w:rPr>
      </w:pPr>
      <w:r w:rsidRPr="00F72A52">
        <w:rPr>
          <w:rFonts w:ascii="Arial" w:hAnsi="Arial" w:cs="Arial"/>
        </w:rPr>
        <w:t>However, aggregate global indicators can mask substantial disparities between countries. Life expectancy, access to specialist healthcare</w:t>
      </w:r>
      <w:r w:rsidR="008A19C0">
        <w:rPr>
          <w:rFonts w:ascii="Arial" w:hAnsi="Arial" w:cs="Arial"/>
        </w:rPr>
        <w:t>, and the density of trained health professionals remain significantly higher in high-income countries than in</w:t>
      </w:r>
      <w:r w:rsidRPr="00F72A52">
        <w:rPr>
          <w:rFonts w:ascii="Arial" w:hAnsi="Arial" w:cs="Arial"/>
        </w:rPr>
        <w:t xml:space="preserve"> low-income regions. In many developing contexts, preventable diseases continue to account for a large proportion of mortality due to limited infrastructure and under-resourced health systems (World Bank, 2022).</w:t>
      </w:r>
    </w:p>
    <w:p w14:paraId="1E7BC122" w14:textId="77777777" w:rsidR="00F72A52" w:rsidRPr="00F72A52" w:rsidRDefault="00F72A52" w:rsidP="00F72A52">
      <w:pPr>
        <w:spacing w:line="360" w:lineRule="auto"/>
        <w:ind w:firstLine="720"/>
        <w:jc w:val="both"/>
        <w:rPr>
          <w:rFonts w:ascii="Arial" w:hAnsi="Arial" w:cs="Arial"/>
        </w:rPr>
      </w:pPr>
      <w:r w:rsidRPr="00F72A52">
        <w:rPr>
          <w:rFonts w:ascii="Arial" w:hAnsi="Arial" w:cs="Arial"/>
        </w:rPr>
        <w:t>The COVID-19 pandemic further exposed these inequalities by revealing disparities in vaccine access, healthcare capacity and economic resilience. Countries with stronger welfare systems and social protection mechanisms were able to mitigate health impacts more effectively, demonstrating how health outcomes are strongly influenced by economic and social policy structures rather than healthcare provision alone (World Health Organization, 2023b).</w:t>
      </w:r>
    </w:p>
    <w:p w14:paraId="0CACF784" w14:textId="77777777" w:rsidR="00F72A52" w:rsidRPr="00F72A52" w:rsidRDefault="00F72A52" w:rsidP="00F72A52">
      <w:pPr>
        <w:spacing w:line="360" w:lineRule="auto"/>
        <w:ind w:firstLine="720"/>
        <w:jc w:val="both"/>
        <w:rPr>
          <w:rFonts w:ascii="Arial" w:hAnsi="Arial" w:cs="Arial"/>
        </w:rPr>
      </w:pPr>
      <w:r w:rsidRPr="00F72A52">
        <w:rPr>
          <w:rFonts w:ascii="Arial" w:hAnsi="Arial" w:cs="Arial"/>
        </w:rPr>
        <w:t xml:space="preserve">Macroeconomic pressures also shape global health outcomes. Debt burdens, fiscal constraints and austerity policies in low-income countries can limit public investment in healthcare and social protection programmes. When government spending is restricted, </w:t>
      </w:r>
      <w:r w:rsidRPr="00F72A52">
        <w:rPr>
          <w:rFonts w:ascii="Arial" w:hAnsi="Arial" w:cs="Arial"/>
        </w:rPr>
        <w:lastRenderedPageBreak/>
        <w:t>preventative health initiatives and health infrastructure development are often reduced, undermining long-term health resilience (International Monetary Fund, 2021).</w:t>
      </w:r>
    </w:p>
    <w:p w14:paraId="46715198" w14:textId="68C24DAD" w:rsidR="006331B6" w:rsidRDefault="006331B6" w:rsidP="006331B6">
      <w:pPr>
        <w:spacing w:line="360" w:lineRule="auto"/>
        <w:ind w:firstLine="720"/>
        <w:jc w:val="center"/>
        <w:rPr>
          <w:rFonts w:ascii="Arial" w:hAnsi="Arial" w:cs="Arial"/>
        </w:rPr>
      </w:pPr>
      <w:r>
        <w:rPr>
          <w:noProof/>
        </w:rPr>
        <w:drawing>
          <wp:inline distT="0" distB="0" distL="0" distR="0" wp14:anchorId="38F82C9C" wp14:editId="40E2E13E">
            <wp:extent cx="3470910" cy="2449941"/>
            <wp:effectExtent l="0" t="0" r="0" b="7620"/>
            <wp:docPr id="1343200272" name="Picture 3" descr="Inequality in life expectancy,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equality in life expectancy, 20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74278" cy="2452318"/>
                    </a:xfrm>
                    <a:prstGeom prst="rect">
                      <a:avLst/>
                    </a:prstGeom>
                    <a:noFill/>
                    <a:ln>
                      <a:noFill/>
                    </a:ln>
                  </pic:spPr>
                </pic:pic>
              </a:graphicData>
            </a:graphic>
          </wp:inline>
        </w:drawing>
      </w:r>
    </w:p>
    <w:p w14:paraId="0C426B67" w14:textId="4A2EC243" w:rsidR="00E733FD" w:rsidRDefault="00C0185C" w:rsidP="00504D1A">
      <w:pPr>
        <w:spacing w:line="360" w:lineRule="auto"/>
        <w:ind w:firstLine="720"/>
        <w:jc w:val="center"/>
        <w:rPr>
          <w:rFonts w:ascii="Arial" w:hAnsi="Arial" w:cs="Arial"/>
        </w:rPr>
      </w:pPr>
      <w:r w:rsidRPr="00C0185C">
        <w:rPr>
          <w:rFonts w:ascii="Arial" w:hAnsi="Arial" w:cs="Arial"/>
        </w:rPr>
        <w:t>Figure 2: Global disparities in life expectancy between high- and low-income countries (World Bank, 2022)</w:t>
      </w:r>
      <w:r w:rsidR="00504D1A">
        <w:rPr>
          <w:rFonts w:ascii="Arial" w:hAnsi="Arial" w:cs="Arial"/>
        </w:rPr>
        <w:t>.</w:t>
      </w:r>
    </w:p>
    <w:p w14:paraId="40793984" w14:textId="77777777" w:rsidR="00CC48EA" w:rsidRDefault="00CC48EA" w:rsidP="00504D1A">
      <w:pPr>
        <w:spacing w:line="360" w:lineRule="auto"/>
        <w:ind w:firstLine="720"/>
        <w:jc w:val="center"/>
        <w:rPr>
          <w:rFonts w:ascii="Arial" w:hAnsi="Arial" w:cs="Arial"/>
        </w:rPr>
      </w:pPr>
    </w:p>
    <w:p w14:paraId="5D183AC2" w14:textId="6A85721B" w:rsidR="00504D1A" w:rsidRDefault="00504D1A" w:rsidP="00504D1A">
      <w:pPr>
        <w:spacing w:line="360" w:lineRule="auto"/>
        <w:ind w:firstLine="720"/>
        <w:rPr>
          <w:rFonts w:ascii="Arial" w:hAnsi="Arial" w:cs="Arial"/>
          <w:b/>
          <w:bCs/>
        </w:rPr>
      </w:pPr>
      <w:r>
        <w:rPr>
          <w:rFonts w:ascii="Arial" w:hAnsi="Arial" w:cs="Arial"/>
        </w:rPr>
        <w:tab/>
      </w:r>
      <w:r>
        <w:rPr>
          <w:rFonts w:ascii="Arial" w:hAnsi="Arial" w:cs="Arial"/>
        </w:rPr>
        <w:tab/>
      </w:r>
      <w:r w:rsidR="005A00BC">
        <w:rPr>
          <w:rFonts w:ascii="Arial" w:hAnsi="Arial" w:cs="Arial"/>
        </w:rPr>
        <w:tab/>
      </w:r>
      <w:r w:rsidR="005A00BC" w:rsidRPr="00541F0A">
        <w:rPr>
          <w:rFonts w:ascii="Arial" w:hAnsi="Arial" w:cs="Arial"/>
          <w:b/>
          <w:bCs/>
        </w:rPr>
        <w:t>4.</w:t>
      </w:r>
      <w:r w:rsidR="00541F0A">
        <w:rPr>
          <w:rFonts w:ascii="Arial" w:hAnsi="Arial" w:cs="Arial"/>
          <w:b/>
          <w:bCs/>
        </w:rPr>
        <w:t xml:space="preserve"> </w:t>
      </w:r>
      <w:r w:rsidR="005A00BC" w:rsidRPr="00541F0A">
        <w:rPr>
          <w:rFonts w:ascii="Arial" w:hAnsi="Arial" w:cs="Arial"/>
          <w:b/>
          <w:bCs/>
        </w:rPr>
        <w:t xml:space="preserve">National </w:t>
      </w:r>
      <w:r w:rsidR="00541F0A" w:rsidRPr="00541F0A">
        <w:rPr>
          <w:rFonts w:ascii="Arial" w:hAnsi="Arial" w:cs="Arial"/>
          <w:b/>
          <w:bCs/>
        </w:rPr>
        <w:t>Context (</w:t>
      </w:r>
      <w:r w:rsidR="005A00BC" w:rsidRPr="00541F0A">
        <w:rPr>
          <w:rFonts w:ascii="Arial" w:hAnsi="Arial" w:cs="Arial"/>
          <w:b/>
          <w:bCs/>
        </w:rPr>
        <w:t>UK).</w:t>
      </w:r>
    </w:p>
    <w:p w14:paraId="72FABDBE" w14:textId="77777777" w:rsidR="00CC48EA" w:rsidRPr="00541F0A" w:rsidRDefault="00CC48EA" w:rsidP="00504D1A">
      <w:pPr>
        <w:spacing w:line="360" w:lineRule="auto"/>
        <w:ind w:firstLine="720"/>
        <w:rPr>
          <w:rFonts w:ascii="Arial" w:hAnsi="Arial" w:cs="Arial"/>
          <w:b/>
          <w:bCs/>
        </w:rPr>
      </w:pPr>
    </w:p>
    <w:p w14:paraId="3653EA62" w14:textId="77777777" w:rsidR="00BA3D9B" w:rsidRPr="00BA3D9B" w:rsidRDefault="00BA3D9B" w:rsidP="00541F0A">
      <w:pPr>
        <w:spacing w:line="360" w:lineRule="auto"/>
        <w:ind w:firstLine="720"/>
        <w:jc w:val="both"/>
        <w:rPr>
          <w:rFonts w:ascii="Arial" w:hAnsi="Arial" w:cs="Arial"/>
        </w:rPr>
      </w:pPr>
      <w:r w:rsidRPr="00BA3D9B">
        <w:rPr>
          <w:rFonts w:ascii="Arial" w:hAnsi="Arial" w:cs="Arial"/>
        </w:rPr>
        <w:t>Health inequalities remain a persistent challenge within the United Kingdom despite the presence of a universal healthcare system. Recent data indicate significant differences in both life expectancy and healthy life expectancy between the most and least deprived areas, demonstrating that health outcomes continue to follow a strong socioeconomic gradient (Office for National Statistics, 2025).</w:t>
      </w:r>
    </w:p>
    <w:p w14:paraId="4C5373C3" w14:textId="1DDB5763" w:rsidR="00BA3D9B" w:rsidRPr="00BA3D9B" w:rsidRDefault="00BA3D9B" w:rsidP="00BA3D9B">
      <w:pPr>
        <w:spacing w:line="360" w:lineRule="auto"/>
        <w:ind w:firstLine="720"/>
        <w:jc w:val="both"/>
        <w:rPr>
          <w:rFonts w:ascii="Arial" w:hAnsi="Arial" w:cs="Arial"/>
        </w:rPr>
      </w:pPr>
      <w:r w:rsidRPr="00BA3D9B">
        <w:rPr>
          <w:rFonts w:ascii="Arial" w:hAnsi="Arial" w:cs="Arial"/>
        </w:rPr>
        <w:t xml:space="preserve">National policy responses have increasingly emphasised integrated approaches to addressing these disparities. Legislative reforms introduced through the Health and Care Act 2022 created Integrated Care Systems </w:t>
      </w:r>
      <w:r w:rsidR="00916AB3">
        <w:rPr>
          <w:rFonts w:ascii="Arial" w:hAnsi="Arial" w:cs="Arial"/>
        </w:rPr>
        <w:t xml:space="preserve">to coordinate health services, local authorities, and community organisations </w:t>
      </w:r>
      <w:r w:rsidRPr="00BA3D9B">
        <w:rPr>
          <w:rFonts w:ascii="Arial" w:hAnsi="Arial" w:cs="Arial"/>
        </w:rPr>
        <w:t>to improve population health outcomes. This governance model aims to strengthen collaboration and align healthcare provision with broader social determinants of health (The King’s Fund, 2022).</w:t>
      </w:r>
    </w:p>
    <w:p w14:paraId="388CE897" w14:textId="77777777" w:rsidR="00BA3D9B" w:rsidRPr="00BA3D9B" w:rsidRDefault="00BA3D9B" w:rsidP="00BA3D9B">
      <w:pPr>
        <w:spacing w:line="360" w:lineRule="auto"/>
        <w:ind w:firstLine="720"/>
        <w:jc w:val="both"/>
        <w:rPr>
          <w:rFonts w:ascii="Arial" w:hAnsi="Arial" w:cs="Arial"/>
        </w:rPr>
      </w:pPr>
      <w:r w:rsidRPr="00BA3D9B">
        <w:rPr>
          <w:rFonts w:ascii="Arial" w:hAnsi="Arial" w:cs="Arial"/>
        </w:rPr>
        <w:t>The NHS Long Term Plan also prioritises prevention and reduction of health inequalities. By focusing on early intervention and targeted support for vulnerable populations, the plan attempts to reduce disparities in healthcare access and outcomes across different regions. Nevertheless, implementation remains uneven due to workforce shortages, regional resource disparities and increasing demand for services (NHS England, 2019).</w:t>
      </w:r>
    </w:p>
    <w:p w14:paraId="10C3C026" w14:textId="7697A273" w:rsidR="00BA3D9B" w:rsidRPr="00BA3D9B" w:rsidRDefault="00BA3D9B" w:rsidP="00BA3D9B">
      <w:pPr>
        <w:spacing w:line="360" w:lineRule="auto"/>
        <w:ind w:firstLine="720"/>
        <w:jc w:val="both"/>
        <w:rPr>
          <w:rFonts w:ascii="Arial" w:hAnsi="Arial" w:cs="Arial"/>
        </w:rPr>
      </w:pPr>
      <w:r w:rsidRPr="00BA3D9B">
        <w:rPr>
          <w:rFonts w:ascii="Arial" w:hAnsi="Arial" w:cs="Arial"/>
        </w:rPr>
        <w:lastRenderedPageBreak/>
        <w:t xml:space="preserve">A critical limitation of these policies is the broader socioeconomic environment in which they operate. Public spending reductions following the 2010 austerity period significantly affected local government services that influence </w:t>
      </w:r>
      <w:r w:rsidR="00916AB3">
        <w:rPr>
          <w:rFonts w:ascii="Arial" w:hAnsi="Arial" w:cs="Arial"/>
        </w:rPr>
        <w:t>the social determinants of health, including housing support, community development programmes, and preventive</w:t>
      </w:r>
      <w:r w:rsidRPr="00BA3D9B">
        <w:rPr>
          <w:rFonts w:ascii="Arial" w:hAnsi="Arial" w:cs="Arial"/>
        </w:rPr>
        <w:t xml:space="preserve"> public health initiatives. Reductions in these upstream services can weaken preventative capacity and contribute to widening inequalities (Institute for Fiscal Studies, 2024).</w:t>
      </w:r>
    </w:p>
    <w:p w14:paraId="40AF3CBC" w14:textId="77777777" w:rsidR="00BA3D9B" w:rsidRPr="00BA3D9B" w:rsidRDefault="00BA3D9B" w:rsidP="00BA3D9B">
      <w:pPr>
        <w:spacing w:line="360" w:lineRule="auto"/>
        <w:ind w:firstLine="720"/>
        <w:jc w:val="both"/>
        <w:rPr>
          <w:rFonts w:ascii="Arial" w:hAnsi="Arial" w:cs="Arial"/>
        </w:rPr>
      </w:pPr>
      <w:r w:rsidRPr="00BA3D9B">
        <w:rPr>
          <w:rFonts w:ascii="Arial" w:hAnsi="Arial" w:cs="Arial"/>
        </w:rPr>
        <w:t>More recently, the cost-of-living crisis has intensified these pressures by increasing household financial stress and reducing access to essential resources such as adequate nutrition and heating. Economic insecurity has been linked to rising mental health concerns and increased demand for healthcare services, demonstrating how economic policy decisions can indirectly shape population health outcomes (The Health Foundation, 2022).</w:t>
      </w:r>
    </w:p>
    <w:p w14:paraId="3D55571F" w14:textId="137F53B3" w:rsidR="00C0185C" w:rsidRDefault="00C0185C" w:rsidP="00C0185C">
      <w:pPr>
        <w:spacing w:line="360" w:lineRule="auto"/>
        <w:ind w:firstLine="720"/>
        <w:jc w:val="center"/>
        <w:rPr>
          <w:rFonts w:ascii="Arial" w:hAnsi="Arial" w:cs="Arial"/>
        </w:rPr>
      </w:pPr>
      <w:r>
        <w:rPr>
          <w:noProof/>
        </w:rPr>
        <w:drawing>
          <wp:inline distT="0" distB="0" distL="0" distR="0" wp14:anchorId="73BCC29B" wp14:editId="28AF3A13">
            <wp:extent cx="3579850" cy="2303145"/>
            <wp:effectExtent l="0" t="0" r="1905" b="1905"/>
            <wp:docPr id="1550200118" name="Picture 4" descr="The gap in healthy life expectancy between the most and least deprived  areas in England - The Health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gap in healthy life expectancy between the most and least deprived  areas in England - The Health Found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82789" cy="2305036"/>
                    </a:xfrm>
                    <a:prstGeom prst="rect">
                      <a:avLst/>
                    </a:prstGeom>
                    <a:noFill/>
                    <a:ln>
                      <a:noFill/>
                    </a:ln>
                  </pic:spPr>
                </pic:pic>
              </a:graphicData>
            </a:graphic>
          </wp:inline>
        </w:drawing>
      </w:r>
    </w:p>
    <w:p w14:paraId="32D60645" w14:textId="75636BB3" w:rsidR="009F2C96" w:rsidRDefault="00B27130" w:rsidP="00450282">
      <w:pPr>
        <w:spacing w:line="360" w:lineRule="auto"/>
        <w:ind w:firstLine="720"/>
        <w:jc w:val="center"/>
        <w:rPr>
          <w:rFonts w:ascii="Arial" w:hAnsi="Arial" w:cs="Arial"/>
        </w:rPr>
      </w:pPr>
      <w:r w:rsidRPr="00B27130">
        <w:rPr>
          <w:rFonts w:ascii="Arial" w:hAnsi="Arial" w:cs="Arial"/>
        </w:rPr>
        <w:t>Figure 3: Life expectancy gap between most and least deprived areas in England (ONS, 2025).</w:t>
      </w:r>
    </w:p>
    <w:p w14:paraId="0810E1FE" w14:textId="77777777" w:rsidR="00CC48EA" w:rsidRDefault="00CC48EA" w:rsidP="00450282">
      <w:pPr>
        <w:spacing w:line="360" w:lineRule="auto"/>
        <w:ind w:firstLine="720"/>
        <w:jc w:val="center"/>
        <w:rPr>
          <w:rFonts w:ascii="Arial" w:hAnsi="Arial" w:cs="Arial"/>
        </w:rPr>
      </w:pPr>
    </w:p>
    <w:p w14:paraId="49E560C8" w14:textId="7C229FC8" w:rsidR="00F62095" w:rsidRPr="00F62095" w:rsidRDefault="00F62095" w:rsidP="00450282">
      <w:pPr>
        <w:spacing w:line="360" w:lineRule="auto"/>
        <w:ind w:firstLine="720"/>
        <w:jc w:val="center"/>
        <w:rPr>
          <w:rFonts w:ascii="Arial" w:hAnsi="Arial" w:cs="Arial"/>
          <w:b/>
          <w:bCs/>
        </w:rPr>
      </w:pPr>
      <w:r w:rsidRPr="00F62095">
        <w:rPr>
          <w:rFonts w:ascii="Arial" w:hAnsi="Arial" w:cs="Arial"/>
          <w:b/>
          <w:bCs/>
        </w:rPr>
        <w:t>5. Local Context (Northampton).</w:t>
      </w:r>
    </w:p>
    <w:p w14:paraId="5EC6EAC5" w14:textId="77777777" w:rsidR="009F2C96" w:rsidRPr="009F2C96" w:rsidRDefault="009F2C96" w:rsidP="009F2C96">
      <w:pPr>
        <w:pStyle w:val="ListParagraph"/>
        <w:ind w:left="1480"/>
      </w:pPr>
    </w:p>
    <w:p w14:paraId="1D146D3E" w14:textId="77777777" w:rsidR="007C330D" w:rsidRPr="007C330D" w:rsidRDefault="007C330D" w:rsidP="007C330D">
      <w:pPr>
        <w:spacing w:line="360" w:lineRule="auto"/>
        <w:ind w:firstLine="720"/>
        <w:jc w:val="both"/>
        <w:rPr>
          <w:rFonts w:ascii="Arial" w:hAnsi="Arial" w:cs="Arial"/>
        </w:rPr>
      </w:pPr>
      <w:r w:rsidRPr="007C330D">
        <w:rPr>
          <w:rFonts w:ascii="Arial" w:hAnsi="Arial" w:cs="Arial"/>
        </w:rPr>
        <w:t>At a local level, Northampton reflects broader national patterns of inequality while also displaying place-specific challenges. Life expectancy in the most deprived neighbourhoods of Northamptonshire is estimated to be approximately seven to nine years lower than in the least deprived areas, indicating a clear social gradient in health outcomes (Office for National Statistics, 2022).</w:t>
      </w:r>
    </w:p>
    <w:p w14:paraId="33AFB50C" w14:textId="5859324B" w:rsidR="007C330D" w:rsidRPr="007C330D" w:rsidRDefault="007C330D" w:rsidP="007C330D">
      <w:pPr>
        <w:spacing w:line="360" w:lineRule="auto"/>
        <w:ind w:firstLine="720"/>
        <w:jc w:val="both"/>
        <w:rPr>
          <w:rFonts w:ascii="Arial" w:hAnsi="Arial" w:cs="Arial"/>
        </w:rPr>
      </w:pPr>
      <w:r w:rsidRPr="007C330D">
        <w:rPr>
          <w:rFonts w:ascii="Arial" w:hAnsi="Arial" w:cs="Arial"/>
        </w:rPr>
        <w:t xml:space="preserve">Local public health data also highlight </w:t>
      </w:r>
      <w:r w:rsidR="001B0141">
        <w:rPr>
          <w:rFonts w:ascii="Arial" w:hAnsi="Arial" w:cs="Arial"/>
        </w:rPr>
        <w:t xml:space="preserve">the </w:t>
      </w:r>
      <w:r w:rsidRPr="007C330D">
        <w:rPr>
          <w:rFonts w:ascii="Arial" w:hAnsi="Arial" w:cs="Arial"/>
        </w:rPr>
        <w:t xml:space="preserve">increasing prevalence of long-term conditions and rising demand for mental health services. Adult obesity and childhood excess weight levels remain above recommended thresholds in certain wards, suggesting that </w:t>
      </w:r>
      <w:r w:rsidRPr="007C330D">
        <w:rPr>
          <w:rFonts w:ascii="Arial" w:hAnsi="Arial" w:cs="Arial"/>
        </w:rPr>
        <w:lastRenderedPageBreak/>
        <w:t>environmental and socioeconomic factors continue to shape health behaviours and outcomes within the community (Northamptonshire County Council, 2023).</w:t>
      </w:r>
    </w:p>
    <w:p w14:paraId="76C158CF" w14:textId="77777777" w:rsidR="007C330D" w:rsidRPr="007C330D" w:rsidRDefault="007C330D" w:rsidP="007C330D">
      <w:pPr>
        <w:spacing w:line="360" w:lineRule="auto"/>
        <w:ind w:firstLine="720"/>
        <w:jc w:val="both"/>
        <w:rPr>
          <w:rFonts w:ascii="Arial" w:hAnsi="Arial" w:cs="Arial"/>
        </w:rPr>
      </w:pPr>
      <w:r w:rsidRPr="007C330D">
        <w:rPr>
          <w:rFonts w:ascii="Arial" w:hAnsi="Arial" w:cs="Arial"/>
        </w:rPr>
        <w:t>Policy responses have been implemented through Northamptonshire’s Health and Wellbeing Strategy, which prioritises prevention, early intervention and cross-sector collaboration. Initiatives include community mental health support, healthy lifestyle programmes and targeted outreach in disadvantaged neighbourhoods. These programmes reflect an attempt to integrate health promotion with wider social policy objectives (West Northamptonshire Council, 2023).</w:t>
      </w:r>
    </w:p>
    <w:p w14:paraId="7278FA07" w14:textId="77777777" w:rsidR="007C330D" w:rsidRPr="007C330D" w:rsidRDefault="007C330D" w:rsidP="007C330D">
      <w:pPr>
        <w:spacing w:line="360" w:lineRule="auto"/>
        <w:ind w:firstLine="720"/>
        <w:jc w:val="both"/>
        <w:rPr>
          <w:rFonts w:ascii="Arial" w:hAnsi="Arial" w:cs="Arial"/>
        </w:rPr>
      </w:pPr>
      <w:r w:rsidRPr="007C330D">
        <w:rPr>
          <w:rFonts w:ascii="Arial" w:hAnsi="Arial" w:cs="Arial"/>
        </w:rPr>
        <w:t>However, the effectiveness of local interventions remains constrained by financial limitations. Public health funding for local authorities has declined in real terms over the past decade, restricting the scale of preventative initiatives and community outreach programmes. As a result, local authorities often focus on managing immediate health pressures rather than addressing the underlying structural causes of inequality (The King’s Fund, 2023).</w:t>
      </w:r>
    </w:p>
    <w:p w14:paraId="4CC26760" w14:textId="78D7B248" w:rsidR="00CB3B44" w:rsidRDefault="00CB3B44" w:rsidP="00CB3B44">
      <w:pPr>
        <w:spacing w:line="360" w:lineRule="auto"/>
        <w:ind w:firstLine="720"/>
        <w:jc w:val="center"/>
        <w:rPr>
          <w:rFonts w:ascii="Arial" w:hAnsi="Arial" w:cs="Arial"/>
        </w:rPr>
      </w:pPr>
      <w:r>
        <w:rPr>
          <w:noProof/>
        </w:rPr>
        <w:drawing>
          <wp:inline distT="0" distB="0" distL="0" distR="0" wp14:anchorId="61DCFCBB" wp14:editId="4A48B4FE">
            <wp:extent cx="5000222" cy="2810893"/>
            <wp:effectExtent l="0" t="0" r="0" b="8890"/>
            <wp:docPr id="1603125294" name="Picture 5" descr="Northamp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rthampt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10189" cy="2816496"/>
                    </a:xfrm>
                    <a:prstGeom prst="rect">
                      <a:avLst/>
                    </a:prstGeom>
                    <a:noFill/>
                    <a:ln>
                      <a:noFill/>
                    </a:ln>
                  </pic:spPr>
                </pic:pic>
              </a:graphicData>
            </a:graphic>
          </wp:inline>
        </w:drawing>
      </w:r>
    </w:p>
    <w:p w14:paraId="4D53E86D" w14:textId="546CEC93" w:rsidR="00160C81" w:rsidRDefault="00C273ED" w:rsidP="00D962F0">
      <w:pPr>
        <w:spacing w:line="360" w:lineRule="auto"/>
        <w:ind w:firstLine="720"/>
        <w:jc w:val="center"/>
        <w:rPr>
          <w:rFonts w:ascii="Arial" w:hAnsi="Arial" w:cs="Arial"/>
        </w:rPr>
      </w:pPr>
      <w:r w:rsidRPr="00C273ED">
        <w:rPr>
          <w:rFonts w:ascii="Arial" w:hAnsi="Arial" w:cs="Arial"/>
        </w:rPr>
        <w:t>Figure 4: Index of Multiple Deprivation distribution in Northampton (MHCLG, 2019).</w:t>
      </w:r>
    </w:p>
    <w:p w14:paraId="32991884" w14:textId="77777777" w:rsidR="00CC48EA" w:rsidRDefault="00CC48EA" w:rsidP="00D962F0">
      <w:pPr>
        <w:spacing w:line="360" w:lineRule="auto"/>
        <w:ind w:firstLine="720"/>
        <w:jc w:val="center"/>
        <w:rPr>
          <w:rFonts w:ascii="Arial" w:hAnsi="Arial" w:cs="Arial"/>
        </w:rPr>
      </w:pPr>
    </w:p>
    <w:p w14:paraId="6F41BEA7" w14:textId="1CE49BD4" w:rsidR="00D962F0" w:rsidRPr="00D71C3C" w:rsidRDefault="00D71C3C" w:rsidP="00D71C3C">
      <w:pPr>
        <w:spacing w:line="360" w:lineRule="auto"/>
        <w:ind w:firstLine="720"/>
        <w:rPr>
          <w:rFonts w:ascii="Arial" w:hAnsi="Arial" w:cs="Arial"/>
          <w:b/>
          <w:bCs/>
        </w:rPr>
      </w:pPr>
      <w:r>
        <w:rPr>
          <w:rFonts w:ascii="Arial" w:hAnsi="Arial" w:cs="Arial"/>
        </w:rPr>
        <w:tab/>
      </w:r>
      <w:r>
        <w:rPr>
          <w:rFonts w:ascii="Arial" w:hAnsi="Arial" w:cs="Arial"/>
        </w:rPr>
        <w:tab/>
      </w:r>
      <w:r>
        <w:rPr>
          <w:rFonts w:ascii="Arial" w:hAnsi="Arial" w:cs="Arial"/>
        </w:rPr>
        <w:tab/>
      </w:r>
      <w:r w:rsidRPr="00D71C3C">
        <w:rPr>
          <w:rFonts w:ascii="Arial" w:hAnsi="Arial" w:cs="Arial"/>
          <w:b/>
          <w:bCs/>
        </w:rPr>
        <w:t>6. Discussion</w:t>
      </w:r>
    </w:p>
    <w:p w14:paraId="360FBE02" w14:textId="77777777" w:rsidR="00160C81" w:rsidRPr="00160C81" w:rsidRDefault="00160C81" w:rsidP="00160C81">
      <w:pPr>
        <w:pStyle w:val="ListParagraph"/>
        <w:ind w:left="1480"/>
      </w:pPr>
    </w:p>
    <w:p w14:paraId="27086E4C" w14:textId="6CB36E5F" w:rsidR="00160C81" w:rsidRDefault="00160C81" w:rsidP="00160C81">
      <w:pPr>
        <w:spacing w:line="360" w:lineRule="auto"/>
        <w:ind w:firstLine="720"/>
        <w:jc w:val="both"/>
        <w:rPr>
          <w:rFonts w:ascii="Arial" w:hAnsi="Arial" w:cs="Arial"/>
        </w:rPr>
      </w:pPr>
      <w:r w:rsidRPr="00160C81">
        <w:rPr>
          <w:rFonts w:ascii="Arial" w:hAnsi="Arial" w:cs="Arial"/>
        </w:rPr>
        <w:t xml:space="preserve">The analysis </w:t>
      </w:r>
      <w:r w:rsidR="001B0141">
        <w:rPr>
          <w:rFonts w:ascii="Arial" w:hAnsi="Arial" w:cs="Arial"/>
        </w:rPr>
        <w:t>at the global, national, and local levels demonstrates that, although</w:t>
      </w:r>
      <w:r w:rsidRPr="00160C81">
        <w:rPr>
          <w:rFonts w:ascii="Arial" w:hAnsi="Arial" w:cs="Arial"/>
        </w:rPr>
        <w:t xml:space="preserve"> SDG 3 and SDG 10 are conceptually integrated, their implementation often remains fragmented. Globally, aggregate improvements in health indicators coexist with widening economic inequalities. Nationally, UK policy frameworks recognise the importance of prevention and </w:t>
      </w:r>
      <w:r w:rsidRPr="00160C81">
        <w:rPr>
          <w:rFonts w:ascii="Arial" w:hAnsi="Arial" w:cs="Arial"/>
        </w:rPr>
        <w:lastRenderedPageBreak/>
        <w:t>equity, yet structural determinants such as income insecurity and regional deprivation continue to shape outcomes. Locally, Northampton illustrates how health disparities are embedded within specific neighbourhood contexts, despite targeted interventions. This layered pattern reflects what policy scholars describe as a persistent gap between strategic intent and delivery capacity within complex governance systems (</w:t>
      </w:r>
      <w:proofErr w:type="spellStart"/>
      <w:r w:rsidRPr="00160C81">
        <w:rPr>
          <w:rFonts w:ascii="Arial" w:hAnsi="Arial" w:cs="Arial"/>
        </w:rPr>
        <w:t>Exworthy</w:t>
      </w:r>
      <w:proofErr w:type="spellEnd"/>
      <w:r w:rsidRPr="00160C81">
        <w:rPr>
          <w:rFonts w:ascii="Arial" w:hAnsi="Arial" w:cs="Arial"/>
        </w:rPr>
        <w:t xml:space="preserve"> and Powell, 2004).</w:t>
      </w:r>
    </w:p>
    <w:p w14:paraId="3A2DB920" w14:textId="7738FCC8" w:rsidR="00001C0A" w:rsidRDefault="00001C0A" w:rsidP="00160C81">
      <w:pPr>
        <w:spacing w:line="360" w:lineRule="auto"/>
        <w:ind w:firstLine="720"/>
        <w:jc w:val="both"/>
        <w:rPr>
          <w:rFonts w:ascii="Arial" w:hAnsi="Arial" w:cs="Arial"/>
        </w:rPr>
      </w:pPr>
      <w:r>
        <w:rPr>
          <w:noProof/>
        </w:rPr>
        <w:drawing>
          <wp:inline distT="0" distB="0" distL="0" distR="0" wp14:anchorId="1A4A5107" wp14:editId="1FF94975">
            <wp:extent cx="4647849" cy="2233295"/>
            <wp:effectExtent l="0" t="0" r="635" b="0"/>
            <wp:docPr id="1567488607" name="Picture 7" descr="Sustainable development goals diagram targets across biosphere, society and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ustainable development goals diagram targets across biosphere, society and econom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50437" cy="2234539"/>
                    </a:xfrm>
                    <a:prstGeom prst="rect">
                      <a:avLst/>
                    </a:prstGeom>
                    <a:noFill/>
                    <a:ln>
                      <a:noFill/>
                    </a:ln>
                  </pic:spPr>
                </pic:pic>
              </a:graphicData>
            </a:graphic>
          </wp:inline>
        </w:drawing>
      </w:r>
    </w:p>
    <w:p w14:paraId="48D9F567" w14:textId="7CC21D98" w:rsidR="00001C0A" w:rsidRPr="00160C81" w:rsidRDefault="00001C0A" w:rsidP="00001C0A">
      <w:pPr>
        <w:spacing w:line="360" w:lineRule="auto"/>
        <w:ind w:firstLine="720"/>
        <w:jc w:val="center"/>
        <w:rPr>
          <w:rFonts w:ascii="Arial" w:hAnsi="Arial" w:cs="Arial"/>
        </w:rPr>
      </w:pPr>
      <w:r w:rsidRPr="00001C0A">
        <w:rPr>
          <w:rFonts w:ascii="Arial" w:hAnsi="Arial" w:cs="Arial"/>
        </w:rPr>
        <w:t>Figure 5: Interconnected nature of Sustainable Development Goals (United Nations, 2015).</w:t>
      </w:r>
    </w:p>
    <w:p w14:paraId="097C2524" w14:textId="77777777" w:rsidR="00160C81" w:rsidRDefault="00160C81" w:rsidP="00160C81">
      <w:pPr>
        <w:spacing w:line="360" w:lineRule="auto"/>
        <w:ind w:firstLine="720"/>
        <w:jc w:val="both"/>
        <w:rPr>
          <w:rFonts w:ascii="Arial" w:hAnsi="Arial" w:cs="Arial"/>
        </w:rPr>
      </w:pPr>
      <w:r w:rsidRPr="00160C81">
        <w:rPr>
          <w:rFonts w:ascii="Arial" w:hAnsi="Arial" w:cs="Arial"/>
        </w:rPr>
        <w:t>A central tension emerges between the universal ambition of the SDGs and the political and economic realities shaping public expenditure and welfare provision. Health strategies frequently emphasise behavioural change and service access, yet structural drivers such as housing markets, labour precarity and fiscal austerity operate beyond the direct control of health institutions. As a result, policies may appear aligned with SDG principles while remaining constrained by macroeconomic priorities and short-term budget cycles.</w:t>
      </w:r>
    </w:p>
    <w:p w14:paraId="1AE6DAA9" w14:textId="625D344B" w:rsidR="00A81128" w:rsidRPr="00160C81" w:rsidRDefault="00A81128" w:rsidP="00160C81">
      <w:pPr>
        <w:spacing w:line="360" w:lineRule="auto"/>
        <w:ind w:firstLine="720"/>
        <w:jc w:val="both"/>
        <w:rPr>
          <w:rFonts w:ascii="Arial" w:hAnsi="Arial" w:cs="Arial"/>
        </w:rPr>
      </w:pPr>
      <w:r w:rsidRPr="00A81128">
        <w:rPr>
          <w:rFonts w:ascii="Arial" w:hAnsi="Arial" w:cs="Arial"/>
        </w:rPr>
        <w:t>This reflects a broader policy coherence challenge, whereby health equity objectives are not always aligned with fiscal, housing</w:t>
      </w:r>
      <w:r w:rsidR="0098621E">
        <w:rPr>
          <w:rFonts w:ascii="Arial" w:hAnsi="Arial" w:cs="Arial"/>
        </w:rPr>
        <w:t>, or labour market policies, thereby limiting the systemic integration required for SDG implementation (Nilsson, Griggs,</w:t>
      </w:r>
      <w:r w:rsidRPr="00A81128">
        <w:rPr>
          <w:rFonts w:ascii="Arial" w:hAnsi="Arial" w:cs="Arial"/>
        </w:rPr>
        <w:t xml:space="preserve"> and </w:t>
      </w:r>
      <w:proofErr w:type="spellStart"/>
      <w:r w:rsidRPr="00A81128">
        <w:rPr>
          <w:rFonts w:ascii="Arial" w:hAnsi="Arial" w:cs="Arial"/>
        </w:rPr>
        <w:t>Visbeck</w:t>
      </w:r>
      <w:proofErr w:type="spellEnd"/>
      <w:r w:rsidRPr="00A81128">
        <w:rPr>
          <w:rFonts w:ascii="Arial" w:hAnsi="Arial" w:cs="Arial"/>
        </w:rPr>
        <w:t>, 2016).</w:t>
      </w:r>
    </w:p>
    <w:p w14:paraId="363B6B26" w14:textId="0AA84D0D" w:rsidR="00695468" w:rsidRDefault="00160C81" w:rsidP="00160C81">
      <w:pPr>
        <w:spacing w:line="360" w:lineRule="auto"/>
        <w:ind w:firstLine="720"/>
        <w:jc w:val="both"/>
        <w:rPr>
          <w:rFonts w:ascii="Arial" w:hAnsi="Arial" w:cs="Arial"/>
        </w:rPr>
      </w:pPr>
      <w:r w:rsidRPr="00160C81">
        <w:rPr>
          <w:rFonts w:ascii="Arial" w:hAnsi="Arial" w:cs="Arial"/>
        </w:rPr>
        <w:t>From a sustainability perspective, long-term health improvement depends on stable investment in prevention, cross-sector coordination and reduction of social gradients in exposure to risk. Without structural reform that addresses inequality at its source, progress toward SDG 3 risks being incremental and uneven. Achieving durable health equity</w:t>
      </w:r>
      <w:r w:rsidR="0098621E">
        <w:rPr>
          <w:rFonts w:ascii="Arial" w:hAnsi="Arial" w:cs="Arial"/>
        </w:rPr>
        <w:t>,</w:t>
      </w:r>
      <w:r w:rsidRPr="00160C81">
        <w:rPr>
          <w:rFonts w:ascii="Arial" w:hAnsi="Arial" w:cs="Arial"/>
        </w:rPr>
        <w:t xml:space="preserve"> therefore requires sustained political commitment that extends beyond health systems into broader economic and social policy domains.</w:t>
      </w:r>
    </w:p>
    <w:p w14:paraId="193E64E7" w14:textId="336E4406" w:rsidR="00695468" w:rsidRDefault="00AD201D" w:rsidP="00F7355E">
      <w:pPr>
        <w:spacing w:line="360" w:lineRule="auto"/>
        <w:ind w:firstLine="720"/>
        <w:jc w:val="both"/>
        <w:rPr>
          <w:rFonts w:ascii="Arial" w:hAnsi="Arial" w:cs="Arial"/>
        </w:rPr>
      </w:pPr>
      <w:r w:rsidRPr="00AD201D">
        <w:rPr>
          <w:rFonts w:ascii="Arial" w:hAnsi="Arial" w:cs="Arial"/>
        </w:rPr>
        <w:t xml:space="preserve">Furthermore, long-term fiscal sustainability tensions, particularly within publicly funded health systems, create structural trade-offs between immediate service pressures and </w:t>
      </w:r>
      <w:r w:rsidRPr="00AD201D">
        <w:rPr>
          <w:rFonts w:ascii="Arial" w:hAnsi="Arial" w:cs="Arial"/>
        </w:rPr>
        <w:lastRenderedPageBreak/>
        <w:t>sustained investment in prevention, thereby constraining transformative inequality reduction (OECD, 2021).</w:t>
      </w:r>
    </w:p>
    <w:p w14:paraId="7638A420" w14:textId="77777777" w:rsidR="00704217" w:rsidRDefault="00704217" w:rsidP="00F7355E">
      <w:pPr>
        <w:spacing w:line="360" w:lineRule="auto"/>
        <w:ind w:firstLine="720"/>
        <w:jc w:val="both"/>
        <w:rPr>
          <w:rFonts w:ascii="Arial" w:hAnsi="Arial" w:cs="Arial"/>
        </w:rPr>
      </w:pPr>
    </w:p>
    <w:p w14:paraId="09B1AEC3" w14:textId="34BCADEE" w:rsidR="00695468" w:rsidRDefault="00F7355E" w:rsidP="00F7355E">
      <w:pPr>
        <w:spacing w:line="360" w:lineRule="auto"/>
        <w:ind w:firstLine="720"/>
        <w:jc w:val="both"/>
        <w:rPr>
          <w:rFonts w:ascii="Arial" w:hAnsi="Arial" w:cs="Arial"/>
          <w:b/>
          <w:bCs/>
        </w:rPr>
      </w:pPr>
      <w:r>
        <w:rPr>
          <w:rFonts w:ascii="Arial" w:hAnsi="Arial" w:cs="Arial"/>
        </w:rPr>
        <w:tab/>
      </w:r>
      <w:r>
        <w:rPr>
          <w:rFonts w:ascii="Arial" w:hAnsi="Arial" w:cs="Arial"/>
        </w:rPr>
        <w:tab/>
      </w:r>
      <w:r w:rsidR="00704217">
        <w:rPr>
          <w:rFonts w:ascii="Arial" w:hAnsi="Arial" w:cs="Arial"/>
        </w:rPr>
        <w:tab/>
      </w:r>
      <w:r w:rsidRPr="00F7355E">
        <w:rPr>
          <w:rFonts w:ascii="Arial" w:hAnsi="Arial" w:cs="Arial"/>
          <w:b/>
          <w:bCs/>
        </w:rPr>
        <w:t>7. Recommendations</w:t>
      </w:r>
    </w:p>
    <w:p w14:paraId="11C876FE" w14:textId="77777777" w:rsidR="00704217" w:rsidRDefault="00704217" w:rsidP="00F7355E">
      <w:pPr>
        <w:spacing w:line="360" w:lineRule="auto"/>
        <w:ind w:firstLine="720"/>
        <w:jc w:val="both"/>
        <w:rPr>
          <w:rFonts w:ascii="Arial" w:hAnsi="Arial" w:cs="Arial"/>
          <w:b/>
          <w:bCs/>
        </w:rPr>
      </w:pPr>
    </w:p>
    <w:p w14:paraId="15700C9F" w14:textId="07F28374" w:rsidR="00F7355E" w:rsidRPr="00F7355E" w:rsidRDefault="0068280A" w:rsidP="0068280A">
      <w:pPr>
        <w:spacing w:line="360" w:lineRule="auto"/>
        <w:jc w:val="both"/>
        <w:rPr>
          <w:rFonts w:ascii="Arial" w:hAnsi="Arial" w:cs="Arial"/>
          <w:b/>
          <w:bCs/>
        </w:rPr>
      </w:pPr>
      <w:r>
        <w:rPr>
          <w:rFonts w:ascii="Arial" w:hAnsi="Arial" w:cs="Arial"/>
          <w:b/>
          <w:bCs/>
        </w:rPr>
        <w:t>7.1 National Improvements</w:t>
      </w:r>
    </w:p>
    <w:p w14:paraId="008A3534" w14:textId="57DB9E00" w:rsidR="00695468" w:rsidRDefault="00695468" w:rsidP="00695468">
      <w:pPr>
        <w:spacing w:line="360" w:lineRule="auto"/>
        <w:ind w:firstLine="720"/>
        <w:jc w:val="both"/>
        <w:rPr>
          <w:rFonts w:ascii="Arial" w:hAnsi="Arial" w:cs="Arial"/>
        </w:rPr>
      </w:pPr>
      <w:r w:rsidRPr="00695468">
        <w:rPr>
          <w:rFonts w:ascii="Arial" w:hAnsi="Arial" w:cs="Arial"/>
        </w:rPr>
        <w:t xml:space="preserve">At </w:t>
      </w:r>
      <w:r w:rsidR="00182D34">
        <w:rPr>
          <w:rFonts w:ascii="Arial" w:hAnsi="Arial" w:cs="Arial"/>
        </w:rPr>
        <w:t xml:space="preserve">the </w:t>
      </w:r>
      <w:r w:rsidRPr="00695468">
        <w:rPr>
          <w:rFonts w:ascii="Arial" w:hAnsi="Arial" w:cs="Arial"/>
        </w:rPr>
        <w:t>national level, policy should prioritise ringfenced investment in preventative public health services within the next Comprehensive Spending Review cycle, with measurable targets to reduce the life expectancy gap between the most and least deprived deciles by at least 10% within five years. Evidence consistently shows that prevention yields long-term economic and health returns when sustained over time rather than delivered through short-term pilot schemes (Public Health England, 2019). This would align NHS planning cycles with SDG 3 while directly addressing the structural inequality gradient highlighted in SDG 10.</w:t>
      </w:r>
    </w:p>
    <w:p w14:paraId="5127AE82" w14:textId="4D984AE2" w:rsidR="00695468" w:rsidRPr="00CD1BBC" w:rsidRDefault="00C84BFE" w:rsidP="00CD1BBC">
      <w:pPr>
        <w:spacing w:line="360" w:lineRule="auto"/>
        <w:jc w:val="both"/>
        <w:rPr>
          <w:rFonts w:ascii="Arial" w:hAnsi="Arial" w:cs="Arial"/>
          <w:b/>
          <w:bCs/>
        </w:rPr>
      </w:pPr>
      <w:r w:rsidRPr="00C84BFE">
        <w:rPr>
          <w:rFonts w:ascii="Arial" w:hAnsi="Arial" w:cs="Arial"/>
          <w:b/>
          <w:bCs/>
        </w:rPr>
        <w:t>7.2 Local Interventions</w:t>
      </w:r>
    </w:p>
    <w:p w14:paraId="7A5E87EB" w14:textId="3CEE9C21" w:rsidR="00695468" w:rsidRDefault="00182D34" w:rsidP="00695468">
      <w:pPr>
        <w:spacing w:line="360" w:lineRule="auto"/>
        <w:ind w:firstLine="720"/>
        <w:jc w:val="both"/>
        <w:rPr>
          <w:rFonts w:ascii="Arial" w:hAnsi="Arial" w:cs="Arial"/>
        </w:rPr>
      </w:pPr>
      <w:r>
        <w:rPr>
          <w:rFonts w:ascii="Arial" w:hAnsi="Arial" w:cs="Arial"/>
        </w:rPr>
        <w:t xml:space="preserve">In Northampton, targeted funding should be allocated to wards in the lowest deprivation deciles, with a focus on reducing childhood obesity, expanding mental health outreach, and implementing </w:t>
      </w:r>
      <w:r w:rsidR="00695468" w:rsidRPr="00695468">
        <w:rPr>
          <w:rFonts w:ascii="Arial" w:hAnsi="Arial" w:cs="Arial"/>
        </w:rPr>
        <w:t>employment-linked health programmes. A measurable objective could include reducing excess weight prevalence among Year 6 children in the most deprived wards by 5% over three years through school–community partnerships. Place-based approaches have demonstrated greater effectiveness when interventions are co-designed with communities and tailored to local need profiles (Local Government Association, 2021). Such targeting ensures that resources are proportionate to need rather than uniformly distributed.</w:t>
      </w:r>
    </w:p>
    <w:p w14:paraId="17912DBF" w14:textId="739E0AE7" w:rsidR="00695468" w:rsidRPr="00CD1BBC" w:rsidRDefault="00C84BFE" w:rsidP="00CD1BBC">
      <w:pPr>
        <w:spacing w:line="360" w:lineRule="auto"/>
        <w:jc w:val="both"/>
        <w:rPr>
          <w:rFonts w:ascii="Arial" w:hAnsi="Arial" w:cs="Arial"/>
          <w:b/>
          <w:bCs/>
        </w:rPr>
      </w:pPr>
      <w:r w:rsidRPr="00DE0067">
        <w:rPr>
          <w:rFonts w:ascii="Arial" w:hAnsi="Arial" w:cs="Arial"/>
          <w:b/>
          <w:bCs/>
        </w:rPr>
        <w:t>7.3 Cross-Sector Collaboration and Long-</w:t>
      </w:r>
      <w:r w:rsidR="00DE0067" w:rsidRPr="00DE0067">
        <w:rPr>
          <w:rFonts w:ascii="Arial" w:hAnsi="Arial" w:cs="Arial"/>
          <w:b/>
          <w:bCs/>
        </w:rPr>
        <w:t>Term Sustainability</w:t>
      </w:r>
    </w:p>
    <w:p w14:paraId="3794B71A" w14:textId="69E6126A" w:rsidR="00695468" w:rsidRDefault="00695468" w:rsidP="00695468">
      <w:pPr>
        <w:spacing w:line="360" w:lineRule="auto"/>
        <w:ind w:firstLine="720"/>
        <w:jc w:val="both"/>
        <w:rPr>
          <w:rFonts w:ascii="Arial" w:hAnsi="Arial" w:cs="Arial"/>
        </w:rPr>
      </w:pPr>
      <w:r w:rsidRPr="00695468">
        <w:rPr>
          <w:rFonts w:ascii="Arial" w:hAnsi="Arial" w:cs="Arial"/>
        </w:rPr>
        <w:t xml:space="preserve">To address structural determinants, Integrated Care Systems should formalise cross-sector agreements with housing, employment and education sectors, including shared performance indicators linked to inequality reduction by 2028. </w:t>
      </w:r>
      <w:r w:rsidR="00182D34">
        <w:rPr>
          <w:rFonts w:ascii="Arial" w:hAnsi="Arial" w:cs="Arial"/>
        </w:rPr>
        <w:t xml:space="preserve">Non-medical policy domains strongly influence health </w:t>
      </w:r>
      <w:proofErr w:type="gramStart"/>
      <w:r w:rsidR="00514AE0">
        <w:rPr>
          <w:rFonts w:ascii="Arial" w:hAnsi="Arial" w:cs="Arial"/>
        </w:rPr>
        <w:t>outcomes, and</w:t>
      </w:r>
      <w:proofErr w:type="gramEnd"/>
      <w:r w:rsidRPr="00695468">
        <w:rPr>
          <w:rFonts w:ascii="Arial" w:hAnsi="Arial" w:cs="Arial"/>
        </w:rPr>
        <w:t xml:space="preserve"> coordinated governance models are more likely to produce sustained improvements than isolated sectoral strategies (The Health Foundation, 2020). Embedding SDG principles into local economic planning would strengthen long-term sustainability.</w:t>
      </w:r>
    </w:p>
    <w:p w14:paraId="3F9F24AF" w14:textId="77777777" w:rsidR="00B71F9D" w:rsidRDefault="00DE0067" w:rsidP="00704217">
      <w:pPr>
        <w:spacing w:line="360" w:lineRule="auto"/>
        <w:jc w:val="both"/>
        <w:rPr>
          <w:rFonts w:ascii="Arial" w:hAnsi="Arial" w:cs="Arial"/>
          <w:b/>
          <w:bCs/>
        </w:rPr>
      </w:pPr>
      <w:r w:rsidRPr="001A00DA">
        <w:rPr>
          <w:rFonts w:ascii="Arial" w:hAnsi="Arial" w:cs="Arial"/>
          <w:b/>
          <w:bCs/>
        </w:rPr>
        <w:t>7.4</w:t>
      </w:r>
      <w:r w:rsidR="001A00DA" w:rsidRPr="001A00DA">
        <w:rPr>
          <w:rFonts w:ascii="Arial" w:hAnsi="Arial" w:cs="Arial"/>
          <w:b/>
          <w:bCs/>
        </w:rPr>
        <w:t xml:space="preserve"> Monitoring and Accountability</w:t>
      </w:r>
    </w:p>
    <w:p w14:paraId="6496B1FE" w14:textId="054EEB22" w:rsidR="00695468" w:rsidRDefault="00695468" w:rsidP="00B71F9D">
      <w:pPr>
        <w:spacing w:line="360" w:lineRule="auto"/>
        <w:ind w:firstLine="720"/>
        <w:jc w:val="both"/>
        <w:rPr>
          <w:rFonts w:ascii="Arial" w:hAnsi="Arial" w:cs="Arial"/>
        </w:rPr>
      </w:pPr>
      <w:r w:rsidRPr="00695468">
        <w:rPr>
          <w:rFonts w:ascii="Arial" w:hAnsi="Arial" w:cs="Arial"/>
        </w:rPr>
        <w:lastRenderedPageBreak/>
        <w:t>Finally, both national and local authorities should implement annual inequality impact assessments linked to publicly reported dashboards measuring progress against SDG-aligned indicators. Transparent data monitoring increases accountability and enables adaptive policy refinement where progress stalls (Organisation for Economic Co-operation and Development, 2020). Structured evaluation mechanisms would ensure that commitments translate into measurable and sustained improvements in population health equity.</w:t>
      </w:r>
    </w:p>
    <w:p w14:paraId="1209C64C" w14:textId="77777777" w:rsidR="00B71F9D" w:rsidRPr="00704217" w:rsidRDefault="00B71F9D" w:rsidP="00B71F9D">
      <w:pPr>
        <w:spacing w:line="360" w:lineRule="auto"/>
        <w:ind w:firstLine="720"/>
        <w:jc w:val="both"/>
        <w:rPr>
          <w:rFonts w:ascii="Arial" w:hAnsi="Arial" w:cs="Arial"/>
          <w:b/>
          <w:bCs/>
        </w:rPr>
      </w:pPr>
    </w:p>
    <w:p w14:paraId="11DF3FE8" w14:textId="1C09011E" w:rsidR="00A12694" w:rsidRPr="003A7235" w:rsidRDefault="003A7235" w:rsidP="003A7235">
      <w:pPr>
        <w:spacing w:line="360" w:lineRule="auto"/>
        <w:ind w:firstLine="720"/>
        <w:jc w:val="both"/>
        <w:rPr>
          <w:rFonts w:ascii="Arial" w:hAnsi="Arial" w:cs="Arial"/>
          <w:b/>
          <w:bCs/>
        </w:rPr>
      </w:pPr>
      <w:r>
        <w:rPr>
          <w:rFonts w:ascii="Arial" w:hAnsi="Arial" w:cs="Arial"/>
        </w:rPr>
        <w:tab/>
      </w:r>
      <w:r>
        <w:rPr>
          <w:rFonts w:ascii="Arial" w:hAnsi="Arial" w:cs="Arial"/>
        </w:rPr>
        <w:tab/>
      </w:r>
      <w:r w:rsidR="00B71F9D">
        <w:rPr>
          <w:rFonts w:ascii="Arial" w:hAnsi="Arial" w:cs="Arial"/>
        </w:rPr>
        <w:tab/>
      </w:r>
      <w:r w:rsidRPr="003A7235">
        <w:rPr>
          <w:rFonts w:ascii="Arial" w:hAnsi="Arial" w:cs="Arial"/>
          <w:b/>
          <w:bCs/>
        </w:rPr>
        <w:t>8. Conclusion</w:t>
      </w:r>
    </w:p>
    <w:p w14:paraId="6909599B" w14:textId="77777777" w:rsidR="00A12694" w:rsidRPr="00A12694" w:rsidRDefault="00A12694" w:rsidP="00A12694">
      <w:pPr>
        <w:pStyle w:val="ListParagraph"/>
        <w:ind w:left="1480"/>
      </w:pPr>
    </w:p>
    <w:p w14:paraId="6FD3B4B9" w14:textId="1338D8A5" w:rsidR="00153FB3" w:rsidRDefault="00D96736" w:rsidP="00A12694">
      <w:pPr>
        <w:spacing w:line="360" w:lineRule="auto"/>
        <w:ind w:firstLine="720"/>
        <w:jc w:val="both"/>
        <w:rPr>
          <w:rFonts w:ascii="Arial" w:hAnsi="Arial" w:cs="Arial"/>
        </w:rPr>
      </w:pPr>
      <w:r>
        <w:rPr>
          <w:rFonts w:ascii="Arial" w:hAnsi="Arial" w:cs="Arial"/>
        </w:rPr>
        <w:t xml:space="preserve"> This </w:t>
      </w:r>
      <w:r w:rsidR="007419B3">
        <w:rPr>
          <w:rFonts w:ascii="Arial" w:hAnsi="Arial" w:cs="Arial"/>
        </w:rPr>
        <w:t>report analyses</w:t>
      </w:r>
      <w:r w:rsidR="005C4C72" w:rsidRPr="005C4C72">
        <w:rPr>
          <w:rFonts w:ascii="Arial" w:hAnsi="Arial" w:cs="Arial"/>
        </w:rPr>
        <w:t xml:space="preserve"> SDG </w:t>
      </w:r>
      <w:r w:rsidR="007419B3">
        <w:rPr>
          <w:rFonts w:ascii="Arial" w:hAnsi="Arial" w:cs="Arial"/>
        </w:rPr>
        <w:t>3</w:t>
      </w:r>
      <w:r w:rsidR="005C4C72" w:rsidRPr="005C4C72">
        <w:rPr>
          <w:rFonts w:ascii="Arial" w:hAnsi="Arial" w:cs="Arial"/>
        </w:rPr>
        <w:t xml:space="preserve"> </w:t>
      </w:r>
      <w:r w:rsidR="007419B3">
        <w:rPr>
          <w:rFonts w:ascii="Arial" w:hAnsi="Arial" w:cs="Arial"/>
        </w:rPr>
        <w:t>and</w:t>
      </w:r>
      <w:r w:rsidR="005C4C72" w:rsidRPr="005C4C72">
        <w:rPr>
          <w:rFonts w:ascii="Arial" w:hAnsi="Arial" w:cs="Arial"/>
        </w:rPr>
        <w:t xml:space="preserve"> SDG 10 across global</w:t>
      </w:r>
      <w:r w:rsidR="007419B3">
        <w:rPr>
          <w:rFonts w:ascii="Arial" w:hAnsi="Arial" w:cs="Arial"/>
        </w:rPr>
        <w:t>,</w:t>
      </w:r>
      <w:r w:rsidR="005C4C72" w:rsidRPr="005C4C72">
        <w:rPr>
          <w:rFonts w:ascii="Arial" w:hAnsi="Arial" w:cs="Arial"/>
        </w:rPr>
        <w:t xml:space="preserve"> national and local levels</w:t>
      </w:r>
      <w:r w:rsidR="007E3EB6">
        <w:rPr>
          <w:rFonts w:ascii="Arial" w:hAnsi="Arial" w:cs="Arial"/>
        </w:rPr>
        <w:t>. While</w:t>
      </w:r>
      <w:r w:rsidR="005C4C72" w:rsidRPr="005C4C72">
        <w:rPr>
          <w:rFonts w:ascii="Arial" w:hAnsi="Arial" w:cs="Arial"/>
        </w:rPr>
        <w:t xml:space="preserve"> global health progress exists</w:t>
      </w:r>
      <w:r w:rsidR="007E3EB6">
        <w:rPr>
          <w:rFonts w:ascii="Arial" w:hAnsi="Arial" w:cs="Arial"/>
        </w:rPr>
        <w:t>,</w:t>
      </w:r>
      <w:r w:rsidR="005C4C72" w:rsidRPr="005C4C72">
        <w:rPr>
          <w:rFonts w:ascii="Arial" w:hAnsi="Arial" w:cs="Arial"/>
        </w:rPr>
        <w:t xml:space="preserve"> structural inequality persists</w:t>
      </w:r>
      <w:r w:rsidR="007E3EB6">
        <w:rPr>
          <w:rFonts w:ascii="Arial" w:hAnsi="Arial" w:cs="Arial"/>
        </w:rPr>
        <w:t>.</w:t>
      </w:r>
      <w:r w:rsidR="005C4C72" w:rsidRPr="005C4C72">
        <w:rPr>
          <w:rFonts w:ascii="Arial" w:hAnsi="Arial" w:cs="Arial"/>
        </w:rPr>
        <w:t xml:space="preserve"> UK policies recognised equity but face </w:t>
      </w:r>
      <w:r w:rsidR="009B28DA">
        <w:rPr>
          <w:rFonts w:ascii="Arial" w:hAnsi="Arial" w:cs="Arial"/>
        </w:rPr>
        <w:t>socio-economic</w:t>
      </w:r>
      <w:r w:rsidR="005C4C72" w:rsidRPr="005C4C72">
        <w:rPr>
          <w:rFonts w:ascii="Arial" w:hAnsi="Arial" w:cs="Arial"/>
        </w:rPr>
        <w:t xml:space="preserve"> and funding constraints</w:t>
      </w:r>
      <w:r w:rsidR="009B28DA">
        <w:rPr>
          <w:rFonts w:ascii="Arial" w:hAnsi="Arial" w:cs="Arial"/>
        </w:rPr>
        <w:t>.</w:t>
      </w:r>
      <w:r w:rsidR="005C4C72" w:rsidRPr="005C4C72">
        <w:rPr>
          <w:rFonts w:ascii="Arial" w:hAnsi="Arial" w:cs="Arial"/>
        </w:rPr>
        <w:t xml:space="preserve"> Northampton e</w:t>
      </w:r>
      <w:r w:rsidR="00081DED">
        <w:rPr>
          <w:rFonts w:ascii="Arial" w:hAnsi="Arial" w:cs="Arial"/>
        </w:rPr>
        <w:t>xemplifies</w:t>
      </w:r>
      <w:r w:rsidR="005C4C72" w:rsidRPr="005C4C72">
        <w:rPr>
          <w:rFonts w:ascii="Arial" w:hAnsi="Arial" w:cs="Arial"/>
        </w:rPr>
        <w:t xml:space="preserve"> how deprivation concentrates health disparities</w:t>
      </w:r>
      <w:r w:rsidR="00D91427">
        <w:rPr>
          <w:rFonts w:ascii="Arial" w:hAnsi="Arial" w:cs="Arial"/>
        </w:rPr>
        <w:t>,</w:t>
      </w:r>
      <w:r w:rsidR="005C4C72" w:rsidRPr="005C4C72">
        <w:rPr>
          <w:rFonts w:ascii="Arial" w:hAnsi="Arial" w:cs="Arial"/>
        </w:rPr>
        <w:t xml:space="preserve"> underscoring the interdependence of SDG 3 and SDG 10</w:t>
      </w:r>
      <w:r w:rsidR="00D91427">
        <w:rPr>
          <w:rFonts w:ascii="Arial" w:hAnsi="Arial" w:cs="Arial"/>
        </w:rPr>
        <w:t>.</w:t>
      </w:r>
      <w:r w:rsidR="005C4C72" w:rsidRPr="005C4C72">
        <w:rPr>
          <w:rFonts w:ascii="Arial" w:hAnsi="Arial" w:cs="Arial"/>
        </w:rPr>
        <w:t xml:space="preserve"> </w:t>
      </w:r>
      <w:r w:rsidR="00D91427">
        <w:rPr>
          <w:rFonts w:ascii="Arial" w:hAnsi="Arial" w:cs="Arial"/>
        </w:rPr>
        <w:t>Sustainable</w:t>
      </w:r>
      <w:r w:rsidR="005C4C72" w:rsidRPr="005C4C72">
        <w:rPr>
          <w:rFonts w:ascii="Arial" w:hAnsi="Arial" w:cs="Arial"/>
        </w:rPr>
        <w:t xml:space="preserve"> well-being demands coordinated preventative and </w:t>
      </w:r>
      <w:r w:rsidR="00E568F2">
        <w:rPr>
          <w:rFonts w:ascii="Arial" w:hAnsi="Arial" w:cs="Arial"/>
        </w:rPr>
        <w:t>cross-sector</w:t>
      </w:r>
      <w:r w:rsidR="005C4C72" w:rsidRPr="005C4C72">
        <w:rPr>
          <w:rFonts w:ascii="Arial" w:hAnsi="Arial" w:cs="Arial"/>
        </w:rPr>
        <w:t xml:space="preserve"> action beyond healthcare</w:t>
      </w:r>
      <w:r w:rsidR="00E568F2">
        <w:rPr>
          <w:rFonts w:ascii="Arial" w:hAnsi="Arial" w:cs="Arial"/>
        </w:rPr>
        <w:t>.</w:t>
      </w:r>
    </w:p>
    <w:p w14:paraId="6680DCF1" w14:textId="77777777" w:rsidR="00B71F9D" w:rsidRDefault="00B71F9D" w:rsidP="00A12694">
      <w:pPr>
        <w:spacing w:line="360" w:lineRule="auto"/>
        <w:ind w:firstLine="720"/>
        <w:jc w:val="both"/>
        <w:rPr>
          <w:rFonts w:ascii="Arial" w:hAnsi="Arial" w:cs="Arial"/>
        </w:rPr>
      </w:pPr>
    </w:p>
    <w:p w14:paraId="3F61285E" w14:textId="33419235" w:rsidR="00273D35" w:rsidRDefault="003A1396" w:rsidP="00B71F9D">
      <w:pPr>
        <w:spacing w:line="360" w:lineRule="auto"/>
        <w:ind w:left="720" w:firstLine="720"/>
        <w:jc w:val="both"/>
        <w:rPr>
          <w:rFonts w:ascii="Arial" w:hAnsi="Arial" w:cs="Arial"/>
          <w:b/>
          <w:bCs/>
        </w:rPr>
      </w:pPr>
      <w:r w:rsidRPr="003A1396">
        <w:rPr>
          <w:rFonts w:ascii="Arial" w:hAnsi="Arial" w:cs="Arial"/>
          <w:b/>
          <w:bCs/>
        </w:rPr>
        <w:t>Reference List</w:t>
      </w:r>
    </w:p>
    <w:p w14:paraId="0330B91B" w14:textId="0E4E265F" w:rsidR="00B71F9D" w:rsidRPr="003A1396" w:rsidRDefault="00B71F9D" w:rsidP="00B71F9D">
      <w:pPr>
        <w:spacing w:line="360" w:lineRule="auto"/>
        <w:ind w:left="720" w:firstLine="720"/>
        <w:jc w:val="both"/>
        <w:rPr>
          <w:rFonts w:ascii="Arial" w:hAnsi="Arial" w:cs="Arial"/>
          <w:b/>
          <w:bCs/>
        </w:rPr>
      </w:pPr>
    </w:p>
    <w:p w14:paraId="07607B7B" w14:textId="77777777" w:rsidR="00F84A23" w:rsidRPr="000439BB" w:rsidRDefault="00F84A23" w:rsidP="00F84A23">
      <w:pPr>
        <w:spacing w:line="360" w:lineRule="auto"/>
        <w:ind w:firstLine="720"/>
        <w:jc w:val="both"/>
        <w:rPr>
          <w:rFonts w:ascii="Arial" w:hAnsi="Arial" w:cs="Arial"/>
        </w:rPr>
      </w:pPr>
      <w:r w:rsidRPr="000439BB">
        <w:rPr>
          <w:rFonts w:ascii="Arial" w:hAnsi="Arial" w:cs="Arial"/>
        </w:rPr>
        <w:t xml:space="preserve">Dahlgren, G. and Whitehead, M. (1991) </w:t>
      </w:r>
      <w:r w:rsidRPr="000439BB">
        <w:rPr>
          <w:rFonts w:ascii="Arial" w:hAnsi="Arial" w:cs="Arial"/>
          <w:i/>
          <w:iCs/>
        </w:rPr>
        <w:t>Policies and strategies to promote social equity in health</w:t>
      </w:r>
      <w:r w:rsidRPr="000439BB">
        <w:rPr>
          <w:rFonts w:ascii="Arial" w:hAnsi="Arial" w:cs="Arial"/>
        </w:rPr>
        <w:t>. Stockholm: Institute for Futures Studies.</w:t>
      </w:r>
    </w:p>
    <w:p w14:paraId="1B6DDA9A" w14:textId="77777777" w:rsidR="00F84A23" w:rsidRPr="000439BB" w:rsidRDefault="00F84A23" w:rsidP="00F84A23">
      <w:pPr>
        <w:spacing w:line="360" w:lineRule="auto"/>
        <w:ind w:firstLine="720"/>
        <w:jc w:val="both"/>
        <w:rPr>
          <w:rFonts w:ascii="Arial" w:hAnsi="Arial" w:cs="Arial"/>
        </w:rPr>
      </w:pPr>
      <w:proofErr w:type="spellStart"/>
      <w:r w:rsidRPr="000439BB">
        <w:rPr>
          <w:rFonts w:ascii="Arial" w:hAnsi="Arial" w:cs="Arial"/>
        </w:rPr>
        <w:t>Exworthy</w:t>
      </w:r>
      <w:proofErr w:type="spellEnd"/>
      <w:r w:rsidRPr="000439BB">
        <w:rPr>
          <w:rFonts w:ascii="Arial" w:hAnsi="Arial" w:cs="Arial"/>
        </w:rPr>
        <w:t xml:space="preserve">, M. and Powell, M. (2004) ‘Big windows and little windows: Implementation in the “congested state”’, </w:t>
      </w:r>
      <w:r w:rsidRPr="000439BB">
        <w:rPr>
          <w:rFonts w:ascii="Arial" w:hAnsi="Arial" w:cs="Arial"/>
          <w:i/>
          <w:iCs/>
        </w:rPr>
        <w:t>Public Administration</w:t>
      </w:r>
      <w:r w:rsidRPr="000439BB">
        <w:rPr>
          <w:rFonts w:ascii="Arial" w:hAnsi="Arial" w:cs="Arial"/>
        </w:rPr>
        <w:t>, 82(2), pp. 263–281.</w:t>
      </w:r>
    </w:p>
    <w:p w14:paraId="60681345" w14:textId="77777777" w:rsidR="00F84A23" w:rsidRPr="000439BB" w:rsidRDefault="00F84A23" w:rsidP="00F84A23">
      <w:pPr>
        <w:spacing w:line="360" w:lineRule="auto"/>
        <w:ind w:firstLine="720"/>
        <w:jc w:val="both"/>
        <w:rPr>
          <w:rFonts w:ascii="Arial" w:hAnsi="Arial" w:cs="Arial"/>
        </w:rPr>
      </w:pPr>
      <w:r w:rsidRPr="000439BB">
        <w:rPr>
          <w:rFonts w:ascii="Arial" w:hAnsi="Arial" w:cs="Arial"/>
        </w:rPr>
        <w:t xml:space="preserve">Institute for Fiscal Studies (2024) </w:t>
      </w:r>
      <w:r w:rsidRPr="000439BB">
        <w:rPr>
          <w:rFonts w:ascii="Arial" w:hAnsi="Arial" w:cs="Arial"/>
          <w:i/>
          <w:iCs/>
        </w:rPr>
        <w:t>How have English councils’ funding and spending changed since 2010?</w:t>
      </w:r>
      <w:r w:rsidRPr="000439BB">
        <w:rPr>
          <w:rFonts w:ascii="Arial" w:hAnsi="Arial" w:cs="Arial"/>
        </w:rPr>
        <w:t xml:space="preserve"> London: IFS. Available at: </w:t>
      </w:r>
      <w:hyperlink r:id="rId14" w:tgtFrame="_new" w:history="1">
        <w:r w:rsidRPr="000439BB">
          <w:rPr>
            <w:rStyle w:val="Hyperlink"/>
            <w:rFonts w:ascii="Arial" w:hAnsi="Arial" w:cs="Arial"/>
          </w:rPr>
          <w:t>https://ifs.org.uk/publications/how-have-english-councils-funding-and-spending-changed-2010-2024</w:t>
        </w:r>
      </w:hyperlink>
      <w:r w:rsidRPr="000439BB">
        <w:rPr>
          <w:rFonts w:ascii="Arial" w:hAnsi="Arial" w:cs="Arial"/>
        </w:rPr>
        <w:t xml:space="preserve"> (Accessed: 11 February 2026).</w:t>
      </w:r>
    </w:p>
    <w:p w14:paraId="13B8294B" w14:textId="77777777" w:rsidR="00F84A23" w:rsidRPr="000439BB" w:rsidRDefault="00F84A23" w:rsidP="00F84A23">
      <w:pPr>
        <w:spacing w:line="360" w:lineRule="auto"/>
        <w:ind w:firstLine="720"/>
        <w:jc w:val="both"/>
        <w:rPr>
          <w:rFonts w:ascii="Arial" w:hAnsi="Arial" w:cs="Arial"/>
        </w:rPr>
      </w:pPr>
      <w:r w:rsidRPr="000439BB">
        <w:rPr>
          <w:rFonts w:ascii="Arial" w:hAnsi="Arial" w:cs="Arial"/>
        </w:rPr>
        <w:t xml:space="preserve">International Monetary Fund (2021) </w:t>
      </w:r>
      <w:r w:rsidRPr="000439BB">
        <w:rPr>
          <w:rFonts w:ascii="Arial" w:hAnsi="Arial" w:cs="Arial"/>
          <w:i/>
          <w:iCs/>
        </w:rPr>
        <w:t>Fiscal monitor: Strengthening the credibility of public finances</w:t>
      </w:r>
      <w:r w:rsidRPr="000439BB">
        <w:rPr>
          <w:rFonts w:ascii="Arial" w:hAnsi="Arial" w:cs="Arial"/>
        </w:rPr>
        <w:t>. Washington, DC: IMF.</w:t>
      </w:r>
    </w:p>
    <w:p w14:paraId="75317D8F" w14:textId="77777777" w:rsidR="00053D2A" w:rsidRPr="000439BB" w:rsidRDefault="00053D2A" w:rsidP="00411C47">
      <w:pPr>
        <w:spacing w:line="360" w:lineRule="auto"/>
        <w:ind w:firstLine="720"/>
        <w:jc w:val="both"/>
        <w:rPr>
          <w:rFonts w:ascii="Arial" w:hAnsi="Arial" w:cs="Arial"/>
        </w:rPr>
      </w:pPr>
      <w:r w:rsidRPr="000439BB">
        <w:rPr>
          <w:rFonts w:ascii="Arial" w:hAnsi="Arial" w:cs="Arial"/>
        </w:rPr>
        <w:t xml:space="preserve">Local Government Association (2021) </w:t>
      </w:r>
      <w:r w:rsidRPr="000439BB">
        <w:rPr>
          <w:rFonts w:ascii="Arial" w:hAnsi="Arial" w:cs="Arial"/>
          <w:i/>
          <w:iCs/>
        </w:rPr>
        <w:t>Building healthier communities: The role of local government</w:t>
      </w:r>
      <w:r w:rsidRPr="000439BB">
        <w:rPr>
          <w:rFonts w:ascii="Arial" w:hAnsi="Arial" w:cs="Arial"/>
        </w:rPr>
        <w:t>. London: LGA. Available at: https://www.local.gov.uk/publications/building-healthier-communities (Accessed: 18 February 2026).</w:t>
      </w:r>
    </w:p>
    <w:p w14:paraId="06AAC65F"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lastRenderedPageBreak/>
        <w:t xml:space="preserve">Marmot, M. (2020) </w:t>
      </w:r>
      <w:r w:rsidRPr="000439BB">
        <w:rPr>
          <w:rFonts w:ascii="Arial" w:hAnsi="Arial" w:cs="Arial"/>
          <w:i/>
          <w:iCs/>
        </w:rPr>
        <w:t>Health equity in England: The Marmot Review 10 years on</w:t>
      </w:r>
      <w:r w:rsidRPr="000439BB">
        <w:rPr>
          <w:rFonts w:ascii="Arial" w:hAnsi="Arial" w:cs="Arial"/>
        </w:rPr>
        <w:t>. London: Institute of Health Equity.</w:t>
      </w:r>
    </w:p>
    <w:p w14:paraId="6088E1E2"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Ministry of Housing, Communities and Local Government (2019) </w:t>
      </w:r>
      <w:r w:rsidRPr="000439BB">
        <w:rPr>
          <w:rFonts w:ascii="Arial" w:hAnsi="Arial" w:cs="Arial"/>
          <w:i/>
          <w:iCs/>
        </w:rPr>
        <w:t>English indices of deprivation 2019</w:t>
      </w:r>
      <w:r w:rsidRPr="000439BB">
        <w:rPr>
          <w:rFonts w:ascii="Arial" w:hAnsi="Arial" w:cs="Arial"/>
        </w:rPr>
        <w:t xml:space="preserve">. London: MHCLG. Available at: </w:t>
      </w:r>
      <w:hyperlink r:id="rId15" w:tgtFrame="_new" w:history="1">
        <w:r w:rsidRPr="000439BB">
          <w:rPr>
            <w:rStyle w:val="Hyperlink"/>
            <w:rFonts w:ascii="Arial" w:hAnsi="Arial" w:cs="Arial"/>
          </w:rPr>
          <w:t>https://www.gov.uk/government/statistics/english-indices-of-deprivation-2019</w:t>
        </w:r>
      </w:hyperlink>
      <w:r w:rsidRPr="000439BB">
        <w:rPr>
          <w:rFonts w:ascii="Arial" w:hAnsi="Arial" w:cs="Arial"/>
        </w:rPr>
        <w:t xml:space="preserve"> (Accessed: 7 February 2026).</w:t>
      </w:r>
    </w:p>
    <w:p w14:paraId="7E4E7DDB"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National Audit Office (2023) </w:t>
      </w:r>
      <w:r w:rsidRPr="000439BB">
        <w:rPr>
          <w:rFonts w:ascii="Arial" w:hAnsi="Arial" w:cs="Arial"/>
          <w:i/>
          <w:iCs/>
        </w:rPr>
        <w:t>Local government financial sustainability</w:t>
      </w:r>
      <w:r w:rsidRPr="000439BB">
        <w:rPr>
          <w:rFonts w:ascii="Arial" w:hAnsi="Arial" w:cs="Arial"/>
        </w:rPr>
        <w:t>. London: NAO. Available at: https://www.nao.org.uk/reports/local-government-financial-sustainability (Accessed: 20 February 2026).</w:t>
      </w:r>
    </w:p>
    <w:p w14:paraId="243F23D6"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NHS England (2019) </w:t>
      </w:r>
      <w:r w:rsidRPr="000439BB">
        <w:rPr>
          <w:rFonts w:ascii="Arial" w:hAnsi="Arial" w:cs="Arial"/>
          <w:i/>
          <w:iCs/>
        </w:rPr>
        <w:t>The NHS Long Term Plan</w:t>
      </w:r>
      <w:r w:rsidRPr="000439BB">
        <w:rPr>
          <w:rFonts w:ascii="Arial" w:hAnsi="Arial" w:cs="Arial"/>
        </w:rPr>
        <w:t xml:space="preserve">. London: NHS England. Available at: </w:t>
      </w:r>
      <w:hyperlink r:id="rId16" w:tgtFrame="_new" w:history="1">
        <w:r w:rsidRPr="000439BB">
          <w:rPr>
            <w:rStyle w:val="Hyperlink"/>
            <w:rFonts w:ascii="Arial" w:hAnsi="Arial" w:cs="Arial"/>
          </w:rPr>
          <w:t>https://www.longtermplan.nhs.uk</w:t>
        </w:r>
      </w:hyperlink>
      <w:r w:rsidRPr="000439BB">
        <w:rPr>
          <w:rFonts w:ascii="Arial" w:hAnsi="Arial" w:cs="Arial"/>
        </w:rPr>
        <w:t xml:space="preserve"> (Accessed: 9 February 2026).</w:t>
      </w:r>
    </w:p>
    <w:p w14:paraId="254E842A"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Northamptonshire County Council (2023) </w:t>
      </w:r>
      <w:r w:rsidRPr="000439BB">
        <w:rPr>
          <w:rFonts w:ascii="Arial" w:hAnsi="Arial" w:cs="Arial"/>
          <w:i/>
          <w:iCs/>
        </w:rPr>
        <w:t>Northamptonshire Joint Strategic Needs Assessment</w:t>
      </w:r>
      <w:r w:rsidRPr="000439BB">
        <w:rPr>
          <w:rFonts w:ascii="Arial" w:hAnsi="Arial" w:cs="Arial"/>
        </w:rPr>
        <w:t>. Northampton: NCC. Available at: https://www.northamptonshire.gov.uk/councilservices/public-health/jsna (Accessed: 14 February 2026).</w:t>
      </w:r>
    </w:p>
    <w:p w14:paraId="5030F44E"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Office for National Statistics (2022) </w:t>
      </w:r>
      <w:r w:rsidRPr="000439BB">
        <w:rPr>
          <w:rFonts w:ascii="Arial" w:hAnsi="Arial" w:cs="Arial"/>
          <w:i/>
          <w:iCs/>
        </w:rPr>
        <w:t>Health state life expectancies, UK</w:t>
      </w:r>
      <w:r w:rsidRPr="000439BB">
        <w:rPr>
          <w:rFonts w:ascii="Arial" w:hAnsi="Arial" w:cs="Arial"/>
        </w:rPr>
        <w:t xml:space="preserve">. London: ONS. Available at: </w:t>
      </w:r>
      <w:hyperlink r:id="rId17" w:tgtFrame="_new" w:history="1">
        <w:r w:rsidRPr="000439BB">
          <w:rPr>
            <w:rStyle w:val="Hyperlink"/>
            <w:rFonts w:ascii="Arial" w:hAnsi="Arial" w:cs="Arial"/>
          </w:rPr>
          <w:t>https://www.ons.gov.uk</w:t>
        </w:r>
      </w:hyperlink>
      <w:r w:rsidRPr="000439BB">
        <w:rPr>
          <w:rFonts w:ascii="Arial" w:hAnsi="Arial" w:cs="Arial"/>
        </w:rPr>
        <w:t xml:space="preserve"> (Accessed: 3 February 2026).</w:t>
      </w:r>
    </w:p>
    <w:p w14:paraId="01194542"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Office for National Statistics (2025) </w:t>
      </w:r>
      <w:r w:rsidRPr="000439BB">
        <w:rPr>
          <w:rFonts w:ascii="Arial" w:hAnsi="Arial" w:cs="Arial"/>
          <w:i/>
          <w:iCs/>
        </w:rPr>
        <w:t>Health inequalities data release</w:t>
      </w:r>
      <w:r w:rsidRPr="000439BB">
        <w:rPr>
          <w:rFonts w:ascii="Arial" w:hAnsi="Arial" w:cs="Arial"/>
        </w:rPr>
        <w:t xml:space="preserve">. London: ONS. Available at: </w:t>
      </w:r>
      <w:hyperlink r:id="rId18" w:tgtFrame="_new" w:history="1">
        <w:r w:rsidRPr="000439BB">
          <w:rPr>
            <w:rStyle w:val="Hyperlink"/>
            <w:rFonts w:ascii="Arial" w:hAnsi="Arial" w:cs="Arial"/>
          </w:rPr>
          <w:t>https://www.ons.gov.uk</w:t>
        </w:r>
      </w:hyperlink>
      <w:r w:rsidRPr="000439BB">
        <w:rPr>
          <w:rFonts w:ascii="Arial" w:hAnsi="Arial" w:cs="Arial"/>
        </w:rPr>
        <w:t xml:space="preserve"> (Accessed: 5 February 2026).</w:t>
      </w:r>
    </w:p>
    <w:p w14:paraId="41829E30"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Organisation for Economic Co-operation and Development (2020) </w:t>
      </w:r>
      <w:r w:rsidRPr="000439BB">
        <w:rPr>
          <w:rFonts w:ascii="Arial" w:hAnsi="Arial" w:cs="Arial"/>
          <w:i/>
          <w:iCs/>
        </w:rPr>
        <w:t xml:space="preserve">Health </w:t>
      </w:r>
      <w:proofErr w:type="gramStart"/>
      <w:r w:rsidRPr="000439BB">
        <w:rPr>
          <w:rFonts w:ascii="Arial" w:hAnsi="Arial" w:cs="Arial"/>
          <w:i/>
          <w:iCs/>
        </w:rPr>
        <w:t>at a glance</w:t>
      </w:r>
      <w:proofErr w:type="gramEnd"/>
      <w:r w:rsidRPr="000439BB">
        <w:rPr>
          <w:rFonts w:ascii="Arial" w:hAnsi="Arial" w:cs="Arial"/>
          <w:i/>
          <w:iCs/>
        </w:rPr>
        <w:t xml:space="preserve"> 2020: OECD indicators</w:t>
      </w:r>
      <w:r w:rsidRPr="000439BB">
        <w:rPr>
          <w:rFonts w:ascii="Arial" w:hAnsi="Arial" w:cs="Arial"/>
        </w:rPr>
        <w:t>. Paris: OECD Publishing.</w:t>
      </w:r>
    </w:p>
    <w:p w14:paraId="4AFB6D88"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Public Health England (2019) </w:t>
      </w:r>
      <w:r w:rsidRPr="000439BB">
        <w:rPr>
          <w:rFonts w:ascii="Arial" w:hAnsi="Arial" w:cs="Arial"/>
          <w:i/>
          <w:iCs/>
        </w:rPr>
        <w:t>Health matters: Prevention and early intervention</w:t>
      </w:r>
      <w:r w:rsidRPr="000439BB">
        <w:rPr>
          <w:rFonts w:ascii="Arial" w:hAnsi="Arial" w:cs="Arial"/>
        </w:rPr>
        <w:t>. London: PHE.</w:t>
      </w:r>
    </w:p>
    <w:p w14:paraId="2AA5D466"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The Health Foundation (2020) </w:t>
      </w:r>
      <w:r w:rsidRPr="000439BB">
        <w:rPr>
          <w:rFonts w:ascii="Arial" w:hAnsi="Arial" w:cs="Arial"/>
          <w:i/>
          <w:iCs/>
        </w:rPr>
        <w:t>Health and wellbeing: The role of cross-sector collaboration</w:t>
      </w:r>
      <w:r w:rsidRPr="000439BB">
        <w:rPr>
          <w:rFonts w:ascii="Arial" w:hAnsi="Arial" w:cs="Arial"/>
        </w:rPr>
        <w:t>. London: The Health Foundation.</w:t>
      </w:r>
    </w:p>
    <w:p w14:paraId="36D2064D"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The Health Foundation (2022) </w:t>
      </w:r>
      <w:r w:rsidRPr="000439BB">
        <w:rPr>
          <w:rFonts w:ascii="Arial" w:hAnsi="Arial" w:cs="Arial"/>
          <w:i/>
          <w:iCs/>
        </w:rPr>
        <w:t xml:space="preserve">The </w:t>
      </w:r>
      <w:proofErr w:type="gramStart"/>
      <w:r w:rsidRPr="000439BB">
        <w:rPr>
          <w:rFonts w:ascii="Arial" w:hAnsi="Arial" w:cs="Arial"/>
          <w:i/>
          <w:iCs/>
        </w:rPr>
        <w:t>cost of living</w:t>
      </w:r>
      <w:proofErr w:type="gramEnd"/>
      <w:r w:rsidRPr="000439BB">
        <w:rPr>
          <w:rFonts w:ascii="Arial" w:hAnsi="Arial" w:cs="Arial"/>
          <w:i/>
          <w:iCs/>
        </w:rPr>
        <w:t xml:space="preserve"> crisis as a health emergency</w:t>
      </w:r>
      <w:r w:rsidRPr="000439BB">
        <w:rPr>
          <w:rFonts w:ascii="Arial" w:hAnsi="Arial" w:cs="Arial"/>
        </w:rPr>
        <w:t xml:space="preserve">. London: The Health Foundation. Available at: </w:t>
      </w:r>
      <w:hyperlink r:id="rId19" w:tgtFrame="_new" w:history="1">
        <w:r w:rsidRPr="000439BB">
          <w:rPr>
            <w:rStyle w:val="Hyperlink"/>
            <w:rFonts w:ascii="Arial" w:hAnsi="Arial" w:cs="Arial"/>
          </w:rPr>
          <w:t>https://www.health.org.uk</w:t>
        </w:r>
      </w:hyperlink>
      <w:r w:rsidRPr="000439BB">
        <w:rPr>
          <w:rFonts w:ascii="Arial" w:hAnsi="Arial" w:cs="Arial"/>
        </w:rPr>
        <w:t xml:space="preserve"> (Accessed: 22 February 2026).</w:t>
      </w:r>
    </w:p>
    <w:p w14:paraId="3248891F" w14:textId="77777777" w:rsidR="00053D2A" w:rsidRPr="000439BB" w:rsidRDefault="00053D2A" w:rsidP="00053D2A">
      <w:pPr>
        <w:spacing w:line="360" w:lineRule="auto"/>
        <w:ind w:firstLine="720"/>
        <w:jc w:val="both"/>
        <w:rPr>
          <w:rFonts w:ascii="Arial" w:hAnsi="Arial" w:cs="Arial"/>
        </w:rPr>
      </w:pPr>
      <w:r w:rsidRPr="000439BB">
        <w:rPr>
          <w:rFonts w:ascii="Arial" w:hAnsi="Arial" w:cs="Arial"/>
        </w:rPr>
        <w:t xml:space="preserve">The King’s Fund (2022) </w:t>
      </w:r>
      <w:r w:rsidRPr="000439BB">
        <w:rPr>
          <w:rFonts w:ascii="Arial" w:hAnsi="Arial" w:cs="Arial"/>
          <w:i/>
          <w:iCs/>
        </w:rPr>
        <w:t>The Health and Care Act 2022 explained</w:t>
      </w:r>
      <w:r w:rsidRPr="000439BB">
        <w:rPr>
          <w:rFonts w:ascii="Arial" w:hAnsi="Arial" w:cs="Arial"/>
        </w:rPr>
        <w:t xml:space="preserve">. London: The King’s Fund. Available at: </w:t>
      </w:r>
      <w:hyperlink r:id="rId20" w:tgtFrame="_new" w:history="1">
        <w:r w:rsidRPr="000439BB">
          <w:rPr>
            <w:rStyle w:val="Hyperlink"/>
            <w:rFonts w:ascii="Arial" w:hAnsi="Arial" w:cs="Arial"/>
          </w:rPr>
          <w:t>https://www.kingsfund.org.uk</w:t>
        </w:r>
      </w:hyperlink>
      <w:r w:rsidRPr="000439BB">
        <w:rPr>
          <w:rFonts w:ascii="Arial" w:hAnsi="Arial" w:cs="Arial"/>
        </w:rPr>
        <w:t xml:space="preserve"> (Accessed: 12 February 2026).</w:t>
      </w:r>
    </w:p>
    <w:p w14:paraId="2675164D" w14:textId="77777777"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The King’s Fund (2023) </w:t>
      </w:r>
      <w:r w:rsidRPr="000439BB">
        <w:rPr>
          <w:rFonts w:ascii="Arial" w:hAnsi="Arial" w:cs="Arial"/>
          <w:i/>
          <w:iCs/>
        </w:rPr>
        <w:t>Public health funding and local government</w:t>
      </w:r>
      <w:r w:rsidRPr="000439BB">
        <w:rPr>
          <w:rFonts w:ascii="Arial" w:hAnsi="Arial" w:cs="Arial"/>
        </w:rPr>
        <w:t xml:space="preserve">. London: The King’s Fund. Available at: </w:t>
      </w:r>
      <w:hyperlink r:id="rId21" w:tgtFrame="_new" w:history="1">
        <w:r w:rsidRPr="000439BB">
          <w:rPr>
            <w:rStyle w:val="Hyperlink"/>
            <w:rFonts w:ascii="Arial" w:hAnsi="Arial" w:cs="Arial"/>
          </w:rPr>
          <w:t>https://www.kingsfund.org.uk</w:t>
        </w:r>
      </w:hyperlink>
      <w:r w:rsidRPr="000439BB">
        <w:rPr>
          <w:rFonts w:ascii="Arial" w:hAnsi="Arial" w:cs="Arial"/>
        </w:rPr>
        <w:t xml:space="preserve"> (Accessed: 24 February 2026).</w:t>
      </w:r>
    </w:p>
    <w:p w14:paraId="74E55DB0" w14:textId="77777777" w:rsidR="00AB2D01" w:rsidRPr="000439BB" w:rsidRDefault="00AB2D01" w:rsidP="00AB2D01">
      <w:pPr>
        <w:spacing w:line="360" w:lineRule="auto"/>
        <w:ind w:firstLine="720"/>
        <w:jc w:val="both"/>
        <w:rPr>
          <w:rFonts w:ascii="Arial" w:hAnsi="Arial" w:cs="Arial"/>
        </w:rPr>
      </w:pPr>
      <w:r w:rsidRPr="000439BB">
        <w:rPr>
          <w:rFonts w:ascii="Arial" w:hAnsi="Arial" w:cs="Arial"/>
        </w:rPr>
        <w:lastRenderedPageBreak/>
        <w:t xml:space="preserve">United Nations (2015) </w:t>
      </w:r>
      <w:r w:rsidRPr="000439BB">
        <w:rPr>
          <w:rFonts w:ascii="Arial" w:hAnsi="Arial" w:cs="Arial"/>
          <w:i/>
          <w:iCs/>
        </w:rPr>
        <w:t>Transforming our world: The 2030 Agenda for Sustainable Development</w:t>
      </w:r>
      <w:r w:rsidRPr="000439BB">
        <w:rPr>
          <w:rFonts w:ascii="Arial" w:hAnsi="Arial" w:cs="Arial"/>
        </w:rPr>
        <w:t>. New York: United Nations.</w:t>
      </w:r>
    </w:p>
    <w:p w14:paraId="1E48215A" w14:textId="77777777"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United Nations (2023) </w:t>
      </w:r>
      <w:r w:rsidRPr="000439BB">
        <w:rPr>
          <w:rFonts w:ascii="Arial" w:hAnsi="Arial" w:cs="Arial"/>
          <w:i/>
          <w:iCs/>
        </w:rPr>
        <w:t>The Sustainable Development Goals Report 2023</w:t>
      </w:r>
      <w:r w:rsidRPr="000439BB">
        <w:rPr>
          <w:rFonts w:ascii="Arial" w:hAnsi="Arial" w:cs="Arial"/>
        </w:rPr>
        <w:t>. New York: United Nations.</w:t>
      </w:r>
    </w:p>
    <w:p w14:paraId="50342946" w14:textId="77777777"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West Northamptonshire Council (2023) </w:t>
      </w:r>
      <w:r w:rsidRPr="000439BB">
        <w:rPr>
          <w:rFonts w:ascii="Arial" w:hAnsi="Arial" w:cs="Arial"/>
          <w:i/>
          <w:iCs/>
        </w:rPr>
        <w:t>Health and Wellbeing Strategy 2023–2028</w:t>
      </w:r>
      <w:r w:rsidRPr="000439BB">
        <w:rPr>
          <w:rFonts w:ascii="Arial" w:hAnsi="Arial" w:cs="Arial"/>
        </w:rPr>
        <w:t xml:space="preserve">. Northampton: WNC. Available at: </w:t>
      </w:r>
      <w:hyperlink r:id="rId22" w:tgtFrame="_new" w:history="1">
        <w:r w:rsidRPr="000439BB">
          <w:rPr>
            <w:rStyle w:val="Hyperlink"/>
            <w:rFonts w:ascii="Arial" w:hAnsi="Arial" w:cs="Arial"/>
          </w:rPr>
          <w:t>https://www.westnorthants.gov.uk</w:t>
        </w:r>
      </w:hyperlink>
      <w:r w:rsidRPr="000439BB">
        <w:rPr>
          <w:rFonts w:ascii="Arial" w:hAnsi="Arial" w:cs="Arial"/>
        </w:rPr>
        <w:t xml:space="preserve"> (Accessed: 16 February 2026).</w:t>
      </w:r>
    </w:p>
    <w:p w14:paraId="7C204961" w14:textId="7B7B873A"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Wilkinson, R. and Pickett, K. (2018) </w:t>
      </w:r>
      <w:r w:rsidRPr="000439BB">
        <w:rPr>
          <w:rFonts w:ascii="Arial" w:hAnsi="Arial" w:cs="Arial"/>
          <w:i/>
          <w:iCs/>
        </w:rPr>
        <w:t>The inner level: How more equal societies reduce stress, restore sanity and improve everyone’s wellbeing</w:t>
      </w:r>
      <w:r w:rsidRPr="000439BB">
        <w:rPr>
          <w:rFonts w:ascii="Arial" w:hAnsi="Arial" w:cs="Arial"/>
        </w:rPr>
        <w:t>. London: Penguin.</w:t>
      </w:r>
    </w:p>
    <w:p w14:paraId="7DABFE1A" w14:textId="60A332B1" w:rsidR="00AB2D01" w:rsidRPr="000439BB" w:rsidRDefault="00AB2D01" w:rsidP="00AB2D01">
      <w:pPr>
        <w:spacing w:line="360" w:lineRule="auto"/>
        <w:ind w:firstLine="720"/>
        <w:jc w:val="both"/>
        <w:rPr>
          <w:rFonts w:ascii="Arial" w:hAnsi="Arial" w:cs="Arial"/>
        </w:rPr>
      </w:pPr>
      <w:r w:rsidRPr="000439BB">
        <w:rPr>
          <w:rFonts w:ascii="Arial" w:hAnsi="Arial" w:cs="Arial"/>
        </w:rPr>
        <w:t>World Bank (2022)</w:t>
      </w:r>
      <w:r w:rsidR="00337D6F">
        <w:rPr>
          <w:rFonts w:ascii="Arial" w:hAnsi="Arial" w:cs="Arial"/>
        </w:rPr>
        <w:t>.</w:t>
      </w:r>
      <w:r w:rsidRPr="000439BB">
        <w:rPr>
          <w:rFonts w:ascii="Arial" w:hAnsi="Arial" w:cs="Arial"/>
        </w:rPr>
        <w:t xml:space="preserve"> </w:t>
      </w:r>
      <w:r w:rsidRPr="000439BB">
        <w:rPr>
          <w:rFonts w:ascii="Arial" w:hAnsi="Arial" w:cs="Arial"/>
          <w:i/>
          <w:iCs/>
        </w:rPr>
        <w:t>World development indicators 2022</w:t>
      </w:r>
      <w:r w:rsidRPr="000439BB">
        <w:rPr>
          <w:rFonts w:ascii="Arial" w:hAnsi="Arial" w:cs="Arial"/>
        </w:rPr>
        <w:t>. Washington, DC: World Bank.</w:t>
      </w:r>
    </w:p>
    <w:p w14:paraId="4A4032FE" w14:textId="0DC88755"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World Health </w:t>
      </w:r>
      <w:r>
        <w:rPr>
          <w:rFonts w:ascii="Arial" w:hAnsi="Arial" w:cs="Arial"/>
        </w:rPr>
        <w:t>Organisation</w:t>
      </w:r>
      <w:r w:rsidRPr="000439BB">
        <w:rPr>
          <w:rFonts w:ascii="Arial" w:hAnsi="Arial" w:cs="Arial"/>
        </w:rPr>
        <w:t xml:space="preserve"> (2022) </w:t>
      </w:r>
      <w:r w:rsidRPr="000439BB">
        <w:rPr>
          <w:rFonts w:ascii="Arial" w:hAnsi="Arial" w:cs="Arial"/>
          <w:i/>
          <w:iCs/>
        </w:rPr>
        <w:t>World health statistics 2022: Monitoring health for the SDGs</w:t>
      </w:r>
      <w:r w:rsidRPr="000439BB">
        <w:rPr>
          <w:rFonts w:ascii="Arial" w:hAnsi="Arial" w:cs="Arial"/>
        </w:rPr>
        <w:t>. Geneva: WHO.</w:t>
      </w:r>
    </w:p>
    <w:p w14:paraId="1BF10461" w14:textId="7BDF6477"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World Health </w:t>
      </w:r>
      <w:r>
        <w:rPr>
          <w:rFonts w:ascii="Arial" w:hAnsi="Arial" w:cs="Arial"/>
        </w:rPr>
        <w:t>Organisation</w:t>
      </w:r>
      <w:r w:rsidRPr="000439BB">
        <w:rPr>
          <w:rFonts w:ascii="Arial" w:hAnsi="Arial" w:cs="Arial"/>
        </w:rPr>
        <w:t xml:space="preserve"> (2023) </w:t>
      </w:r>
      <w:r w:rsidRPr="000439BB">
        <w:rPr>
          <w:rFonts w:ascii="Arial" w:hAnsi="Arial" w:cs="Arial"/>
          <w:i/>
          <w:iCs/>
        </w:rPr>
        <w:t>Global health equity report</w:t>
      </w:r>
      <w:r w:rsidRPr="000439BB">
        <w:rPr>
          <w:rFonts w:ascii="Arial" w:hAnsi="Arial" w:cs="Arial"/>
        </w:rPr>
        <w:t>. Geneva: WHO.</w:t>
      </w:r>
    </w:p>
    <w:p w14:paraId="0841C95F" w14:textId="59C265C6" w:rsidR="00AB2D01" w:rsidRPr="000439BB" w:rsidRDefault="00AB2D01" w:rsidP="00AB2D01">
      <w:pPr>
        <w:spacing w:line="360" w:lineRule="auto"/>
        <w:ind w:firstLine="720"/>
        <w:jc w:val="both"/>
        <w:rPr>
          <w:rFonts w:ascii="Arial" w:hAnsi="Arial" w:cs="Arial"/>
        </w:rPr>
      </w:pPr>
      <w:r w:rsidRPr="000439BB">
        <w:rPr>
          <w:rFonts w:ascii="Arial" w:hAnsi="Arial" w:cs="Arial"/>
        </w:rPr>
        <w:t xml:space="preserve">World Health </w:t>
      </w:r>
      <w:r>
        <w:rPr>
          <w:rFonts w:ascii="Arial" w:hAnsi="Arial" w:cs="Arial"/>
        </w:rPr>
        <w:t>Organisation</w:t>
      </w:r>
      <w:r w:rsidRPr="000439BB">
        <w:rPr>
          <w:rFonts w:ascii="Arial" w:hAnsi="Arial" w:cs="Arial"/>
        </w:rPr>
        <w:t xml:space="preserve"> (2023b) </w:t>
      </w:r>
      <w:r w:rsidRPr="000439BB">
        <w:rPr>
          <w:rFonts w:ascii="Arial" w:hAnsi="Arial" w:cs="Arial"/>
          <w:i/>
          <w:iCs/>
        </w:rPr>
        <w:t>COVID-19 and global health inequities</w:t>
      </w:r>
      <w:r w:rsidRPr="000439BB">
        <w:rPr>
          <w:rFonts w:ascii="Arial" w:hAnsi="Arial" w:cs="Arial"/>
        </w:rPr>
        <w:t>. Geneva: WHO.</w:t>
      </w:r>
    </w:p>
    <w:p w14:paraId="04A40D2D" w14:textId="41B0DFB1" w:rsidR="000439BB" w:rsidRDefault="000439BB" w:rsidP="00AB2D01">
      <w:pPr>
        <w:pStyle w:val="Heading1"/>
        <w:rPr>
          <w:b/>
          <w:bCs/>
        </w:rPr>
      </w:pPr>
    </w:p>
    <w:p w14:paraId="77198FE7" w14:textId="77777777" w:rsidR="000439BB" w:rsidRPr="000439BB" w:rsidRDefault="000439BB" w:rsidP="000439BB"/>
    <w:p w14:paraId="78DC711A" w14:textId="6524C37F" w:rsidR="00695468" w:rsidRPr="00160C81" w:rsidRDefault="00695468" w:rsidP="00160C81">
      <w:pPr>
        <w:spacing w:line="360" w:lineRule="auto"/>
        <w:ind w:firstLine="720"/>
        <w:jc w:val="both"/>
        <w:rPr>
          <w:rFonts w:ascii="Arial" w:hAnsi="Arial" w:cs="Arial"/>
        </w:rPr>
      </w:pPr>
    </w:p>
    <w:sectPr w:rsidR="00695468" w:rsidRPr="00160C81" w:rsidSect="00342F8F">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D44F3" w14:textId="77777777" w:rsidR="0030261D" w:rsidRDefault="0030261D" w:rsidP="00342F8F">
      <w:pPr>
        <w:spacing w:after="0" w:line="240" w:lineRule="auto"/>
      </w:pPr>
      <w:r>
        <w:separator/>
      </w:r>
    </w:p>
  </w:endnote>
  <w:endnote w:type="continuationSeparator" w:id="0">
    <w:p w14:paraId="35CE5D14" w14:textId="77777777" w:rsidR="0030261D" w:rsidRDefault="0030261D" w:rsidP="00342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738540"/>
      <w:docPartObj>
        <w:docPartGallery w:val="Page Numbers (Bottom of Page)"/>
        <w:docPartUnique/>
      </w:docPartObj>
    </w:sdtPr>
    <w:sdtEndPr/>
    <w:sdtContent>
      <w:p w14:paraId="58C76345" w14:textId="1C43A1BD" w:rsidR="00907F19" w:rsidRDefault="00907F19">
        <w:pPr>
          <w:pStyle w:val="Footer"/>
          <w:jc w:val="center"/>
        </w:pPr>
        <w:r>
          <w:fldChar w:fldCharType="begin"/>
        </w:r>
        <w:r>
          <w:instrText>PAGE   \* MERGEFORMAT</w:instrText>
        </w:r>
        <w:r>
          <w:fldChar w:fldCharType="separate"/>
        </w:r>
        <w:r>
          <w:t>2</w:t>
        </w:r>
        <w:r>
          <w:fldChar w:fldCharType="end"/>
        </w:r>
      </w:p>
    </w:sdtContent>
  </w:sdt>
  <w:p w14:paraId="4A8BFB22" w14:textId="77777777" w:rsidR="00342F8F" w:rsidRDefault="00342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DE63E" w14:textId="77777777" w:rsidR="0030261D" w:rsidRDefault="0030261D" w:rsidP="00342F8F">
      <w:pPr>
        <w:spacing w:after="0" w:line="240" w:lineRule="auto"/>
      </w:pPr>
      <w:r>
        <w:separator/>
      </w:r>
    </w:p>
  </w:footnote>
  <w:footnote w:type="continuationSeparator" w:id="0">
    <w:p w14:paraId="3982D20E" w14:textId="77777777" w:rsidR="0030261D" w:rsidRDefault="0030261D" w:rsidP="00342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659DE"/>
    <w:multiLevelType w:val="multilevel"/>
    <w:tmpl w:val="9F4A6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FF5D4C"/>
    <w:multiLevelType w:val="hybridMultilevel"/>
    <w:tmpl w:val="7E7E43D4"/>
    <w:lvl w:ilvl="0" w:tplc="517420A4">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 w15:restartNumberingAfterBreak="0">
    <w:nsid w:val="22C819A9"/>
    <w:multiLevelType w:val="multilevel"/>
    <w:tmpl w:val="51744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014929"/>
    <w:multiLevelType w:val="multilevel"/>
    <w:tmpl w:val="D0281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862A4F"/>
    <w:multiLevelType w:val="multilevel"/>
    <w:tmpl w:val="B2CA8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AA7C8C"/>
    <w:multiLevelType w:val="multilevel"/>
    <w:tmpl w:val="C7D26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D81519"/>
    <w:multiLevelType w:val="multilevel"/>
    <w:tmpl w:val="05B2C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0E35BD"/>
    <w:multiLevelType w:val="multilevel"/>
    <w:tmpl w:val="B95A3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477E44"/>
    <w:multiLevelType w:val="multilevel"/>
    <w:tmpl w:val="B1AECC5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80" w:hanging="40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3C2ACE"/>
    <w:multiLevelType w:val="multilevel"/>
    <w:tmpl w:val="DB54E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6F0B9A"/>
    <w:multiLevelType w:val="multilevel"/>
    <w:tmpl w:val="7CDA4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48148C"/>
    <w:multiLevelType w:val="multilevel"/>
    <w:tmpl w:val="FE7A4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801B5B"/>
    <w:multiLevelType w:val="multilevel"/>
    <w:tmpl w:val="5A9C6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1767082">
    <w:abstractNumId w:val="10"/>
  </w:num>
  <w:num w:numId="2" w16cid:durableId="2036223552">
    <w:abstractNumId w:val="5"/>
  </w:num>
  <w:num w:numId="3" w16cid:durableId="65802723">
    <w:abstractNumId w:val="7"/>
  </w:num>
  <w:num w:numId="4" w16cid:durableId="2042126242">
    <w:abstractNumId w:val="11"/>
  </w:num>
  <w:num w:numId="5" w16cid:durableId="1218936063">
    <w:abstractNumId w:val="0"/>
  </w:num>
  <w:num w:numId="6" w16cid:durableId="1394616096">
    <w:abstractNumId w:val="12"/>
  </w:num>
  <w:num w:numId="7" w16cid:durableId="1156995518">
    <w:abstractNumId w:val="4"/>
  </w:num>
  <w:num w:numId="8" w16cid:durableId="230847461">
    <w:abstractNumId w:val="9"/>
  </w:num>
  <w:num w:numId="9" w16cid:durableId="417098039">
    <w:abstractNumId w:val="2"/>
  </w:num>
  <w:num w:numId="10" w16cid:durableId="1640262921">
    <w:abstractNumId w:val="3"/>
  </w:num>
  <w:num w:numId="11" w16cid:durableId="2070490016">
    <w:abstractNumId w:val="6"/>
  </w:num>
  <w:num w:numId="12" w16cid:durableId="1599482976">
    <w:abstractNumId w:val="8"/>
  </w:num>
  <w:num w:numId="13" w16cid:durableId="14626511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F8F"/>
    <w:rsid w:val="00001880"/>
    <w:rsid w:val="00001C0A"/>
    <w:rsid w:val="00002CD5"/>
    <w:rsid w:val="0000321F"/>
    <w:rsid w:val="00004747"/>
    <w:rsid w:val="00004F8F"/>
    <w:rsid w:val="0000544A"/>
    <w:rsid w:val="000054ED"/>
    <w:rsid w:val="00005568"/>
    <w:rsid w:val="0000582B"/>
    <w:rsid w:val="00005A93"/>
    <w:rsid w:val="000075DD"/>
    <w:rsid w:val="0000762A"/>
    <w:rsid w:val="00007CC0"/>
    <w:rsid w:val="00011464"/>
    <w:rsid w:val="00011BD6"/>
    <w:rsid w:val="00012210"/>
    <w:rsid w:val="00013379"/>
    <w:rsid w:val="000133C4"/>
    <w:rsid w:val="0001358C"/>
    <w:rsid w:val="000142F7"/>
    <w:rsid w:val="0001438C"/>
    <w:rsid w:val="000152AA"/>
    <w:rsid w:val="00015328"/>
    <w:rsid w:val="000155AA"/>
    <w:rsid w:val="00015A49"/>
    <w:rsid w:val="00015B85"/>
    <w:rsid w:val="00015BBE"/>
    <w:rsid w:val="00015E2C"/>
    <w:rsid w:val="00016438"/>
    <w:rsid w:val="000177FB"/>
    <w:rsid w:val="00017BF4"/>
    <w:rsid w:val="00021C34"/>
    <w:rsid w:val="00021EEB"/>
    <w:rsid w:val="00023C88"/>
    <w:rsid w:val="000265F2"/>
    <w:rsid w:val="000301AD"/>
    <w:rsid w:val="0003022B"/>
    <w:rsid w:val="000303FF"/>
    <w:rsid w:val="00031672"/>
    <w:rsid w:val="00031B2C"/>
    <w:rsid w:val="00032BD8"/>
    <w:rsid w:val="00034455"/>
    <w:rsid w:val="00034503"/>
    <w:rsid w:val="00035C9F"/>
    <w:rsid w:val="00037832"/>
    <w:rsid w:val="000378A7"/>
    <w:rsid w:val="00037958"/>
    <w:rsid w:val="00037CD9"/>
    <w:rsid w:val="0004099C"/>
    <w:rsid w:val="00042826"/>
    <w:rsid w:val="0004286F"/>
    <w:rsid w:val="000433BA"/>
    <w:rsid w:val="000439BB"/>
    <w:rsid w:val="00045050"/>
    <w:rsid w:val="0004695F"/>
    <w:rsid w:val="0004744D"/>
    <w:rsid w:val="00051106"/>
    <w:rsid w:val="000518C6"/>
    <w:rsid w:val="00051A2D"/>
    <w:rsid w:val="00051DEA"/>
    <w:rsid w:val="0005390F"/>
    <w:rsid w:val="00053D2A"/>
    <w:rsid w:val="00054284"/>
    <w:rsid w:val="0005433D"/>
    <w:rsid w:val="0005457E"/>
    <w:rsid w:val="00054AE2"/>
    <w:rsid w:val="00054F21"/>
    <w:rsid w:val="00055165"/>
    <w:rsid w:val="000552D2"/>
    <w:rsid w:val="00055E22"/>
    <w:rsid w:val="000561DD"/>
    <w:rsid w:val="00057012"/>
    <w:rsid w:val="000572F6"/>
    <w:rsid w:val="000604AC"/>
    <w:rsid w:val="0006068C"/>
    <w:rsid w:val="0006190D"/>
    <w:rsid w:val="00061DDD"/>
    <w:rsid w:val="00062196"/>
    <w:rsid w:val="00062B7E"/>
    <w:rsid w:val="0006379E"/>
    <w:rsid w:val="00065463"/>
    <w:rsid w:val="00065AD8"/>
    <w:rsid w:val="00065B4C"/>
    <w:rsid w:val="00065CD9"/>
    <w:rsid w:val="00065E15"/>
    <w:rsid w:val="00067753"/>
    <w:rsid w:val="00067835"/>
    <w:rsid w:val="000678DA"/>
    <w:rsid w:val="0007027B"/>
    <w:rsid w:val="00070728"/>
    <w:rsid w:val="00070A2F"/>
    <w:rsid w:val="00070FD5"/>
    <w:rsid w:val="00072AE2"/>
    <w:rsid w:val="000731A3"/>
    <w:rsid w:val="00073A58"/>
    <w:rsid w:val="00073E10"/>
    <w:rsid w:val="00074556"/>
    <w:rsid w:val="00074C44"/>
    <w:rsid w:val="00075CA9"/>
    <w:rsid w:val="000764D5"/>
    <w:rsid w:val="0007682B"/>
    <w:rsid w:val="00076A72"/>
    <w:rsid w:val="0007701F"/>
    <w:rsid w:val="00077ECD"/>
    <w:rsid w:val="000801FB"/>
    <w:rsid w:val="00080696"/>
    <w:rsid w:val="00080787"/>
    <w:rsid w:val="00080E24"/>
    <w:rsid w:val="00081A06"/>
    <w:rsid w:val="00081DED"/>
    <w:rsid w:val="00082B51"/>
    <w:rsid w:val="00082BDC"/>
    <w:rsid w:val="0008304F"/>
    <w:rsid w:val="00083BD4"/>
    <w:rsid w:val="00085566"/>
    <w:rsid w:val="00085C21"/>
    <w:rsid w:val="00085E3B"/>
    <w:rsid w:val="000870D4"/>
    <w:rsid w:val="000878A3"/>
    <w:rsid w:val="00087CEF"/>
    <w:rsid w:val="00090C1A"/>
    <w:rsid w:val="00090C72"/>
    <w:rsid w:val="00090E70"/>
    <w:rsid w:val="00092E89"/>
    <w:rsid w:val="00093149"/>
    <w:rsid w:val="00093352"/>
    <w:rsid w:val="000934C6"/>
    <w:rsid w:val="00093B77"/>
    <w:rsid w:val="00093F7D"/>
    <w:rsid w:val="00094BBE"/>
    <w:rsid w:val="0009548D"/>
    <w:rsid w:val="00095F8B"/>
    <w:rsid w:val="000962CB"/>
    <w:rsid w:val="00096995"/>
    <w:rsid w:val="00097039"/>
    <w:rsid w:val="0009776F"/>
    <w:rsid w:val="000A038F"/>
    <w:rsid w:val="000A0C19"/>
    <w:rsid w:val="000A2A33"/>
    <w:rsid w:val="000A3221"/>
    <w:rsid w:val="000A3FA0"/>
    <w:rsid w:val="000A4F69"/>
    <w:rsid w:val="000A5DF1"/>
    <w:rsid w:val="000A641A"/>
    <w:rsid w:val="000A65AD"/>
    <w:rsid w:val="000B00C6"/>
    <w:rsid w:val="000B1074"/>
    <w:rsid w:val="000B10A3"/>
    <w:rsid w:val="000B145B"/>
    <w:rsid w:val="000B169D"/>
    <w:rsid w:val="000B1932"/>
    <w:rsid w:val="000B1EE7"/>
    <w:rsid w:val="000B2848"/>
    <w:rsid w:val="000B29BA"/>
    <w:rsid w:val="000B2B24"/>
    <w:rsid w:val="000B2CDF"/>
    <w:rsid w:val="000B3119"/>
    <w:rsid w:val="000B3F3F"/>
    <w:rsid w:val="000B42CE"/>
    <w:rsid w:val="000B6AAB"/>
    <w:rsid w:val="000C18CC"/>
    <w:rsid w:val="000C1A44"/>
    <w:rsid w:val="000C23C2"/>
    <w:rsid w:val="000C2C1B"/>
    <w:rsid w:val="000C2DD2"/>
    <w:rsid w:val="000C3861"/>
    <w:rsid w:val="000C40CD"/>
    <w:rsid w:val="000C4264"/>
    <w:rsid w:val="000C441D"/>
    <w:rsid w:val="000C510B"/>
    <w:rsid w:val="000C51F5"/>
    <w:rsid w:val="000C797D"/>
    <w:rsid w:val="000D0D0A"/>
    <w:rsid w:val="000D1667"/>
    <w:rsid w:val="000D19B1"/>
    <w:rsid w:val="000D1B80"/>
    <w:rsid w:val="000D1DBD"/>
    <w:rsid w:val="000D1F66"/>
    <w:rsid w:val="000D21DE"/>
    <w:rsid w:val="000D3170"/>
    <w:rsid w:val="000D40D8"/>
    <w:rsid w:val="000D442C"/>
    <w:rsid w:val="000D4F42"/>
    <w:rsid w:val="000D726A"/>
    <w:rsid w:val="000D7374"/>
    <w:rsid w:val="000D741F"/>
    <w:rsid w:val="000E1C44"/>
    <w:rsid w:val="000E21BB"/>
    <w:rsid w:val="000E2C84"/>
    <w:rsid w:val="000E2DCC"/>
    <w:rsid w:val="000E3F49"/>
    <w:rsid w:val="000E4683"/>
    <w:rsid w:val="000E5D86"/>
    <w:rsid w:val="000E707E"/>
    <w:rsid w:val="000F0837"/>
    <w:rsid w:val="000F2297"/>
    <w:rsid w:val="000F25B6"/>
    <w:rsid w:val="000F29FB"/>
    <w:rsid w:val="000F3311"/>
    <w:rsid w:val="000F4674"/>
    <w:rsid w:val="000F49FC"/>
    <w:rsid w:val="000F5266"/>
    <w:rsid w:val="000F5A84"/>
    <w:rsid w:val="000F5EC1"/>
    <w:rsid w:val="000F63D5"/>
    <w:rsid w:val="000F7B30"/>
    <w:rsid w:val="000F7BA2"/>
    <w:rsid w:val="00100057"/>
    <w:rsid w:val="001000EC"/>
    <w:rsid w:val="001004B3"/>
    <w:rsid w:val="00102897"/>
    <w:rsid w:val="001037DA"/>
    <w:rsid w:val="001062E7"/>
    <w:rsid w:val="00111C72"/>
    <w:rsid w:val="00111F36"/>
    <w:rsid w:val="00112ABC"/>
    <w:rsid w:val="00112F9F"/>
    <w:rsid w:val="001141D6"/>
    <w:rsid w:val="00114362"/>
    <w:rsid w:val="001146AD"/>
    <w:rsid w:val="00114C32"/>
    <w:rsid w:val="00114EC7"/>
    <w:rsid w:val="00116413"/>
    <w:rsid w:val="001165F0"/>
    <w:rsid w:val="00116A3C"/>
    <w:rsid w:val="00117425"/>
    <w:rsid w:val="001176A2"/>
    <w:rsid w:val="00117E48"/>
    <w:rsid w:val="00117F3F"/>
    <w:rsid w:val="001203EA"/>
    <w:rsid w:val="00120DC3"/>
    <w:rsid w:val="00121858"/>
    <w:rsid w:val="00121947"/>
    <w:rsid w:val="001221C6"/>
    <w:rsid w:val="00123079"/>
    <w:rsid w:val="001237A1"/>
    <w:rsid w:val="00124A12"/>
    <w:rsid w:val="00124B60"/>
    <w:rsid w:val="001254AD"/>
    <w:rsid w:val="00126386"/>
    <w:rsid w:val="0012650B"/>
    <w:rsid w:val="00126F33"/>
    <w:rsid w:val="00130EB2"/>
    <w:rsid w:val="001339E9"/>
    <w:rsid w:val="00133F63"/>
    <w:rsid w:val="00134361"/>
    <w:rsid w:val="00134610"/>
    <w:rsid w:val="00134773"/>
    <w:rsid w:val="0013481D"/>
    <w:rsid w:val="001352F9"/>
    <w:rsid w:val="00136CD0"/>
    <w:rsid w:val="00136F04"/>
    <w:rsid w:val="00136F65"/>
    <w:rsid w:val="001375EC"/>
    <w:rsid w:val="00137983"/>
    <w:rsid w:val="00141023"/>
    <w:rsid w:val="0014108A"/>
    <w:rsid w:val="00141F15"/>
    <w:rsid w:val="0014219E"/>
    <w:rsid w:val="001422DD"/>
    <w:rsid w:val="001431A6"/>
    <w:rsid w:val="00143897"/>
    <w:rsid w:val="00143F4D"/>
    <w:rsid w:val="001447E9"/>
    <w:rsid w:val="00144857"/>
    <w:rsid w:val="0014514D"/>
    <w:rsid w:val="001456B9"/>
    <w:rsid w:val="001457E6"/>
    <w:rsid w:val="00145902"/>
    <w:rsid w:val="00145B3C"/>
    <w:rsid w:val="00145BAC"/>
    <w:rsid w:val="0014752E"/>
    <w:rsid w:val="00147BBC"/>
    <w:rsid w:val="00147ECF"/>
    <w:rsid w:val="0015032A"/>
    <w:rsid w:val="001507FB"/>
    <w:rsid w:val="00150A5F"/>
    <w:rsid w:val="00153442"/>
    <w:rsid w:val="00153606"/>
    <w:rsid w:val="00153707"/>
    <w:rsid w:val="00153B6E"/>
    <w:rsid w:val="00153D09"/>
    <w:rsid w:val="00153FB3"/>
    <w:rsid w:val="00154036"/>
    <w:rsid w:val="00154AA7"/>
    <w:rsid w:val="001555AD"/>
    <w:rsid w:val="0015632E"/>
    <w:rsid w:val="00156DCD"/>
    <w:rsid w:val="00157211"/>
    <w:rsid w:val="001576B9"/>
    <w:rsid w:val="001609B2"/>
    <w:rsid w:val="00160AA6"/>
    <w:rsid w:val="00160C81"/>
    <w:rsid w:val="00161D20"/>
    <w:rsid w:val="001621F4"/>
    <w:rsid w:val="001622A2"/>
    <w:rsid w:val="00163DBC"/>
    <w:rsid w:val="00163E6E"/>
    <w:rsid w:val="001649C3"/>
    <w:rsid w:val="001653D9"/>
    <w:rsid w:val="00165DE2"/>
    <w:rsid w:val="00166634"/>
    <w:rsid w:val="001667B8"/>
    <w:rsid w:val="001671F7"/>
    <w:rsid w:val="0016750E"/>
    <w:rsid w:val="001676B5"/>
    <w:rsid w:val="00167D10"/>
    <w:rsid w:val="00170499"/>
    <w:rsid w:val="00171DA2"/>
    <w:rsid w:val="001734DE"/>
    <w:rsid w:val="001762E0"/>
    <w:rsid w:val="0017647A"/>
    <w:rsid w:val="001801DD"/>
    <w:rsid w:val="001818D7"/>
    <w:rsid w:val="00182D34"/>
    <w:rsid w:val="00183A5A"/>
    <w:rsid w:val="001848AD"/>
    <w:rsid w:val="00185E1D"/>
    <w:rsid w:val="0019056B"/>
    <w:rsid w:val="0019137D"/>
    <w:rsid w:val="00191CEA"/>
    <w:rsid w:val="00192431"/>
    <w:rsid w:val="00192E6E"/>
    <w:rsid w:val="00193561"/>
    <w:rsid w:val="001945AB"/>
    <w:rsid w:val="00194B33"/>
    <w:rsid w:val="00194CAC"/>
    <w:rsid w:val="0019584C"/>
    <w:rsid w:val="001961A6"/>
    <w:rsid w:val="001A00DA"/>
    <w:rsid w:val="001A021E"/>
    <w:rsid w:val="001A0406"/>
    <w:rsid w:val="001A06B8"/>
    <w:rsid w:val="001A12AF"/>
    <w:rsid w:val="001A2390"/>
    <w:rsid w:val="001A355B"/>
    <w:rsid w:val="001A5C5D"/>
    <w:rsid w:val="001A5F28"/>
    <w:rsid w:val="001A65B6"/>
    <w:rsid w:val="001A6D1C"/>
    <w:rsid w:val="001A7879"/>
    <w:rsid w:val="001B00DE"/>
    <w:rsid w:val="001B0141"/>
    <w:rsid w:val="001B03B0"/>
    <w:rsid w:val="001B04D8"/>
    <w:rsid w:val="001B099B"/>
    <w:rsid w:val="001B1A6F"/>
    <w:rsid w:val="001B1D4B"/>
    <w:rsid w:val="001B24CE"/>
    <w:rsid w:val="001B38E5"/>
    <w:rsid w:val="001B3E6B"/>
    <w:rsid w:val="001B3FCA"/>
    <w:rsid w:val="001B4613"/>
    <w:rsid w:val="001B57D8"/>
    <w:rsid w:val="001B7862"/>
    <w:rsid w:val="001C0411"/>
    <w:rsid w:val="001C25AD"/>
    <w:rsid w:val="001C29BC"/>
    <w:rsid w:val="001C3E7A"/>
    <w:rsid w:val="001C508A"/>
    <w:rsid w:val="001C516E"/>
    <w:rsid w:val="001C53E0"/>
    <w:rsid w:val="001C5A5A"/>
    <w:rsid w:val="001C6568"/>
    <w:rsid w:val="001C7DDF"/>
    <w:rsid w:val="001D00A3"/>
    <w:rsid w:val="001D13DC"/>
    <w:rsid w:val="001D16C0"/>
    <w:rsid w:val="001D3665"/>
    <w:rsid w:val="001D38AF"/>
    <w:rsid w:val="001D481B"/>
    <w:rsid w:val="001D6900"/>
    <w:rsid w:val="001D704C"/>
    <w:rsid w:val="001D7A28"/>
    <w:rsid w:val="001E0FE5"/>
    <w:rsid w:val="001E107A"/>
    <w:rsid w:val="001E1D99"/>
    <w:rsid w:val="001E30A9"/>
    <w:rsid w:val="001E4CC1"/>
    <w:rsid w:val="001E4DE1"/>
    <w:rsid w:val="001E5439"/>
    <w:rsid w:val="001E7F3E"/>
    <w:rsid w:val="001F133A"/>
    <w:rsid w:val="001F1D77"/>
    <w:rsid w:val="001F2415"/>
    <w:rsid w:val="001F3233"/>
    <w:rsid w:val="001F4A46"/>
    <w:rsid w:val="001F7398"/>
    <w:rsid w:val="00200165"/>
    <w:rsid w:val="002009AA"/>
    <w:rsid w:val="0020155B"/>
    <w:rsid w:val="002020F4"/>
    <w:rsid w:val="00203562"/>
    <w:rsid w:val="00204C31"/>
    <w:rsid w:val="002054E1"/>
    <w:rsid w:val="002056A4"/>
    <w:rsid w:val="00206868"/>
    <w:rsid w:val="0020713C"/>
    <w:rsid w:val="00207395"/>
    <w:rsid w:val="00210C31"/>
    <w:rsid w:val="00210CF2"/>
    <w:rsid w:val="002129A3"/>
    <w:rsid w:val="00213128"/>
    <w:rsid w:val="00216F1D"/>
    <w:rsid w:val="00217327"/>
    <w:rsid w:val="00217454"/>
    <w:rsid w:val="00217785"/>
    <w:rsid w:val="00217F36"/>
    <w:rsid w:val="00220457"/>
    <w:rsid w:val="00220D00"/>
    <w:rsid w:val="00222C22"/>
    <w:rsid w:val="00222C32"/>
    <w:rsid w:val="00222C82"/>
    <w:rsid w:val="002231B6"/>
    <w:rsid w:val="00223411"/>
    <w:rsid w:val="00223F11"/>
    <w:rsid w:val="00224452"/>
    <w:rsid w:val="002247C1"/>
    <w:rsid w:val="00226640"/>
    <w:rsid w:val="0022680B"/>
    <w:rsid w:val="00227196"/>
    <w:rsid w:val="00227458"/>
    <w:rsid w:val="00227521"/>
    <w:rsid w:val="00227B52"/>
    <w:rsid w:val="00230C67"/>
    <w:rsid w:val="00231182"/>
    <w:rsid w:val="0023170C"/>
    <w:rsid w:val="0023199B"/>
    <w:rsid w:val="00232114"/>
    <w:rsid w:val="0023290B"/>
    <w:rsid w:val="00232BC3"/>
    <w:rsid w:val="00232DC1"/>
    <w:rsid w:val="00234E2F"/>
    <w:rsid w:val="00234FAA"/>
    <w:rsid w:val="00235105"/>
    <w:rsid w:val="002353CA"/>
    <w:rsid w:val="0023561D"/>
    <w:rsid w:val="002367E9"/>
    <w:rsid w:val="0023713A"/>
    <w:rsid w:val="00237DF7"/>
    <w:rsid w:val="0024008D"/>
    <w:rsid w:val="00240217"/>
    <w:rsid w:val="002403F9"/>
    <w:rsid w:val="002409DD"/>
    <w:rsid w:val="002452F4"/>
    <w:rsid w:val="00245322"/>
    <w:rsid w:val="002458CC"/>
    <w:rsid w:val="0024669E"/>
    <w:rsid w:val="00246752"/>
    <w:rsid w:val="002475E9"/>
    <w:rsid w:val="00247D61"/>
    <w:rsid w:val="00247D95"/>
    <w:rsid w:val="0025129D"/>
    <w:rsid w:val="0025144F"/>
    <w:rsid w:val="0025162B"/>
    <w:rsid w:val="00251B52"/>
    <w:rsid w:val="00256574"/>
    <w:rsid w:val="0025672A"/>
    <w:rsid w:val="00256BD3"/>
    <w:rsid w:val="002578B6"/>
    <w:rsid w:val="00257CC7"/>
    <w:rsid w:val="00257DC1"/>
    <w:rsid w:val="00257E9E"/>
    <w:rsid w:val="00260FA3"/>
    <w:rsid w:val="002630AC"/>
    <w:rsid w:val="002645E9"/>
    <w:rsid w:val="00265FE1"/>
    <w:rsid w:val="002670A9"/>
    <w:rsid w:val="002702A4"/>
    <w:rsid w:val="0027078F"/>
    <w:rsid w:val="00271804"/>
    <w:rsid w:val="00271971"/>
    <w:rsid w:val="00272828"/>
    <w:rsid w:val="0027354A"/>
    <w:rsid w:val="00273C67"/>
    <w:rsid w:val="00273D35"/>
    <w:rsid w:val="00274057"/>
    <w:rsid w:val="0027478C"/>
    <w:rsid w:val="00275971"/>
    <w:rsid w:val="00277025"/>
    <w:rsid w:val="00277B0E"/>
    <w:rsid w:val="00277DE6"/>
    <w:rsid w:val="0028187A"/>
    <w:rsid w:val="00281C45"/>
    <w:rsid w:val="002827CF"/>
    <w:rsid w:val="00282E52"/>
    <w:rsid w:val="0028332A"/>
    <w:rsid w:val="00283572"/>
    <w:rsid w:val="002837B4"/>
    <w:rsid w:val="00283CD1"/>
    <w:rsid w:val="0028539D"/>
    <w:rsid w:val="00285BDB"/>
    <w:rsid w:val="00286151"/>
    <w:rsid w:val="002867B2"/>
    <w:rsid w:val="00287EF9"/>
    <w:rsid w:val="00290D11"/>
    <w:rsid w:val="00291A1A"/>
    <w:rsid w:val="00291A60"/>
    <w:rsid w:val="0029217B"/>
    <w:rsid w:val="00292B03"/>
    <w:rsid w:val="00292B76"/>
    <w:rsid w:val="00292BB7"/>
    <w:rsid w:val="002939B6"/>
    <w:rsid w:val="00293C3C"/>
    <w:rsid w:val="0029469D"/>
    <w:rsid w:val="00294A72"/>
    <w:rsid w:val="00295025"/>
    <w:rsid w:val="002957AE"/>
    <w:rsid w:val="00297A1B"/>
    <w:rsid w:val="002A07FA"/>
    <w:rsid w:val="002A1417"/>
    <w:rsid w:val="002A2AE4"/>
    <w:rsid w:val="002A3D0B"/>
    <w:rsid w:val="002A4038"/>
    <w:rsid w:val="002A565A"/>
    <w:rsid w:val="002A6CC9"/>
    <w:rsid w:val="002B0388"/>
    <w:rsid w:val="002B0457"/>
    <w:rsid w:val="002B08FE"/>
    <w:rsid w:val="002B0CFC"/>
    <w:rsid w:val="002B1ABC"/>
    <w:rsid w:val="002B1D9E"/>
    <w:rsid w:val="002B2050"/>
    <w:rsid w:val="002B3D43"/>
    <w:rsid w:val="002B4133"/>
    <w:rsid w:val="002B4C2E"/>
    <w:rsid w:val="002B6969"/>
    <w:rsid w:val="002B7420"/>
    <w:rsid w:val="002B7E6C"/>
    <w:rsid w:val="002C112C"/>
    <w:rsid w:val="002C20BA"/>
    <w:rsid w:val="002C2A96"/>
    <w:rsid w:val="002C2B02"/>
    <w:rsid w:val="002C3ABA"/>
    <w:rsid w:val="002C55C2"/>
    <w:rsid w:val="002C57B5"/>
    <w:rsid w:val="002C590F"/>
    <w:rsid w:val="002C78D4"/>
    <w:rsid w:val="002D0035"/>
    <w:rsid w:val="002D1C99"/>
    <w:rsid w:val="002D2751"/>
    <w:rsid w:val="002D2ADA"/>
    <w:rsid w:val="002D3A33"/>
    <w:rsid w:val="002D41D0"/>
    <w:rsid w:val="002D4ABF"/>
    <w:rsid w:val="002D51EF"/>
    <w:rsid w:val="002D5C05"/>
    <w:rsid w:val="002D5CC3"/>
    <w:rsid w:val="002D66DD"/>
    <w:rsid w:val="002D6B32"/>
    <w:rsid w:val="002D735D"/>
    <w:rsid w:val="002E0AEB"/>
    <w:rsid w:val="002E143D"/>
    <w:rsid w:val="002E1C8E"/>
    <w:rsid w:val="002E2207"/>
    <w:rsid w:val="002E2C4C"/>
    <w:rsid w:val="002E3512"/>
    <w:rsid w:val="002E4B53"/>
    <w:rsid w:val="002E4FCA"/>
    <w:rsid w:val="002E4FF7"/>
    <w:rsid w:val="002E5929"/>
    <w:rsid w:val="002E5DCF"/>
    <w:rsid w:val="002E60D7"/>
    <w:rsid w:val="002F006C"/>
    <w:rsid w:val="002F0670"/>
    <w:rsid w:val="002F1C49"/>
    <w:rsid w:val="002F28C8"/>
    <w:rsid w:val="002F3542"/>
    <w:rsid w:val="002F3577"/>
    <w:rsid w:val="002F480B"/>
    <w:rsid w:val="002F5B4F"/>
    <w:rsid w:val="002F666D"/>
    <w:rsid w:val="00301832"/>
    <w:rsid w:val="0030261D"/>
    <w:rsid w:val="003026F7"/>
    <w:rsid w:val="00302A42"/>
    <w:rsid w:val="0030307A"/>
    <w:rsid w:val="00303740"/>
    <w:rsid w:val="00303C69"/>
    <w:rsid w:val="00304469"/>
    <w:rsid w:val="003050DF"/>
    <w:rsid w:val="003051D4"/>
    <w:rsid w:val="00305ABF"/>
    <w:rsid w:val="003060C2"/>
    <w:rsid w:val="00306F08"/>
    <w:rsid w:val="00307388"/>
    <w:rsid w:val="00307E0B"/>
    <w:rsid w:val="00310A86"/>
    <w:rsid w:val="00310BCE"/>
    <w:rsid w:val="00311606"/>
    <w:rsid w:val="003138A8"/>
    <w:rsid w:val="00314426"/>
    <w:rsid w:val="0031467C"/>
    <w:rsid w:val="00314F81"/>
    <w:rsid w:val="003151D7"/>
    <w:rsid w:val="003157F8"/>
    <w:rsid w:val="003160D4"/>
    <w:rsid w:val="00316372"/>
    <w:rsid w:val="003168CC"/>
    <w:rsid w:val="00317562"/>
    <w:rsid w:val="003175B3"/>
    <w:rsid w:val="00320624"/>
    <w:rsid w:val="0032099D"/>
    <w:rsid w:val="00320AC6"/>
    <w:rsid w:val="0032104B"/>
    <w:rsid w:val="003218F1"/>
    <w:rsid w:val="00323800"/>
    <w:rsid w:val="003241A2"/>
    <w:rsid w:val="00324C84"/>
    <w:rsid w:val="00326C36"/>
    <w:rsid w:val="0032742E"/>
    <w:rsid w:val="00330F1F"/>
    <w:rsid w:val="00332AD1"/>
    <w:rsid w:val="00332B3C"/>
    <w:rsid w:val="00332B93"/>
    <w:rsid w:val="0033389A"/>
    <w:rsid w:val="00334BB0"/>
    <w:rsid w:val="003353F8"/>
    <w:rsid w:val="00335DEB"/>
    <w:rsid w:val="0033742D"/>
    <w:rsid w:val="00337D6F"/>
    <w:rsid w:val="00337FC8"/>
    <w:rsid w:val="0034196F"/>
    <w:rsid w:val="00341FAC"/>
    <w:rsid w:val="00342F8F"/>
    <w:rsid w:val="003434A0"/>
    <w:rsid w:val="0034389C"/>
    <w:rsid w:val="00343D44"/>
    <w:rsid w:val="003450AC"/>
    <w:rsid w:val="00345597"/>
    <w:rsid w:val="003457FF"/>
    <w:rsid w:val="0034687D"/>
    <w:rsid w:val="0035141E"/>
    <w:rsid w:val="003526B8"/>
    <w:rsid w:val="00354765"/>
    <w:rsid w:val="00355145"/>
    <w:rsid w:val="003556D8"/>
    <w:rsid w:val="00355DD4"/>
    <w:rsid w:val="003563E1"/>
    <w:rsid w:val="00356F23"/>
    <w:rsid w:val="00357844"/>
    <w:rsid w:val="00360BEE"/>
    <w:rsid w:val="003620B0"/>
    <w:rsid w:val="0036265A"/>
    <w:rsid w:val="0036303F"/>
    <w:rsid w:val="00363340"/>
    <w:rsid w:val="00363415"/>
    <w:rsid w:val="003635B7"/>
    <w:rsid w:val="00363630"/>
    <w:rsid w:val="00363D86"/>
    <w:rsid w:val="0036402C"/>
    <w:rsid w:val="0036592C"/>
    <w:rsid w:val="00372568"/>
    <w:rsid w:val="00375475"/>
    <w:rsid w:val="003756EE"/>
    <w:rsid w:val="00376236"/>
    <w:rsid w:val="003769B7"/>
    <w:rsid w:val="00376CB5"/>
    <w:rsid w:val="00380F65"/>
    <w:rsid w:val="00381296"/>
    <w:rsid w:val="003817D0"/>
    <w:rsid w:val="00381BB1"/>
    <w:rsid w:val="00382640"/>
    <w:rsid w:val="003838A6"/>
    <w:rsid w:val="0038418E"/>
    <w:rsid w:val="0038485F"/>
    <w:rsid w:val="003848C7"/>
    <w:rsid w:val="00385685"/>
    <w:rsid w:val="00385ADC"/>
    <w:rsid w:val="00386053"/>
    <w:rsid w:val="0038617E"/>
    <w:rsid w:val="00386917"/>
    <w:rsid w:val="00387BBC"/>
    <w:rsid w:val="00387C09"/>
    <w:rsid w:val="00390822"/>
    <w:rsid w:val="00391706"/>
    <w:rsid w:val="00392B75"/>
    <w:rsid w:val="003934FC"/>
    <w:rsid w:val="00393914"/>
    <w:rsid w:val="00394E08"/>
    <w:rsid w:val="00394F2E"/>
    <w:rsid w:val="00395270"/>
    <w:rsid w:val="0039570B"/>
    <w:rsid w:val="00396622"/>
    <w:rsid w:val="00396D1F"/>
    <w:rsid w:val="003A0FBA"/>
    <w:rsid w:val="003A1396"/>
    <w:rsid w:val="003A1E79"/>
    <w:rsid w:val="003A21BD"/>
    <w:rsid w:val="003A439C"/>
    <w:rsid w:val="003A43F4"/>
    <w:rsid w:val="003A4676"/>
    <w:rsid w:val="003A4D3D"/>
    <w:rsid w:val="003A602E"/>
    <w:rsid w:val="003A6469"/>
    <w:rsid w:val="003A65FF"/>
    <w:rsid w:val="003A6D4A"/>
    <w:rsid w:val="003A7235"/>
    <w:rsid w:val="003B0B25"/>
    <w:rsid w:val="003B0D23"/>
    <w:rsid w:val="003B0F86"/>
    <w:rsid w:val="003B155D"/>
    <w:rsid w:val="003B19D5"/>
    <w:rsid w:val="003B19ED"/>
    <w:rsid w:val="003B24E9"/>
    <w:rsid w:val="003B2782"/>
    <w:rsid w:val="003B3482"/>
    <w:rsid w:val="003B349E"/>
    <w:rsid w:val="003B3656"/>
    <w:rsid w:val="003B37AC"/>
    <w:rsid w:val="003B3811"/>
    <w:rsid w:val="003B614D"/>
    <w:rsid w:val="003B69D7"/>
    <w:rsid w:val="003B6D5E"/>
    <w:rsid w:val="003C03A4"/>
    <w:rsid w:val="003C0420"/>
    <w:rsid w:val="003C148E"/>
    <w:rsid w:val="003C3B5B"/>
    <w:rsid w:val="003C3C6B"/>
    <w:rsid w:val="003C3F98"/>
    <w:rsid w:val="003C54C7"/>
    <w:rsid w:val="003C5C8F"/>
    <w:rsid w:val="003C6327"/>
    <w:rsid w:val="003C64B1"/>
    <w:rsid w:val="003C6991"/>
    <w:rsid w:val="003C760E"/>
    <w:rsid w:val="003D0313"/>
    <w:rsid w:val="003D0AF8"/>
    <w:rsid w:val="003D0FA0"/>
    <w:rsid w:val="003D143C"/>
    <w:rsid w:val="003D1C84"/>
    <w:rsid w:val="003D1E41"/>
    <w:rsid w:val="003D1EF8"/>
    <w:rsid w:val="003D2569"/>
    <w:rsid w:val="003D52F8"/>
    <w:rsid w:val="003D6267"/>
    <w:rsid w:val="003D7AEF"/>
    <w:rsid w:val="003E04FA"/>
    <w:rsid w:val="003E2605"/>
    <w:rsid w:val="003E2FB9"/>
    <w:rsid w:val="003E4CA4"/>
    <w:rsid w:val="003E4F16"/>
    <w:rsid w:val="003E6ED3"/>
    <w:rsid w:val="003E7553"/>
    <w:rsid w:val="003E767B"/>
    <w:rsid w:val="003F06D1"/>
    <w:rsid w:val="003F0BD5"/>
    <w:rsid w:val="003F0E88"/>
    <w:rsid w:val="003F0E8D"/>
    <w:rsid w:val="003F1338"/>
    <w:rsid w:val="003F135C"/>
    <w:rsid w:val="003F188C"/>
    <w:rsid w:val="003F1899"/>
    <w:rsid w:val="003F1B16"/>
    <w:rsid w:val="003F25C7"/>
    <w:rsid w:val="003F2AA2"/>
    <w:rsid w:val="003F3328"/>
    <w:rsid w:val="003F3657"/>
    <w:rsid w:val="003F62C9"/>
    <w:rsid w:val="003F6595"/>
    <w:rsid w:val="003F797C"/>
    <w:rsid w:val="0040147C"/>
    <w:rsid w:val="00401499"/>
    <w:rsid w:val="00401BFB"/>
    <w:rsid w:val="00402263"/>
    <w:rsid w:val="0040436A"/>
    <w:rsid w:val="00405970"/>
    <w:rsid w:val="0040733C"/>
    <w:rsid w:val="0041060B"/>
    <w:rsid w:val="0041078C"/>
    <w:rsid w:val="004110D0"/>
    <w:rsid w:val="00411C47"/>
    <w:rsid w:val="00412539"/>
    <w:rsid w:val="00412A90"/>
    <w:rsid w:val="00414748"/>
    <w:rsid w:val="00414AE7"/>
    <w:rsid w:val="00414C5C"/>
    <w:rsid w:val="004157D1"/>
    <w:rsid w:val="00415AF6"/>
    <w:rsid w:val="004162D3"/>
    <w:rsid w:val="00416FFF"/>
    <w:rsid w:val="0041709E"/>
    <w:rsid w:val="0042127F"/>
    <w:rsid w:val="00422A6D"/>
    <w:rsid w:val="004235E5"/>
    <w:rsid w:val="00423742"/>
    <w:rsid w:val="00423995"/>
    <w:rsid w:val="00423EA6"/>
    <w:rsid w:val="00424602"/>
    <w:rsid w:val="00424916"/>
    <w:rsid w:val="00424FBA"/>
    <w:rsid w:val="00425120"/>
    <w:rsid w:val="004252C0"/>
    <w:rsid w:val="00425A8E"/>
    <w:rsid w:val="00425CE5"/>
    <w:rsid w:val="00425D1D"/>
    <w:rsid w:val="0042616E"/>
    <w:rsid w:val="00426BF2"/>
    <w:rsid w:val="00426F16"/>
    <w:rsid w:val="00427B5F"/>
    <w:rsid w:val="00427BA9"/>
    <w:rsid w:val="004313F3"/>
    <w:rsid w:val="00432098"/>
    <w:rsid w:val="00433821"/>
    <w:rsid w:val="00433843"/>
    <w:rsid w:val="00433875"/>
    <w:rsid w:val="00433A0C"/>
    <w:rsid w:val="00433AD1"/>
    <w:rsid w:val="00433CAE"/>
    <w:rsid w:val="004345AE"/>
    <w:rsid w:val="00434678"/>
    <w:rsid w:val="0043534F"/>
    <w:rsid w:val="00436818"/>
    <w:rsid w:val="00436E04"/>
    <w:rsid w:val="004406AF"/>
    <w:rsid w:val="00440825"/>
    <w:rsid w:val="00441D98"/>
    <w:rsid w:val="00442A06"/>
    <w:rsid w:val="00442F78"/>
    <w:rsid w:val="0044390A"/>
    <w:rsid w:val="004447DA"/>
    <w:rsid w:val="004449FC"/>
    <w:rsid w:val="00444CC3"/>
    <w:rsid w:val="00445B8D"/>
    <w:rsid w:val="0044738E"/>
    <w:rsid w:val="00450282"/>
    <w:rsid w:val="004508CF"/>
    <w:rsid w:val="0045291B"/>
    <w:rsid w:val="004531A3"/>
    <w:rsid w:val="00453DF2"/>
    <w:rsid w:val="00454795"/>
    <w:rsid w:val="00454E04"/>
    <w:rsid w:val="00455F7F"/>
    <w:rsid w:val="004563CF"/>
    <w:rsid w:val="00457B07"/>
    <w:rsid w:val="0046023D"/>
    <w:rsid w:val="00460B79"/>
    <w:rsid w:val="00460C67"/>
    <w:rsid w:val="0046138D"/>
    <w:rsid w:val="004622E8"/>
    <w:rsid w:val="00464267"/>
    <w:rsid w:val="0046568A"/>
    <w:rsid w:val="00465846"/>
    <w:rsid w:val="00470195"/>
    <w:rsid w:val="004745B2"/>
    <w:rsid w:val="00475028"/>
    <w:rsid w:val="00475122"/>
    <w:rsid w:val="004752A9"/>
    <w:rsid w:val="00475A36"/>
    <w:rsid w:val="00476873"/>
    <w:rsid w:val="0047777E"/>
    <w:rsid w:val="00481830"/>
    <w:rsid w:val="00481875"/>
    <w:rsid w:val="004821DC"/>
    <w:rsid w:val="00482E75"/>
    <w:rsid w:val="0048345E"/>
    <w:rsid w:val="00483908"/>
    <w:rsid w:val="00484E14"/>
    <w:rsid w:val="00485581"/>
    <w:rsid w:val="00487B8E"/>
    <w:rsid w:val="00490F06"/>
    <w:rsid w:val="004911A3"/>
    <w:rsid w:val="0049252F"/>
    <w:rsid w:val="00492D96"/>
    <w:rsid w:val="0049540F"/>
    <w:rsid w:val="00495489"/>
    <w:rsid w:val="00497146"/>
    <w:rsid w:val="0049766D"/>
    <w:rsid w:val="00497726"/>
    <w:rsid w:val="004A15A9"/>
    <w:rsid w:val="004A15DC"/>
    <w:rsid w:val="004A17F8"/>
    <w:rsid w:val="004A1C2C"/>
    <w:rsid w:val="004A1F4F"/>
    <w:rsid w:val="004A3317"/>
    <w:rsid w:val="004A3323"/>
    <w:rsid w:val="004A35AC"/>
    <w:rsid w:val="004A35D6"/>
    <w:rsid w:val="004A38BF"/>
    <w:rsid w:val="004A3E28"/>
    <w:rsid w:val="004A3F91"/>
    <w:rsid w:val="004A4BBD"/>
    <w:rsid w:val="004A5C8D"/>
    <w:rsid w:val="004A6137"/>
    <w:rsid w:val="004B0102"/>
    <w:rsid w:val="004B0399"/>
    <w:rsid w:val="004B1333"/>
    <w:rsid w:val="004B1B45"/>
    <w:rsid w:val="004B1E6F"/>
    <w:rsid w:val="004B28AC"/>
    <w:rsid w:val="004B30D4"/>
    <w:rsid w:val="004B5010"/>
    <w:rsid w:val="004B521C"/>
    <w:rsid w:val="004B5DEC"/>
    <w:rsid w:val="004B6870"/>
    <w:rsid w:val="004B725E"/>
    <w:rsid w:val="004B7F8B"/>
    <w:rsid w:val="004C0CA1"/>
    <w:rsid w:val="004C1A35"/>
    <w:rsid w:val="004C2048"/>
    <w:rsid w:val="004C2375"/>
    <w:rsid w:val="004C272F"/>
    <w:rsid w:val="004C2AEE"/>
    <w:rsid w:val="004C3643"/>
    <w:rsid w:val="004C384E"/>
    <w:rsid w:val="004C38F7"/>
    <w:rsid w:val="004C3AC0"/>
    <w:rsid w:val="004C49CB"/>
    <w:rsid w:val="004C6516"/>
    <w:rsid w:val="004C69F1"/>
    <w:rsid w:val="004C6BEF"/>
    <w:rsid w:val="004C791C"/>
    <w:rsid w:val="004C7A2E"/>
    <w:rsid w:val="004D0037"/>
    <w:rsid w:val="004D0DEF"/>
    <w:rsid w:val="004D1294"/>
    <w:rsid w:val="004D133B"/>
    <w:rsid w:val="004D1F85"/>
    <w:rsid w:val="004D2873"/>
    <w:rsid w:val="004D2BFD"/>
    <w:rsid w:val="004D2C7B"/>
    <w:rsid w:val="004D2CA3"/>
    <w:rsid w:val="004D45D2"/>
    <w:rsid w:val="004D48B9"/>
    <w:rsid w:val="004D48C4"/>
    <w:rsid w:val="004D505E"/>
    <w:rsid w:val="004D5279"/>
    <w:rsid w:val="004D5989"/>
    <w:rsid w:val="004D60BB"/>
    <w:rsid w:val="004D73FA"/>
    <w:rsid w:val="004E0A45"/>
    <w:rsid w:val="004E14C9"/>
    <w:rsid w:val="004E1733"/>
    <w:rsid w:val="004E18FC"/>
    <w:rsid w:val="004E19E3"/>
    <w:rsid w:val="004E52D3"/>
    <w:rsid w:val="004E53EE"/>
    <w:rsid w:val="004E6507"/>
    <w:rsid w:val="004E6536"/>
    <w:rsid w:val="004E7551"/>
    <w:rsid w:val="004E7758"/>
    <w:rsid w:val="004E7D76"/>
    <w:rsid w:val="004F0549"/>
    <w:rsid w:val="004F1484"/>
    <w:rsid w:val="004F1B59"/>
    <w:rsid w:val="004F235D"/>
    <w:rsid w:val="004F3DF0"/>
    <w:rsid w:val="004F4030"/>
    <w:rsid w:val="004F4CED"/>
    <w:rsid w:val="004F4DB9"/>
    <w:rsid w:val="00500F85"/>
    <w:rsid w:val="005026F7"/>
    <w:rsid w:val="00502B43"/>
    <w:rsid w:val="00502BE4"/>
    <w:rsid w:val="00504D1A"/>
    <w:rsid w:val="00505D57"/>
    <w:rsid w:val="0050789A"/>
    <w:rsid w:val="00513C2E"/>
    <w:rsid w:val="0051466D"/>
    <w:rsid w:val="00514AE0"/>
    <w:rsid w:val="00514B00"/>
    <w:rsid w:val="00514D22"/>
    <w:rsid w:val="00520333"/>
    <w:rsid w:val="00520703"/>
    <w:rsid w:val="00520C0A"/>
    <w:rsid w:val="00521291"/>
    <w:rsid w:val="005218D2"/>
    <w:rsid w:val="00521FDF"/>
    <w:rsid w:val="005221C4"/>
    <w:rsid w:val="0052240A"/>
    <w:rsid w:val="00522CAC"/>
    <w:rsid w:val="00523C98"/>
    <w:rsid w:val="005263EB"/>
    <w:rsid w:val="005266E9"/>
    <w:rsid w:val="0052733F"/>
    <w:rsid w:val="00527929"/>
    <w:rsid w:val="00527FF9"/>
    <w:rsid w:val="005308DF"/>
    <w:rsid w:val="00530A43"/>
    <w:rsid w:val="005319CE"/>
    <w:rsid w:val="0053266B"/>
    <w:rsid w:val="00533D70"/>
    <w:rsid w:val="005340BD"/>
    <w:rsid w:val="00535994"/>
    <w:rsid w:val="005368BD"/>
    <w:rsid w:val="00536D0E"/>
    <w:rsid w:val="00537AB1"/>
    <w:rsid w:val="00537F3E"/>
    <w:rsid w:val="005401BA"/>
    <w:rsid w:val="0054033C"/>
    <w:rsid w:val="00540922"/>
    <w:rsid w:val="005413F5"/>
    <w:rsid w:val="00541D43"/>
    <w:rsid w:val="00541F0A"/>
    <w:rsid w:val="005420A3"/>
    <w:rsid w:val="00543031"/>
    <w:rsid w:val="00544032"/>
    <w:rsid w:val="005446A1"/>
    <w:rsid w:val="00546357"/>
    <w:rsid w:val="00546886"/>
    <w:rsid w:val="00550085"/>
    <w:rsid w:val="005500A5"/>
    <w:rsid w:val="0055100E"/>
    <w:rsid w:val="00551C02"/>
    <w:rsid w:val="00551E1D"/>
    <w:rsid w:val="0055203F"/>
    <w:rsid w:val="005520F0"/>
    <w:rsid w:val="00553303"/>
    <w:rsid w:val="005533F7"/>
    <w:rsid w:val="00554790"/>
    <w:rsid w:val="00562F0B"/>
    <w:rsid w:val="005641A3"/>
    <w:rsid w:val="0056448A"/>
    <w:rsid w:val="00564617"/>
    <w:rsid w:val="00564DF7"/>
    <w:rsid w:val="005657C8"/>
    <w:rsid w:val="00565A59"/>
    <w:rsid w:val="00565EA4"/>
    <w:rsid w:val="00567346"/>
    <w:rsid w:val="00567A33"/>
    <w:rsid w:val="00570651"/>
    <w:rsid w:val="0057136C"/>
    <w:rsid w:val="00572617"/>
    <w:rsid w:val="00572652"/>
    <w:rsid w:val="00573C1C"/>
    <w:rsid w:val="00574F4D"/>
    <w:rsid w:val="0057512F"/>
    <w:rsid w:val="00575316"/>
    <w:rsid w:val="00575862"/>
    <w:rsid w:val="00575C0C"/>
    <w:rsid w:val="00575D67"/>
    <w:rsid w:val="00577E40"/>
    <w:rsid w:val="00580926"/>
    <w:rsid w:val="00581114"/>
    <w:rsid w:val="00582D4A"/>
    <w:rsid w:val="00583F78"/>
    <w:rsid w:val="0058417A"/>
    <w:rsid w:val="00584BE3"/>
    <w:rsid w:val="0058535B"/>
    <w:rsid w:val="005857BF"/>
    <w:rsid w:val="005862D7"/>
    <w:rsid w:val="005865EE"/>
    <w:rsid w:val="005916E4"/>
    <w:rsid w:val="005918CA"/>
    <w:rsid w:val="00592028"/>
    <w:rsid w:val="00592084"/>
    <w:rsid w:val="005920C9"/>
    <w:rsid w:val="0059259B"/>
    <w:rsid w:val="00592EA2"/>
    <w:rsid w:val="0059332E"/>
    <w:rsid w:val="005936C1"/>
    <w:rsid w:val="00593D8E"/>
    <w:rsid w:val="00594289"/>
    <w:rsid w:val="005956C6"/>
    <w:rsid w:val="005966E5"/>
    <w:rsid w:val="0059687F"/>
    <w:rsid w:val="00596EB8"/>
    <w:rsid w:val="00596FFC"/>
    <w:rsid w:val="00597339"/>
    <w:rsid w:val="00597B3E"/>
    <w:rsid w:val="00597DAD"/>
    <w:rsid w:val="005A00BC"/>
    <w:rsid w:val="005A0121"/>
    <w:rsid w:val="005A0AD0"/>
    <w:rsid w:val="005A16FF"/>
    <w:rsid w:val="005A18BC"/>
    <w:rsid w:val="005A1ECB"/>
    <w:rsid w:val="005A35B4"/>
    <w:rsid w:val="005A4A6E"/>
    <w:rsid w:val="005A5DF9"/>
    <w:rsid w:val="005A625C"/>
    <w:rsid w:val="005A7075"/>
    <w:rsid w:val="005A707D"/>
    <w:rsid w:val="005A7B8D"/>
    <w:rsid w:val="005A7BEF"/>
    <w:rsid w:val="005A7F3A"/>
    <w:rsid w:val="005B064D"/>
    <w:rsid w:val="005B26BC"/>
    <w:rsid w:val="005B5D5F"/>
    <w:rsid w:val="005B626C"/>
    <w:rsid w:val="005B797B"/>
    <w:rsid w:val="005C0A7C"/>
    <w:rsid w:val="005C0B93"/>
    <w:rsid w:val="005C0D4B"/>
    <w:rsid w:val="005C154F"/>
    <w:rsid w:val="005C1658"/>
    <w:rsid w:val="005C1EEB"/>
    <w:rsid w:val="005C212F"/>
    <w:rsid w:val="005C292C"/>
    <w:rsid w:val="005C2968"/>
    <w:rsid w:val="005C2970"/>
    <w:rsid w:val="005C323C"/>
    <w:rsid w:val="005C34B8"/>
    <w:rsid w:val="005C4332"/>
    <w:rsid w:val="005C46A7"/>
    <w:rsid w:val="005C4C72"/>
    <w:rsid w:val="005C621C"/>
    <w:rsid w:val="005C70B4"/>
    <w:rsid w:val="005C7590"/>
    <w:rsid w:val="005C7C90"/>
    <w:rsid w:val="005D12A0"/>
    <w:rsid w:val="005D16E4"/>
    <w:rsid w:val="005D19C4"/>
    <w:rsid w:val="005D1BCA"/>
    <w:rsid w:val="005D22B9"/>
    <w:rsid w:val="005D3AFD"/>
    <w:rsid w:val="005D4D0F"/>
    <w:rsid w:val="005D6FDD"/>
    <w:rsid w:val="005E0F67"/>
    <w:rsid w:val="005E117A"/>
    <w:rsid w:val="005E145E"/>
    <w:rsid w:val="005E2216"/>
    <w:rsid w:val="005E24F0"/>
    <w:rsid w:val="005E40C3"/>
    <w:rsid w:val="005E4E62"/>
    <w:rsid w:val="005E5D8C"/>
    <w:rsid w:val="005E6678"/>
    <w:rsid w:val="005E66EA"/>
    <w:rsid w:val="005E7B09"/>
    <w:rsid w:val="005F14C0"/>
    <w:rsid w:val="005F1666"/>
    <w:rsid w:val="005F22C3"/>
    <w:rsid w:val="005F2DFC"/>
    <w:rsid w:val="005F3EA2"/>
    <w:rsid w:val="005F3F59"/>
    <w:rsid w:val="005F4BB2"/>
    <w:rsid w:val="005F5115"/>
    <w:rsid w:val="005F552A"/>
    <w:rsid w:val="005F61C9"/>
    <w:rsid w:val="005F6CE4"/>
    <w:rsid w:val="005F786C"/>
    <w:rsid w:val="0060049F"/>
    <w:rsid w:val="0060065E"/>
    <w:rsid w:val="0060076A"/>
    <w:rsid w:val="006008BE"/>
    <w:rsid w:val="006013BD"/>
    <w:rsid w:val="00605013"/>
    <w:rsid w:val="006051D0"/>
    <w:rsid w:val="00605DB6"/>
    <w:rsid w:val="00605E9B"/>
    <w:rsid w:val="00606410"/>
    <w:rsid w:val="00606A26"/>
    <w:rsid w:val="00607762"/>
    <w:rsid w:val="00607951"/>
    <w:rsid w:val="00610A3C"/>
    <w:rsid w:val="00610D74"/>
    <w:rsid w:val="00611E8F"/>
    <w:rsid w:val="006124CB"/>
    <w:rsid w:val="00614E3C"/>
    <w:rsid w:val="0061638A"/>
    <w:rsid w:val="0061667A"/>
    <w:rsid w:val="00616AFA"/>
    <w:rsid w:val="00617019"/>
    <w:rsid w:val="0061761F"/>
    <w:rsid w:val="00620F89"/>
    <w:rsid w:val="006222A2"/>
    <w:rsid w:val="00622486"/>
    <w:rsid w:val="00623280"/>
    <w:rsid w:val="00623870"/>
    <w:rsid w:val="00623D8E"/>
    <w:rsid w:val="00623EEA"/>
    <w:rsid w:val="006240B9"/>
    <w:rsid w:val="00624631"/>
    <w:rsid w:val="00624C28"/>
    <w:rsid w:val="00625090"/>
    <w:rsid w:val="006250C8"/>
    <w:rsid w:val="00625F56"/>
    <w:rsid w:val="00626573"/>
    <w:rsid w:val="00626B34"/>
    <w:rsid w:val="00627479"/>
    <w:rsid w:val="006275F6"/>
    <w:rsid w:val="00630724"/>
    <w:rsid w:val="0063304D"/>
    <w:rsid w:val="006330D8"/>
    <w:rsid w:val="006331B6"/>
    <w:rsid w:val="00635544"/>
    <w:rsid w:val="00635A8D"/>
    <w:rsid w:val="006372C1"/>
    <w:rsid w:val="0063738D"/>
    <w:rsid w:val="006373D4"/>
    <w:rsid w:val="00637721"/>
    <w:rsid w:val="00640D65"/>
    <w:rsid w:val="00640FD9"/>
    <w:rsid w:val="00641939"/>
    <w:rsid w:val="00641A07"/>
    <w:rsid w:val="00641B32"/>
    <w:rsid w:val="00642738"/>
    <w:rsid w:val="00643F38"/>
    <w:rsid w:val="00645A56"/>
    <w:rsid w:val="00645CC7"/>
    <w:rsid w:val="00646102"/>
    <w:rsid w:val="00647502"/>
    <w:rsid w:val="00650C63"/>
    <w:rsid w:val="00651540"/>
    <w:rsid w:val="00651A0E"/>
    <w:rsid w:val="0065279B"/>
    <w:rsid w:val="00653C1F"/>
    <w:rsid w:val="00654218"/>
    <w:rsid w:val="00654364"/>
    <w:rsid w:val="00655885"/>
    <w:rsid w:val="00656291"/>
    <w:rsid w:val="006565C5"/>
    <w:rsid w:val="0065757B"/>
    <w:rsid w:val="00661101"/>
    <w:rsid w:val="00661AD5"/>
    <w:rsid w:val="00662132"/>
    <w:rsid w:val="0066240A"/>
    <w:rsid w:val="006630B3"/>
    <w:rsid w:val="0066314D"/>
    <w:rsid w:val="00663BD0"/>
    <w:rsid w:val="00663E61"/>
    <w:rsid w:val="00664D17"/>
    <w:rsid w:val="00665FA5"/>
    <w:rsid w:val="006661A5"/>
    <w:rsid w:val="0066700B"/>
    <w:rsid w:val="00670679"/>
    <w:rsid w:val="00671068"/>
    <w:rsid w:val="0067177A"/>
    <w:rsid w:val="006717D5"/>
    <w:rsid w:val="0067197A"/>
    <w:rsid w:val="00671BE6"/>
    <w:rsid w:val="00672607"/>
    <w:rsid w:val="00672FF4"/>
    <w:rsid w:val="00673516"/>
    <w:rsid w:val="006738C3"/>
    <w:rsid w:val="006744A7"/>
    <w:rsid w:val="00674551"/>
    <w:rsid w:val="00674831"/>
    <w:rsid w:val="0067586C"/>
    <w:rsid w:val="006775B1"/>
    <w:rsid w:val="00681AAC"/>
    <w:rsid w:val="00681C21"/>
    <w:rsid w:val="00681D46"/>
    <w:rsid w:val="0068280A"/>
    <w:rsid w:val="00684831"/>
    <w:rsid w:val="00684B8F"/>
    <w:rsid w:val="00684FE8"/>
    <w:rsid w:val="006851EA"/>
    <w:rsid w:val="006857AE"/>
    <w:rsid w:val="006863D0"/>
    <w:rsid w:val="00686991"/>
    <w:rsid w:val="00691858"/>
    <w:rsid w:val="006920DD"/>
    <w:rsid w:val="00692835"/>
    <w:rsid w:val="00693978"/>
    <w:rsid w:val="00693D31"/>
    <w:rsid w:val="00694033"/>
    <w:rsid w:val="00694BF1"/>
    <w:rsid w:val="00694C73"/>
    <w:rsid w:val="00694FE0"/>
    <w:rsid w:val="00695468"/>
    <w:rsid w:val="00696125"/>
    <w:rsid w:val="006962AE"/>
    <w:rsid w:val="0069703A"/>
    <w:rsid w:val="006A2ABF"/>
    <w:rsid w:val="006A2AEB"/>
    <w:rsid w:val="006A32C3"/>
    <w:rsid w:val="006A3ABB"/>
    <w:rsid w:val="006A4A5E"/>
    <w:rsid w:val="006A4BD1"/>
    <w:rsid w:val="006A54A9"/>
    <w:rsid w:val="006A7304"/>
    <w:rsid w:val="006A73A6"/>
    <w:rsid w:val="006A7D86"/>
    <w:rsid w:val="006B04F3"/>
    <w:rsid w:val="006B056D"/>
    <w:rsid w:val="006B08CA"/>
    <w:rsid w:val="006B10EB"/>
    <w:rsid w:val="006B128A"/>
    <w:rsid w:val="006B1C4B"/>
    <w:rsid w:val="006B3198"/>
    <w:rsid w:val="006B3A3C"/>
    <w:rsid w:val="006B410A"/>
    <w:rsid w:val="006B70D7"/>
    <w:rsid w:val="006B7C19"/>
    <w:rsid w:val="006B7CCB"/>
    <w:rsid w:val="006C08F0"/>
    <w:rsid w:val="006C1C06"/>
    <w:rsid w:val="006C3358"/>
    <w:rsid w:val="006C4A52"/>
    <w:rsid w:val="006C4E75"/>
    <w:rsid w:val="006C5370"/>
    <w:rsid w:val="006C580F"/>
    <w:rsid w:val="006C63B9"/>
    <w:rsid w:val="006C6CB7"/>
    <w:rsid w:val="006C6E36"/>
    <w:rsid w:val="006D0AB3"/>
    <w:rsid w:val="006D15CF"/>
    <w:rsid w:val="006D1ED2"/>
    <w:rsid w:val="006D48E5"/>
    <w:rsid w:val="006D522A"/>
    <w:rsid w:val="006D54EB"/>
    <w:rsid w:val="006D6B09"/>
    <w:rsid w:val="006D70EC"/>
    <w:rsid w:val="006D735C"/>
    <w:rsid w:val="006D7914"/>
    <w:rsid w:val="006D79E0"/>
    <w:rsid w:val="006D7C52"/>
    <w:rsid w:val="006E11F6"/>
    <w:rsid w:val="006E1548"/>
    <w:rsid w:val="006E15E2"/>
    <w:rsid w:val="006E1FC7"/>
    <w:rsid w:val="006E4339"/>
    <w:rsid w:val="006E4472"/>
    <w:rsid w:val="006E4946"/>
    <w:rsid w:val="006E7A5D"/>
    <w:rsid w:val="006E7C4E"/>
    <w:rsid w:val="006E7F71"/>
    <w:rsid w:val="006F0A51"/>
    <w:rsid w:val="006F1B6B"/>
    <w:rsid w:val="006F2190"/>
    <w:rsid w:val="006F336B"/>
    <w:rsid w:val="006F3BAA"/>
    <w:rsid w:val="006F3FF3"/>
    <w:rsid w:val="006F4CC6"/>
    <w:rsid w:val="006F5B3C"/>
    <w:rsid w:val="006F67CC"/>
    <w:rsid w:val="006F68F0"/>
    <w:rsid w:val="00700597"/>
    <w:rsid w:val="00700F54"/>
    <w:rsid w:val="007011EC"/>
    <w:rsid w:val="0070352F"/>
    <w:rsid w:val="007041F2"/>
    <w:rsid w:val="00704217"/>
    <w:rsid w:val="007048A1"/>
    <w:rsid w:val="00704C38"/>
    <w:rsid w:val="0070651D"/>
    <w:rsid w:val="00706543"/>
    <w:rsid w:val="0070655E"/>
    <w:rsid w:val="00706B39"/>
    <w:rsid w:val="00706D9D"/>
    <w:rsid w:val="00711401"/>
    <w:rsid w:val="00711985"/>
    <w:rsid w:val="00713CC2"/>
    <w:rsid w:val="00714794"/>
    <w:rsid w:val="007148AB"/>
    <w:rsid w:val="00715C35"/>
    <w:rsid w:val="00716816"/>
    <w:rsid w:val="00717723"/>
    <w:rsid w:val="007203DA"/>
    <w:rsid w:val="0072081A"/>
    <w:rsid w:val="0072102C"/>
    <w:rsid w:val="007219FB"/>
    <w:rsid w:val="00721BE2"/>
    <w:rsid w:val="00722772"/>
    <w:rsid w:val="00723038"/>
    <w:rsid w:val="00724668"/>
    <w:rsid w:val="00725935"/>
    <w:rsid w:val="00725A6B"/>
    <w:rsid w:val="0072668B"/>
    <w:rsid w:val="007271DC"/>
    <w:rsid w:val="00730331"/>
    <w:rsid w:val="00730496"/>
    <w:rsid w:val="0073167E"/>
    <w:rsid w:val="007316FC"/>
    <w:rsid w:val="00731E47"/>
    <w:rsid w:val="00733046"/>
    <w:rsid w:val="00733A79"/>
    <w:rsid w:val="00734210"/>
    <w:rsid w:val="00736807"/>
    <w:rsid w:val="0073781B"/>
    <w:rsid w:val="00737E10"/>
    <w:rsid w:val="007404AE"/>
    <w:rsid w:val="00740689"/>
    <w:rsid w:val="007419B3"/>
    <w:rsid w:val="00741B44"/>
    <w:rsid w:val="00742041"/>
    <w:rsid w:val="00742D64"/>
    <w:rsid w:val="00742EE9"/>
    <w:rsid w:val="0074433D"/>
    <w:rsid w:val="0074556A"/>
    <w:rsid w:val="007458EF"/>
    <w:rsid w:val="0074660D"/>
    <w:rsid w:val="00747334"/>
    <w:rsid w:val="007476A2"/>
    <w:rsid w:val="0075012C"/>
    <w:rsid w:val="00750199"/>
    <w:rsid w:val="007501E5"/>
    <w:rsid w:val="007510C4"/>
    <w:rsid w:val="00751C64"/>
    <w:rsid w:val="007528F0"/>
    <w:rsid w:val="007531CA"/>
    <w:rsid w:val="00754139"/>
    <w:rsid w:val="00754839"/>
    <w:rsid w:val="007551D2"/>
    <w:rsid w:val="007552D9"/>
    <w:rsid w:val="0075545A"/>
    <w:rsid w:val="00756B95"/>
    <w:rsid w:val="007578EA"/>
    <w:rsid w:val="00761ADE"/>
    <w:rsid w:val="00761C21"/>
    <w:rsid w:val="00762B38"/>
    <w:rsid w:val="00762C50"/>
    <w:rsid w:val="00762DA7"/>
    <w:rsid w:val="007636BF"/>
    <w:rsid w:val="00763C72"/>
    <w:rsid w:val="00763DB5"/>
    <w:rsid w:val="007642D3"/>
    <w:rsid w:val="00765225"/>
    <w:rsid w:val="00765F46"/>
    <w:rsid w:val="00765FB0"/>
    <w:rsid w:val="007661E4"/>
    <w:rsid w:val="00766431"/>
    <w:rsid w:val="0076648B"/>
    <w:rsid w:val="007668A4"/>
    <w:rsid w:val="0077012A"/>
    <w:rsid w:val="00770D8C"/>
    <w:rsid w:val="00771F21"/>
    <w:rsid w:val="00772691"/>
    <w:rsid w:val="00772738"/>
    <w:rsid w:val="00773BED"/>
    <w:rsid w:val="00773D85"/>
    <w:rsid w:val="00774C99"/>
    <w:rsid w:val="00774EB4"/>
    <w:rsid w:val="00775687"/>
    <w:rsid w:val="00775755"/>
    <w:rsid w:val="00775D61"/>
    <w:rsid w:val="00775EF1"/>
    <w:rsid w:val="007766D1"/>
    <w:rsid w:val="007767B2"/>
    <w:rsid w:val="00776AEA"/>
    <w:rsid w:val="00780DA4"/>
    <w:rsid w:val="00781428"/>
    <w:rsid w:val="00783146"/>
    <w:rsid w:val="0078360E"/>
    <w:rsid w:val="00783AEB"/>
    <w:rsid w:val="00783C16"/>
    <w:rsid w:val="00784816"/>
    <w:rsid w:val="00786994"/>
    <w:rsid w:val="00786CD8"/>
    <w:rsid w:val="00786F38"/>
    <w:rsid w:val="007911F2"/>
    <w:rsid w:val="00791256"/>
    <w:rsid w:val="00791922"/>
    <w:rsid w:val="00791CA2"/>
    <w:rsid w:val="00792A6C"/>
    <w:rsid w:val="007931AC"/>
    <w:rsid w:val="007942B9"/>
    <w:rsid w:val="007954D9"/>
    <w:rsid w:val="00795D4F"/>
    <w:rsid w:val="00795DDC"/>
    <w:rsid w:val="00796641"/>
    <w:rsid w:val="0079675E"/>
    <w:rsid w:val="00796905"/>
    <w:rsid w:val="00796B31"/>
    <w:rsid w:val="00796D27"/>
    <w:rsid w:val="007971B6"/>
    <w:rsid w:val="00797209"/>
    <w:rsid w:val="00797D9C"/>
    <w:rsid w:val="007A08FB"/>
    <w:rsid w:val="007A11DC"/>
    <w:rsid w:val="007A2468"/>
    <w:rsid w:val="007A29AC"/>
    <w:rsid w:val="007A3B83"/>
    <w:rsid w:val="007A523F"/>
    <w:rsid w:val="007A69A5"/>
    <w:rsid w:val="007A72D9"/>
    <w:rsid w:val="007A7D14"/>
    <w:rsid w:val="007B0009"/>
    <w:rsid w:val="007B0699"/>
    <w:rsid w:val="007B1801"/>
    <w:rsid w:val="007B397C"/>
    <w:rsid w:val="007B3DD0"/>
    <w:rsid w:val="007B44D9"/>
    <w:rsid w:val="007B5FA2"/>
    <w:rsid w:val="007B7E88"/>
    <w:rsid w:val="007B7FDD"/>
    <w:rsid w:val="007C1276"/>
    <w:rsid w:val="007C19C7"/>
    <w:rsid w:val="007C1F1A"/>
    <w:rsid w:val="007C213C"/>
    <w:rsid w:val="007C330D"/>
    <w:rsid w:val="007C3FD2"/>
    <w:rsid w:val="007C4358"/>
    <w:rsid w:val="007C484B"/>
    <w:rsid w:val="007C4976"/>
    <w:rsid w:val="007C568D"/>
    <w:rsid w:val="007C5C7A"/>
    <w:rsid w:val="007C741D"/>
    <w:rsid w:val="007C778C"/>
    <w:rsid w:val="007C7899"/>
    <w:rsid w:val="007C7F7D"/>
    <w:rsid w:val="007D057A"/>
    <w:rsid w:val="007D0A81"/>
    <w:rsid w:val="007D0C7F"/>
    <w:rsid w:val="007D1E48"/>
    <w:rsid w:val="007D4283"/>
    <w:rsid w:val="007D4460"/>
    <w:rsid w:val="007D5AD6"/>
    <w:rsid w:val="007D6C04"/>
    <w:rsid w:val="007D7868"/>
    <w:rsid w:val="007D7941"/>
    <w:rsid w:val="007E07F9"/>
    <w:rsid w:val="007E0B4F"/>
    <w:rsid w:val="007E1A2D"/>
    <w:rsid w:val="007E2F63"/>
    <w:rsid w:val="007E3EB6"/>
    <w:rsid w:val="007E460F"/>
    <w:rsid w:val="007E5EF2"/>
    <w:rsid w:val="007E60B5"/>
    <w:rsid w:val="007E7010"/>
    <w:rsid w:val="007E7301"/>
    <w:rsid w:val="007E7F7E"/>
    <w:rsid w:val="007F0937"/>
    <w:rsid w:val="007F129A"/>
    <w:rsid w:val="007F1B35"/>
    <w:rsid w:val="007F276B"/>
    <w:rsid w:val="007F27EA"/>
    <w:rsid w:val="007F2A7A"/>
    <w:rsid w:val="007F30FB"/>
    <w:rsid w:val="007F3AC0"/>
    <w:rsid w:val="007F4CDC"/>
    <w:rsid w:val="007F51FA"/>
    <w:rsid w:val="007F6706"/>
    <w:rsid w:val="007F7F41"/>
    <w:rsid w:val="007F7FE6"/>
    <w:rsid w:val="008008A2"/>
    <w:rsid w:val="00800D25"/>
    <w:rsid w:val="00800E8E"/>
    <w:rsid w:val="008023ED"/>
    <w:rsid w:val="00802D5D"/>
    <w:rsid w:val="00802F87"/>
    <w:rsid w:val="008038B8"/>
    <w:rsid w:val="00804CF1"/>
    <w:rsid w:val="00805834"/>
    <w:rsid w:val="00806707"/>
    <w:rsid w:val="00806741"/>
    <w:rsid w:val="0080779F"/>
    <w:rsid w:val="00807E47"/>
    <w:rsid w:val="00810163"/>
    <w:rsid w:val="0081159E"/>
    <w:rsid w:val="008118EC"/>
    <w:rsid w:val="00812395"/>
    <w:rsid w:val="00813775"/>
    <w:rsid w:val="00814FB6"/>
    <w:rsid w:val="00815AA7"/>
    <w:rsid w:val="00815E6E"/>
    <w:rsid w:val="0081660B"/>
    <w:rsid w:val="008169F3"/>
    <w:rsid w:val="00816AF0"/>
    <w:rsid w:val="00816D1E"/>
    <w:rsid w:val="00816EC5"/>
    <w:rsid w:val="00820A33"/>
    <w:rsid w:val="00820BA5"/>
    <w:rsid w:val="00821526"/>
    <w:rsid w:val="00822274"/>
    <w:rsid w:val="008234F6"/>
    <w:rsid w:val="00824F2B"/>
    <w:rsid w:val="00825324"/>
    <w:rsid w:val="0082596B"/>
    <w:rsid w:val="00825CC6"/>
    <w:rsid w:val="008264D6"/>
    <w:rsid w:val="00826EF8"/>
    <w:rsid w:val="00827225"/>
    <w:rsid w:val="008320C1"/>
    <w:rsid w:val="008321F8"/>
    <w:rsid w:val="00832565"/>
    <w:rsid w:val="008325BF"/>
    <w:rsid w:val="0083298A"/>
    <w:rsid w:val="00832A01"/>
    <w:rsid w:val="008337C3"/>
    <w:rsid w:val="0083535A"/>
    <w:rsid w:val="008359AC"/>
    <w:rsid w:val="008374BB"/>
    <w:rsid w:val="008406B9"/>
    <w:rsid w:val="00840935"/>
    <w:rsid w:val="00841089"/>
    <w:rsid w:val="008412AB"/>
    <w:rsid w:val="00841598"/>
    <w:rsid w:val="00842C6D"/>
    <w:rsid w:val="00842F9A"/>
    <w:rsid w:val="0084486C"/>
    <w:rsid w:val="00845330"/>
    <w:rsid w:val="00845F86"/>
    <w:rsid w:val="008462E9"/>
    <w:rsid w:val="00846435"/>
    <w:rsid w:val="00846FF7"/>
    <w:rsid w:val="008479C1"/>
    <w:rsid w:val="0085053E"/>
    <w:rsid w:val="00850886"/>
    <w:rsid w:val="00850BA7"/>
    <w:rsid w:val="00851BB4"/>
    <w:rsid w:val="00852F0B"/>
    <w:rsid w:val="008531C6"/>
    <w:rsid w:val="008534CD"/>
    <w:rsid w:val="0085444B"/>
    <w:rsid w:val="00854574"/>
    <w:rsid w:val="0085464B"/>
    <w:rsid w:val="00855243"/>
    <w:rsid w:val="00855967"/>
    <w:rsid w:val="00860EA4"/>
    <w:rsid w:val="008610FC"/>
    <w:rsid w:val="00861DD2"/>
    <w:rsid w:val="00863B77"/>
    <w:rsid w:val="00864F43"/>
    <w:rsid w:val="00865000"/>
    <w:rsid w:val="00866607"/>
    <w:rsid w:val="0086707E"/>
    <w:rsid w:val="008679D1"/>
    <w:rsid w:val="00867A97"/>
    <w:rsid w:val="00870315"/>
    <w:rsid w:val="00870D3D"/>
    <w:rsid w:val="00870E68"/>
    <w:rsid w:val="00871AA0"/>
    <w:rsid w:val="00873C30"/>
    <w:rsid w:val="00873DEF"/>
    <w:rsid w:val="00874180"/>
    <w:rsid w:val="0087461A"/>
    <w:rsid w:val="008746F0"/>
    <w:rsid w:val="00874CD3"/>
    <w:rsid w:val="00875725"/>
    <w:rsid w:val="00875832"/>
    <w:rsid w:val="00876748"/>
    <w:rsid w:val="008768D5"/>
    <w:rsid w:val="008768E1"/>
    <w:rsid w:val="0087737B"/>
    <w:rsid w:val="008803B2"/>
    <w:rsid w:val="00881EEB"/>
    <w:rsid w:val="00882332"/>
    <w:rsid w:val="008834DA"/>
    <w:rsid w:val="00883631"/>
    <w:rsid w:val="00883CDD"/>
    <w:rsid w:val="00884BA4"/>
    <w:rsid w:val="00884C2C"/>
    <w:rsid w:val="0088579C"/>
    <w:rsid w:val="00886728"/>
    <w:rsid w:val="008872A2"/>
    <w:rsid w:val="008874CA"/>
    <w:rsid w:val="00890DC1"/>
    <w:rsid w:val="008912BE"/>
    <w:rsid w:val="0089220D"/>
    <w:rsid w:val="00893811"/>
    <w:rsid w:val="00893ECB"/>
    <w:rsid w:val="00894010"/>
    <w:rsid w:val="008941D0"/>
    <w:rsid w:val="008943DC"/>
    <w:rsid w:val="00896915"/>
    <w:rsid w:val="00896E0C"/>
    <w:rsid w:val="008A044F"/>
    <w:rsid w:val="008A1590"/>
    <w:rsid w:val="008A174E"/>
    <w:rsid w:val="008A19C0"/>
    <w:rsid w:val="008A1A10"/>
    <w:rsid w:val="008A2480"/>
    <w:rsid w:val="008A3584"/>
    <w:rsid w:val="008A3FAD"/>
    <w:rsid w:val="008A4524"/>
    <w:rsid w:val="008A4A2A"/>
    <w:rsid w:val="008A597B"/>
    <w:rsid w:val="008A5E1D"/>
    <w:rsid w:val="008A6C4A"/>
    <w:rsid w:val="008A7314"/>
    <w:rsid w:val="008A7F90"/>
    <w:rsid w:val="008B0886"/>
    <w:rsid w:val="008B0EFB"/>
    <w:rsid w:val="008B16E3"/>
    <w:rsid w:val="008B1DA5"/>
    <w:rsid w:val="008B28AB"/>
    <w:rsid w:val="008B2B5B"/>
    <w:rsid w:val="008B3F9B"/>
    <w:rsid w:val="008B4F4C"/>
    <w:rsid w:val="008B6046"/>
    <w:rsid w:val="008B7701"/>
    <w:rsid w:val="008B7BA5"/>
    <w:rsid w:val="008C0514"/>
    <w:rsid w:val="008C0D93"/>
    <w:rsid w:val="008C13BB"/>
    <w:rsid w:val="008C210A"/>
    <w:rsid w:val="008C2151"/>
    <w:rsid w:val="008C308A"/>
    <w:rsid w:val="008C356D"/>
    <w:rsid w:val="008C409A"/>
    <w:rsid w:val="008C421C"/>
    <w:rsid w:val="008C47A2"/>
    <w:rsid w:val="008C4C6C"/>
    <w:rsid w:val="008C4E0E"/>
    <w:rsid w:val="008C4FCC"/>
    <w:rsid w:val="008C5723"/>
    <w:rsid w:val="008C5E9D"/>
    <w:rsid w:val="008C75D0"/>
    <w:rsid w:val="008D01AD"/>
    <w:rsid w:val="008D0B85"/>
    <w:rsid w:val="008D2B95"/>
    <w:rsid w:val="008D30D5"/>
    <w:rsid w:val="008D33F3"/>
    <w:rsid w:val="008D37AC"/>
    <w:rsid w:val="008D3E39"/>
    <w:rsid w:val="008D489D"/>
    <w:rsid w:val="008D5711"/>
    <w:rsid w:val="008D6430"/>
    <w:rsid w:val="008D669D"/>
    <w:rsid w:val="008D6FE5"/>
    <w:rsid w:val="008D743E"/>
    <w:rsid w:val="008E0522"/>
    <w:rsid w:val="008E0F07"/>
    <w:rsid w:val="008E147C"/>
    <w:rsid w:val="008E2960"/>
    <w:rsid w:val="008E3DDD"/>
    <w:rsid w:val="008E5A73"/>
    <w:rsid w:val="008E5B07"/>
    <w:rsid w:val="008F02B7"/>
    <w:rsid w:val="008F07B4"/>
    <w:rsid w:val="008F1143"/>
    <w:rsid w:val="008F1726"/>
    <w:rsid w:val="008F1F5C"/>
    <w:rsid w:val="008F2993"/>
    <w:rsid w:val="008F335F"/>
    <w:rsid w:val="008F3DC0"/>
    <w:rsid w:val="008F3E71"/>
    <w:rsid w:val="008F48C5"/>
    <w:rsid w:val="008F65B6"/>
    <w:rsid w:val="008F6BC4"/>
    <w:rsid w:val="00901196"/>
    <w:rsid w:val="0090175F"/>
    <w:rsid w:val="00901FDA"/>
    <w:rsid w:val="009042EB"/>
    <w:rsid w:val="009062F3"/>
    <w:rsid w:val="00906FCB"/>
    <w:rsid w:val="009076A4"/>
    <w:rsid w:val="00907AC8"/>
    <w:rsid w:val="00907F19"/>
    <w:rsid w:val="0091031D"/>
    <w:rsid w:val="009110E9"/>
    <w:rsid w:val="00911E91"/>
    <w:rsid w:val="00913368"/>
    <w:rsid w:val="00916AB3"/>
    <w:rsid w:val="00916C05"/>
    <w:rsid w:val="00917B44"/>
    <w:rsid w:val="00917EE3"/>
    <w:rsid w:val="00920D2B"/>
    <w:rsid w:val="00920FD4"/>
    <w:rsid w:val="00922462"/>
    <w:rsid w:val="009224AD"/>
    <w:rsid w:val="00923544"/>
    <w:rsid w:val="00923D62"/>
    <w:rsid w:val="00923FA5"/>
    <w:rsid w:val="00924BF0"/>
    <w:rsid w:val="00925F78"/>
    <w:rsid w:val="0092625F"/>
    <w:rsid w:val="009269DE"/>
    <w:rsid w:val="009273FB"/>
    <w:rsid w:val="00927CBE"/>
    <w:rsid w:val="009306A3"/>
    <w:rsid w:val="00931480"/>
    <w:rsid w:val="00932113"/>
    <w:rsid w:val="00933A09"/>
    <w:rsid w:val="009349E2"/>
    <w:rsid w:val="009357EB"/>
    <w:rsid w:val="009362C5"/>
    <w:rsid w:val="009374C8"/>
    <w:rsid w:val="00937ED0"/>
    <w:rsid w:val="00941A78"/>
    <w:rsid w:val="00941CCA"/>
    <w:rsid w:val="00942A01"/>
    <w:rsid w:val="00942CDE"/>
    <w:rsid w:val="00943261"/>
    <w:rsid w:val="00944F87"/>
    <w:rsid w:val="00945429"/>
    <w:rsid w:val="0094562A"/>
    <w:rsid w:val="00945753"/>
    <w:rsid w:val="00945822"/>
    <w:rsid w:val="00945D84"/>
    <w:rsid w:val="00946EC0"/>
    <w:rsid w:val="00946FEB"/>
    <w:rsid w:val="009473A6"/>
    <w:rsid w:val="00950786"/>
    <w:rsid w:val="00951618"/>
    <w:rsid w:val="00952135"/>
    <w:rsid w:val="009545C7"/>
    <w:rsid w:val="009546DA"/>
    <w:rsid w:val="009555A1"/>
    <w:rsid w:val="009555F8"/>
    <w:rsid w:val="00956038"/>
    <w:rsid w:val="009570E7"/>
    <w:rsid w:val="0095792F"/>
    <w:rsid w:val="00957D64"/>
    <w:rsid w:val="00960361"/>
    <w:rsid w:val="0096088B"/>
    <w:rsid w:val="009615C4"/>
    <w:rsid w:val="009615F2"/>
    <w:rsid w:val="00961EED"/>
    <w:rsid w:val="0096212D"/>
    <w:rsid w:val="009626AC"/>
    <w:rsid w:val="00962B30"/>
    <w:rsid w:val="0096352C"/>
    <w:rsid w:val="0096470F"/>
    <w:rsid w:val="00964D48"/>
    <w:rsid w:val="0096560A"/>
    <w:rsid w:val="00965982"/>
    <w:rsid w:val="00965C02"/>
    <w:rsid w:val="009700FE"/>
    <w:rsid w:val="00970234"/>
    <w:rsid w:val="009705B3"/>
    <w:rsid w:val="00970943"/>
    <w:rsid w:val="00971023"/>
    <w:rsid w:val="009715D3"/>
    <w:rsid w:val="00971B3E"/>
    <w:rsid w:val="0097339C"/>
    <w:rsid w:val="00973515"/>
    <w:rsid w:val="00973854"/>
    <w:rsid w:val="00974D6D"/>
    <w:rsid w:val="00975495"/>
    <w:rsid w:val="0097700A"/>
    <w:rsid w:val="009775C5"/>
    <w:rsid w:val="00977CCE"/>
    <w:rsid w:val="00980F4A"/>
    <w:rsid w:val="009814A1"/>
    <w:rsid w:val="00983526"/>
    <w:rsid w:val="00983CF3"/>
    <w:rsid w:val="00984503"/>
    <w:rsid w:val="00984652"/>
    <w:rsid w:val="0098621E"/>
    <w:rsid w:val="00986A90"/>
    <w:rsid w:val="0098780D"/>
    <w:rsid w:val="00990D9A"/>
    <w:rsid w:val="00990DE8"/>
    <w:rsid w:val="009910E1"/>
    <w:rsid w:val="0099173B"/>
    <w:rsid w:val="00991B6E"/>
    <w:rsid w:val="00993C59"/>
    <w:rsid w:val="00994153"/>
    <w:rsid w:val="009942FB"/>
    <w:rsid w:val="009943BC"/>
    <w:rsid w:val="0099582E"/>
    <w:rsid w:val="0099665F"/>
    <w:rsid w:val="009974D6"/>
    <w:rsid w:val="009A13DE"/>
    <w:rsid w:val="009A2905"/>
    <w:rsid w:val="009A38C1"/>
    <w:rsid w:val="009A487B"/>
    <w:rsid w:val="009A4A4D"/>
    <w:rsid w:val="009A6AF4"/>
    <w:rsid w:val="009B00FA"/>
    <w:rsid w:val="009B0138"/>
    <w:rsid w:val="009B26E2"/>
    <w:rsid w:val="009B28DA"/>
    <w:rsid w:val="009B2977"/>
    <w:rsid w:val="009B4494"/>
    <w:rsid w:val="009B4FC4"/>
    <w:rsid w:val="009B55E8"/>
    <w:rsid w:val="009B564E"/>
    <w:rsid w:val="009B57BD"/>
    <w:rsid w:val="009B5F5E"/>
    <w:rsid w:val="009B63C7"/>
    <w:rsid w:val="009B6E49"/>
    <w:rsid w:val="009C0426"/>
    <w:rsid w:val="009C0C4E"/>
    <w:rsid w:val="009C1122"/>
    <w:rsid w:val="009C1966"/>
    <w:rsid w:val="009C21B0"/>
    <w:rsid w:val="009C36CE"/>
    <w:rsid w:val="009C3C9E"/>
    <w:rsid w:val="009C3E60"/>
    <w:rsid w:val="009C42AC"/>
    <w:rsid w:val="009C4DB0"/>
    <w:rsid w:val="009C58B8"/>
    <w:rsid w:val="009C5BCB"/>
    <w:rsid w:val="009C6849"/>
    <w:rsid w:val="009C6CB5"/>
    <w:rsid w:val="009D0611"/>
    <w:rsid w:val="009D066D"/>
    <w:rsid w:val="009D079B"/>
    <w:rsid w:val="009D082E"/>
    <w:rsid w:val="009D2138"/>
    <w:rsid w:val="009D39E0"/>
    <w:rsid w:val="009D3C22"/>
    <w:rsid w:val="009D3E0B"/>
    <w:rsid w:val="009D4F70"/>
    <w:rsid w:val="009D58AF"/>
    <w:rsid w:val="009D6977"/>
    <w:rsid w:val="009D7F0E"/>
    <w:rsid w:val="009E164D"/>
    <w:rsid w:val="009E4EC2"/>
    <w:rsid w:val="009E5C94"/>
    <w:rsid w:val="009E5D2C"/>
    <w:rsid w:val="009E6098"/>
    <w:rsid w:val="009E74A0"/>
    <w:rsid w:val="009F05C4"/>
    <w:rsid w:val="009F0D77"/>
    <w:rsid w:val="009F1513"/>
    <w:rsid w:val="009F1D53"/>
    <w:rsid w:val="009F2010"/>
    <w:rsid w:val="009F2C96"/>
    <w:rsid w:val="009F2D78"/>
    <w:rsid w:val="009F2DCF"/>
    <w:rsid w:val="009F37CB"/>
    <w:rsid w:val="009F39F5"/>
    <w:rsid w:val="009F3FA7"/>
    <w:rsid w:val="009F5C36"/>
    <w:rsid w:val="009F64A1"/>
    <w:rsid w:val="009F65CD"/>
    <w:rsid w:val="009F7147"/>
    <w:rsid w:val="00A01CC4"/>
    <w:rsid w:val="00A01CDC"/>
    <w:rsid w:val="00A020B6"/>
    <w:rsid w:val="00A0271B"/>
    <w:rsid w:val="00A0369E"/>
    <w:rsid w:val="00A03EA5"/>
    <w:rsid w:val="00A06A9E"/>
    <w:rsid w:val="00A06D8F"/>
    <w:rsid w:val="00A0707C"/>
    <w:rsid w:val="00A07A45"/>
    <w:rsid w:val="00A108B0"/>
    <w:rsid w:val="00A116FC"/>
    <w:rsid w:val="00A11A41"/>
    <w:rsid w:val="00A11ECB"/>
    <w:rsid w:val="00A12694"/>
    <w:rsid w:val="00A1292C"/>
    <w:rsid w:val="00A12FD6"/>
    <w:rsid w:val="00A16273"/>
    <w:rsid w:val="00A16356"/>
    <w:rsid w:val="00A16EFA"/>
    <w:rsid w:val="00A22188"/>
    <w:rsid w:val="00A22A50"/>
    <w:rsid w:val="00A24263"/>
    <w:rsid w:val="00A24AB8"/>
    <w:rsid w:val="00A24C7D"/>
    <w:rsid w:val="00A25612"/>
    <w:rsid w:val="00A263EC"/>
    <w:rsid w:val="00A26422"/>
    <w:rsid w:val="00A26A47"/>
    <w:rsid w:val="00A26AFC"/>
    <w:rsid w:val="00A279CB"/>
    <w:rsid w:val="00A27B21"/>
    <w:rsid w:val="00A27EBE"/>
    <w:rsid w:val="00A30224"/>
    <w:rsid w:val="00A30955"/>
    <w:rsid w:val="00A318A2"/>
    <w:rsid w:val="00A322B5"/>
    <w:rsid w:val="00A3248A"/>
    <w:rsid w:val="00A32524"/>
    <w:rsid w:val="00A328BC"/>
    <w:rsid w:val="00A338D6"/>
    <w:rsid w:val="00A34110"/>
    <w:rsid w:val="00A35F42"/>
    <w:rsid w:val="00A363BE"/>
    <w:rsid w:val="00A36EA0"/>
    <w:rsid w:val="00A370EC"/>
    <w:rsid w:val="00A3758C"/>
    <w:rsid w:val="00A37B7B"/>
    <w:rsid w:val="00A407A9"/>
    <w:rsid w:val="00A414D1"/>
    <w:rsid w:val="00A41C2A"/>
    <w:rsid w:val="00A42164"/>
    <w:rsid w:val="00A42F75"/>
    <w:rsid w:val="00A458B1"/>
    <w:rsid w:val="00A45A32"/>
    <w:rsid w:val="00A45B9E"/>
    <w:rsid w:val="00A460E1"/>
    <w:rsid w:val="00A475CF"/>
    <w:rsid w:val="00A50154"/>
    <w:rsid w:val="00A50678"/>
    <w:rsid w:val="00A50A5A"/>
    <w:rsid w:val="00A51492"/>
    <w:rsid w:val="00A51B69"/>
    <w:rsid w:val="00A52867"/>
    <w:rsid w:val="00A5288C"/>
    <w:rsid w:val="00A53993"/>
    <w:rsid w:val="00A53EE9"/>
    <w:rsid w:val="00A56452"/>
    <w:rsid w:val="00A57053"/>
    <w:rsid w:val="00A572DC"/>
    <w:rsid w:val="00A60358"/>
    <w:rsid w:val="00A60D01"/>
    <w:rsid w:val="00A60F31"/>
    <w:rsid w:val="00A62D2C"/>
    <w:rsid w:val="00A63312"/>
    <w:rsid w:val="00A6444F"/>
    <w:rsid w:val="00A654E6"/>
    <w:rsid w:val="00A65883"/>
    <w:rsid w:val="00A66572"/>
    <w:rsid w:val="00A66AB5"/>
    <w:rsid w:val="00A671D5"/>
    <w:rsid w:val="00A70CC1"/>
    <w:rsid w:val="00A71B65"/>
    <w:rsid w:val="00A71CB3"/>
    <w:rsid w:val="00A71D32"/>
    <w:rsid w:val="00A7276F"/>
    <w:rsid w:val="00A72F59"/>
    <w:rsid w:val="00A73AD6"/>
    <w:rsid w:val="00A73BB7"/>
    <w:rsid w:val="00A744AE"/>
    <w:rsid w:val="00A75878"/>
    <w:rsid w:val="00A75ED4"/>
    <w:rsid w:val="00A766BA"/>
    <w:rsid w:val="00A77828"/>
    <w:rsid w:val="00A77E9A"/>
    <w:rsid w:val="00A81128"/>
    <w:rsid w:val="00A81180"/>
    <w:rsid w:val="00A83154"/>
    <w:rsid w:val="00A8337E"/>
    <w:rsid w:val="00A83D85"/>
    <w:rsid w:val="00A85FDC"/>
    <w:rsid w:val="00A86847"/>
    <w:rsid w:val="00A86DCD"/>
    <w:rsid w:val="00A87A1A"/>
    <w:rsid w:val="00A87FF0"/>
    <w:rsid w:val="00A91F26"/>
    <w:rsid w:val="00A92A9F"/>
    <w:rsid w:val="00A9311A"/>
    <w:rsid w:val="00A9336B"/>
    <w:rsid w:val="00A938F1"/>
    <w:rsid w:val="00A94024"/>
    <w:rsid w:val="00A958C7"/>
    <w:rsid w:val="00A95E28"/>
    <w:rsid w:val="00A97117"/>
    <w:rsid w:val="00A972BE"/>
    <w:rsid w:val="00AA0FA5"/>
    <w:rsid w:val="00AA1458"/>
    <w:rsid w:val="00AA259D"/>
    <w:rsid w:val="00AA3524"/>
    <w:rsid w:val="00AA3983"/>
    <w:rsid w:val="00AA3C3F"/>
    <w:rsid w:val="00AA536A"/>
    <w:rsid w:val="00AA5B78"/>
    <w:rsid w:val="00AA5EC1"/>
    <w:rsid w:val="00AA6309"/>
    <w:rsid w:val="00AA6967"/>
    <w:rsid w:val="00AA7F5B"/>
    <w:rsid w:val="00AB0BD5"/>
    <w:rsid w:val="00AB0CB8"/>
    <w:rsid w:val="00AB28B9"/>
    <w:rsid w:val="00AB2D01"/>
    <w:rsid w:val="00AB3D77"/>
    <w:rsid w:val="00AB4BCB"/>
    <w:rsid w:val="00AB52A4"/>
    <w:rsid w:val="00AB65CE"/>
    <w:rsid w:val="00AC12BD"/>
    <w:rsid w:val="00AC2554"/>
    <w:rsid w:val="00AC2B07"/>
    <w:rsid w:val="00AC3DCF"/>
    <w:rsid w:val="00AC3F78"/>
    <w:rsid w:val="00AC40B4"/>
    <w:rsid w:val="00AC4AD6"/>
    <w:rsid w:val="00AC4F1D"/>
    <w:rsid w:val="00AC5F28"/>
    <w:rsid w:val="00AC6108"/>
    <w:rsid w:val="00AC646C"/>
    <w:rsid w:val="00AC65B3"/>
    <w:rsid w:val="00AC72AA"/>
    <w:rsid w:val="00AC7A5E"/>
    <w:rsid w:val="00AD065F"/>
    <w:rsid w:val="00AD0A68"/>
    <w:rsid w:val="00AD182F"/>
    <w:rsid w:val="00AD1EA7"/>
    <w:rsid w:val="00AD201D"/>
    <w:rsid w:val="00AD2D67"/>
    <w:rsid w:val="00AD3634"/>
    <w:rsid w:val="00AD421A"/>
    <w:rsid w:val="00AD5E7B"/>
    <w:rsid w:val="00AD733D"/>
    <w:rsid w:val="00AD7501"/>
    <w:rsid w:val="00AD7C57"/>
    <w:rsid w:val="00AE2087"/>
    <w:rsid w:val="00AE2479"/>
    <w:rsid w:val="00AE314E"/>
    <w:rsid w:val="00AE44E0"/>
    <w:rsid w:val="00AE47AB"/>
    <w:rsid w:val="00AE4C6C"/>
    <w:rsid w:val="00AE59C6"/>
    <w:rsid w:val="00AE6AE3"/>
    <w:rsid w:val="00AE7195"/>
    <w:rsid w:val="00AF0C6F"/>
    <w:rsid w:val="00AF0CFF"/>
    <w:rsid w:val="00AF1387"/>
    <w:rsid w:val="00AF1CA3"/>
    <w:rsid w:val="00AF2801"/>
    <w:rsid w:val="00AF38F4"/>
    <w:rsid w:val="00AF45F4"/>
    <w:rsid w:val="00AF55C7"/>
    <w:rsid w:val="00AF592E"/>
    <w:rsid w:val="00AF5E78"/>
    <w:rsid w:val="00AF68C5"/>
    <w:rsid w:val="00B03084"/>
    <w:rsid w:val="00B036FB"/>
    <w:rsid w:val="00B03A72"/>
    <w:rsid w:val="00B0438C"/>
    <w:rsid w:val="00B0540A"/>
    <w:rsid w:val="00B056A5"/>
    <w:rsid w:val="00B05D0F"/>
    <w:rsid w:val="00B07039"/>
    <w:rsid w:val="00B0760C"/>
    <w:rsid w:val="00B10FB1"/>
    <w:rsid w:val="00B112A5"/>
    <w:rsid w:val="00B12DF0"/>
    <w:rsid w:val="00B1337D"/>
    <w:rsid w:val="00B13AB5"/>
    <w:rsid w:val="00B15FD0"/>
    <w:rsid w:val="00B21437"/>
    <w:rsid w:val="00B2171A"/>
    <w:rsid w:val="00B23802"/>
    <w:rsid w:val="00B2443D"/>
    <w:rsid w:val="00B25783"/>
    <w:rsid w:val="00B259F4"/>
    <w:rsid w:val="00B25A75"/>
    <w:rsid w:val="00B27130"/>
    <w:rsid w:val="00B27B18"/>
    <w:rsid w:val="00B27F10"/>
    <w:rsid w:val="00B309ED"/>
    <w:rsid w:val="00B3126B"/>
    <w:rsid w:val="00B31897"/>
    <w:rsid w:val="00B323F0"/>
    <w:rsid w:val="00B33DB8"/>
    <w:rsid w:val="00B36042"/>
    <w:rsid w:val="00B36572"/>
    <w:rsid w:val="00B36A8D"/>
    <w:rsid w:val="00B37081"/>
    <w:rsid w:val="00B37515"/>
    <w:rsid w:val="00B40C94"/>
    <w:rsid w:val="00B40F84"/>
    <w:rsid w:val="00B4192F"/>
    <w:rsid w:val="00B420A9"/>
    <w:rsid w:val="00B42395"/>
    <w:rsid w:val="00B42432"/>
    <w:rsid w:val="00B4276E"/>
    <w:rsid w:val="00B45805"/>
    <w:rsid w:val="00B460E4"/>
    <w:rsid w:val="00B4739D"/>
    <w:rsid w:val="00B50A65"/>
    <w:rsid w:val="00B50AAE"/>
    <w:rsid w:val="00B50CFD"/>
    <w:rsid w:val="00B5103D"/>
    <w:rsid w:val="00B52742"/>
    <w:rsid w:val="00B54647"/>
    <w:rsid w:val="00B55795"/>
    <w:rsid w:val="00B569B3"/>
    <w:rsid w:val="00B572AB"/>
    <w:rsid w:val="00B574C8"/>
    <w:rsid w:val="00B60014"/>
    <w:rsid w:val="00B6160C"/>
    <w:rsid w:val="00B61CA3"/>
    <w:rsid w:val="00B61F72"/>
    <w:rsid w:val="00B622B3"/>
    <w:rsid w:val="00B62408"/>
    <w:rsid w:val="00B639C3"/>
    <w:rsid w:val="00B63D5B"/>
    <w:rsid w:val="00B64071"/>
    <w:rsid w:val="00B653A6"/>
    <w:rsid w:val="00B6560F"/>
    <w:rsid w:val="00B65A92"/>
    <w:rsid w:val="00B66D9B"/>
    <w:rsid w:val="00B66E69"/>
    <w:rsid w:val="00B67110"/>
    <w:rsid w:val="00B67632"/>
    <w:rsid w:val="00B705DD"/>
    <w:rsid w:val="00B70716"/>
    <w:rsid w:val="00B70C9B"/>
    <w:rsid w:val="00B70FD6"/>
    <w:rsid w:val="00B71F9D"/>
    <w:rsid w:val="00B72836"/>
    <w:rsid w:val="00B72C04"/>
    <w:rsid w:val="00B72C22"/>
    <w:rsid w:val="00B733A9"/>
    <w:rsid w:val="00B74745"/>
    <w:rsid w:val="00B74E1F"/>
    <w:rsid w:val="00B74FCC"/>
    <w:rsid w:val="00B755FD"/>
    <w:rsid w:val="00B76C9F"/>
    <w:rsid w:val="00B76CA4"/>
    <w:rsid w:val="00B76E9C"/>
    <w:rsid w:val="00B76F82"/>
    <w:rsid w:val="00B77EA6"/>
    <w:rsid w:val="00B80588"/>
    <w:rsid w:val="00B80B0A"/>
    <w:rsid w:val="00B80F60"/>
    <w:rsid w:val="00B811C7"/>
    <w:rsid w:val="00B81894"/>
    <w:rsid w:val="00B819F6"/>
    <w:rsid w:val="00B822E4"/>
    <w:rsid w:val="00B8532D"/>
    <w:rsid w:val="00B85B88"/>
    <w:rsid w:val="00B86F75"/>
    <w:rsid w:val="00B87A28"/>
    <w:rsid w:val="00B90115"/>
    <w:rsid w:val="00B91F30"/>
    <w:rsid w:val="00B922C4"/>
    <w:rsid w:val="00B933B1"/>
    <w:rsid w:val="00B93C23"/>
    <w:rsid w:val="00B943BF"/>
    <w:rsid w:val="00B947DA"/>
    <w:rsid w:val="00B94A63"/>
    <w:rsid w:val="00B95CA7"/>
    <w:rsid w:val="00B95D10"/>
    <w:rsid w:val="00B96657"/>
    <w:rsid w:val="00B97681"/>
    <w:rsid w:val="00B976D4"/>
    <w:rsid w:val="00B9787B"/>
    <w:rsid w:val="00BA02D2"/>
    <w:rsid w:val="00BA09F5"/>
    <w:rsid w:val="00BA1A3D"/>
    <w:rsid w:val="00BA3D9B"/>
    <w:rsid w:val="00BA4F0D"/>
    <w:rsid w:val="00BA51F8"/>
    <w:rsid w:val="00BA5275"/>
    <w:rsid w:val="00BA546A"/>
    <w:rsid w:val="00BA60F8"/>
    <w:rsid w:val="00BA6DB8"/>
    <w:rsid w:val="00BA74F2"/>
    <w:rsid w:val="00BA7AFF"/>
    <w:rsid w:val="00BA7F19"/>
    <w:rsid w:val="00BB00E0"/>
    <w:rsid w:val="00BB0E5A"/>
    <w:rsid w:val="00BB244D"/>
    <w:rsid w:val="00BB2BE1"/>
    <w:rsid w:val="00BB368B"/>
    <w:rsid w:val="00BB4B10"/>
    <w:rsid w:val="00BB4ED4"/>
    <w:rsid w:val="00BB5BAD"/>
    <w:rsid w:val="00BB5F38"/>
    <w:rsid w:val="00BB7BDB"/>
    <w:rsid w:val="00BC0C64"/>
    <w:rsid w:val="00BC0D3B"/>
    <w:rsid w:val="00BC0DB9"/>
    <w:rsid w:val="00BC0FD7"/>
    <w:rsid w:val="00BC13E1"/>
    <w:rsid w:val="00BC1EEA"/>
    <w:rsid w:val="00BC214B"/>
    <w:rsid w:val="00BC2ACA"/>
    <w:rsid w:val="00BC2ED1"/>
    <w:rsid w:val="00BC3187"/>
    <w:rsid w:val="00BC38FD"/>
    <w:rsid w:val="00BC411F"/>
    <w:rsid w:val="00BC48D3"/>
    <w:rsid w:val="00BC692A"/>
    <w:rsid w:val="00BC7FC4"/>
    <w:rsid w:val="00BD0F57"/>
    <w:rsid w:val="00BD1619"/>
    <w:rsid w:val="00BD2C17"/>
    <w:rsid w:val="00BD2ED8"/>
    <w:rsid w:val="00BD380E"/>
    <w:rsid w:val="00BD3873"/>
    <w:rsid w:val="00BD4620"/>
    <w:rsid w:val="00BD47E6"/>
    <w:rsid w:val="00BD5B29"/>
    <w:rsid w:val="00BD6719"/>
    <w:rsid w:val="00BD6937"/>
    <w:rsid w:val="00BD7E64"/>
    <w:rsid w:val="00BE0540"/>
    <w:rsid w:val="00BE12D0"/>
    <w:rsid w:val="00BE21BD"/>
    <w:rsid w:val="00BE2D4A"/>
    <w:rsid w:val="00BE380A"/>
    <w:rsid w:val="00BE4052"/>
    <w:rsid w:val="00BE4A03"/>
    <w:rsid w:val="00BE4CAC"/>
    <w:rsid w:val="00BE52CE"/>
    <w:rsid w:val="00BE5F38"/>
    <w:rsid w:val="00BE65B5"/>
    <w:rsid w:val="00BE677B"/>
    <w:rsid w:val="00BE6B8A"/>
    <w:rsid w:val="00BF027F"/>
    <w:rsid w:val="00BF0FFB"/>
    <w:rsid w:val="00BF1E60"/>
    <w:rsid w:val="00BF267E"/>
    <w:rsid w:val="00BF4410"/>
    <w:rsid w:val="00BF4FDC"/>
    <w:rsid w:val="00BF5415"/>
    <w:rsid w:val="00BF559A"/>
    <w:rsid w:val="00BF5A9C"/>
    <w:rsid w:val="00BF5D4B"/>
    <w:rsid w:val="00BF5F0B"/>
    <w:rsid w:val="00BF6972"/>
    <w:rsid w:val="00BF6BD1"/>
    <w:rsid w:val="00C000FF"/>
    <w:rsid w:val="00C0145C"/>
    <w:rsid w:val="00C0185C"/>
    <w:rsid w:val="00C01EC6"/>
    <w:rsid w:val="00C0360E"/>
    <w:rsid w:val="00C04118"/>
    <w:rsid w:val="00C04313"/>
    <w:rsid w:val="00C04CDB"/>
    <w:rsid w:val="00C061D6"/>
    <w:rsid w:val="00C06352"/>
    <w:rsid w:val="00C06C6D"/>
    <w:rsid w:val="00C07086"/>
    <w:rsid w:val="00C10EBA"/>
    <w:rsid w:val="00C11696"/>
    <w:rsid w:val="00C11DBD"/>
    <w:rsid w:val="00C13124"/>
    <w:rsid w:val="00C14DDC"/>
    <w:rsid w:val="00C16994"/>
    <w:rsid w:val="00C175EE"/>
    <w:rsid w:val="00C17623"/>
    <w:rsid w:val="00C20129"/>
    <w:rsid w:val="00C205CB"/>
    <w:rsid w:val="00C21B8D"/>
    <w:rsid w:val="00C237A3"/>
    <w:rsid w:val="00C244F9"/>
    <w:rsid w:val="00C273ED"/>
    <w:rsid w:val="00C30F6B"/>
    <w:rsid w:val="00C31D24"/>
    <w:rsid w:val="00C32384"/>
    <w:rsid w:val="00C32457"/>
    <w:rsid w:val="00C34274"/>
    <w:rsid w:val="00C3496A"/>
    <w:rsid w:val="00C3586B"/>
    <w:rsid w:val="00C35920"/>
    <w:rsid w:val="00C367BA"/>
    <w:rsid w:val="00C36B34"/>
    <w:rsid w:val="00C36EC9"/>
    <w:rsid w:val="00C36EF6"/>
    <w:rsid w:val="00C37119"/>
    <w:rsid w:val="00C37CC3"/>
    <w:rsid w:val="00C41AD7"/>
    <w:rsid w:val="00C420B9"/>
    <w:rsid w:val="00C430A1"/>
    <w:rsid w:val="00C43419"/>
    <w:rsid w:val="00C43CC2"/>
    <w:rsid w:val="00C43F2F"/>
    <w:rsid w:val="00C44922"/>
    <w:rsid w:val="00C45F2E"/>
    <w:rsid w:val="00C474CC"/>
    <w:rsid w:val="00C5014A"/>
    <w:rsid w:val="00C5118B"/>
    <w:rsid w:val="00C519FE"/>
    <w:rsid w:val="00C529B7"/>
    <w:rsid w:val="00C54A8E"/>
    <w:rsid w:val="00C55DB9"/>
    <w:rsid w:val="00C57591"/>
    <w:rsid w:val="00C60425"/>
    <w:rsid w:val="00C618C3"/>
    <w:rsid w:val="00C61951"/>
    <w:rsid w:val="00C6391F"/>
    <w:rsid w:val="00C6398C"/>
    <w:rsid w:val="00C64142"/>
    <w:rsid w:val="00C644C1"/>
    <w:rsid w:val="00C64C6E"/>
    <w:rsid w:val="00C66A12"/>
    <w:rsid w:val="00C67B08"/>
    <w:rsid w:val="00C701E0"/>
    <w:rsid w:val="00C70567"/>
    <w:rsid w:val="00C70D0D"/>
    <w:rsid w:val="00C71954"/>
    <w:rsid w:val="00C739FA"/>
    <w:rsid w:val="00C7572A"/>
    <w:rsid w:val="00C76D84"/>
    <w:rsid w:val="00C77644"/>
    <w:rsid w:val="00C7772C"/>
    <w:rsid w:val="00C81AEE"/>
    <w:rsid w:val="00C826FB"/>
    <w:rsid w:val="00C83164"/>
    <w:rsid w:val="00C83692"/>
    <w:rsid w:val="00C84555"/>
    <w:rsid w:val="00C84BFE"/>
    <w:rsid w:val="00C86A1F"/>
    <w:rsid w:val="00C86D74"/>
    <w:rsid w:val="00C86E65"/>
    <w:rsid w:val="00C87303"/>
    <w:rsid w:val="00C875ED"/>
    <w:rsid w:val="00C90B03"/>
    <w:rsid w:val="00C90FD0"/>
    <w:rsid w:val="00C92542"/>
    <w:rsid w:val="00C94824"/>
    <w:rsid w:val="00C94924"/>
    <w:rsid w:val="00C94E10"/>
    <w:rsid w:val="00C94E32"/>
    <w:rsid w:val="00C9586D"/>
    <w:rsid w:val="00C96440"/>
    <w:rsid w:val="00C9772B"/>
    <w:rsid w:val="00C97A5D"/>
    <w:rsid w:val="00CA0302"/>
    <w:rsid w:val="00CA0570"/>
    <w:rsid w:val="00CA067D"/>
    <w:rsid w:val="00CA07E2"/>
    <w:rsid w:val="00CA1748"/>
    <w:rsid w:val="00CA1875"/>
    <w:rsid w:val="00CA1B60"/>
    <w:rsid w:val="00CA20EA"/>
    <w:rsid w:val="00CA2FE2"/>
    <w:rsid w:val="00CA3BE7"/>
    <w:rsid w:val="00CA4AEF"/>
    <w:rsid w:val="00CA4BED"/>
    <w:rsid w:val="00CA75BD"/>
    <w:rsid w:val="00CB04F3"/>
    <w:rsid w:val="00CB1ED2"/>
    <w:rsid w:val="00CB261A"/>
    <w:rsid w:val="00CB2D83"/>
    <w:rsid w:val="00CB2F06"/>
    <w:rsid w:val="00CB31CE"/>
    <w:rsid w:val="00CB32A3"/>
    <w:rsid w:val="00CB370B"/>
    <w:rsid w:val="00CB3B44"/>
    <w:rsid w:val="00CB4233"/>
    <w:rsid w:val="00CB5327"/>
    <w:rsid w:val="00CB54DA"/>
    <w:rsid w:val="00CB605F"/>
    <w:rsid w:val="00CB6109"/>
    <w:rsid w:val="00CB6433"/>
    <w:rsid w:val="00CB6B4B"/>
    <w:rsid w:val="00CB6C21"/>
    <w:rsid w:val="00CB7831"/>
    <w:rsid w:val="00CB7D0B"/>
    <w:rsid w:val="00CC03D7"/>
    <w:rsid w:val="00CC0963"/>
    <w:rsid w:val="00CC09A3"/>
    <w:rsid w:val="00CC19CD"/>
    <w:rsid w:val="00CC1E13"/>
    <w:rsid w:val="00CC1FAC"/>
    <w:rsid w:val="00CC48EA"/>
    <w:rsid w:val="00CD0D2F"/>
    <w:rsid w:val="00CD1BBC"/>
    <w:rsid w:val="00CD20CB"/>
    <w:rsid w:val="00CD2269"/>
    <w:rsid w:val="00CD22AC"/>
    <w:rsid w:val="00CD2F27"/>
    <w:rsid w:val="00CD38C0"/>
    <w:rsid w:val="00CD3F26"/>
    <w:rsid w:val="00CD4BA3"/>
    <w:rsid w:val="00CD580E"/>
    <w:rsid w:val="00CD582A"/>
    <w:rsid w:val="00CD613B"/>
    <w:rsid w:val="00CD6259"/>
    <w:rsid w:val="00CD656E"/>
    <w:rsid w:val="00CD6B1F"/>
    <w:rsid w:val="00CD7727"/>
    <w:rsid w:val="00CD7843"/>
    <w:rsid w:val="00CD7862"/>
    <w:rsid w:val="00CE0BCF"/>
    <w:rsid w:val="00CE1735"/>
    <w:rsid w:val="00CE2D2B"/>
    <w:rsid w:val="00CE338C"/>
    <w:rsid w:val="00CE3B2A"/>
    <w:rsid w:val="00CE3BC7"/>
    <w:rsid w:val="00CE40E9"/>
    <w:rsid w:val="00CE468B"/>
    <w:rsid w:val="00CE5690"/>
    <w:rsid w:val="00CE581E"/>
    <w:rsid w:val="00CF00B1"/>
    <w:rsid w:val="00CF118D"/>
    <w:rsid w:val="00CF1722"/>
    <w:rsid w:val="00CF1A90"/>
    <w:rsid w:val="00CF1C17"/>
    <w:rsid w:val="00CF2E05"/>
    <w:rsid w:val="00CF3764"/>
    <w:rsid w:val="00CF457F"/>
    <w:rsid w:val="00CF4EA5"/>
    <w:rsid w:val="00CF53BF"/>
    <w:rsid w:val="00CF5CAF"/>
    <w:rsid w:val="00CF688E"/>
    <w:rsid w:val="00CF6B7F"/>
    <w:rsid w:val="00CF6F77"/>
    <w:rsid w:val="00CF7D9C"/>
    <w:rsid w:val="00D004C7"/>
    <w:rsid w:val="00D00F03"/>
    <w:rsid w:val="00D01156"/>
    <w:rsid w:val="00D011FD"/>
    <w:rsid w:val="00D012D4"/>
    <w:rsid w:val="00D0174F"/>
    <w:rsid w:val="00D02649"/>
    <w:rsid w:val="00D02D92"/>
    <w:rsid w:val="00D0306B"/>
    <w:rsid w:val="00D05830"/>
    <w:rsid w:val="00D07CAA"/>
    <w:rsid w:val="00D07D7B"/>
    <w:rsid w:val="00D10311"/>
    <w:rsid w:val="00D108D4"/>
    <w:rsid w:val="00D11207"/>
    <w:rsid w:val="00D1136A"/>
    <w:rsid w:val="00D115A6"/>
    <w:rsid w:val="00D11894"/>
    <w:rsid w:val="00D128DA"/>
    <w:rsid w:val="00D13092"/>
    <w:rsid w:val="00D13394"/>
    <w:rsid w:val="00D13A66"/>
    <w:rsid w:val="00D15F75"/>
    <w:rsid w:val="00D1622E"/>
    <w:rsid w:val="00D16616"/>
    <w:rsid w:val="00D17990"/>
    <w:rsid w:val="00D20FBD"/>
    <w:rsid w:val="00D2127C"/>
    <w:rsid w:val="00D21C9B"/>
    <w:rsid w:val="00D22511"/>
    <w:rsid w:val="00D22713"/>
    <w:rsid w:val="00D22DE6"/>
    <w:rsid w:val="00D22DFF"/>
    <w:rsid w:val="00D25D7E"/>
    <w:rsid w:val="00D260EC"/>
    <w:rsid w:val="00D26197"/>
    <w:rsid w:val="00D2686A"/>
    <w:rsid w:val="00D2697F"/>
    <w:rsid w:val="00D26B29"/>
    <w:rsid w:val="00D27321"/>
    <w:rsid w:val="00D27858"/>
    <w:rsid w:val="00D27E35"/>
    <w:rsid w:val="00D3084E"/>
    <w:rsid w:val="00D343A2"/>
    <w:rsid w:val="00D34ED6"/>
    <w:rsid w:val="00D36BED"/>
    <w:rsid w:val="00D372B1"/>
    <w:rsid w:val="00D372BC"/>
    <w:rsid w:val="00D375A9"/>
    <w:rsid w:val="00D37B29"/>
    <w:rsid w:val="00D40686"/>
    <w:rsid w:val="00D406BA"/>
    <w:rsid w:val="00D409C6"/>
    <w:rsid w:val="00D40B9A"/>
    <w:rsid w:val="00D421A0"/>
    <w:rsid w:val="00D432A8"/>
    <w:rsid w:val="00D43C6A"/>
    <w:rsid w:val="00D44BA5"/>
    <w:rsid w:val="00D44F10"/>
    <w:rsid w:val="00D45409"/>
    <w:rsid w:val="00D45DB8"/>
    <w:rsid w:val="00D46BA6"/>
    <w:rsid w:val="00D47257"/>
    <w:rsid w:val="00D4767B"/>
    <w:rsid w:val="00D5014C"/>
    <w:rsid w:val="00D5052E"/>
    <w:rsid w:val="00D508A2"/>
    <w:rsid w:val="00D50A58"/>
    <w:rsid w:val="00D511D8"/>
    <w:rsid w:val="00D51A81"/>
    <w:rsid w:val="00D51E9F"/>
    <w:rsid w:val="00D52614"/>
    <w:rsid w:val="00D527C3"/>
    <w:rsid w:val="00D52926"/>
    <w:rsid w:val="00D52B68"/>
    <w:rsid w:val="00D53675"/>
    <w:rsid w:val="00D53AE1"/>
    <w:rsid w:val="00D541CC"/>
    <w:rsid w:val="00D54354"/>
    <w:rsid w:val="00D5458F"/>
    <w:rsid w:val="00D55B4B"/>
    <w:rsid w:val="00D55B72"/>
    <w:rsid w:val="00D57681"/>
    <w:rsid w:val="00D60CB2"/>
    <w:rsid w:val="00D63223"/>
    <w:rsid w:val="00D64611"/>
    <w:rsid w:val="00D64ACF"/>
    <w:rsid w:val="00D65073"/>
    <w:rsid w:val="00D66714"/>
    <w:rsid w:val="00D66EF3"/>
    <w:rsid w:val="00D67300"/>
    <w:rsid w:val="00D67D1C"/>
    <w:rsid w:val="00D67E85"/>
    <w:rsid w:val="00D709C7"/>
    <w:rsid w:val="00D70BC1"/>
    <w:rsid w:val="00D71C3C"/>
    <w:rsid w:val="00D7227A"/>
    <w:rsid w:val="00D7285F"/>
    <w:rsid w:val="00D72DE3"/>
    <w:rsid w:val="00D72E9E"/>
    <w:rsid w:val="00D73D85"/>
    <w:rsid w:val="00D73DE4"/>
    <w:rsid w:val="00D73EBB"/>
    <w:rsid w:val="00D7468A"/>
    <w:rsid w:val="00D74B61"/>
    <w:rsid w:val="00D74D2A"/>
    <w:rsid w:val="00D7647E"/>
    <w:rsid w:val="00D76839"/>
    <w:rsid w:val="00D76AC6"/>
    <w:rsid w:val="00D77AC7"/>
    <w:rsid w:val="00D80418"/>
    <w:rsid w:val="00D80530"/>
    <w:rsid w:val="00D81FC0"/>
    <w:rsid w:val="00D825E2"/>
    <w:rsid w:val="00D827A1"/>
    <w:rsid w:val="00D84E52"/>
    <w:rsid w:val="00D851F3"/>
    <w:rsid w:val="00D85B55"/>
    <w:rsid w:val="00D87337"/>
    <w:rsid w:val="00D90D7A"/>
    <w:rsid w:val="00D91255"/>
    <w:rsid w:val="00D91427"/>
    <w:rsid w:val="00D91C05"/>
    <w:rsid w:val="00D9205D"/>
    <w:rsid w:val="00D92326"/>
    <w:rsid w:val="00D9276D"/>
    <w:rsid w:val="00D93473"/>
    <w:rsid w:val="00D9349F"/>
    <w:rsid w:val="00D936C0"/>
    <w:rsid w:val="00D962F0"/>
    <w:rsid w:val="00D96534"/>
    <w:rsid w:val="00D96736"/>
    <w:rsid w:val="00DA0852"/>
    <w:rsid w:val="00DA18BA"/>
    <w:rsid w:val="00DA280B"/>
    <w:rsid w:val="00DA2898"/>
    <w:rsid w:val="00DA5B40"/>
    <w:rsid w:val="00DA5E4B"/>
    <w:rsid w:val="00DA665D"/>
    <w:rsid w:val="00DA70F1"/>
    <w:rsid w:val="00DB03F9"/>
    <w:rsid w:val="00DB0566"/>
    <w:rsid w:val="00DB1450"/>
    <w:rsid w:val="00DB1F98"/>
    <w:rsid w:val="00DB25B5"/>
    <w:rsid w:val="00DB2C95"/>
    <w:rsid w:val="00DB3791"/>
    <w:rsid w:val="00DB4367"/>
    <w:rsid w:val="00DB7F81"/>
    <w:rsid w:val="00DC001B"/>
    <w:rsid w:val="00DC0274"/>
    <w:rsid w:val="00DC13FC"/>
    <w:rsid w:val="00DC18E1"/>
    <w:rsid w:val="00DC1C1D"/>
    <w:rsid w:val="00DC1C35"/>
    <w:rsid w:val="00DC1E9E"/>
    <w:rsid w:val="00DC1F98"/>
    <w:rsid w:val="00DC7C95"/>
    <w:rsid w:val="00DD0088"/>
    <w:rsid w:val="00DD0C3E"/>
    <w:rsid w:val="00DD1619"/>
    <w:rsid w:val="00DD1CEB"/>
    <w:rsid w:val="00DD2A88"/>
    <w:rsid w:val="00DD3BE2"/>
    <w:rsid w:val="00DD4617"/>
    <w:rsid w:val="00DD46E5"/>
    <w:rsid w:val="00DD477E"/>
    <w:rsid w:val="00DD47E9"/>
    <w:rsid w:val="00DD4864"/>
    <w:rsid w:val="00DD4876"/>
    <w:rsid w:val="00DD545A"/>
    <w:rsid w:val="00DD5AF9"/>
    <w:rsid w:val="00DD676C"/>
    <w:rsid w:val="00DD6A94"/>
    <w:rsid w:val="00DD7965"/>
    <w:rsid w:val="00DE0067"/>
    <w:rsid w:val="00DE32AD"/>
    <w:rsid w:val="00DE35B9"/>
    <w:rsid w:val="00DE4FBF"/>
    <w:rsid w:val="00DE5237"/>
    <w:rsid w:val="00DE52FD"/>
    <w:rsid w:val="00DE7254"/>
    <w:rsid w:val="00DE7D6C"/>
    <w:rsid w:val="00DF0025"/>
    <w:rsid w:val="00DF1F59"/>
    <w:rsid w:val="00DF1FCD"/>
    <w:rsid w:val="00DF264D"/>
    <w:rsid w:val="00DF29AC"/>
    <w:rsid w:val="00DF2BFB"/>
    <w:rsid w:val="00DF2E1A"/>
    <w:rsid w:val="00DF36C2"/>
    <w:rsid w:val="00DF3BA3"/>
    <w:rsid w:val="00DF3C54"/>
    <w:rsid w:val="00DF3CD6"/>
    <w:rsid w:val="00DF4B7C"/>
    <w:rsid w:val="00DF567F"/>
    <w:rsid w:val="00DF5D07"/>
    <w:rsid w:val="00DF6728"/>
    <w:rsid w:val="00DF6B8C"/>
    <w:rsid w:val="00DF6EF1"/>
    <w:rsid w:val="00DF6FDD"/>
    <w:rsid w:val="00DF7727"/>
    <w:rsid w:val="00E00A0E"/>
    <w:rsid w:val="00E0188A"/>
    <w:rsid w:val="00E01F51"/>
    <w:rsid w:val="00E03762"/>
    <w:rsid w:val="00E04D10"/>
    <w:rsid w:val="00E050D3"/>
    <w:rsid w:val="00E062DD"/>
    <w:rsid w:val="00E06BE5"/>
    <w:rsid w:val="00E07214"/>
    <w:rsid w:val="00E10384"/>
    <w:rsid w:val="00E104B2"/>
    <w:rsid w:val="00E105B0"/>
    <w:rsid w:val="00E10F9C"/>
    <w:rsid w:val="00E112AD"/>
    <w:rsid w:val="00E125AD"/>
    <w:rsid w:val="00E12600"/>
    <w:rsid w:val="00E1313B"/>
    <w:rsid w:val="00E1319A"/>
    <w:rsid w:val="00E131E0"/>
    <w:rsid w:val="00E13938"/>
    <w:rsid w:val="00E13CBC"/>
    <w:rsid w:val="00E13E3B"/>
    <w:rsid w:val="00E14217"/>
    <w:rsid w:val="00E14388"/>
    <w:rsid w:val="00E14EE1"/>
    <w:rsid w:val="00E150AF"/>
    <w:rsid w:val="00E16DAD"/>
    <w:rsid w:val="00E17036"/>
    <w:rsid w:val="00E172AF"/>
    <w:rsid w:val="00E172FC"/>
    <w:rsid w:val="00E20A57"/>
    <w:rsid w:val="00E20C08"/>
    <w:rsid w:val="00E21239"/>
    <w:rsid w:val="00E22239"/>
    <w:rsid w:val="00E2269C"/>
    <w:rsid w:val="00E22F4A"/>
    <w:rsid w:val="00E24697"/>
    <w:rsid w:val="00E24752"/>
    <w:rsid w:val="00E257C8"/>
    <w:rsid w:val="00E27829"/>
    <w:rsid w:val="00E302DC"/>
    <w:rsid w:val="00E3032A"/>
    <w:rsid w:val="00E3068D"/>
    <w:rsid w:val="00E31F7E"/>
    <w:rsid w:val="00E33177"/>
    <w:rsid w:val="00E33EE3"/>
    <w:rsid w:val="00E348DD"/>
    <w:rsid w:val="00E350FA"/>
    <w:rsid w:val="00E35879"/>
    <w:rsid w:val="00E36956"/>
    <w:rsid w:val="00E36F6C"/>
    <w:rsid w:val="00E40A54"/>
    <w:rsid w:val="00E40B07"/>
    <w:rsid w:val="00E41AA6"/>
    <w:rsid w:val="00E43465"/>
    <w:rsid w:val="00E43780"/>
    <w:rsid w:val="00E441F7"/>
    <w:rsid w:val="00E4486C"/>
    <w:rsid w:val="00E46117"/>
    <w:rsid w:val="00E4624C"/>
    <w:rsid w:val="00E477EC"/>
    <w:rsid w:val="00E50243"/>
    <w:rsid w:val="00E50A53"/>
    <w:rsid w:val="00E50B27"/>
    <w:rsid w:val="00E51405"/>
    <w:rsid w:val="00E5201D"/>
    <w:rsid w:val="00E52427"/>
    <w:rsid w:val="00E52ECD"/>
    <w:rsid w:val="00E5320A"/>
    <w:rsid w:val="00E53992"/>
    <w:rsid w:val="00E54D8A"/>
    <w:rsid w:val="00E568F2"/>
    <w:rsid w:val="00E61540"/>
    <w:rsid w:val="00E615A0"/>
    <w:rsid w:val="00E6160A"/>
    <w:rsid w:val="00E61C5F"/>
    <w:rsid w:val="00E61CED"/>
    <w:rsid w:val="00E62103"/>
    <w:rsid w:val="00E62BC8"/>
    <w:rsid w:val="00E63284"/>
    <w:rsid w:val="00E6352A"/>
    <w:rsid w:val="00E635C2"/>
    <w:rsid w:val="00E63F95"/>
    <w:rsid w:val="00E6432E"/>
    <w:rsid w:val="00E64A49"/>
    <w:rsid w:val="00E661AE"/>
    <w:rsid w:val="00E666D2"/>
    <w:rsid w:val="00E66FA4"/>
    <w:rsid w:val="00E7019B"/>
    <w:rsid w:val="00E704C3"/>
    <w:rsid w:val="00E71FB0"/>
    <w:rsid w:val="00E7200A"/>
    <w:rsid w:val="00E733FD"/>
    <w:rsid w:val="00E73966"/>
    <w:rsid w:val="00E73EB2"/>
    <w:rsid w:val="00E7421F"/>
    <w:rsid w:val="00E74455"/>
    <w:rsid w:val="00E747E9"/>
    <w:rsid w:val="00E75007"/>
    <w:rsid w:val="00E75D99"/>
    <w:rsid w:val="00E75E24"/>
    <w:rsid w:val="00E7688F"/>
    <w:rsid w:val="00E776EA"/>
    <w:rsid w:val="00E778E1"/>
    <w:rsid w:val="00E7797B"/>
    <w:rsid w:val="00E80419"/>
    <w:rsid w:val="00E80534"/>
    <w:rsid w:val="00E831FB"/>
    <w:rsid w:val="00E8360F"/>
    <w:rsid w:val="00E8440F"/>
    <w:rsid w:val="00E84BDA"/>
    <w:rsid w:val="00E85683"/>
    <w:rsid w:val="00E868C3"/>
    <w:rsid w:val="00E910FC"/>
    <w:rsid w:val="00E917EA"/>
    <w:rsid w:val="00E91A14"/>
    <w:rsid w:val="00E91DD6"/>
    <w:rsid w:val="00E9290B"/>
    <w:rsid w:val="00E92D08"/>
    <w:rsid w:val="00E92E6D"/>
    <w:rsid w:val="00E93170"/>
    <w:rsid w:val="00E93EBB"/>
    <w:rsid w:val="00E944B3"/>
    <w:rsid w:val="00E9462D"/>
    <w:rsid w:val="00E956B5"/>
    <w:rsid w:val="00E95EC4"/>
    <w:rsid w:val="00E9625E"/>
    <w:rsid w:val="00E973E5"/>
    <w:rsid w:val="00E97952"/>
    <w:rsid w:val="00EA00F4"/>
    <w:rsid w:val="00EA22E1"/>
    <w:rsid w:val="00EA23B6"/>
    <w:rsid w:val="00EA2FBE"/>
    <w:rsid w:val="00EA30A6"/>
    <w:rsid w:val="00EA46A4"/>
    <w:rsid w:val="00EA519C"/>
    <w:rsid w:val="00EA6DFA"/>
    <w:rsid w:val="00EA773E"/>
    <w:rsid w:val="00EB1416"/>
    <w:rsid w:val="00EB179D"/>
    <w:rsid w:val="00EB372C"/>
    <w:rsid w:val="00EB41E3"/>
    <w:rsid w:val="00EB4265"/>
    <w:rsid w:val="00EB4981"/>
    <w:rsid w:val="00EB5197"/>
    <w:rsid w:val="00EB5AD7"/>
    <w:rsid w:val="00EB5F04"/>
    <w:rsid w:val="00EB5F1A"/>
    <w:rsid w:val="00EB73F0"/>
    <w:rsid w:val="00EB7552"/>
    <w:rsid w:val="00EB7CDC"/>
    <w:rsid w:val="00EC0999"/>
    <w:rsid w:val="00EC0DBA"/>
    <w:rsid w:val="00EC2303"/>
    <w:rsid w:val="00EC2509"/>
    <w:rsid w:val="00EC2CF5"/>
    <w:rsid w:val="00EC3545"/>
    <w:rsid w:val="00EC43E9"/>
    <w:rsid w:val="00EC44A2"/>
    <w:rsid w:val="00EC47F4"/>
    <w:rsid w:val="00EC49B6"/>
    <w:rsid w:val="00EC4F6F"/>
    <w:rsid w:val="00EC6539"/>
    <w:rsid w:val="00EC72F2"/>
    <w:rsid w:val="00EC74AC"/>
    <w:rsid w:val="00ED1D9E"/>
    <w:rsid w:val="00ED1FDB"/>
    <w:rsid w:val="00ED2112"/>
    <w:rsid w:val="00ED26FD"/>
    <w:rsid w:val="00ED388B"/>
    <w:rsid w:val="00ED4EFD"/>
    <w:rsid w:val="00ED5B10"/>
    <w:rsid w:val="00ED62E6"/>
    <w:rsid w:val="00ED7C04"/>
    <w:rsid w:val="00ED7E7C"/>
    <w:rsid w:val="00EE082B"/>
    <w:rsid w:val="00EE12A2"/>
    <w:rsid w:val="00EE16AC"/>
    <w:rsid w:val="00EE1F09"/>
    <w:rsid w:val="00EE2F55"/>
    <w:rsid w:val="00EE4073"/>
    <w:rsid w:val="00EE4FFB"/>
    <w:rsid w:val="00EE5678"/>
    <w:rsid w:val="00EE60F1"/>
    <w:rsid w:val="00EE61FF"/>
    <w:rsid w:val="00EE66E7"/>
    <w:rsid w:val="00EE6BC1"/>
    <w:rsid w:val="00EE72E3"/>
    <w:rsid w:val="00EF07F5"/>
    <w:rsid w:val="00EF1050"/>
    <w:rsid w:val="00EF1589"/>
    <w:rsid w:val="00EF1683"/>
    <w:rsid w:val="00EF1A57"/>
    <w:rsid w:val="00EF1BCB"/>
    <w:rsid w:val="00EF253B"/>
    <w:rsid w:val="00EF296B"/>
    <w:rsid w:val="00EF2C10"/>
    <w:rsid w:val="00EF3411"/>
    <w:rsid w:val="00EF4D41"/>
    <w:rsid w:val="00EF5877"/>
    <w:rsid w:val="00EF5A04"/>
    <w:rsid w:val="00EF609B"/>
    <w:rsid w:val="00EF789C"/>
    <w:rsid w:val="00EF7ECB"/>
    <w:rsid w:val="00F000F1"/>
    <w:rsid w:val="00F01A20"/>
    <w:rsid w:val="00F01BD2"/>
    <w:rsid w:val="00F02B38"/>
    <w:rsid w:val="00F05666"/>
    <w:rsid w:val="00F06A2F"/>
    <w:rsid w:val="00F10254"/>
    <w:rsid w:val="00F10365"/>
    <w:rsid w:val="00F11555"/>
    <w:rsid w:val="00F13E50"/>
    <w:rsid w:val="00F14B1B"/>
    <w:rsid w:val="00F151A7"/>
    <w:rsid w:val="00F1565D"/>
    <w:rsid w:val="00F16A0B"/>
    <w:rsid w:val="00F202D6"/>
    <w:rsid w:val="00F206AA"/>
    <w:rsid w:val="00F21604"/>
    <w:rsid w:val="00F21763"/>
    <w:rsid w:val="00F22953"/>
    <w:rsid w:val="00F229F8"/>
    <w:rsid w:val="00F22BE3"/>
    <w:rsid w:val="00F22E9C"/>
    <w:rsid w:val="00F23982"/>
    <w:rsid w:val="00F23D83"/>
    <w:rsid w:val="00F23DF8"/>
    <w:rsid w:val="00F24B3C"/>
    <w:rsid w:val="00F2507E"/>
    <w:rsid w:val="00F250A1"/>
    <w:rsid w:val="00F25F8F"/>
    <w:rsid w:val="00F27DA1"/>
    <w:rsid w:val="00F30DC9"/>
    <w:rsid w:val="00F317C5"/>
    <w:rsid w:val="00F325DA"/>
    <w:rsid w:val="00F32A0E"/>
    <w:rsid w:val="00F33C86"/>
    <w:rsid w:val="00F342F9"/>
    <w:rsid w:val="00F3517C"/>
    <w:rsid w:val="00F3537F"/>
    <w:rsid w:val="00F35A22"/>
    <w:rsid w:val="00F36D15"/>
    <w:rsid w:val="00F40C79"/>
    <w:rsid w:val="00F4148F"/>
    <w:rsid w:val="00F4181C"/>
    <w:rsid w:val="00F42C9C"/>
    <w:rsid w:val="00F43270"/>
    <w:rsid w:val="00F45DEF"/>
    <w:rsid w:val="00F45E2D"/>
    <w:rsid w:val="00F46454"/>
    <w:rsid w:val="00F5064C"/>
    <w:rsid w:val="00F506B3"/>
    <w:rsid w:val="00F50F40"/>
    <w:rsid w:val="00F5109A"/>
    <w:rsid w:val="00F530A0"/>
    <w:rsid w:val="00F53529"/>
    <w:rsid w:val="00F53A63"/>
    <w:rsid w:val="00F54790"/>
    <w:rsid w:val="00F5560D"/>
    <w:rsid w:val="00F55F0F"/>
    <w:rsid w:val="00F55F46"/>
    <w:rsid w:val="00F57569"/>
    <w:rsid w:val="00F57EF9"/>
    <w:rsid w:val="00F57F10"/>
    <w:rsid w:val="00F60950"/>
    <w:rsid w:val="00F61032"/>
    <w:rsid w:val="00F62095"/>
    <w:rsid w:val="00F6210F"/>
    <w:rsid w:val="00F62F79"/>
    <w:rsid w:val="00F63611"/>
    <w:rsid w:val="00F63832"/>
    <w:rsid w:val="00F6425C"/>
    <w:rsid w:val="00F647BF"/>
    <w:rsid w:val="00F65D7D"/>
    <w:rsid w:val="00F66808"/>
    <w:rsid w:val="00F71CAB"/>
    <w:rsid w:val="00F71E60"/>
    <w:rsid w:val="00F72483"/>
    <w:rsid w:val="00F72A52"/>
    <w:rsid w:val="00F72C4E"/>
    <w:rsid w:val="00F72CEE"/>
    <w:rsid w:val="00F7355E"/>
    <w:rsid w:val="00F73D7C"/>
    <w:rsid w:val="00F73E07"/>
    <w:rsid w:val="00F74FEF"/>
    <w:rsid w:val="00F76059"/>
    <w:rsid w:val="00F80C00"/>
    <w:rsid w:val="00F80C44"/>
    <w:rsid w:val="00F80DC4"/>
    <w:rsid w:val="00F81E75"/>
    <w:rsid w:val="00F82750"/>
    <w:rsid w:val="00F82BE7"/>
    <w:rsid w:val="00F82D19"/>
    <w:rsid w:val="00F83A00"/>
    <w:rsid w:val="00F83ECA"/>
    <w:rsid w:val="00F84A23"/>
    <w:rsid w:val="00F8597E"/>
    <w:rsid w:val="00F85DE8"/>
    <w:rsid w:val="00F8701C"/>
    <w:rsid w:val="00F874F0"/>
    <w:rsid w:val="00F87DF6"/>
    <w:rsid w:val="00F91B4D"/>
    <w:rsid w:val="00F93130"/>
    <w:rsid w:val="00F964A3"/>
    <w:rsid w:val="00F96D6B"/>
    <w:rsid w:val="00F9745E"/>
    <w:rsid w:val="00F97A4F"/>
    <w:rsid w:val="00FA1CF8"/>
    <w:rsid w:val="00FA2A1E"/>
    <w:rsid w:val="00FA4022"/>
    <w:rsid w:val="00FA4812"/>
    <w:rsid w:val="00FA4E83"/>
    <w:rsid w:val="00FA5228"/>
    <w:rsid w:val="00FA626C"/>
    <w:rsid w:val="00FA65E6"/>
    <w:rsid w:val="00FA68C8"/>
    <w:rsid w:val="00FB113F"/>
    <w:rsid w:val="00FB14FA"/>
    <w:rsid w:val="00FB1E19"/>
    <w:rsid w:val="00FB256D"/>
    <w:rsid w:val="00FB39E0"/>
    <w:rsid w:val="00FB3ED5"/>
    <w:rsid w:val="00FB4112"/>
    <w:rsid w:val="00FB416F"/>
    <w:rsid w:val="00FB47E7"/>
    <w:rsid w:val="00FB5C44"/>
    <w:rsid w:val="00FB65D8"/>
    <w:rsid w:val="00FC00CA"/>
    <w:rsid w:val="00FC0EA8"/>
    <w:rsid w:val="00FC3973"/>
    <w:rsid w:val="00FC3FB9"/>
    <w:rsid w:val="00FC44DD"/>
    <w:rsid w:val="00FC5AB6"/>
    <w:rsid w:val="00FC75E5"/>
    <w:rsid w:val="00FD0174"/>
    <w:rsid w:val="00FD06ED"/>
    <w:rsid w:val="00FD146E"/>
    <w:rsid w:val="00FD1A26"/>
    <w:rsid w:val="00FD256A"/>
    <w:rsid w:val="00FD3397"/>
    <w:rsid w:val="00FD3584"/>
    <w:rsid w:val="00FD4885"/>
    <w:rsid w:val="00FD575B"/>
    <w:rsid w:val="00FD669B"/>
    <w:rsid w:val="00FD7C89"/>
    <w:rsid w:val="00FE099B"/>
    <w:rsid w:val="00FE0EBC"/>
    <w:rsid w:val="00FE1279"/>
    <w:rsid w:val="00FE2899"/>
    <w:rsid w:val="00FE3361"/>
    <w:rsid w:val="00FE37A4"/>
    <w:rsid w:val="00FE38C6"/>
    <w:rsid w:val="00FE42F3"/>
    <w:rsid w:val="00FE4B36"/>
    <w:rsid w:val="00FE4BCD"/>
    <w:rsid w:val="00FE5CF5"/>
    <w:rsid w:val="00FE6535"/>
    <w:rsid w:val="00FE6E22"/>
    <w:rsid w:val="00FE72AC"/>
    <w:rsid w:val="00FE7304"/>
    <w:rsid w:val="00FF08BC"/>
    <w:rsid w:val="00FF1163"/>
    <w:rsid w:val="00FF2303"/>
    <w:rsid w:val="00FF2835"/>
    <w:rsid w:val="00FF295C"/>
    <w:rsid w:val="00FF3F6F"/>
    <w:rsid w:val="00FF4197"/>
    <w:rsid w:val="00FF4D40"/>
    <w:rsid w:val="00FF6309"/>
    <w:rsid w:val="00FF740E"/>
    <w:rsid w:val="00FF78CE"/>
    <w:rsid w:val="00FF7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97FBC"/>
  <w15:chartTrackingRefBased/>
  <w15:docId w15:val="{722F14F3-1844-4B35-BF83-558C836F3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F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2F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2F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F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F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F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F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F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F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F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2F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2F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2F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2F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2F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F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F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F8F"/>
    <w:rPr>
      <w:rFonts w:eastAsiaTheme="majorEastAsia" w:cstheme="majorBidi"/>
      <w:color w:val="272727" w:themeColor="text1" w:themeTint="D8"/>
    </w:rPr>
  </w:style>
  <w:style w:type="paragraph" w:styleId="Title">
    <w:name w:val="Title"/>
    <w:basedOn w:val="Normal"/>
    <w:next w:val="Normal"/>
    <w:link w:val="TitleChar"/>
    <w:uiPriority w:val="10"/>
    <w:qFormat/>
    <w:rsid w:val="00342F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F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F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F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F8F"/>
    <w:pPr>
      <w:spacing w:before="160"/>
      <w:jc w:val="center"/>
    </w:pPr>
    <w:rPr>
      <w:i/>
      <w:iCs/>
      <w:color w:val="404040" w:themeColor="text1" w:themeTint="BF"/>
    </w:rPr>
  </w:style>
  <w:style w:type="character" w:customStyle="1" w:styleId="QuoteChar">
    <w:name w:val="Quote Char"/>
    <w:basedOn w:val="DefaultParagraphFont"/>
    <w:link w:val="Quote"/>
    <w:uiPriority w:val="29"/>
    <w:rsid w:val="00342F8F"/>
    <w:rPr>
      <w:i/>
      <w:iCs/>
      <w:color w:val="404040" w:themeColor="text1" w:themeTint="BF"/>
    </w:rPr>
  </w:style>
  <w:style w:type="paragraph" w:styleId="ListParagraph">
    <w:name w:val="List Paragraph"/>
    <w:basedOn w:val="Normal"/>
    <w:uiPriority w:val="34"/>
    <w:qFormat/>
    <w:rsid w:val="00342F8F"/>
    <w:pPr>
      <w:ind w:left="720"/>
      <w:contextualSpacing/>
    </w:pPr>
  </w:style>
  <w:style w:type="character" w:styleId="IntenseEmphasis">
    <w:name w:val="Intense Emphasis"/>
    <w:basedOn w:val="DefaultParagraphFont"/>
    <w:uiPriority w:val="21"/>
    <w:qFormat/>
    <w:rsid w:val="00342F8F"/>
    <w:rPr>
      <w:i/>
      <w:iCs/>
      <w:color w:val="0F4761" w:themeColor="accent1" w:themeShade="BF"/>
    </w:rPr>
  </w:style>
  <w:style w:type="paragraph" w:styleId="IntenseQuote">
    <w:name w:val="Intense Quote"/>
    <w:basedOn w:val="Normal"/>
    <w:next w:val="Normal"/>
    <w:link w:val="IntenseQuoteChar"/>
    <w:uiPriority w:val="30"/>
    <w:qFormat/>
    <w:rsid w:val="00342F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F8F"/>
    <w:rPr>
      <w:i/>
      <w:iCs/>
      <w:color w:val="0F4761" w:themeColor="accent1" w:themeShade="BF"/>
    </w:rPr>
  </w:style>
  <w:style w:type="character" w:styleId="IntenseReference">
    <w:name w:val="Intense Reference"/>
    <w:basedOn w:val="DefaultParagraphFont"/>
    <w:uiPriority w:val="32"/>
    <w:qFormat/>
    <w:rsid w:val="00342F8F"/>
    <w:rPr>
      <w:b/>
      <w:bCs/>
      <w:smallCaps/>
      <w:color w:val="0F4761" w:themeColor="accent1" w:themeShade="BF"/>
      <w:spacing w:val="5"/>
    </w:rPr>
  </w:style>
  <w:style w:type="paragraph" w:styleId="NoSpacing">
    <w:name w:val="No Spacing"/>
    <w:link w:val="NoSpacingChar"/>
    <w:uiPriority w:val="1"/>
    <w:qFormat/>
    <w:rsid w:val="00342F8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42F8F"/>
    <w:rPr>
      <w:rFonts w:eastAsiaTheme="minorEastAsia"/>
      <w:kern w:val="0"/>
      <w:lang w:val="en-US"/>
      <w14:ligatures w14:val="none"/>
    </w:rPr>
  </w:style>
  <w:style w:type="paragraph" w:styleId="Header">
    <w:name w:val="header"/>
    <w:basedOn w:val="Normal"/>
    <w:link w:val="HeaderChar"/>
    <w:uiPriority w:val="99"/>
    <w:unhideWhenUsed/>
    <w:rsid w:val="00342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F8F"/>
  </w:style>
  <w:style w:type="paragraph" w:styleId="Footer">
    <w:name w:val="footer"/>
    <w:basedOn w:val="Normal"/>
    <w:link w:val="FooterChar"/>
    <w:uiPriority w:val="99"/>
    <w:unhideWhenUsed/>
    <w:rsid w:val="00342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F8F"/>
  </w:style>
  <w:style w:type="paragraph" w:styleId="TOCHeading">
    <w:name w:val="TOC Heading"/>
    <w:basedOn w:val="Heading1"/>
    <w:next w:val="Normal"/>
    <w:uiPriority w:val="39"/>
    <w:unhideWhenUsed/>
    <w:qFormat/>
    <w:rsid w:val="00342F8F"/>
    <w:pPr>
      <w:spacing w:before="240" w:after="0"/>
      <w:outlineLvl w:val="9"/>
    </w:pPr>
    <w:rPr>
      <w:kern w:val="0"/>
      <w:sz w:val="32"/>
      <w:szCs w:val="32"/>
      <w:lang w:val="en-US"/>
      <w14:ligatures w14:val="none"/>
    </w:rPr>
  </w:style>
  <w:style w:type="paragraph" w:styleId="NormalWeb">
    <w:name w:val="Normal (Web)"/>
    <w:basedOn w:val="Normal"/>
    <w:uiPriority w:val="99"/>
    <w:semiHidden/>
    <w:unhideWhenUsed/>
    <w:rsid w:val="00A3758C"/>
    <w:rPr>
      <w:rFonts w:ascii="Times New Roman" w:hAnsi="Times New Roman" w:cs="Times New Roman"/>
      <w:sz w:val="24"/>
      <w:szCs w:val="24"/>
    </w:rPr>
  </w:style>
  <w:style w:type="character" w:styleId="Hyperlink">
    <w:name w:val="Hyperlink"/>
    <w:basedOn w:val="DefaultParagraphFont"/>
    <w:uiPriority w:val="99"/>
    <w:unhideWhenUsed/>
    <w:rsid w:val="000439BB"/>
    <w:rPr>
      <w:color w:val="467886" w:themeColor="hyperlink"/>
      <w:u w:val="single"/>
    </w:rPr>
  </w:style>
  <w:style w:type="character" w:styleId="UnresolvedMention">
    <w:name w:val="Unresolved Mention"/>
    <w:basedOn w:val="DefaultParagraphFont"/>
    <w:uiPriority w:val="99"/>
    <w:semiHidden/>
    <w:unhideWhenUsed/>
    <w:rsid w:val="000439BB"/>
    <w:rPr>
      <w:color w:val="605E5C"/>
      <w:shd w:val="clear" w:color="auto" w:fill="E1DFDD"/>
    </w:rPr>
  </w:style>
  <w:style w:type="paragraph" w:styleId="TOC1">
    <w:name w:val="toc 1"/>
    <w:basedOn w:val="Normal"/>
    <w:next w:val="Normal"/>
    <w:autoRedefine/>
    <w:uiPriority w:val="39"/>
    <w:unhideWhenUsed/>
    <w:rsid w:val="000439BB"/>
    <w:pPr>
      <w:spacing w:after="100"/>
    </w:pPr>
  </w:style>
  <w:style w:type="paragraph" w:styleId="TOC2">
    <w:name w:val="toc 2"/>
    <w:basedOn w:val="Normal"/>
    <w:next w:val="Normal"/>
    <w:autoRedefine/>
    <w:uiPriority w:val="39"/>
    <w:unhideWhenUsed/>
    <w:rsid w:val="000439B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ons.gov.uk" TargetMode="External"/><Relationship Id="rId3" Type="http://schemas.openxmlformats.org/officeDocument/2006/relationships/numbering" Target="numbering.xml"/><Relationship Id="rId21" Type="http://schemas.openxmlformats.org/officeDocument/2006/relationships/hyperlink" Target="https://www.kingsfund.org.uk"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ons.gov.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ongtermplan.nhs.uk" TargetMode="External"/><Relationship Id="rId20" Type="http://schemas.openxmlformats.org/officeDocument/2006/relationships/hyperlink" Target="https://www.kingsfund.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gov.uk/government/statistics/english-indices-of-deprivation-2019"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health.org.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ifs.org.uk/publications/how-have-english-councils-funding-and-spending-changed-2010-2024?utm_source=chatgpt.com" TargetMode="External"/><Relationship Id="rId22" Type="http://schemas.openxmlformats.org/officeDocument/2006/relationships/hyperlink" Target="https://www.westnorthant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2026-03-22T00:00:00</PublishDate>
  <Abstract/>
  <CompanyAddress>BSc (Hons) Health and Social Care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63A8E5-7776-4C6A-AE60-5BD003B85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3104</Words>
  <Characters>17698</Characters>
  <Application>Microsoft Office Word</Application>
  <DocSecurity>0</DocSecurity>
  <Lines>147</Lines>
  <Paragraphs>41</Paragraphs>
  <ScaleCrop>false</ScaleCrop>
  <Company>University of Wales Trinity Saint David</Company>
  <LinksUpToDate>false</LinksUpToDate>
  <CharactersWithSpaces>20761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SDG 3 (Good Health and Wellbeing) and SDG 10 (Reduced Inequalities): Evaluating National and Local Health Initiatives in the UK and Northampton</dc:title>
  <dc:subject>Component 2: Written Assignment (Report)</dc:subject>
  <dc:creator>niculina butnaru</dc:creator>
  <cp:keywords/>
  <dc:description/>
  <cp:lastModifiedBy>niculina butnaru</cp:lastModifiedBy>
  <cp:revision>2</cp:revision>
  <dcterms:created xsi:type="dcterms:W3CDTF">2026-03-21T12:49:00Z</dcterms:created>
  <dcterms:modified xsi:type="dcterms:W3CDTF">2026-03-21T12:49:00Z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9b5f6e74-1011-4717-b907-e9bfd1a25189</vt:lpwstr>
  </property>
</Properties>
</file>