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0269C9" w14:textId="4DCB066E" w:rsidR="00B43C40" w:rsidRPr="00C94379" w:rsidRDefault="00C94379" w:rsidP="00C81727">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shd w:val="clear" w:color="auto" w:fill="FFFFFF" w:themeFill="background1"/>
        <w:jc w:val="center"/>
        <w:rPr>
          <w:rFonts w:ascii="Arial" w:hAnsi="Arial" w:cs="Arial"/>
          <w:b/>
          <w:bCs/>
          <w:sz w:val="56"/>
          <w:szCs w:val="56"/>
        </w:rPr>
      </w:pPr>
      <w:r w:rsidRPr="00C94379">
        <w:rPr>
          <w:rFonts w:ascii="Arial" w:hAnsi="Arial" w:cs="Arial"/>
          <w:b/>
          <w:bCs/>
          <w:color w:val="202124"/>
          <w:sz w:val="56"/>
          <w:szCs w:val="56"/>
          <w:shd w:val="clear" w:color="auto" w:fill="FFFFFF"/>
        </w:rPr>
        <w:t xml:space="preserve">CIPD Level 5 Associate Diploma </w:t>
      </w:r>
    </w:p>
    <w:p w14:paraId="1BA131CB" w14:textId="52A8B3F8" w:rsidR="00B43C40" w:rsidRPr="00B43C40" w:rsidRDefault="00B43C40" w:rsidP="00B43C40">
      <w:pPr>
        <w:rPr>
          <w:rFonts w:ascii="Arial" w:hAnsi="Arial" w:cs="Arial"/>
          <w:sz w:val="36"/>
          <w:szCs w:val="36"/>
        </w:rPr>
      </w:pPr>
    </w:p>
    <w:p w14:paraId="11FFF045" w14:textId="293F675B" w:rsidR="00B43C40" w:rsidRPr="00B43C40" w:rsidRDefault="00B43C40" w:rsidP="00B43C40">
      <w:pPr>
        <w:rPr>
          <w:rFonts w:ascii="Arial" w:hAnsi="Arial" w:cs="Arial"/>
          <w:sz w:val="36"/>
          <w:szCs w:val="36"/>
        </w:rPr>
      </w:pPr>
    </w:p>
    <w:p w14:paraId="22B15166" w14:textId="77777777" w:rsidR="00B43C40" w:rsidRPr="00B43C40" w:rsidRDefault="00B43C40" w:rsidP="00B43C40">
      <w:pPr>
        <w:rPr>
          <w:rFonts w:ascii="Arial" w:hAnsi="Arial" w:cs="Arial"/>
          <w:sz w:val="36"/>
          <w:szCs w:val="36"/>
        </w:rPr>
      </w:pPr>
    </w:p>
    <w:p w14:paraId="078C70BA" w14:textId="27E0DD74" w:rsidR="00B43C40" w:rsidRPr="00B43C40" w:rsidRDefault="00C94379" w:rsidP="00B43C40">
      <w:pPr>
        <w:rPr>
          <w:rFonts w:ascii="Arial" w:hAnsi="Arial" w:cs="Arial"/>
          <w:sz w:val="36"/>
          <w:szCs w:val="36"/>
        </w:rPr>
      </w:pPr>
      <w:r>
        <w:rPr>
          <w:rFonts w:ascii="Arial" w:hAnsi="Arial" w:cs="Arial"/>
          <w:noProof/>
          <w:sz w:val="36"/>
          <w:szCs w:val="36"/>
        </w:rPr>
        <w:drawing>
          <wp:anchor distT="0" distB="0" distL="114300" distR="114300" simplePos="0" relativeHeight="251658240" behindDoc="1" locked="0" layoutInCell="1" allowOverlap="1" wp14:anchorId="7BE25E3F" wp14:editId="7D1D68A8">
            <wp:simplePos x="0" y="0"/>
            <wp:positionH relativeFrom="margin">
              <wp:align>center</wp:align>
            </wp:positionH>
            <wp:positionV relativeFrom="paragraph">
              <wp:posOffset>213360</wp:posOffset>
            </wp:positionV>
            <wp:extent cx="4171315" cy="2314575"/>
            <wp:effectExtent l="0" t="0" r="635" b="9525"/>
            <wp:wrapTight wrapText="bothSides">
              <wp:wrapPolygon edited="0">
                <wp:start x="0" y="0"/>
                <wp:lineTo x="0" y="21511"/>
                <wp:lineTo x="21505" y="21511"/>
                <wp:lineTo x="21505" y="0"/>
                <wp:lineTo x="0" y="0"/>
              </wp:wrapPolygon>
            </wp:wrapTight>
            <wp:docPr id="1605215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71315" cy="2314575"/>
                    </a:xfrm>
                    <a:prstGeom prst="rect">
                      <a:avLst/>
                    </a:prstGeom>
                    <a:noFill/>
                  </pic:spPr>
                </pic:pic>
              </a:graphicData>
            </a:graphic>
            <wp14:sizeRelH relativeFrom="page">
              <wp14:pctWidth>0</wp14:pctWidth>
            </wp14:sizeRelH>
            <wp14:sizeRelV relativeFrom="page">
              <wp14:pctHeight>0</wp14:pctHeight>
            </wp14:sizeRelV>
          </wp:anchor>
        </w:drawing>
      </w:r>
    </w:p>
    <w:p w14:paraId="31CD4BAA" w14:textId="3C3A6927" w:rsidR="00B43C40" w:rsidRPr="00B43C40" w:rsidRDefault="00B43C40" w:rsidP="00B43C40">
      <w:pPr>
        <w:rPr>
          <w:rFonts w:ascii="Arial" w:hAnsi="Arial" w:cs="Arial"/>
          <w:sz w:val="36"/>
          <w:szCs w:val="36"/>
        </w:rPr>
      </w:pPr>
    </w:p>
    <w:p w14:paraId="2BDC8629" w14:textId="77777777" w:rsidR="00B43C40" w:rsidRPr="00B43C40" w:rsidRDefault="00B43C40" w:rsidP="00B43C40">
      <w:pPr>
        <w:rPr>
          <w:rFonts w:ascii="Arial" w:hAnsi="Arial" w:cs="Arial"/>
          <w:sz w:val="36"/>
          <w:szCs w:val="36"/>
        </w:rPr>
      </w:pPr>
    </w:p>
    <w:p w14:paraId="46139EB9" w14:textId="77777777" w:rsidR="00B43C40" w:rsidRPr="00B43C40" w:rsidRDefault="00B43C40" w:rsidP="00B43C40">
      <w:pPr>
        <w:rPr>
          <w:rFonts w:ascii="Arial" w:hAnsi="Arial" w:cs="Arial"/>
          <w:sz w:val="36"/>
          <w:szCs w:val="36"/>
        </w:rPr>
      </w:pPr>
    </w:p>
    <w:p w14:paraId="79BCF226" w14:textId="77777777" w:rsidR="00B43C40" w:rsidRPr="00B43C40" w:rsidRDefault="00B43C40" w:rsidP="00B43C40">
      <w:pPr>
        <w:rPr>
          <w:rFonts w:ascii="Arial" w:hAnsi="Arial" w:cs="Arial"/>
          <w:sz w:val="36"/>
          <w:szCs w:val="36"/>
        </w:rPr>
      </w:pPr>
    </w:p>
    <w:p w14:paraId="60A29EED" w14:textId="77777777" w:rsidR="00B43C40" w:rsidRPr="00B43C40" w:rsidRDefault="00B43C40" w:rsidP="00B43C40">
      <w:pPr>
        <w:rPr>
          <w:rFonts w:ascii="Arial" w:hAnsi="Arial" w:cs="Arial"/>
          <w:sz w:val="36"/>
          <w:szCs w:val="36"/>
        </w:rPr>
      </w:pPr>
    </w:p>
    <w:p w14:paraId="59B7E581" w14:textId="77777777" w:rsidR="00B43C40" w:rsidRPr="00B43C40" w:rsidRDefault="00B43C40" w:rsidP="00B43C40">
      <w:pPr>
        <w:rPr>
          <w:rFonts w:ascii="Arial" w:hAnsi="Arial" w:cs="Arial"/>
          <w:sz w:val="36"/>
          <w:szCs w:val="36"/>
        </w:rPr>
      </w:pPr>
    </w:p>
    <w:p w14:paraId="2837E074" w14:textId="77777777" w:rsidR="00012729" w:rsidRDefault="00012729" w:rsidP="00B43C40">
      <w:pPr>
        <w:rPr>
          <w:rFonts w:ascii="Arial" w:hAnsi="Arial" w:cs="Arial"/>
          <w:sz w:val="36"/>
          <w:szCs w:val="36"/>
        </w:rPr>
      </w:pPr>
    </w:p>
    <w:p w14:paraId="0DC974E6" w14:textId="1D9E8E74" w:rsidR="00B51C68" w:rsidRDefault="00B43C40"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B43C40">
        <w:rPr>
          <w:rFonts w:ascii="Arial" w:hAnsi="Arial" w:cs="Arial"/>
          <w:sz w:val="44"/>
          <w:szCs w:val="44"/>
        </w:rPr>
        <w:t>NEFYN CARDWELL</w:t>
      </w:r>
    </w:p>
    <w:p w14:paraId="3CBD6B4C" w14:textId="77777777" w:rsidR="001E0789" w:rsidRDefault="001E0789" w:rsidP="001048CD">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1E0789">
        <w:rPr>
          <w:rFonts w:ascii="Arial" w:hAnsi="Arial" w:cs="Arial"/>
          <w:sz w:val="44"/>
          <w:szCs w:val="44"/>
        </w:rPr>
        <w:t>Talent management and workforce planning</w:t>
      </w:r>
    </w:p>
    <w:p w14:paraId="48E1DC5F" w14:textId="10202879" w:rsidR="003221C7" w:rsidRDefault="003221C7" w:rsidP="001048CD">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3221C7">
        <w:rPr>
          <w:rFonts w:ascii="Arial" w:hAnsi="Arial" w:cs="Arial"/>
          <w:sz w:val="44"/>
          <w:szCs w:val="44"/>
        </w:rPr>
        <w:t>CIPD</w:t>
      </w:r>
      <w:r w:rsidR="00DF73E3">
        <w:rPr>
          <w:rFonts w:ascii="Arial" w:hAnsi="Arial" w:cs="Arial"/>
          <w:sz w:val="44"/>
          <w:szCs w:val="44"/>
        </w:rPr>
        <w:t xml:space="preserve"> - </w:t>
      </w:r>
      <w:r w:rsidRPr="003221C7">
        <w:rPr>
          <w:rFonts w:ascii="Arial" w:hAnsi="Arial" w:cs="Arial"/>
          <w:sz w:val="44"/>
          <w:szCs w:val="44"/>
        </w:rPr>
        <w:t>5HR0</w:t>
      </w:r>
      <w:r w:rsidR="001E0789">
        <w:rPr>
          <w:rFonts w:ascii="Arial" w:hAnsi="Arial" w:cs="Arial"/>
          <w:sz w:val="44"/>
          <w:szCs w:val="44"/>
        </w:rPr>
        <w:t>2</w:t>
      </w:r>
    </w:p>
    <w:p w14:paraId="25D77813" w14:textId="6A11D33E" w:rsidR="00C94379" w:rsidRDefault="00C94379" w:rsidP="001048CD">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Student no – 0001268</w:t>
      </w:r>
    </w:p>
    <w:p w14:paraId="7DA7B4FE" w14:textId="4BD5FC59" w:rsidR="00C94379" w:rsidRDefault="00C94379"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CIPD no -  88139558</w:t>
      </w:r>
    </w:p>
    <w:p w14:paraId="08E15F92" w14:textId="435C831D" w:rsidR="005709AA" w:rsidRDefault="005709AA"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Word Count -</w:t>
      </w:r>
      <w:r w:rsidR="008A6B9C">
        <w:rPr>
          <w:rFonts w:ascii="Arial" w:hAnsi="Arial" w:cs="Arial"/>
          <w:sz w:val="44"/>
          <w:szCs w:val="44"/>
        </w:rPr>
        <w:t xml:space="preserve"> </w:t>
      </w:r>
    </w:p>
    <w:p w14:paraId="27BCFA9F" w14:textId="77777777" w:rsidR="001048CD" w:rsidRDefault="001048CD" w:rsidP="00E46AE8">
      <w:pPr>
        <w:rPr>
          <w:rFonts w:ascii="Arial" w:hAnsi="Arial" w:cs="Arial"/>
          <w:b/>
          <w:bCs/>
          <w:u w:val="single"/>
        </w:rPr>
      </w:pPr>
    </w:p>
    <w:p w14:paraId="54687788" w14:textId="544CF76D" w:rsidR="009279A0" w:rsidRPr="009279A0" w:rsidRDefault="009279A0" w:rsidP="00E46AE8">
      <w:pPr>
        <w:rPr>
          <w:rFonts w:ascii="Arial" w:hAnsi="Arial" w:cs="Arial"/>
          <w:b/>
          <w:bCs/>
          <w:u w:val="single"/>
        </w:rPr>
      </w:pPr>
      <w:r w:rsidRPr="009279A0">
        <w:rPr>
          <w:rFonts w:ascii="Arial" w:hAnsi="Arial" w:cs="Arial"/>
          <w:b/>
          <w:bCs/>
          <w:u w:val="single"/>
        </w:rPr>
        <w:lastRenderedPageBreak/>
        <w:t>Task 1</w:t>
      </w:r>
    </w:p>
    <w:p w14:paraId="5C432A19" w14:textId="311063F5" w:rsidR="00024020" w:rsidRDefault="003C52CE" w:rsidP="00024020">
      <w:pPr>
        <w:rPr>
          <w:rFonts w:ascii="Arial" w:hAnsi="Arial" w:cs="Arial"/>
          <w:b/>
          <w:bCs/>
        </w:rPr>
      </w:pPr>
      <w:r>
        <w:rPr>
          <w:rFonts w:ascii="Arial" w:hAnsi="Arial" w:cs="Arial"/>
          <w:b/>
          <w:bCs/>
        </w:rPr>
        <w:t>1.</w:t>
      </w:r>
      <w:r w:rsidR="00E46AE8" w:rsidRPr="003254B7">
        <w:rPr>
          <w:rFonts w:ascii="Arial" w:hAnsi="Arial" w:cs="Arial"/>
          <w:b/>
          <w:bCs/>
        </w:rPr>
        <w:t>1)</w:t>
      </w:r>
      <w:r w:rsidR="00E46AE8" w:rsidRPr="003254B7">
        <w:rPr>
          <w:rFonts w:ascii="Arial" w:hAnsi="Arial" w:cs="Arial"/>
          <w:b/>
          <w:bCs/>
        </w:rPr>
        <w:tab/>
      </w:r>
      <w:r w:rsidR="005847B6" w:rsidRPr="005847B6">
        <w:rPr>
          <w:rFonts w:ascii="Arial" w:hAnsi="Arial" w:cs="Arial"/>
          <w:b/>
          <w:bCs/>
        </w:rPr>
        <w:t xml:space="preserve">New entrants to the parcel delivery market and other labour market competitors have adversely affected </w:t>
      </w:r>
      <w:proofErr w:type="spellStart"/>
      <w:r w:rsidR="005847B6" w:rsidRPr="005847B6">
        <w:rPr>
          <w:rFonts w:ascii="Arial" w:hAnsi="Arial" w:cs="Arial"/>
          <w:b/>
          <w:bCs/>
        </w:rPr>
        <w:t>ParcelCare’s</w:t>
      </w:r>
      <w:proofErr w:type="spellEnd"/>
      <w:r w:rsidR="005847B6" w:rsidRPr="005847B6">
        <w:rPr>
          <w:rFonts w:ascii="Arial" w:hAnsi="Arial" w:cs="Arial"/>
          <w:b/>
          <w:bCs/>
        </w:rPr>
        <w:t xml:space="preserve"> ability to compete in labour markets. Explain how </w:t>
      </w:r>
      <w:proofErr w:type="spellStart"/>
      <w:r w:rsidR="005847B6" w:rsidRPr="005847B6">
        <w:rPr>
          <w:rFonts w:ascii="Arial" w:hAnsi="Arial" w:cs="Arial"/>
          <w:b/>
          <w:bCs/>
        </w:rPr>
        <w:t>ParcelCare</w:t>
      </w:r>
      <w:proofErr w:type="spellEnd"/>
      <w:r w:rsidR="005847B6" w:rsidRPr="005847B6">
        <w:rPr>
          <w:rFonts w:ascii="Arial" w:hAnsi="Arial" w:cs="Arial"/>
          <w:b/>
          <w:bCs/>
        </w:rPr>
        <w:t xml:space="preserve"> can strategically position themselves in competitive labour markets. </w:t>
      </w:r>
    </w:p>
    <w:p w14:paraId="1BEDAAAD" w14:textId="1DE57070" w:rsidR="00A55392" w:rsidRPr="00A55392" w:rsidRDefault="00A55392" w:rsidP="00A55392">
      <w:pPr>
        <w:rPr>
          <w:rFonts w:ascii="Arial" w:hAnsi="Arial" w:cs="Arial"/>
        </w:rPr>
      </w:pPr>
      <w:proofErr w:type="spellStart"/>
      <w:r w:rsidRPr="00A55392">
        <w:rPr>
          <w:rFonts w:ascii="Arial" w:hAnsi="Arial" w:cs="Arial"/>
        </w:rPr>
        <w:t>ParcelCare</w:t>
      </w:r>
      <w:proofErr w:type="spellEnd"/>
      <w:r w:rsidRPr="00A55392">
        <w:rPr>
          <w:rFonts w:ascii="Arial" w:hAnsi="Arial" w:cs="Arial"/>
        </w:rPr>
        <w:t xml:space="preserve"> can strengthen its position in the competitive labour market by adopting both internal and external strategies to attract and retain talent.</w:t>
      </w:r>
    </w:p>
    <w:p w14:paraId="6DA1DFF6" w14:textId="40DF2DAE" w:rsidR="00A55392" w:rsidRPr="00A55392" w:rsidRDefault="00A55392" w:rsidP="00A55392">
      <w:pPr>
        <w:rPr>
          <w:rFonts w:ascii="Arial" w:hAnsi="Arial" w:cs="Arial"/>
        </w:rPr>
      </w:pPr>
      <w:proofErr w:type="spellStart"/>
      <w:r w:rsidRPr="00A55392">
        <w:rPr>
          <w:rFonts w:ascii="Arial" w:hAnsi="Arial" w:cs="Arial"/>
        </w:rPr>
        <w:t>ParcelCare</w:t>
      </w:r>
      <w:proofErr w:type="spellEnd"/>
      <w:r w:rsidRPr="00A55392">
        <w:rPr>
          <w:rFonts w:ascii="Arial" w:hAnsi="Arial" w:cs="Arial"/>
        </w:rPr>
        <w:t xml:space="preserve"> should begin by conducting competitor analysis, assessing what new entrants and established companies in the parcel delivery sector offer in terms of compensation, benefits, and work culture (Boxall &amp; Purcell, 2016). By identifying gaps or advantages in competitor offerings, </w:t>
      </w:r>
      <w:proofErr w:type="spellStart"/>
      <w:r w:rsidRPr="00A55392">
        <w:rPr>
          <w:rFonts w:ascii="Arial" w:hAnsi="Arial" w:cs="Arial"/>
        </w:rPr>
        <w:t>ParcelCare</w:t>
      </w:r>
      <w:proofErr w:type="spellEnd"/>
      <w:r w:rsidRPr="00A55392">
        <w:rPr>
          <w:rFonts w:ascii="Arial" w:hAnsi="Arial" w:cs="Arial"/>
        </w:rPr>
        <w:t xml:space="preserve"> can refine its own employee value proposition, ensuring it stands out by providing a more appealing workplace experience.</w:t>
      </w:r>
    </w:p>
    <w:p w14:paraId="6D04ED98" w14:textId="77777777" w:rsidR="00A55392" w:rsidRPr="00A55392" w:rsidRDefault="00A55392" w:rsidP="00A55392">
      <w:pPr>
        <w:rPr>
          <w:rFonts w:ascii="Arial" w:hAnsi="Arial" w:cs="Arial"/>
        </w:rPr>
      </w:pPr>
      <w:r w:rsidRPr="00A55392">
        <w:rPr>
          <w:rFonts w:ascii="Arial" w:hAnsi="Arial" w:cs="Arial"/>
        </w:rPr>
        <w:t xml:space="preserve">To compete effectively, </w:t>
      </w:r>
      <w:proofErr w:type="spellStart"/>
      <w:r w:rsidRPr="00A55392">
        <w:rPr>
          <w:rFonts w:ascii="Arial" w:hAnsi="Arial" w:cs="Arial"/>
        </w:rPr>
        <w:t>ParcelCare</w:t>
      </w:r>
      <w:proofErr w:type="spellEnd"/>
      <w:r w:rsidRPr="00A55392">
        <w:rPr>
          <w:rFonts w:ascii="Arial" w:hAnsi="Arial" w:cs="Arial"/>
        </w:rPr>
        <w:t xml:space="preserve"> should focus on becoming an employer of choice by enhancing its work environment. This includes offering opportunities for career development, fostering strong leadership, and supporting work-life balance (Armstrong &amp; Taylor, 2014). </w:t>
      </w:r>
      <w:proofErr w:type="spellStart"/>
      <w:r w:rsidRPr="00A55392">
        <w:rPr>
          <w:rFonts w:ascii="Arial" w:hAnsi="Arial" w:cs="Arial"/>
        </w:rPr>
        <w:t>ParcelCare’s</w:t>
      </w:r>
      <w:proofErr w:type="spellEnd"/>
      <w:r w:rsidRPr="00A55392">
        <w:rPr>
          <w:rFonts w:ascii="Arial" w:hAnsi="Arial" w:cs="Arial"/>
        </w:rPr>
        <w:t xml:space="preserve"> employer brand must reflect its commitment to employee growth, fairness, and innovation. By clearly communicating its values, mission, and inclusive culture, </w:t>
      </w:r>
      <w:proofErr w:type="spellStart"/>
      <w:r w:rsidRPr="00A55392">
        <w:rPr>
          <w:rFonts w:ascii="Arial" w:hAnsi="Arial" w:cs="Arial"/>
        </w:rPr>
        <w:t>ParcelCare</w:t>
      </w:r>
      <w:proofErr w:type="spellEnd"/>
      <w:r w:rsidRPr="00A55392">
        <w:rPr>
          <w:rFonts w:ascii="Arial" w:hAnsi="Arial" w:cs="Arial"/>
        </w:rPr>
        <w:t xml:space="preserve"> can attract a wider talent pool aligned with its ethos (Edwards, 2010).</w:t>
      </w:r>
    </w:p>
    <w:p w14:paraId="2F1D7CF1" w14:textId="3CE86516" w:rsidR="00A55392" w:rsidRPr="00A55392" w:rsidRDefault="00A55392" w:rsidP="00DF307B">
      <w:pPr>
        <w:rPr>
          <w:rFonts w:ascii="Arial" w:hAnsi="Arial" w:cs="Arial"/>
        </w:rPr>
      </w:pPr>
      <w:proofErr w:type="spellStart"/>
      <w:r w:rsidRPr="00A55392">
        <w:rPr>
          <w:rFonts w:ascii="Arial" w:hAnsi="Arial" w:cs="Arial"/>
        </w:rPr>
        <w:t>ParcelCare</w:t>
      </w:r>
      <w:proofErr w:type="spellEnd"/>
      <w:r w:rsidRPr="00A55392">
        <w:rPr>
          <w:rFonts w:ascii="Arial" w:hAnsi="Arial" w:cs="Arial"/>
        </w:rPr>
        <w:t xml:space="preserve"> should align its reward system with the preferences of today’s workforce by offering competitive salaries, comprehensive benefits, and flexible working arrangements. In addition, promoting a culture that values innovation, diversity, and inclusivity will help attract and retain top talent (Armstrong &amp; Taylor, 2014). </w:t>
      </w:r>
      <w:proofErr w:type="spellStart"/>
      <w:r w:rsidRPr="00A55392">
        <w:rPr>
          <w:rFonts w:ascii="Arial" w:hAnsi="Arial" w:cs="Arial"/>
        </w:rPr>
        <w:t>ParcelCare</w:t>
      </w:r>
      <w:proofErr w:type="spellEnd"/>
      <w:r w:rsidRPr="00A55392">
        <w:rPr>
          <w:rFonts w:ascii="Arial" w:hAnsi="Arial" w:cs="Arial"/>
        </w:rPr>
        <w:t xml:space="preserve"> can differentiate itself by providing not just financial rewards but also intangible benefits like meaningful work and a supportive workplace environment.</w:t>
      </w:r>
    </w:p>
    <w:p w14:paraId="36574628" w14:textId="77777777" w:rsidR="00A55392" w:rsidRDefault="00A55392" w:rsidP="00A55392">
      <w:pPr>
        <w:rPr>
          <w:rFonts w:ascii="Arial" w:hAnsi="Arial" w:cs="Arial"/>
        </w:rPr>
      </w:pPr>
      <w:proofErr w:type="spellStart"/>
      <w:r w:rsidRPr="00A55392">
        <w:rPr>
          <w:rFonts w:ascii="Arial" w:hAnsi="Arial" w:cs="Arial"/>
        </w:rPr>
        <w:t>ParcelCare</w:t>
      </w:r>
      <w:proofErr w:type="spellEnd"/>
      <w:r w:rsidRPr="00A55392">
        <w:rPr>
          <w:rFonts w:ascii="Arial" w:hAnsi="Arial" w:cs="Arial"/>
        </w:rPr>
        <w:t xml:space="preserve"> should also leverage its corporate social responsibility (CSR) initiatives to enhance its appeal. By demonstrating a strong commitment to ethical business practices and sustainability, </w:t>
      </w:r>
      <w:proofErr w:type="spellStart"/>
      <w:r w:rsidRPr="00A55392">
        <w:rPr>
          <w:rFonts w:ascii="Arial" w:hAnsi="Arial" w:cs="Arial"/>
        </w:rPr>
        <w:t>ParcelCare</w:t>
      </w:r>
      <w:proofErr w:type="spellEnd"/>
      <w:r w:rsidRPr="00A55392">
        <w:rPr>
          <w:rFonts w:ascii="Arial" w:hAnsi="Arial" w:cs="Arial"/>
        </w:rPr>
        <w:t xml:space="preserve"> can attract employees who value working for a socially responsible organisation. This helps position </w:t>
      </w:r>
      <w:proofErr w:type="spellStart"/>
      <w:r w:rsidRPr="00A55392">
        <w:rPr>
          <w:rFonts w:ascii="Arial" w:hAnsi="Arial" w:cs="Arial"/>
        </w:rPr>
        <w:t>ParcelCare</w:t>
      </w:r>
      <w:proofErr w:type="spellEnd"/>
      <w:r w:rsidRPr="00A55392">
        <w:rPr>
          <w:rFonts w:ascii="Arial" w:hAnsi="Arial" w:cs="Arial"/>
        </w:rPr>
        <w:t xml:space="preserve"> as an employer aligned with modern workforce values (Edwards, 2010).</w:t>
      </w:r>
    </w:p>
    <w:p w14:paraId="07707CF3" w14:textId="4792E943" w:rsidR="00A2196A" w:rsidRDefault="003C52CE" w:rsidP="00A2196A">
      <w:pPr>
        <w:rPr>
          <w:rFonts w:ascii="Arial" w:hAnsi="Arial" w:cs="Arial"/>
          <w:b/>
          <w:bCs/>
        </w:rPr>
      </w:pPr>
      <w:r>
        <w:rPr>
          <w:rFonts w:ascii="Arial" w:hAnsi="Arial" w:cs="Arial"/>
          <w:b/>
          <w:bCs/>
        </w:rPr>
        <w:t>1.</w:t>
      </w:r>
      <w:r w:rsidR="00E46AE8" w:rsidRPr="003254B7">
        <w:rPr>
          <w:rFonts w:ascii="Arial" w:hAnsi="Arial" w:cs="Arial"/>
          <w:b/>
          <w:bCs/>
        </w:rPr>
        <w:t>2)</w:t>
      </w:r>
      <w:r w:rsidR="00E46AE8" w:rsidRPr="003254B7">
        <w:rPr>
          <w:rFonts w:ascii="Arial" w:hAnsi="Arial" w:cs="Arial"/>
          <w:b/>
          <w:bCs/>
        </w:rPr>
        <w:tab/>
      </w:r>
      <w:r w:rsidR="00A2196A" w:rsidRPr="00A2196A">
        <w:rPr>
          <w:rFonts w:ascii="Arial" w:hAnsi="Arial" w:cs="Arial"/>
          <w:b/>
          <w:bCs/>
        </w:rPr>
        <w:t xml:space="preserve">Explain the impact of changing labour market conditions on resourcing decisions at </w:t>
      </w:r>
      <w:proofErr w:type="spellStart"/>
      <w:r w:rsidR="00A2196A" w:rsidRPr="00A2196A">
        <w:rPr>
          <w:rFonts w:ascii="Arial" w:hAnsi="Arial" w:cs="Arial"/>
          <w:b/>
          <w:bCs/>
        </w:rPr>
        <w:t>ParcelCare</w:t>
      </w:r>
      <w:proofErr w:type="spellEnd"/>
      <w:r w:rsidR="00A2196A" w:rsidRPr="00A2196A">
        <w:rPr>
          <w:rFonts w:ascii="Arial" w:hAnsi="Arial" w:cs="Arial"/>
          <w:b/>
          <w:bCs/>
        </w:rPr>
        <w:t xml:space="preserve">. </w:t>
      </w:r>
    </w:p>
    <w:p w14:paraId="428379C0" w14:textId="77777777" w:rsidR="00626D8A" w:rsidRPr="00626D8A" w:rsidRDefault="00626D8A" w:rsidP="00626D8A">
      <w:pPr>
        <w:rPr>
          <w:rFonts w:ascii="Arial" w:hAnsi="Arial" w:cs="Arial"/>
        </w:rPr>
      </w:pPr>
      <w:r w:rsidRPr="00626D8A">
        <w:rPr>
          <w:rFonts w:ascii="Arial" w:hAnsi="Arial" w:cs="Arial"/>
        </w:rPr>
        <w:t xml:space="preserve">Changing labour market conditions significantly affect resourcing decisions at </w:t>
      </w:r>
      <w:proofErr w:type="spellStart"/>
      <w:r w:rsidRPr="00626D8A">
        <w:rPr>
          <w:rFonts w:ascii="Arial" w:hAnsi="Arial" w:cs="Arial"/>
        </w:rPr>
        <w:t>ParcelCare</w:t>
      </w:r>
      <w:proofErr w:type="spellEnd"/>
      <w:r w:rsidRPr="00626D8A">
        <w:rPr>
          <w:rFonts w:ascii="Arial" w:hAnsi="Arial" w:cs="Arial"/>
        </w:rPr>
        <w:t xml:space="preserve">, shaping how talent is sourced, retained, and developed. In a tight labour market, where demand for workers exceeds supply, </w:t>
      </w:r>
      <w:proofErr w:type="spellStart"/>
      <w:r w:rsidRPr="00626D8A">
        <w:rPr>
          <w:rFonts w:ascii="Arial" w:hAnsi="Arial" w:cs="Arial"/>
        </w:rPr>
        <w:t>ParcelCare</w:t>
      </w:r>
      <w:proofErr w:type="spellEnd"/>
      <w:r w:rsidRPr="00626D8A">
        <w:rPr>
          <w:rFonts w:ascii="Arial" w:hAnsi="Arial" w:cs="Arial"/>
        </w:rPr>
        <w:t xml:space="preserve"> would face challenges in attracting talent, potentially leading to the need for more competitive compensation packages, enhanced benefits, and proactive employer branding strategies to remain competitive (Armstrong &amp; Taylor, 2014). Conversely, in a loose labour market, where the supply of labour exceeds demand, </w:t>
      </w:r>
      <w:proofErr w:type="spellStart"/>
      <w:r w:rsidRPr="00626D8A">
        <w:rPr>
          <w:rFonts w:ascii="Arial" w:hAnsi="Arial" w:cs="Arial"/>
        </w:rPr>
        <w:t>ParcelCare</w:t>
      </w:r>
      <w:proofErr w:type="spellEnd"/>
      <w:r w:rsidRPr="00626D8A">
        <w:rPr>
          <w:rFonts w:ascii="Arial" w:hAnsi="Arial" w:cs="Arial"/>
        </w:rPr>
        <w:t xml:space="preserve"> could be more selective in recruitment and adopt cost-saving measures, focusing on retaining key employees while reducing turnover (Boxall &amp; Purcell, 2016).</w:t>
      </w:r>
    </w:p>
    <w:p w14:paraId="48E29CAE" w14:textId="77777777" w:rsidR="00626D8A" w:rsidRPr="00626D8A" w:rsidRDefault="00626D8A" w:rsidP="00626D8A">
      <w:pPr>
        <w:rPr>
          <w:rFonts w:ascii="Arial" w:hAnsi="Arial" w:cs="Arial"/>
        </w:rPr>
      </w:pPr>
    </w:p>
    <w:p w14:paraId="2CCC5EA0" w14:textId="250D169B" w:rsidR="00626D8A" w:rsidRPr="00626D8A" w:rsidRDefault="00626D8A" w:rsidP="00400708">
      <w:pPr>
        <w:rPr>
          <w:rFonts w:ascii="Arial" w:hAnsi="Arial" w:cs="Arial"/>
        </w:rPr>
      </w:pPr>
      <w:r w:rsidRPr="00626D8A">
        <w:rPr>
          <w:rFonts w:ascii="Arial" w:hAnsi="Arial" w:cs="Arial"/>
        </w:rPr>
        <w:lastRenderedPageBreak/>
        <w:t xml:space="preserve">Several external factors, including political, economic, and social dynamics, shape trends in labour demand and supply. For instance, an economic downturn could result in a labour surplus, offering </w:t>
      </w:r>
      <w:proofErr w:type="spellStart"/>
      <w:r w:rsidRPr="00626D8A">
        <w:rPr>
          <w:rFonts w:ascii="Arial" w:hAnsi="Arial" w:cs="Arial"/>
        </w:rPr>
        <w:t>ParcelCare</w:t>
      </w:r>
      <w:proofErr w:type="spellEnd"/>
      <w:r w:rsidRPr="00626D8A">
        <w:rPr>
          <w:rFonts w:ascii="Arial" w:hAnsi="Arial" w:cs="Arial"/>
        </w:rPr>
        <w:t xml:space="preserve"> a wider pool of candidates but requiring strategic decisions around workforce costs. Similarly, technological advancements can lead to shifts in skill requirements, forcing </w:t>
      </w:r>
      <w:proofErr w:type="spellStart"/>
      <w:r w:rsidRPr="00626D8A">
        <w:rPr>
          <w:rFonts w:ascii="Arial" w:hAnsi="Arial" w:cs="Arial"/>
        </w:rPr>
        <w:t>ParcelCare</w:t>
      </w:r>
      <w:proofErr w:type="spellEnd"/>
      <w:r w:rsidRPr="00626D8A">
        <w:rPr>
          <w:rFonts w:ascii="Arial" w:hAnsi="Arial" w:cs="Arial"/>
        </w:rPr>
        <w:t xml:space="preserve"> to invest in reskilling and upskilling its workforce. The PESTLE model (Political, Economic, Social, Technological, Legal, Environmental) provides a framework to analyse these factors, as changes in government policies, economic conditions, or technological innovations can directly influence labour supply and the specific skills needed within </w:t>
      </w:r>
      <w:proofErr w:type="spellStart"/>
      <w:r w:rsidRPr="00626D8A">
        <w:rPr>
          <w:rFonts w:ascii="Arial" w:hAnsi="Arial" w:cs="Arial"/>
        </w:rPr>
        <w:t>ParcelCare</w:t>
      </w:r>
      <w:proofErr w:type="spellEnd"/>
      <w:r w:rsidRPr="00626D8A">
        <w:rPr>
          <w:rFonts w:ascii="Arial" w:hAnsi="Arial" w:cs="Arial"/>
        </w:rPr>
        <w:t xml:space="preserve"> (Edwards, 2010).</w:t>
      </w:r>
    </w:p>
    <w:p w14:paraId="59E490AC" w14:textId="63B86236" w:rsidR="00626D8A" w:rsidRPr="00626D8A" w:rsidRDefault="00626D8A" w:rsidP="00626D8A">
      <w:pPr>
        <w:rPr>
          <w:rFonts w:ascii="Arial" w:hAnsi="Arial" w:cs="Arial"/>
        </w:rPr>
      </w:pPr>
      <w:r w:rsidRPr="00626D8A">
        <w:rPr>
          <w:rFonts w:ascii="Arial" w:hAnsi="Arial" w:cs="Arial"/>
        </w:rPr>
        <w:t xml:space="preserve">To adapt to these changing conditions, </w:t>
      </w:r>
      <w:proofErr w:type="spellStart"/>
      <w:r w:rsidRPr="00626D8A">
        <w:rPr>
          <w:rFonts w:ascii="Arial" w:hAnsi="Arial" w:cs="Arial"/>
        </w:rPr>
        <w:t>ParcelCare</w:t>
      </w:r>
      <w:proofErr w:type="spellEnd"/>
      <w:r w:rsidRPr="00626D8A">
        <w:rPr>
          <w:rFonts w:ascii="Arial" w:hAnsi="Arial" w:cs="Arial"/>
        </w:rPr>
        <w:t xml:space="preserve"> would need to modify its resourcing strategies. In a tight labour market, investment in employer branding and workplace culture would be crucial to attract and retain talent. In contrast, during looser labour market conditions, </w:t>
      </w:r>
      <w:proofErr w:type="spellStart"/>
      <w:r w:rsidRPr="00626D8A">
        <w:rPr>
          <w:rFonts w:ascii="Arial" w:hAnsi="Arial" w:cs="Arial"/>
        </w:rPr>
        <w:t>ParcelCare</w:t>
      </w:r>
      <w:proofErr w:type="spellEnd"/>
      <w:r w:rsidRPr="00626D8A">
        <w:rPr>
          <w:rFonts w:ascii="Arial" w:hAnsi="Arial" w:cs="Arial"/>
        </w:rPr>
        <w:t xml:space="preserve"> might focus on retention and internal development strategies to minimi</w:t>
      </w:r>
      <w:r w:rsidR="00225ECD">
        <w:rPr>
          <w:rFonts w:ascii="Arial" w:hAnsi="Arial" w:cs="Arial"/>
        </w:rPr>
        <w:t>s</w:t>
      </w:r>
      <w:r w:rsidRPr="00626D8A">
        <w:rPr>
          <w:rFonts w:ascii="Arial" w:hAnsi="Arial" w:cs="Arial"/>
        </w:rPr>
        <w:t xml:space="preserve">e turnover and ensure critical roles are filled (Armstrong &amp; Taylor, 2014). Effective long-term workforce planning would enable </w:t>
      </w:r>
      <w:proofErr w:type="spellStart"/>
      <w:r w:rsidRPr="00626D8A">
        <w:rPr>
          <w:rFonts w:ascii="Arial" w:hAnsi="Arial" w:cs="Arial"/>
        </w:rPr>
        <w:t>ParcelCare</w:t>
      </w:r>
      <w:proofErr w:type="spellEnd"/>
      <w:r w:rsidRPr="00626D8A">
        <w:rPr>
          <w:rFonts w:ascii="Arial" w:hAnsi="Arial" w:cs="Arial"/>
        </w:rPr>
        <w:t xml:space="preserve"> to anticipate uncertainties, such as global economic shifts or the rise of remote work, ensuring a flexible approach to its resourcing needs.</w:t>
      </w:r>
    </w:p>
    <w:p w14:paraId="0309762C" w14:textId="23AFBFCA" w:rsidR="003254B7" w:rsidRDefault="003A0C84" w:rsidP="00E46AE8">
      <w:pPr>
        <w:rPr>
          <w:rFonts w:ascii="Arial" w:hAnsi="Arial" w:cs="Arial"/>
          <w:b/>
          <w:bCs/>
        </w:rPr>
      </w:pPr>
      <w:r w:rsidRPr="003A0C84">
        <w:rPr>
          <w:rFonts w:ascii="Arial" w:hAnsi="Arial" w:cs="Arial"/>
          <w:b/>
          <w:bCs/>
        </w:rPr>
        <w:t>3</w:t>
      </w:r>
      <w:r w:rsidR="0005161F">
        <w:rPr>
          <w:rFonts w:ascii="Arial" w:hAnsi="Arial" w:cs="Arial"/>
          <w:b/>
          <w:bCs/>
        </w:rPr>
        <w:t xml:space="preserve">)      </w:t>
      </w:r>
      <w:r w:rsidR="001E0789" w:rsidRPr="001E0789">
        <w:rPr>
          <w:rFonts w:ascii="Arial" w:hAnsi="Arial" w:cs="Arial"/>
          <w:b/>
          <w:bCs/>
        </w:rPr>
        <w:t>Discuss the role of government, employers and trade unions in ensuring future skills needs are met.</w:t>
      </w:r>
      <w:r w:rsidR="00B87784" w:rsidRPr="00B87784">
        <w:rPr>
          <w:rFonts w:ascii="Arial" w:hAnsi="Arial" w:cs="Arial"/>
          <w:b/>
          <w:bCs/>
        </w:rPr>
        <w:t xml:space="preserve"> </w:t>
      </w:r>
    </w:p>
    <w:p w14:paraId="1EF7162C" w14:textId="3BE9E71F" w:rsidR="00577DF7" w:rsidRPr="00577DF7" w:rsidRDefault="00577DF7" w:rsidP="003B4E30">
      <w:pPr>
        <w:rPr>
          <w:rFonts w:ascii="Arial" w:hAnsi="Arial" w:cs="Arial"/>
        </w:rPr>
      </w:pPr>
      <w:r w:rsidRPr="00577DF7">
        <w:rPr>
          <w:rFonts w:ascii="Arial" w:hAnsi="Arial" w:cs="Arial"/>
        </w:rPr>
        <w:t xml:space="preserve">Effective workforce planning is crucial for </w:t>
      </w:r>
      <w:proofErr w:type="spellStart"/>
      <w:r w:rsidRPr="00577DF7">
        <w:rPr>
          <w:rFonts w:ascii="Arial" w:hAnsi="Arial" w:cs="Arial"/>
        </w:rPr>
        <w:t>ParcelCare</w:t>
      </w:r>
      <w:proofErr w:type="spellEnd"/>
      <w:r w:rsidRPr="00577DF7">
        <w:rPr>
          <w:rFonts w:ascii="Arial" w:hAnsi="Arial" w:cs="Arial"/>
        </w:rPr>
        <w:t xml:space="preserve"> to remain competitive in a dynamic labour market. Workforce planning involves forecasting future staffing needs, identifying skill gaps, and developing strategies to ensure the right people are in place to meet business objectives. This activity can significantly improve </w:t>
      </w:r>
      <w:proofErr w:type="spellStart"/>
      <w:r w:rsidRPr="00577DF7">
        <w:rPr>
          <w:rFonts w:ascii="Arial" w:hAnsi="Arial" w:cs="Arial"/>
        </w:rPr>
        <w:t>ParcelCare’s</w:t>
      </w:r>
      <w:proofErr w:type="spellEnd"/>
      <w:r w:rsidRPr="00577DF7">
        <w:rPr>
          <w:rFonts w:ascii="Arial" w:hAnsi="Arial" w:cs="Arial"/>
        </w:rPr>
        <w:t xml:space="preserve"> operational efficiency and long-term </w:t>
      </w:r>
      <w:proofErr w:type="spellStart"/>
      <w:r w:rsidRPr="00577DF7">
        <w:rPr>
          <w:rFonts w:ascii="Arial" w:hAnsi="Arial" w:cs="Arial"/>
        </w:rPr>
        <w:t>success.One</w:t>
      </w:r>
      <w:proofErr w:type="spellEnd"/>
      <w:r w:rsidRPr="00577DF7">
        <w:rPr>
          <w:rFonts w:ascii="Arial" w:hAnsi="Arial" w:cs="Arial"/>
        </w:rPr>
        <w:t xml:space="preserve"> key benefit of workforce planning is that it enables proactive talent management, ensuring </w:t>
      </w:r>
      <w:proofErr w:type="spellStart"/>
      <w:r w:rsidRPr="00577DF7">
        <w:rPr>
          <w:rFonts w:ascii="Arial" w:hAnsi="Arial" w:cs="Arial"/>
        </w:rPr>
        <w:t>ParcelCare</w:t>
      </w:r>
      <w:proofErr w:type="spellEnd"/>
      <w:r w:rsidRPr="00577DF7">
        <w:rPr>
          <w:rFonts w:ascii="Arial" w:hAnsi="Arial" w:cs="Arial"/>
        </w:rPr>
        <w:t xml:space="preserve"> has the skills and workforce capacity to meet demand fluctuations. By anticipating staffing needs, </w:t>
      </w:r>
      <w:proofErr w:type="spellStart"/>
      <w:r w:rsidRPr="00577DF7">
        <w:rPr>
          <w:rFonts w:ascii="Arial" w:hAnsi="Arial" w:cs="Arial"/>
        </w:rPr>
        <w:t>ParcelCare</w:t>
      </w:r>
      <w:proofErr w:type="spellEnd"/>
      <w:r w:rsidRPr="00577DF7">
        <w:rPr>
          <w:rFonts w:ascii="Arial" w:hAnsi="Arial" w:cs="Arial"/>
        </w:rPr>
        <w:t xml:space="preserve"> can avoid the costs associated with last-minute recruitment or skills shortages, which can lead to delivery delays and lower customer satisfaction (Armstrong &amp; Taylor, 2014).</w:t>
      </w:r>
    </w:p>
    <w:p w14:paraId="73C8E24E" w14:textId="61D9ADFF" w:rsidR="00577DF7" w:rsidRPr="00577DF7" w:rsidRDefault="00577DF7" w:rsidP="00577DF7">
      <w:pPr>
        <w:rPr>
          <w:rFonts w:ascii="Arial" w:hAnsi="Arial" w:cs="Arial"/>
        </w:rPr>
      </w:pPr>
      <w:r w:rsidRPr="00577DF7">
        <w:rPr>
          <w:rFonts w:ascii="Arial" w:hAnsi="Arial" w:cs="Arial"/>
        </w:rPr>
        <w:t>Additionally, effective workforce planning supports internal talent development by identifying skill gaps early, allowing for targeted training and upskilling. This ensures employees are well-prepared to adapt to technological advancements and evolving business processes. In turn, this fosters employee engagement and retention, as staff feel invested in and are more likely to stay with an organisation that supports their professional growth (CIPD, 2020).</w:t>
      </w:r>
    </w:p>
    <w:p w14:paraId="58D9067A" w14:textId="1B5B2F47" w:rsidR="00577DF7" w:rsidRDefault="00577DF7" w:rsidP="00626246">
      <w:pPr>
        <w:rPr>
          <w:rFonts w:ascii="Arial" w:hAnsi="Arial" w:cs="Arial"/>
        </w:rPr>
      </w:pPr>
      <w:r w:rsidRPr="00577DF7">
        <w:rPr>
          <w:rFonts w:ascii="Arial" w:hAnsi="Arial" w:cs="Arial"/>
        </w:rPr>
        <w:t xml:space="preserve">Finally, workforce planning enhances cost efficiency. By optimising staffing levels and anticipating future needs, </w:t>
      </w:r>
      <w:proofErr w:type="spellStart"/>
      <w:r w:rsidRPr="00577DF7">
        <w:rPr>
          <w:rFonts w:ascii="Arial" w:hAnsi="Arial" w:cs="Arial"/>
        </w:rPr>
        <w:t>ParcelCare</w:t>
      </w:r>
      <w:proofErr w:type="spellEnd"/>
      <w:r w:rsidRPr="00577DF7">
        <w:rPr>
          <w:rFonts w:ascii="Arial" w:hAnsi="Arial" w:cs="Arial"/>
        </w:rPr>
        <w:t xml:space="preserve"> can avoid overstaffing or understaffing, both of which can strain resources. Long-term planning also enables better alignment with business goals, contributing to sustainable growth and resilience in the face of market changes.</w:t>
      </w:r>
      <w:r w:rsidR="00626246">
        <w:rPr>
          <w:rFonts w:ascii="Arial" w:hAnsi="Arial" w:cs="Arial"/>
        </w:rPr>
        <w:t xml:space="preserve"> </w:t>
      </w:r>
      <w:r w:rsidRPr="00577DF7">
        <w:rPr>
          <w:rFonts w:ascii="Arial" w:hAnsi="Arial" w:cs="Arial"/>
        </w:rPr>
        <w:t xml:space="preserve">By adopting effective workforce planning, </w:t>
      </w:r>
      <w:proofErr w:type="spellStart"/>
      <w:r w:rsidRPr="00577DF7">
        <w:rPr>
          <w:rFonts w:ascii="Arial" w:hAnsi="Arial" w:cs="Arial"/>
        </w:rPr>
        <w:t>ParcelCare</w:t>
      </w:r>
      <w:proofErr w:type="spellEnd"/>
      <w:r w:rsidRPr="00577DF7">
        <w:rPr>
          <w:rFonts w:ascii="Arial" w:hAnsi="Arial" w:cs="Arial"/>
        </w:rPr>
        <w:t xml:space="preserve"> can improve resource allocation, drive employee engagement, and position itself for future success.</w:t>
      </w:r>
    </w:p>
    <w:p w14:paraId="506383F4" w14:textId="720C41F3" w:rsidR="00E46AE8" w:rsidRDefault="0072348A" w:rsidP="00E46AE8">
      <w:pPr>
        <w:rPr>
          <w:rFonts w:ascii="Arial" w:hAnsi="Arial" w:cs="Arial"/>
          <w:b/>
          <w:bCs/>
        </w:rPr>
      </w:pPr>
      <w:r>
        <w:rPr>
          <w:rFonts w:ascii="Arial" w:hAnsi="Arial" w:cs="Arial"/>
        </w:rPr>
        <w:t xml:space="preserve">4)     </w:t>
      </w:r>
      <w:r w:rsidRPr="0072348A">
        <w:rPr>
          <w:rFonts w:ascii="Arial" w:hAnsi="Arial" w:cs="Arial"/>
          <w:b/>
          <w:bCs/>
        </w:rPr>
        <w:t xml:space="preserve">To strengthen your argument to introduce workforce planning, evaluate techniques that can be used to support the process of workforce planning. </w:t>
      </w:r>
    </w:p>
    <w:p w14:paraId="13744FF5" w14:textId="77777777" w:rsidR="00AA7E68" w:rsidRPr="00AA7E68" w:rsidRDefault="00AA7E68" w:rsidP="00AA7E68">
      <w:pPr>
        <w:rPr>
          <w:rFonts w:ascii="Arial" w:hAnsi="Arial" w:cs="Arial"/>
        </w:rPr>
      </w:pPr>
      <w:r w:rsidRPr="00AA7E68">
        <w:rPr>
          <w:rFonts w:ascii="Arial" w:hAnsi="Arial" w:cs="Arial"/>
        </w:rPr>
        <w:t xml:space="preserve">Several techniques can support effective workforce planning at </w:t>
      </w:r>
      <w:proofErr w:type="spellStart"/>
      <w:r w:rsidRPr="00AA7E68">
        <w:rPr>
          <w:rFonts w:ascii="Arial" w:hAnsi="Arial" w:cs="Arial"/>
        </w:rPr>
        <w:t>ParcelCare</w:t>
      </w:r>
      <w:proofErr w:type="spellEnd"/>
      <w:r w:rsidRPr="00AA7E68">
        <w:rPr>
          <w:rFonts w:ascii="Arial" w:hAnsi="Arial" w:cs="Arial"/>
        </w:rPr>
        <w:t>, each helping to ensure that the organisation meets its future staffing needs.</w:t>
      </w:r>
    </w:p>
    <w:p w14:paraId="702C2EDC" w14:textId="77777777" w:rsidR="00AA7E68" w:rsidRPr="00AA7E68" w:rsidRDefault="00AA7E68" w:rsidP="00AA7E68">
      <w:pPr>
        <w:rPr>
          <w:rFonts w:ascii="Arial" w:hAnsi="Arial" w:cs="Arial"/>
        </w:rPr>
      </w:pPr>
    </w:p>
    <w:p w14:paraId="6A7E052A" w14:textId="77777777" w:rsidR="00DB297F" w:rsidRDefault="00AA7E68" w:rsidP="00DB297F">
      <w:pPr>
        <w:rPr>
          <w:rFonts w:ascii="Arial" w:hAnsi="Arial" w:cs="Arial"/>
        </w:rPr>
      </w:pPr>
      <w:r w:rsidRPr="00AA7E68">
        <w:rPr>
          <w:rFonts w:ascii="Arial" w:hAnsi="Arial" w:cs="Arial"/>
        </w:rPr>
        <w:t>Labour demand forecasting helps organisations anticipate future workforce needs based on business objectives, growth plans, and market trends (CIPD, 2020). This technique is crucial for predicting when and where additional staff will be required, reducing the risk of talent shortages or surpluses. However, forecasting can be challenging due to external factors like economic shifts or technological changes, making it necessary to update forecasts regularly.</w:t>
      </w:r>
    </w:p>
    <w:p w14:paraId="03B8D694" w14:textId="7562CDCC" w:rsidR="00AA7E68" w:rsidRPr="00AA7E68" w:rsidRDefault="00AA7E68" w:rsidP="00DB297F">
      <w:pPr>
        <w:rPr>
          <w:rFonts w:ascii="Arial" w:hAnsi="Arial" w:cs="Arial"/>
        </w:rPr>
      </w:pPr>
      <w:r w:rsidRPr="00AA7E68">
        <w:rPr>
          <w:rFonts w:ascii="Arial" w:hAnsi="Arial" w:cs="Arial"/>
        </w:rPr>
        <w:t xml:space="preserve">This involves assessing the current workforce’s demographics, skills, and potential retirements, as well as analysing external labour market conditions (Beardwell &amp; Thompson, 2021). By understanding both internal and external labour supplies, </w:t>
      </w:r>
      <w:proofErr w:type="spellStart"/>
      <w:r w:rsidRPr="00AA7E68">
        <w:rPr>
          <w:rFonts w:ascii="Arial" w:hAnsi="Arial" w:cs="Arial"/>
        </w:rPr>
        <w:t>ParcelCare</w:t>
      </w:r>
      <w:proofErr w:type="spellEnd"/>
      <w:r w:rsidRPr="00AA7E68">
        <w:rPr>
          <w:rFonts w:ascii="Arial" w:hAnsi="Arial" w:cs="Arial"/>
        </w:rPr>
        <w:t xml:space="preserve"> can identify future skills gaps and plan accordingly. One limitation is that internal supply analysis relies heavily on accurate data about employees, which may require robust HR systems to maintain.</w:t>
      </w:r>
    </w:p>
    <w:p w14:paraId="61C5D82F" w14:textId="77777777" w:rsidR="00AA7E68" w:rsidRPr="00AA7E68" w:rsidRDefault="00AA7E68" w:rsidP="00AA7E68">
      <w:pPr>
        <w:rPr>
          <w:rFonts w:ascii="Arial" w:hAnsi="Arial" w:cs="Arial"/>
        </w:rPr>
      </w:pPr>
      <w:r w:rsidRPr="00AA7E68">
        <w:rPr>
          <w:rFonts w:ascii="Arial" w:hAnsi="Arial" w:cs="Arial"/>
        </w:rPr>
        <w:t>Gap analysis compares the current workforce against future labour demands, identifying skill shortages or surpluses. This technique is effective in determining areas where recruitment, reskilling, or redeployment are needed. However, its success depends on accurate data and the ability to quickly implement strategies to address gaps.</w:t>
      </w:r>
    </w:p>
    <w:p w14:paraId="7BBB4B9C" w14:textId="34C1109D" w:rsidR="00AA7E68" w:rsidRPr="00AA7E68" w:rsidRDefault="00AA7E68" w:rsidP="00DB297F">
      <w:pPr>
        <w:rPr>
          <w:rFonts w:ascii="Arial" w:hAnsi="Arial" w:cs="Arial"/>
        </w:rPr>
      </w:pPr>
      <w:r w:rsidRPr="00AA7E68">
        <w:rPr>
          <w:rFonts w:ascii="Arial" w:hAnsi="Arial" w:cs="Arial"/>
        </w:rPr>
        <w:t xml:space="preserve">Succession planning ensures a pipeline of qualified individuals for key roles, reducing the risk of leadership shortages. While this supports long-term stability, it requires investment in leadership development programs and ongoing assessment to remain effective (CIPD, 2020).These techniques, when used together, support a holistic approach to workforce planning, ensuring </w:t>
      </w:r>
      <w:proofErr w:type="spellStart"/>
      <w:r w:rsidRPr="00AA7E68">
        <w:rPr>
          <w:rFonts w:ascii="Arial" w:hAnsi="Arial" w:cs="Arial"/>
        </w:rPr>
        <w:t>ParcelCare</w:t>
      </w:r>
      <w:proofErr w:type="spellEnd"/>
      <w:r w:rsidRPr="00AA7E68">
        <w:rPr>
          <w:rFonts w:ascii="Arial" w:hAnsi="Arial" w:cs="Arial"/>
        </w:rPr>
        <w:t xml:space="preserve"> is well-prepared for future challenges.</w:t>
      </w:r>
    </w:p>
    <w:p w14:paraId="275BAD54" w14:textId="0DB317B1" w:rsidR="00270E69" w:rsidRDefault="00350CCD" w:rsidP="000C5D8F">
      <w:pPr>
        <w:rPr>
          <w:rFonts w:ascii="Arial" w:hAnsi="Arial" w:cs="Arial"/>
          <w:b/>
          <w:bCs/>
        </w:rPr>
      </w:pPr>
      <w:r w:rsidRPr="00350CCD">
        <w:rPr>
          <w:rFonts w:ascii="Arial" w:hAnsi="Arial" w:cs="Arial"/>
          <w:b/>
          <w:bCs/>
        </w:rPr>
        <w:t>5</w:t>
      </w:r>
      <w:r>
        <w:rPr>
          <w:rFonts w:ascii="Arial" w:hAnsi="Arial" w:cs="Arial"/>
          <w:b/>
          <w:bCs/>
        </w:rPr>
        <w:t>)</w:t>
      </w:r>
      <w:r w:rsidRPr="00350CCD">
        <w:rPr>
          <w:rFonts w:ascii="Arial" w:hAnsi="Arial" w:cs="Arial"/>
          <w:b/>
          <w:bCs/>
        </w:rPr>
        <w:tab/>
        <w:t xml:space="preserve">Currently, vacancies are advertised on </w:t>
      </w:r>
      <w:proofErr w:type="spellStart"/>
      <w:r w:rsidRPr="00350CCD">
        <w:rPr>
          <w:rFonts w:ascii="Arial" w:hAnsi="Arial" w:cs="Arial"/>
          <w:b/>
          <w:bCs/>
        </w:rPr>
        <w:t>ParcelCare’s</w:t>
      </w:r>
      <w:proofErr w:type="spellEnd"/>
      <w:r w:rsidRPr="00350CCD">
        <w:rPr>
          <w:rFonts w:ascii="Arial" w:hAnsi="Arial" w:cs="Arial"/>
          <w:b/>
          <w:bCs/>
        </w:rPr>
        <w:t xml:space="preserve"> website. Line managers then interview shortlisted applicants. You feel that these are suitable recruitment and selection methods to use but want to broaden the methods used. Evaluate the strengths and weaknesses of two different recruitment methods and two different selection methods. (AC 2.3)</w:t>
      </w:r>
      <w:r w:rsidR="006B2F05">
        <w:rPr>
          <w:rFonts w:ascii="Arial" w:hAnsi="Arial" w:cs="Arial"/>
          <w:b/>
          <w:bCs/>
        </w:rPr>
        <w:t xml:space="preserve"> </w:t>
      </w:r>
    </w:p>
    <w:p w14:paraId="7A8FAB9B" w14:textId="72F7B340" w:rsidR="00E676DF" w:rsidRPr="00E676DF" w:rsidRDefault="00E676DF" w:rsidP="00E676DF">
      <w:pPr>
        <w:rPr>
          <w:rFonts w:ascii="Arial" w:hAnsi="Arial" w:cs="Arial"/>
        </w:rPr>
      </w:pPr>
      <w:r w:rsidRPr="00E676DF">
        <w:rPr>
          <w:rFonts w:ascii="Arial" w:hAnsi="Arial" w:cs="Arial"/>
        </w:rPr>
        <w:t>Several techniques are used to support the process of workforce planning, each offering different advantages for forecasting labour demand and supply.</w:t>
      </w:r>
    </w:p>
    <w:p w14:paraId="0EEDAF4E" w14:textId="4D3C83DF" w:rsidR="00BB35BF" w:rsidRPr="00BB35BF" w:rsidRDefault="00BB35BF" w:rsidP="00BB35BF">
      <w:pPr>
        <w:rPr>
          <w:rFonts w:ascii="Arial" w:hAnsi="Arial" w:cs="Arial"/>
        </w:rPr>
      </w:pPr>
      <w:r w:rsidRPr="00BB35BF">
        <w:rPr>
          <w:rFonts w:ascii="Arial" w:hAnsi="Arial" w:cs="Arial"/>
        </w:rPr>
        <w:t>Recruitment Methods:</w:t>
      </w:r>
    </w:p>
    <w:p w14:paraId="7BD7491A" w14:textId="42EF89AD" w:rsidR="00BB35BF" w:rsidRPr="00BB35BF" w:rsidRDefault="00BB35BF" w:rsidP="00BB35BF">
      <w:pPr>
        <w:rPr>
          <w:rFonts w:ascii="Arial" w:hAnsi="Arial" w:cs="Arial"/>
        </w:rPr>
      </w:pPr>
      <w:r w:rsidRPr="00BB35BF">
        <w:rPr>
          <w:rFonts w:ascii="Arial" w:hAnsi="Arial" w:cs="Arial"/>
        </w:rPr>
        <w:t xml:space="preserve">Job boards, such as Indeed or LinkedIn, are widely used platforms for attracting a large pool of candidates. A key strength is their broad reach, allowing </w:t>
      </w:r>
      <w:proofErr w:type="spellStart"/>
      <w:r w:rsidRPr="00BB35BF">
        <w:rPr>
          <w:rFonts w:ascii="Arial" w:hAnsi="Arial" w:cs="Arial"/>
        </w:rPr>
        <w:t>ParcelCare</w:t>
      </w:r>
      <w:proofErr w:type="spellEnd"/>
      <w:r w:rsidRPr="00BB35BF">
        <w:rPr>
          <w:rFonts w:ascii="Arial" w:hAnsi="Arial" w:cs="Arial"/>
        </w:rPr>
        <w:t xml:space="preserve"> to access a diverse audience, including both active and passive job seekers (Armstrong &amp; Taylor, 2014). Additionally, job boards are cost-effective and allow for targeted advertisements based on specific skills or job roles. However, a potential weakness is the high volume of applications, which can overwhelm HR teams and increase time spent on shortlisting unsuitable candidates. Additionally, job boards may attract a less engaged or less qualified talent pool (Beardwell &amp; Thompson, 2021).</w:t>
      </w:r>
    </w:p>
    <w:p w14:paraId="480C50A6" w14:textId="3A578ECB" w:rsidR="00BB35BF" w:rsidRPr="00BB35BF" w:rsidRDefault="00BB35BF" w:rsidP="00BB35BF">
      <w:pPr>
        <w:rPr>
          <w:rFonts w:ascii="Arial" w:hAnsi="Arial" w:cs="Arial"/>
        </w:rPr>
      </w:pPr>
      <w:r w:rsidRPr="00BB35BF">
        <w:rPr>
          <w:rFonts w:ascii="Arial" w:hAnsi="Arial" w:cs="Arial"/>
        </w:rPr>
        <w:t xml:space="preserve">Employee referrals are an effective recruitment method that leverages existing employees' networks to find new talent. One strength is that referred candidates often have a better understanding of the company culture, leading to improved fit and higher retention rates (CIPD, 2020). Moreover, referrals can speed up the hiring process by reducing the time </w:t>
      </w:r>
      <w:r w:rsidRPr="00BB35BF">
        <w:rPr>
          <w:rFonts w:ascii="Arial" w:hAnsi="Arial" w:cs="Arial"/>
        </w:rPr>
        <w:lastRenderedPageBreak/>
        <w:t>spent on sourcing. However, the downside is that reliance on employee referrals can reduce diversity, as employees tend to recommend candidates similar to themselves in terms of background and experience (Armstrong &amp; Taylor, 2014).</w:t>
      </w:r>
    </w:p>
    <w:p w14:paraId="1B7EC580" w14:textId="77777777" w:rsidR="00BB35BF" w:rsidRPr="00BB35BF" w:rsidRDefault="00BB35BF" w:rsidP="00BB35BF">
      <w:pPr>
        <w:rPr>
          <w:rFonts w:ascii="Arial" w:hAnsi="Arial" w:cs="Arial"/>
        </w:rPr>
      </w:pPr>
      <w:r w:rsidRPr="00BB35BF">
        <w:rPr>
          <w:rFonts w:ascii="Arial" w:hAnsi="Arial" w:cs="Arial"/>
        </w:rPr>
        <w:t>Selection Methods:</w:t>
      </w:r>
    </w:p>
    <w:p w14:paraId="7997A9C0" w14:textId="65BEB6A6" w:rsidR="00BB35BF" w:rsidRPr="00BB35BF" w:rsidRDefault="00BB35BF" w:rsidP="00BB35BF">
      <w:pPr>
        <w:rPr>
          <w:rFonts w:ascii="Arial" w:hAnsi="Arial" w:cs="Arial"/>
        </w:rPr>
      </w:pPr>
      <w:r w:rsidRPr="00BB35BF">
        <w:rPr>
          <w:rFonts w:ascii="Arial" w:hAnsi="Arial" w:cs="Arial"/>
        </w:rPr>
        <w:t>Structured interviews involve a standardi</w:t>
      </w:r>
      <w:r w:rsidR="00943E67">
        <w:rPr>
          <w:rFonts w:ascii="Arial" w:hAnsi="Arial" w:cs="Arial"/>
        </w:rPr>
        <w:t>s</w:t>
      </w:r>
      <w:r w:rsidRPr="00BB35BF">
        <w:rPr>
          <w:rFonts w:ascii="Arial" w:hAnsi="Arial" w:cs="Arial"/>
        </w:rPr>
        <w:t>ed set of questions asked of all candidates, which promotes fairness and allows for easy comparison of applicants. This method is highly reliable and predictive of job performance (CIPD, 2020). However, structured interviews can sometimes feel rigid, making it difficult for candidates to showcase their full personality or adapt answers to different situations (Beardwell &amp; Thompson, 2021).</w:t>
      </w:r>
    </w:p>
    <w:p w14:paraId="4711F9C3" w14:textId="77777777" w:rsidR="00BB35BF" w:rsidRDefault="00BB35BF" w:rsidP="00BB35BF">
      <w:pPr>
        <w:rPr>
          <w:rFonts w:ascii="Arial" w:hAnsi="Arial" w:cs="Arial"/>
        </w:rPr>
      </w:pPr>
      <w:r w:rsidRPr="00BB35BF">
        <w:rPr>
          <w:rFonts w:ascii="Arial" w:hAnsi="Arial" w:cs="Arial"/>
        </w:rPr>
        <w:t>Psychometric tests assess a candidate’s cognitive abilities or personality traits. These tests are objective and can help predict how well a candidate will perform in a role, particularly in roles requiring specific skillsets or high cognitive demands (Armstrong &amp; Taylor, 2014). However, psychometric tests can be costly and time-consuming to administer, and they may not always accurately predict a candidate's real-world performance in certain roles (CIPD, 2020).</w:t>
      </w:r>
    </w:p>
    <w:p w14:paraId="30C01F07" w14:textId="77777777" w:rsidR="00B865E0" w:rsidRDefault="00B865E0" w:rsidP="00E676DF">
      <w:pPr>
        <w:rPr>
          <w:rFonts w:ascii="Arial" w:hAnsi="Arial" w:cs="Arial"/>
          <w:b/>
          <w:bCs/>
        </w:rPr>
      </w:pPr>
      <w:r w:rsidRPr="00B865E0">
        <w:rPr>
          <w:rFonts w:ascii="Arial" w:hAnsi="Arial" w:cs="Arial"/>
          <w:b/>
          <w:bCs/>
        </w:rPr>
        <w:t>6</w:t>
      </w:r>
      <w:r>
        <w:rPr>
          <w:rFonts w:ascii="Arial" w:hAnsi="Arial" w:cs="Arial"/>
          <w:b/>
          <w:bCs/>
        </w:rPr>
        <w:t xml:space="preserve">)   </w:t>
      </w:r>
      <w:r w:rsidRPr="00B865E0">
        <w:rPr>
          <w:rFonts w:ascii="Arial" w:hAnsi="Arial" w:cs="Arial"/>
          <w:b/>
          <w:bC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28AB0CFA" w14:textId="748909AD" w:rsidR="00896F03" w:rsidRPr="002C29B0" w:rsidRDefault="002C29B0" w:rsidP="00896F03">
      <w:pPr>
        <w:rPr>
          <w:rFonts w:ascii="Arial" w:hAnsi="Arial" w:cs="Arial"/>
        </w:rPr>
      </w:pPr>
      <w:r w:rsidRPr="002C29B0">
        <w:rPr>
          <w:rFonts w:ascii="Arial" w:hAnsi="Arial" w:cs="Arial"/>
        </w:rPr>
        <w:t>Employee turnover can be classified into avoidable and unavoidable categories. Avoidable turnover refers to resignations that could have been prevented by the employer. These typically arise from job dissatisfaction, poor management, lack of career development, or insufficient compensation (Boxall &amp; Purcell, 2016). Avoidable turnover can be addressed through effective employee engagement, competitive pay structures, and career progression opportunities.</w:t>
      </w:r>
    </w:p>
    <w:p w14:paraId="737683E9" w14:textId="550B3C5C" w:rsidR="002C29B0" w:rsidRPr="002C29B0" w:rsidRDefault="002C29B0" w:rsidP="00896F03">
      <w:pPr>
        <w:rPr>
          <w:rFonts w:ascii="Arial" w:hAnsi="Arial" w:cs="Arial"/>
        </w:rPr>
      </w:pPr>
      <w:r w:rsidRPr="002C29B0">
        <w:rPr>
          <w:rFonts w:ascii="Arial" w:hAnsi="Arial" w:cs="Arial"/>
        </w:rPr>
        <w:t>In contrast, unavoidable turnover involves resignations due to factors beyond the employer's control, such as retirement, relocation, health issues, or family commitments (Armstrong &amp; Taylor, 2014). While unavoidable turnover is often a natural part of workforce dynamics, it still necessitates strategic workforce planning to manage transitions and ensure business continuity.</w:t>
      </w:r>
    </w:p>
    <w:p w14:paraId="731C555B" w14:textId="7CB84736" w:rsidR="002C29B0" w:rsidRPr="002C29B0" w:rsidRDefault="002C29B0" w:rsidP="00896F03">
      <w:pPr>
        <w:rPr>
          <w:rFonts w:ascii="Arial" w:hAnsi="Arial" w:cs="Arial"/>
        </w:rPr>
      </w:pPr>
      <w:r w:rsidRPr="002C29B0">
        <w:rPr>
          <w:rFonts w:ascii="Arial" w:hAnsi="Arial" w:cs="Arial"/>
        </w:rPr>
        <w:t>Turnover can also be understood through push and pull factors, which explain why employees leave an organisation.</w:t>
      </w:r>
    </w:p>
    <w:p w14:paraId="4DA2D9C2" w14:textId="0A051E6F" w:rsidR="00693601" w:rsidRPr="002C29B0" w:rsidRDefault="002C29B0" w:rsidP="00693601">
      <w:pPr>
        <w:rPr>
          <w:rFonts w:ascii="Arial" w:hAnsi="Arial" w:cs="Arial"/>
        </w:rPr>
      </w:pPr>
      <w:r w:rsidRPr="002C29B0">
        <w:rPr>
          <w:rFonts w:ascii="Arial" w:hAnsi="Arial" w:cs="Arial"/>
        </w:rPr>
        <w:t>Push factors are internal conditions that drive employees away. These can include poor working conditions, lack of career development opportunities, unsupportive management, or workplace culture issues (CIPD, 2020). Push factors typically lead to avoidable turnover, as organisations can address these issues through improved management practices, better communication, and investments in employee development.</w:t>
      </w:r>
    </w:p>
    <w:p w14:paraId="0B1F1B51" w14:textId="4C46C092" w:rsidR="00896F03" w:rsidRDefault="002C29B0" w:rsidP="006032CF">
      <w:pPr>
        <w:rPr>
          <w:rFonts w:ascii="Arial" w:hAnsi="Arial" w:cs="Arial"/>
        </w:rPr>
      </w:pPr>
      <w:r w:rsidRPr="002C29B0">
        <w:rPr>
          <w:rFonts w:ascii="Arial" w:hAnsi="Arial" w:cs="Arial"/>
        </w:rPr>
        <w:t xml:space="preserve">Conversely, pull factors are external opportunities that attract employees away from their current roles. These can include better job offers, higher salaries, improved benefits, or more appealing work environments elsewhere (Beardwell &amp; Thompson, 2021). While pull factors are harder for employers to control, organisations can reduce their impact by creating a </w:t>
      </w:r>
      <w:r w:rsidRPr="002C29B0">
        <w:rPr>
          <w:rFonts w:ascii="Arial" w:hAnsi="Arial" w:cs="Arial"/>
        </w:rPr>
        <w:lastRenderedPageBreak/>
        <w:t>compelling value proposition that makes employees less likely to seek external opportunities.</w:t>
      </w:r>
      <w:r w:rsidR="006032CF">
        <w:rPr>
          <w:rFonts w:ascii="Arial" w:hAnsi="Arial" w:cs="Arial"/>
        </w:rPr>
        <w:t xml:space="preserve"> </w:t>
      </w:r>
      <w:r w:rsidRPr="002C29B0">
        <w:rPr>
          <w:rFonts w:ascii="Arial" w:hAnsi="Arial" w:cs="Arial"/>
        </w:rPr>
        <w:t xml:space="preserve">By understanding the differences between avoidable/unavoidable turnover and push/pull factors, </w:t>
      </w:r>
      <w:proofErr w:type="spellStart"/>
      <w:r w:rsidRPr="002C29B0">
        <w:rPr>
          <w:rFonts w:ascii="Arial" w:hAnsi="Arial" w:cs="Arial"/>
        </w:rPr>
        <w:t>ParcelCare</w:t>
      </w:r>
      <w:proofErr w:type="spellEnd"/>
      <w:r w:rsidRPr="002C29B0">
        <w:rPr>
          <w:rFonts w:ascii="Arial" w:hAnsi="Arial" w:cs="Arial"/>
        </w:rPr>
        <w:t xml:space="preserve"> can develop targeted strategies to reduce turnover and improve employee retention.</w:t>
      </w:r>
    </w:p>
    <w:p w14:paraId="3ECAE23E" w14:textId="77777777" w:rsidR="00E676DF" w:rsidRDefault="00E676DF" w:rsidP="003334E1">
      <w:pPr>
        <w:rPr>
          <w:rFonts w:ascii="Arial" w:hAnsi="Arial" w:cs="Arial"/>
          <w:b/>
          <w:bCs/>
        </w:rPr>
      </w:pPr>
    </w:p>
    <w:p w14:paraId="2070D24F" w14:textId="132AB9D1" w:rsidR="00250097" w:rsidRDefault="004075B2" w:rsidP="003334E1">
      <w:pPr>
        <w:rPr>
          <w:rFonts w:ascii="Arial" w:hAnsi="Arial" w:cs="Arial"/>
          <w:b/>
          <w:bCs/>
        </w:rPr>
      </w:pPr>
      <w:r>
        <w:rPr>
          <w:rFonts w:ascii="Arial" w:hAnsi="Arial" w:cs="Arial"/>
          <w:b/>
          <w:bCs/>
        </w:rPr>
        <w:t xml:space="preserve">7)  </w:t>
      </w:r>
      <w:r w:rsidRPr="004075B2">
        <w:rPr>
          <w:rFonts w:ascii="Arial" w:hAnsi="Arial" w:cs="Arial"/>
          <w:b/>
          <w:bCs/>
        </w:rPr>
        <w:t xml:space="preserve">Retention of warehouse staff is an issue, as there are many labour market competitors. Compare the following retention approaches: realistic job previews; induction; job enrichment; and reward. </w:t>
      </w:r>
      <w:r>
        <w:rPr>
          <w:rFonts w:ascii="Arial" w:hAnsi="Arial" w:cs="Arial"/>
          <w:b/>
          <w:bCs/>
        </w:rPr>
        <w:t xml:space="preserve"> </w:t>
      </w:r>
    </w:p>
    <w:p w14:paraId="5E1780E4" w14:textId="3CE1739B" w:rsidR="00CF0855" w:rsidRPr="00CF0855" w:rsidRDefault="00CF0855" w:rsidP="00CF0855">
      <w:pPr>
        <w:rPr>
          <w:rFonts w:ascii="Arial" w:hAnsi="Arial" w:cs="Arial"/>
        </w:rPr>
      </w:pPr>
      <w:r w:rsidRPr="00CF0855">
        <w:rPr>
          <w:rFonts w:ascii="Arial" w:hAnsi="Arial" w:cs="Arial"/>
        </w:rPr>
        <w:t xml:space="preserve">Retention of warehouse staff can be challenging in competitive labour markets. </w:t>
      </w:r>
      <w:proofErr w:type="spellStart"/>
      <w:r w:rsidRPr="00CF0855">
        <w:rPr>
          <w:rFonts w:ascii="Arial" w:hAnsi="Arial" w:cs="Arial"/>
        </w:rPr>
        <w:t>ParcelCare</w:t>
      </w:r>
      <w:proofErr w:type="spellEnd"/>
      <w:r w:rsidRPr="00CF0855">
        <w:rPr>
          <w:rFonts w:ascii="Arial" w:hAnsi="Arial" w:cs="Arial"/>
        </w:rPr>
        <w:t xml:space="preserve"> can benefit from implementing various retention approaches, including realistic job previews, induction, job enrichment, and rewards.</w:t>
      </w:r>
    </w:p>
    <w:p w14:paraId="32C02386" w14:textId="11F52F33" w:rsidR="00CF0855" w:rsidRPr="00CF0855" w:rsidRDefault="00CF0855" w:rsidP="00CF0855">
      <w:pPr>
        <w:rPr>
          <w:rFonts w:ascii="Arial" w:hAnsi="Arial" w:cs="Arial"/>
        </w:rPr>
      </w:pPr>
      <w:r w:rsidRPr="00CF0855">
        <w:rPr>
          <w:rFonts w:ascii="Arial" w:hAnsi="Arial" w:cs="Arial"/>
        </w:rPr>
        <w:t xml:space="preserve">Realistic Job Previews (RJPs) involve providing potential employees with an accurate and honest depiction of their future role, including both the positive and negative aspects of the job. Research shows that RJPs reduce turnover by managing expectations and helping candidates determine if the role is suitable for them before accepting the position (CIPD, 2022). For </w:t>
      </w:r>
      <w:proofErr w:type="spellStart"/>
      <w:r w:rsidRPr="00CF0855">
        <w:rPr>
          <w:rFonts w:ascii="Arial" w:hAnsi="Arial" w:cs="Arial"/>
        </w:rPr>
        <w:t>ParcelCare</w:t>
      </w:r>
      <w:proofErr w:type="spellEnd"/>
      <w:r w:rsidRPr="00CF0855">
        <w:rPr>
          <w:rFonts w:ascii="Arial" w:hAnsi="Arial" w:cs="Arial"/>
        </w:rPr>
        <w:t>, using RJPs can lower early-stage attrition by ensuring that new hires have a clear understanding of the physical demands and operational realities of warehouse work.</w:t>
      </w:r>
    </w:p>
    <w:p w14:paraId="265D70AD" w14:textId="3406C209" w:rsidR="00CF0855" w:rsidRPr="00CF0855" w:rsidRDefault="00CF0855" w:rsidP="00CF0855">
      <w:pPr>
        <w:rPr>
          <w:rFonts w:ascii="Arial" w:hAnsi="Arial" w:cs="Arial"/>
        </w:rPr>
      </w:pPr>
      <w:r w:rsidRPr="00CF0855">
        <w:rPr>
          <w:rFonts w:ascii="Arial" w:hAnsi="Arial" w:cs="Arial"/>
        </w:rPr>
        <w:t xml:space="preserve">Induction programs help new employees integrate into the organisation, fostering a sense of belonging and improving engagement. A well-structured induction process, including on-the-job training and socialisation, can significantly boost retention by making employees feel supported from the outset (Armstrong &amp; Taylor, 2023). </w:t>
      </w:r>
      <w:proofErr w:type="spellStart"/>
      <w:r w:rsidRPr="00CF0855">
        <w:rPr>
          <w:rFonts w:ascii="Arial" w:hAnsi="Arial" w:cs="Arial"/>
        </w:rPr>
        <w:t>ParcelCare</w:t>
      </w:r>
      <w:proofErr w:type="spellEnd"/>
      <w:r w:rsidRPr="00CF0855">
        <w:rPr>
          <w:rFonts w:ascii="Arial" w:hAnsi="Arial" w:cs="Arial"/>
        </w:rPr>
        <w:t xml:space="preserve"> should ensure that its induction programs provide clarity about job roles, performance expectations, and safety protocols, which are crucial for warehouse staff.</w:t>
      </w:r>
    </w:p>
    <w:p w14:paraId="60B19D85" w14:textId="4E1DB6DC" w:rsidR="00CF0855" w:rsidRPr="00CF0855" w:rsidRDefault="00CF0855" w:rsidP="00CF0855">
      <w:pPr>
        <w:rPr>
          <w:rFonts w:ascii="Arial" w:hAnsi="Arial" w:cs="Arial"/>
        </w:rPr>
      </w:pPr>
      <w:r w:rsidRPr="00CF0855">
        <w:rPr>
          <w:rFonts w:ascii="Arial" w:hAnsi="Arial" w:cs="Arial"/>
        </w:rPr>
        <w:t xml:space="preserve">Job Enrichment refers to enhancing job roles to make them more fulfilling by increasing autonomy, variety, and opportunities for growth. Studies suggest that enriched jobs improve employee satisfaction and reduce turnover, as employees find their roles more engaging and meaningful (Beardwell &amp; Thompson, 2023). </w:t>
      </w:r>
      <w:proofErr w:type="spellStart"/>
      <w:r w:rsidRPr="00CF0855">
        <w:rPr>
          <w:rFonts w:ascii="Arial" w:hAnsi="Arial" w:cs="Arial"/>
        </w:rPr>
        <w:t>ParcelCare</w:t>
      </w:r>
      <w:proofErr w:type="spellEnd"/>
      <w:r w:rsidRPr="00CF0855">
        <w:rPr>
          <w:rFonts w:ascii="Arial" w:hAnsi="Arial" w:cs="Arial"/>
        </w:rPr>
        <w:t xml:space="preserve"> could redesign warehouse roles to include more responsibility, such as team leadership or process improvement opportunities, which m</w:t>
      </w:r>
      <w:r>
        <w:rPr>
          <w:rFonts w:ascii="Arial" w:hAnsi="Arial" w:cs="Arial"/>
        </w:rPr>
        <w:t>a</w:t>
      </w:r>
      <w:r w:rsidRPr="00CF0855">
        <w:rPr>
          <w:rFonts w:ascii="Arial" w:hAnsi="Arial" w:cs="Arial"/>
        </w:rPr>
        <w:t>y enhance job satisfaction and retention.</w:t>
      </w:r>
    </w:p>
    <w:p w14:paraId="2214E64A" w14:textId="18F4D5E1" w:rsidR="004075B2" w:rsidRPr="004075B2" w:rsidRDefault="00CF0855" w:rsidP="00CF0855">
      <w:pPr>
        <w:rPr>
          <w:rFonts w:ascii="Arial" w:hAnsi="Arial" w:cs="Arial"/>
        </w:rPr>
      </w:pPr>
      <w:r w:rsidRPr="00CF0855">
        <w:rPr>
          <w:rFonts w:ascii="Arial" w:hAnsi="Arial" w:cs="Arial"/>
        </w:rPr>
        <w:t xml:space="preserve">Rewards are a key motivator in retaining staff. A comprehensive reward strategy, including competitive pay, bonuses, and non-monetary benefits like recognition, can help retain employees in competitive labour markets (CIPD, 2022). </w:t>
      </w:r>
      <w:proofErr w:type="spellStart"/>
      <w:r w:rsidRPr="00CF0855">
        <w:rPr>
          <w:rFonts w:ascii="Arial" w:hAnsi="Arial" w:cs="Arial"/>
        </w:rPr>
        <w:t>ParcelCare</w:t>
      </w:r>
      <w:proofErr w:type="spellEnd"/>
      <w:r w:rsidRPr="00CF0855">
        <w:rPr>
          <w:rFonts w:ascii="Arial" w:hAnsi="Arial" w:cs="Arial"/>
        </w:rPr>
        <w:t xml:space="preserve"> could develop a performance-based reward system to recognise high-performing warehouse staff, thus improving retention.</w:t>
      </w:r>
    </w:p>
    <w:p w14:paraId="6FB486AE" w14:textId="36E245EB" w:rsidR="00E676DF" w:rsidRDefault="004A374F" w:rsidP="003334E1">
      <w:pPr>
        <w:rPr>
          <w:rFonts w:ascii="Arial" w:hAnsi="Arial" w:cs="Arial"/>
          <w:b/>
          <w:bCs/>
        </w:rPr>
      </w:pPr>
      <w:r>
        <w:rPr>
          <w:rFonts w:ascii="Arial" w:hAnsi="Arial" w:cs="Arial"/>
          <w:b/>
          <w:bCs/>
        </w:rPr>
        <w:t xml:space="preserve">8) </w:t>
      </w:r>
      <w:r w:rsidRPr="004A374F">
        <w:rPr>
          <w:rFonts w:ascii="Arial" w:hAnsi="Arial" w:cs="Arial"/>
          <w:b/>
          <w:bCs/>
        </w:rPr>
        <w:t>To influence the senior leadership team to accept that employee turnover should be addressed, explain the impact of dysfunctional employee turnover</w:t>
      </w:r>
    </w:p>
    <w:p w14:paraId="12AE3561" w14:textId="77777777" w:rsidR="008B3F4C" w:rsidRPr="008B3F4C" w:rsidRDefault="008B3F4C" w:rsidP="008B3F4C">
      <w:pPr>
        <w:rPr>
          <w:rFonts w:ascii="Arial" w:hAnsi="Arial" w:cs="Arial"/>
        </w:rPr>
      </w:pPr>
      <w:r w:rsidRPr="008B3F4C">
        <w:rPr>
          <w:rFonts w:ascii="Arial" w:hAnsi="Arial" w:cs="Arial"/>
        </w:rPr>
        <w:t xml:space="preserve">Dysfunctional employee turnover occurs when high-performing or essential employees leave the organisation, negatively affecting its operations. For </w:t>
      </w:r>
      <w:proofErr w:type="spellStart"/>
      <w:r w:rsidRPr="008B3F4C">
        <w:rPr>
          <w:rFonts w:ascii="Arial" w:hAnsi="Arial" w:cs="Arial"/>
        </w:rPr>
        <w:t>ParcelCare</w:t>
      </w:r>
      <w:proofErr w:type="spellEnd"/>
      <w:r w:rsidRPr="008B3F4C">
        <w:rPr>
          <w:rFonts w:ascii="Arial" w:hAnsi="Arial" w:cs="Arial"/>
        </w:rPr>
        <w:t>, addressing this type of turnover is critical, as its effects can harm both short-term performance and long-term success.</w:t>
      </w:r>
    </w:p>
    <w:p w14:paraId="4042885B" w14:textId="77777777" w:rsidR="008B3F4C" w:rsidRPr="008B3F4C" w:rsidRDefault="008B3F4C" w:rsidP="008B3F4C">
      <w:pPr>
        <w:rPr>
          <w:rFonts w:ascii="Arial" w:hAnsi="Arial" w:cs="Arial"/>
        </w:rPr>
      </w:pPr>
    </w:p>
    <w:p w14:paraId="6A711908" w14:textId="4921CAA2" w:rsidR="008B3F4C" w:rsidRPr="008B3F4C" w:rsidRDefault="008B3F4C" w:rsidP="008B3F4C">
      <w:pPr>
        <w:rPr>
          <w:rFonts w:ascii="Arial" w:hAnsi="Arial" w:cs="Arial"/>
        </w:rPr>
      </w:pPr>
      <w:r w:rsidRPr="008B3F4C">
        <w:rPr>
          <w:rFonts w:ascii="Arial" w:hAnsi="Arial" w:cs="Arial"/>
        </w:rPr>
        <w:t>One of the primary impacts of dysfunctional turnover is the loss of organisational knowledge and skills. High-performing employees often possess key expertise, and their departure can leave critical gaps in knowledge that are difficult and costly to fill. This can result in reduced productivity and operational inefficiencies, particularly in fast-paced environments like warehouses, where smooth processes are essential for meeting customer demands (Armstrong &amp; Taylor, 2023).</w:t>
      </w:r>
    </w:p>
    <w:p w14:paraId="3EC9087F" w14:textId="3BCAF520" w:rsidR="008B3F4C" w:rsidRPr="008B3F4C" w:rsidRDefault="008B3F4C" w:rsidP="008B3F4C">
      <w:pPr>
        <w:rPr>
          <w:rFonts w:ascii="Arial" w:hAnsi="Arial" w:cs="Arial"/>
        </w:rPr>
      </w:pPr>
      <w:r w:rsidRPr="008B3F4C">
        <w:rPr>
          <w:rFonts w:ascii="Arial" w:hAnsi="Arial" w:cs="Arial"/>
        </w:rPr>
        <w:t xml:space="preserve">Another major consequence is increased recruitment and training costs. The process of recruiting and training new staff to replace those who leave is both time-consuming and expensive. Furthermore, new hires often require time to reach the same productivity levels as their predecessors, further straining the organisation’s resources (Beardwell &amp; Thompson, 2023). Frequent turnover could drive up operational costs for </w:t>
      </w:r>
      <w:proofErr w:type="spellStart"/>
      <w:r w:rsidRPr="008B3F4C">
        <w:rPr>
          <w:rFonts w:ascii="Arial" w:hAnsi="Arial" w:cs="Arial"/>
        </w:rPr>
        <w:t>ParcelCare</w:t>
      </w:r>
      <w:proofErr w:type="spellEnd"/>
      <w:r w:rsidRPr="008B3F4C">
        <w:rPr>
          <w:rFonts w:ascii="Arial" w:hAnsi="Arial" w:cs="Arial"/>
        </w:rPr>
        <w:t>, ultimately reducing profitability.</w:t>
      </w:r>
    </w:p>
    <w:p w14:paraId="620B950C" w14:textId="60EB5DBC" w:rsidR="008B3F4C" w:rsidRPr="008B3F4C" w:rsidRDefault="008B3F4C" w:rsidP="008B3F4C">
      <w:pPr>
        <w:rPr>
          <w:rFonts w:ascii="Arial" w:hAnsi="Arial" w:cs="Arial"/>
        </w:rPr>
      </w:pPr>
      <w:r w:rsidRPr="008B3F4C">
        <w:rPr>
          <w:rFonts w:ascii="Arial" w:hAnsi="Arial" w:cs="Arial"/>
        </w:rPr>
        <w:t xml:space="preserve">Dysfunctional turnover can also lead to declining employee morale and engagement among remaining staff. The departure of high-performing employees may signal instability and dissatisfaction within the organisation, demotivating existing employees and increasing the likelihood of further turnover (CIPD, 2022). In a competitive labour market, where retaining skilled warehouse workers is already challenging, this could be particularly damaging for </w:t>
      </w:r>
      <w:proofErr w:type="spellStart"/>
      <w:r w:rsidRPr="008B3F4C">
        <w:rPr>
          <w:rFonts w:ascii="Arial" w:hAnsi="Arial" w:cs="Arial"/>
        </w:rPr>
        <w:t>ParcelCare</w:t>
      </w:r>
      <w:proofErr w:type="spellEnd"/>
      <w:r w:rsidRPr="008B3F4C">
        <w:rPr>
          <w:rFonts w:ascii="Arial" w:hAnsi="Arial" w:cs="Arial"/>
        </w:rPr>
        <w:t>.</w:t>
      </w:r>
    </w:p>
    <w:p w14:paraId="119389B3" w14:textId="21376DA5" w:rsidR="008B3F4C" w:rsidRPr="008B3F4C" w:rsidRDefault="008B3F4C" w:rsidP="00026321">
      <w:pPr>
        <w:rPr>
          <w:rFonts w:ascii="Arial" w:hAnsi="Arial" w:cs="Arial"/>
        </w:rPr>
      </w:pPr>
      <w:r w:rsidRPr="008B3F4C">
        <w:rPr>
          <w:rFonts w:ascii="Arial" w:hAnsi="Arial" w:cs="Arial"/>
        </w:rPr>
        <w:t xml:space="preserve">Recognising the significant impact of dysfunctional turnover can help </w:t>
      </w:r>
      <w:proofErr w:type="spellStart"/>
      <w:r w:rsidRPr="008B3F4C">
        <w:rPr>
          <w:rFonts w:ascii="Arial" w:hAnsi="Arial" w:cs="Arial"/>
        </w:rPr>
        <w:t>ParcelCare’s</w:t>
      </w:r>
      <w:proofErr w:type="spellEnd"/>
      <w:r w:rsidRPr="008B3F4C">
        <w:rPr>
          <w:rFonts w:ascii="Arial" w:hAnsi="Arial" w:cs="Arial"/>
        </w:rPr>
        <w:t xml:space="preserve"> senior leadership team understand the importance of implementing retention strategies that prioritise employee satisfaction, development, and engagement, ultimately improving overall business performance.</w:t>
      </w:r>
    </w:p>
    <w:p w14:paraId="3E3CDCB2" w14:textId="1E7AF5B1" w:rsidR="004A374F" w:rsidRDefault="002711AE" w:rsidP="003334E1">
      <w:pPr>
        <w:rPr>
          <w:rFonts w:ascii="Arial" w:hAnsi="Arial" w:cs="Arial"/>
          <w:b/>
          <w:bCs/>
        </w:rPr>
      </w:pPr>
      <w:r w:rsidRPr="002711AE">
        <w:rPr>
          <w:rFonts w:ascii="Arial" w:hAnsi="Arial" w:cs="Arial"/>
          <w:b/>
          <w:bCs/>
        </w:rPr>
        <w:t>9.</w:t>
      </w:r>
      <w:r>
        <w:rPr>
          <w:rFonts w:ascii="Arial" w:hAnsi="Arial" w:cs="Arial"/>
          <w:b/>
          <w:bCs/>
        </w:rPr>
        <w:t xml:space="preserve">   </w:t>
      </w:r>
      <w:proofErr w:type="spellStart"/>
      <w:r w:rsidRPr="002711AE">
        <w:rPr>
          <w:rFonts w:ascii="Arial" w:hAnsi="Arial" w:cs="Arial"/>
          <w:b/>
          <w:bCs/>
        </w:rPr>
        <w:t>ParcelCare</w:t>
      </w:r>
      <w:proofErr w:type="spellEnd"/>
      <w:r w:rsidRPr="002711AE">
        <w:rPr>
          <w:rFonts w:ascii="Arial" w:hAnsi="Arial" w:cs="Arial"/>
          <w:b/>
          <w:bCs/>
        </w:rPr>
        <w:t xml:space="preserv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w:t>
      </w:r>
    </w:p>
    <w:p w14:paraId="2527BE93" w14:textId="14449519" w:rsidR="0007647E" w:rsidRPr="0007647E" w:rsidRDefault="0007647E" w:rsidP="0007647E">
      <w:pPr>
        <w:rPr>
          <w:rFonts w:ascii="Arial" w:hAnsi="Arial" w:cs="Arial"/>
        </w:rPr>
      </w:pPr>
      <w:r w:rsidRPr="0007647E">
        <w:rPr>
          <w:rFonts w:ascii="Arial" w:hAnsi="Arial" w:cs="Arial"/>
        </w:rPr>
        <w:t xml:space="preserve">Permanent, full-time contracts are commonly used in many organisations, including </w:t>
      </w:r>
      <w:proofErr w:type="spellStart"/>
      <w:r w:rsidRPr="0007647E">
        <w:rPr>
          <w:rFonts w:ascii="Arial" w:hAnsi="Arial" w:cs="Arial"/>
        </w:rPr>
        <w:t>ParcelCare</w:t>
      </w:r>
      <w:proofErr w:type="spellEnd"/>
      <w:r w:rsidRPr="0007647E">
        <w:rPr>
          <w:rFonts w:ascii="Arial" w:hAnsi="Arial" w:cs="Arial"/>
        </w:rPr>
        <w:t xml:space="preserve">. These contracts offer job security, consistent pay, and benefits such as paid leave and pensions. For </w:t>
      </w:r>
      <w:proofErr w:type="spellStart"/>
      <w:r w:rsidRPr="0007647E">
        <w:rPr>
          <w:rFonts w:ascii="Arial" w:hAnsi="Arial" w:cs="Arial"/>
        </w:rPr>
        <w:t>ParcelCare’s</w:t>
      </w:r>
      <w:proofErr w:type="spellEnd"/>
      <w:r w:rsidRPr="0007647E">
        <w:rPr>
          <w:rFonts w:ascii="Arial" w:hAnsi="Arial" w:cs="Arial"/>
        </w:rPr>
        <w:t xml:space="preserve"> delivery drivers, permanent contracts can foster employee loyalty, reduce turnover, and ensure a stable workforce. Moreover, employees on permanent contracts tend to develop a deeper understanding of organisational processes, improving efficiency and customer satisfaction (Armstrong &amp; Taylor, 2023). However, the downside is inflexibility, particularly when delivery demand fluctuates. During periods of low demand, </w:t>
      </w:r>
      <w:proofErr w:type="spellStart"/>
      <w:r w:rsidRPr="0007647E">
        <w:rPr>
          <w:rFonts w:ascii="Arial" w:hAnsi="Arial" w:cs="Arial"/>
        </w:rPr>
        <w:t>ParcelCare</w:t>
      </w:r>
      <w:proofErr w:type="spellEnd"/>
      <w:r w:rsidRPr="0007647E">
        <w:rPr>
          <w:rFonts w:ascii="Arial" w:hAnsi="Arial" w:cs="Arial"/>
        </w:rPr>
        <w:t xml:space="preserve"> may face higher operational costs, paying for underutilised staff.</w:t>
      </w:r>
    </w:p>
    <w:p w14:paraId="65CDEA4C" w14:textId="6C5A45A5" w:rsidR="0007647E" w:rsidRPr="0007647E" w:rsidRDefault="0007647E" w:rsidP="0007647E">
      <w:pPr>
        <w:rPr>
          <w:rFonts w:ascii="Arial" w:hAnsi="Arial" w:cs="Arial"/>
        </w:rPr>
      </w:pPr>
      <w:r w:rsidRPr="0007647E">
        <w:rPr>
          <w:rFonts w:ascii="Arial" w:hAnsi="Arial" w:cs="Arial"/>
        </w:rPr>
        <w:t xml:space="preserve">An alternative option is zero-hours contracts, which offer flexibility to both the employer and employees. Zero-hours contracts allow </w:t>
      </w:r>
      <w:proofErr w:type="spellStart"/>
      <w:r w:rsidRPr="0007647E">
        <w:rPr>
          <w:rFonts w:ascii="Arial" w:hAnsi="Arial" w:cs="Arial"/>
        </w:rPr>
        <w:t>ParcelCare</w:t>
      </w:r>
      <w:proofErr w:type="spellEnd"/>
      <w:r w:rsidRPr="0007647E">
        <w:rPr>
          <w:rFonts w:ascii="Arial" w:hAnsi="Arial" w:cs="Arial"/>
        </w:rPr>
        <w:t xml:space="preserve"> to adjust staffing levels based on demand, reducing labour costs during quieter periods. Employees, meanwhile, benefit from the ability to choose when they work, which could appeal to individuals seeking flexibility, such as students or retirees. However, zero-hours contracts can lead to lower employee engagement and loyalty due to a lack of job security and consistent income (Beardwell &amp; </w:t>
      </w:r>
      <w:r w:rsidRPr="0007647E">
        <w:rPr>
          <w:rFonts w:ascii="Arial" w:hAnsi="Arial" w:cs="Arial"/>
        </w:rPr>
        <w:lastRenderedPageBreak/>
        <w:t>Thompson, 2023). While suitable for fluctuating demand, over-reliance on these contracts could affect the quality of service, as employees may not be as committed to the company.</w:t>
      </w:r>
    </w:p>
    <w:p w14:paraId="189C6291" w14:textId="22527D60" w:rsidR="0007647E" w:rsidRDefault="0007647E" w:rsidP="0007647E">
      <w:pPr>
        <w:rPr>
          <w:rFonts w:ascii="Arial" w:hAnsi="Arial" w:cs="Arial"/>
        </w:rPr>
      </w:pPr>
      <w:r w:rsidRPr="0007647E">
        <w:rPr>
          <w:rFonts w:ascii="Arial" w:hAnsi="Arial" w:cs="Arial"/>
        </w:rPr>
        <w:t xml:space="preserve">Another option is fixed-term contracts, which are useful for meeting temporary increases in demand, such as during holiday seasons or promotional events. Fixed-term contracts provide </w:t>
      </w:r>
      <w:proofErr w:type="spellStart"/>
      <w:r w:rsidRPr="0007647E">
        <w:rPr>
          <w:rFonts w:ascii="Arial" w:hAnsi="Arial" w:cs="Arial"/>
        </w:rPr>
        <w:t>ParcelCare</w:t>
      </w:r>
      <w:proofErr w:type="spellEnd"/>
      <w:r w:rsidRPr="0007647E">
        <w:rPr>
          <w:rFonts w:ascii="Arial" w:hAnsi="Arial" w:cs="Arial"/>
        </w:rPr>
        <w:t xml:space="preserve"> with flexibility, as the company can employ drivers for a specific period without long-term commitment. This helps in managing short-term increases in workload without incurring the costs of permanent staff. However, fixed-term employees may not feel as integrated into the organisational culture as permanent staff, which can affect performance and engagement (CIPD, 2022).</w:t>
      </w:r>
    </w:p>
    <w:p w14:paraId="378EA063" w14:textId="20CDEB89" w:rsidR="00005675" w:rsidRPr="0007647E" w:rsidRDefault="00005675" w:rsidP="0007647E">
      <w:pPr>
        <w:rPr>
          <w:rFonts w:ascii="Arial" w:hAnsi="Arial" w:cs="Arial"/>
        </w:rPr>
      </w:pPr>
      <w:r w:rsidRPr="00005675">
        <w:rPr>
          <w:rFonts w:ascii="Arial" w:hAnsi="Arial" w:cs="Arial"/>
        </w:rPr>
        <w:t>For highly specialised tasks or projects, engaging contractors or gig economy workers can be advantageous. These arrangements provide expertise and flexibility but come with less control over working practices and no long-term commitment from the worker. This is effective for projects requiring specific skills on a short-term basis (CIPD, 2022).</w:t>
      </w:r>
    </w:p>
    <w:p w14:paraId="4C514A32" w14:textId="4000265D" w:rsidR="002711AE" w:rsidRPr="002711AE" w:rsidRDefault="004B22DC" w:rsidP="0007647E">
      <w:pPr>
        <w:rPr>
          <w:rFonts w:ascii="Arial" w:hAnsi="Arial" w:cs="Arial"/>
        </w:rPr>
      </w:pPr>
      <w:r>
        <w:rPr>
          <w:rFonts w:ascii="Arial" w:hAnsi="Arial" w:cs="Arial"/>
        </w:rPr>
        <w:t xml:space="preserve">What can be seen is </w:t>
      </w:r>
      <w:r w:rsidR="0007647E" w:rsidRPr="0007647E">
        <w:rPr>
          <w:rFonts w:ascii="Arial" w:hAnsi="Arial" w:cs="Arial"/>
        </w:rPr>
        <w:t xml:space="preserve">while permanent, full-time contracts provide stability and foster loyalty, </w:t>
      </w:r>
      <w:proofErr w:type="spellStart"/>
      <w:r w:rsidR="0007647E" w:rsidRPr="0007647E">
        <w:rPr>
          <w:rFonts w:ascii="Arial" w:hAnsi="Arial" w:cs="Arial"/>
        </w:rPr>
        <w:t>ParcelCare</w:t>
      </w:r>
      <w:proofErr w:type="spellEnd"/>
      <w:r w:rsidR="0007647E" w:rsidRPr="0007647E">
        <w:rPr>
          <w:rFonts w:ascii="Arial" w:hAnsi="Arial" w:cs="Arial"/>
        </w:rPr>
        <w:t xml:space="preserve"> should also consider zero-hours and fixed-term contracts to manage fluctuating demand. A combination of these contract types could offer the right balance between flexibility and workforce stability, improving overall operational efficiency.</w:t>
      </w:r>
    </w:p>
    <w:p w14:paraId="43C310FF" w14:textId="77777777" w:rsidR="004A374F" w:rsidRPr="004A374F" w:rsidRDefault="004A374F" w:rsidP="003334E1">
      <w:pPr>
        <w:rPr>
          <w:rFonts w:ascii="Arial" w:hAnsi="Arial" w:cs="Arial"/>
        </w:rPr>
      </w:pPr>
    </w:p>
    <w:p w14:paraId="194A5E60" w14:textId="77777777" w:rsidR="006A214B" w:rsidRDefault="006A214B" w:rsidP="00647074">
      <w:pPr>
        <w:rPr>
          <w:rFonts w:ascii="Arial" w:hAnsi="Arial" w:cs="Arial"/>
          <w:b/>
          <w:bCs/>
        </w:rPr>
      </w:pPr>
      <w:r w:rsidRPr="006A214B">
        <w:rPr>
          <w:rFonts w:ascii="Arial" w:hAnsi="Arial" w:cs="Arial"/>
          <w:b/>
          <w:bCs/>
        </w:rPr>
        <w:t>10.</w:t>
      </w:r>
      <w:r w:rsidRPr="006A214B">
        <w:rPr>
          <w:rFonts w:ascii="Arial" w:hAnsi="Arial" w:cs="Arial"/>
          <w:b/>
          <w:bCs/>
        </w:rPr>
        <w:tab/>
        <w:t xml:space="preserve">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w:t>
      </w:r>
    </w:p>
    <w:p w14:paraId="4B2253D2" w14:textId="6F1CFC3E" w:rsidR="00647074" w:rsidRPr="00647074" w:rsidRDefault="00647074" w:rsidP="00333665">
      <w:pPr>
        <w:rPr>
          <w:rFonts w:ascii="Arial" w:hAnsi="Arial" w:cs="Arial"/>
        </w:rPr>
      </w:pPr>
      <w:r w:rsidRPr="00647074">
        <w:rPr>
          <w:rFonts w:ascii="Arial" w:hAnsi="Arial" w:cs="Arial"/>
        </w:rPr>
        <w:t>Effective onboarding is crucial for integrating new employees into an organisation and ensuring their successful adaptation. Providing new hires with relevant information before their start date is vital. This preparation can reduce first-day anxieties and help new employees acclimate more quickly. Information may include details on company policies, dress code, and the agenda for their first day (Klein &amp; Weaver, 2023).</w:t>
      </w:r>
    </w:p>
    <w:p w14:paraId="4EF0EB69" w14:textId="357D484D" w:rsidR="00647074" w:rsidRPr="00647074" w:rsidRDefault="003A6893" w:rsidP="00647074">
      <w:pPr>
        <w:rPr>
          <w:rFonts w:ascii="Arial" w:hAnsi="Arial" w:cs="Arial"/>
        </w:rPr>
      </w:pPr>
      <w:r>
        <w:rPr>
          <w:rFonts w:ascii="Arial" w:hAnsi="Arial" w:cs="Arial"/>
        </w:rPr>
        <w:t>N</w:t>
      </w:r>
      <w:r w:rsidR="00647074" w:rsidRPr="00647074">
        <w:rPr>
          <w:rFonts w:ascii="Arial" w:hAnsi="Arial" w:cs="Arial"/>
        </w:rPr>
        <w:t>ew employees should receive comprehensive information about the organisation’s structure, culture, and their specific department. This understanding fosters alignment with the organisation’s mission, values, and key players (Brewster et al., 2023).</w:t>
      </w:r>
    </w:p>
    <w:p w14:paraId="639BD3B6" w14:textId="224B84C5" w:rsidR="00647074" w:rsidRPr="00647074" w:rsidRDefault="00647074" w:rsidP="00647074">
      <w:pPr>
        <w:rPr>
          <w:rFonts w:ascii="Arial" w:hAnsi="Arial" w:cs="Arial"/>
        </w:rPr>
      </w:pPr>
      <w:r w:rsidRPr="00647074">
        <w:rPr>
          <w:rFonts w:ascii="Arial" w:hAnsi="Arial" w:cs="Arial"/>
        </w:rPr>
        <w:t>Clearly defining job responsibilities and performance expectations allows new employees to understand their contributions to the organisation’s objectives. This clarity is essential for effective job performance.</w:t>
      </w:r>
    </w:p>
    <w:p w14:paraId="1F4CBF54" w14:textId="4D4C039A" w:rsidR="00647074" w:rsidRPr="00647074" w:rsidRDefault="00647074" w:rsidP="00647074">
      <w:pPr>
        <w:rPr>
          <w:rFonts w:ascii="Arial" w:hAnsi="Arial" w:cs="Arial"/>
        </w:rPr>
      </w:pPr>
      <w:r w:rsidRPr="00647074">
        <w:rPr>
          <w:rFonts w:ascii="Arial" w:hAnsi="Arial" w:cs="Arial"/>
        </w:rPr>
        <w:t>Communicating what is expected from employees and facilitating socialisation opportunities with colleagues are critical. This helps new hires integrate into the team and adapt to the organisational culture.</w:t>
      </w:r>
    </w:p>
    <w:p w14:paraId="71945CE8" w14:textId="74CAF4F8" w:rsidR="00647074" w:rsidRPr="00647074" w:rsidRDefault="00647074" w:rsidP="00647074">
      <w:pPr>
        <w:rPr>
          <w:rFonts w:ascii="Arial" w:hAnsi="Arial" w:cs="Arial"/>
        </w:rPr>
      </w:pPr>
      <w:r w:rsidRPr="00647074">
        <w:rPr>
          <w:rFonts w:ascii="Arial" w:hAnsi="Arial" w:cs="Arial"/>
        </w:rPr>
        <w:t>Offering ongoing support through mentorship or coaching, as well as access to training resources, equips new hires with the tools and guidance necessary for success (Klein &amp; Weaver, 2023).</w:t>
      </w:r>
    </w:p>
    <w:p w14:paraId="63BD356D" w14:textId="77777777" w:rsidR="00647074" w:rsidRPr="00647074" w:rsidRDefault="00647074" w:rsidP="00647074">
      <w:pPr>
        <w:rPr>
          <w:rFonts w:ascii="Arial" w:hAnsi="Arial" w:cs="Arial"/>
        </w:rPr>
      </w:pPr>
    </w:p>
    <w:p w14:paraId="6CB78E41" w14:textId="77777777" w:rsidR="00647074" w:rsidRPr="00647074" w:rsidRDefault="00647074" w:rsidP="00647074">
      <w:pPr>
        <w:rPr>
          <w:rFonts w:ascii="Arial" w:hAnsi="Arial" w:cs="Arial"/>
        </w:rPr>
      </w:pPr>
      <w:r w:rsidRPr="00647074">
        <w:rPr>
          <w:rFonts w:ascii="Arial" w:hAnsi="Arial" w:cs="Arial"/>
        </w:rPr>
        <w:t>Benefits of Effective Onboarding:</w:t>
      </w:r>
    </w:p>
    <w:p w14:paraId="24E7254C" w14:textId="62AAEA82" w:rsidR="00647074" w:rsidRPr="00647074" w:rsidRDefault="00647074" w:rsidP="00647074">
      <w:pPr>
        <w:rPr>
          <w:rFonts w:ascii="Arial" w:hAnsi="Arial" w:cs="Arial"/>
        </w:rPr>
      </w:pPr>
      <w:r w:rsidRPr="00647074">
        <w:rPr>
          <w:rFonts w:ascii="Arial" w:hAnsi="Arial" w:cs="Arial"/>
        </w:rPr>
        <w:t>Effective onboarding enables new employees to acclimate quickly, minimizing the risk of an ‘induction crisis,’ where they struggle to adjust to their new roles.</w:t>
      </w:r>
    </w:p>
    <w:p w14:paraId="4462FEFF" w14:textId="09886E9A" w:rsidR="00647074" w:rsidRPr="00647074" w:rsidRDefault="00647074" w:rsidP="00647074">
      <w:pPr>
        <w:rPr>
          <w:rFonts w:ascii="Arial" w:hAnsi="Arial" w:cs="Arial"/>
        </w:rPr>
      </w:pPr>
      <w:r w:rsidRPr="00647074">
        <w:rPr>
          <w:rFonts w:ascii="Arial" w:hAnsi="Arial" w:cs="Arial"/>
        </w:rPr>
        <w:t>Introducing new hires to the organisation’s culture enhances their understanding and alignment with organisational values.</w:t>
      </w:r>
    </w:p>
    <w:p w14:paraId="598AC0A8" w14:textId="0EC9D917" w:rsidR="00647074" w:rsidRPr="00647074" w:rsidRDefault="00647074" w:rsidP="00647074">
      <w:pPr>
        <w:rPr>
          <w:rFonts w:ascii="Arial" w:hAnsi="Arial" w:cs="Arial"/>
        </w:rPr>
      </w:pPr>
      <w:r w:rsidRPr="00647074">
        <w:rPr>
          <w:rFonts w:ascii="Arial" w:hAnsi="Arial" w:cs="Arial"/>
        </w:rPr>
        <w:t>Proper onboarding increases job performance by clarifying role expectations and providing necessary resources.</w:t>
      </w:r>
    </w:p>
    <w:p w14:paraId="06FAA095" w14:textId="5A9F7564" w:rsidR="00647074" w:rsidRPr="00647074" w:rsidRDefault="00647074" w:rsidP="003A6893">
      <w:pPr>
        <w:rPr>
          <w:rFonts w:ascii="Arial" w:hAnsi="Arial" w:cs="Arial"/>
        </w:rPr>
      </w:pPr>
      <w:r w:rsidRPr="00647074">
        <w:rPr>
          <w:rFonts w:ascii="Arial" w:hAnsi="Arial" w:cs="Arial"/>
        </w:rPr>
        <w:t>A well-structured onboarding program significantly reduces turnover by fostering a positive initial experience, thereby enhancing job satisfaction (Brewster et al., 2023).</w:t>
      </w:r>
    </w:p>
    <w:p w14:paraId="765C8B38" w14:textId="57EF1938" w:rsidR="001E0789" w:rsidRPr="00647074" w:rsidRDefault="00647074" w:rsidP="00647074">
      <w:pPr>
        <w:rPr>
          <w:rFonts w:ascii="Arial" w:hAnsi="Arial" w:cs="Arial"/>
        </w:rPr>
      </w:pPr>
      <w:r w:rsidRPr="00647074">
        <w:rPr>
          <w:rFonts w:ascii="Arial" w:hAnsi="Arial" w:cs="Arial"/>
        </w:rPr>
        <w:t xml:space="preserve">Investing in effective onboarding is essential for </w:t>
      </w:r>
      <w:proofErr w:type="spellStart"/>
      <w:r w:rsidRPr="00647074">
        <w:rPr>
          <w:rFonts w:ascii="Arial" w:hAnsi="Arial" w:cs="Arial"/>
        </w:rPr>
        <w:t>ParcelCare</w:t>
      </w:r>
      <w:proofErr w:type="spellEnd"/>
      <w:r w:rsidRPr="00647074">
        <w:rPr>
          <w:rFonts w:ascii="Arial" w:hAnsi="Arial" w:cs="Arial"/>
        </w:rPr>
        <w:t>, as it directly impacts employee engagement, performance, and retention, ultimately contributing to the organisation's long-term success.</w:t>
      </w:r>
    </w:p>
    <w:p w14:paraId="68B86D82" w14:textId="77777777" w:rsidR="001E0789" w:rsidRDefault="001E0789" w:rsidP="003334E1">
      <w:pPr>
        <w:rPr>
          <w:rFonts w:ascii="Arial" w:hAnsi="Arial" w:cs="Arial"/>
          <w:b/>
          <w:bCs/>
        </w:rPr>
      </w:pPr>
    </w:p>
    <w:p w14:paraId="439306C1" w14:textId="77777777" w:rsidR="003A6893" w:rsidRDefault="003A6893" w:rsidP="003334E1">
      <w:pPr>
        <w:rPr>
          <w:rFonts w:ascii="Arial" w:hAnsi="Arial" w:cs="Arial"/>
          <w:b/>
          <w:bCs/>
        </w:rPr>
      </w:pPr>
    </w:p>
    <w:p w14:paraId="42FD8C58" w14:textId="77777777" w:rsidR="003A6893" w:rsidRDefault="003A6893" w:rsidP="003334E1">
      <w:pPr>
        <w:rPr>
          <w:rFonts w:ascii="Arial" w:hAnsi="Arial" w:cs="Arial"/>
          <w:b/>
          <w:bCs/>
        </w:rPr>
      </w:pPr>
    </w:p>
    <w:p w14:paraId="6D5C3FCF" w14:textId="77777777" w:rsidR="001E205A" w:rsidRDefault="001E205A" w:rsidP="003334E1">
      <w:pPr>
        <w:rPr>
          <w:rFonts w:ascii="Arial" w:hAnsi="Arial" w:cs="Arial"/>
          <w:b/>
          <w:bCs/>
        </w:rPr>
      </w:pPr>
    </w:p>
    <w:p w14:paraId="798C82D3" w14:textId="77777777" w:rsidR="001E205A" w:rsidRDefault="001E205A" w:rsidP="003334E1">
      <w:pPr>
        <w:rPr>
          <w:rFonts w:ascii="Arial" w:hAnsi="Arial" w:cs="Arial"/>
          <w:b/>
          <w:bCs/>
        </w:rPr>
      </w:pPr>
    </w:p>
    <w:p w14:paraId="3F7CE569" w14:textId="77777777" w:rsidR="001E205A" w:rsidRDefault="001E205A" w:rsidP="003334E1">
      <w:pPr>
        <w:rPr>
          <w:rFonts w:ascii="Arial" w:hAnsi="Arial" w:cs="Arial"/>
          <w:b/>
          <w:bCs/>
        </w:rPr>
      </w:pPr>
    </w:p>
    <w:p w14:paraId="1D5791C3" w14:textId="77777777" w:rsidR="001E205A" w:rsidRDefault="001E205A" w:rsidP="003334E1">
      <w:pPr>
        <w:rPr>
          <w:rFonts w:ascii="Arial" w:hAnsi="Arial" w:cs="Arial"/>
          <w:b/>
          <w:bCs/>
        </w:rPr>
      </w:pPr>
    </w:p>
    <w:p w14:paraId="13F549E6" w14:textId="77777777" w:rsidR="001E205A" w:rsidRDefault="001E205A" w:rsidP="003334E1">
      <w:pPr>
        <w:rPr>
          <w:rFonts w:ascii="Arial" w:hAnsi="Arial" w:cs="Arial"/>
          <w:b/>
          <w:bCs/>
        </w:rPr>
      </w:pPr>
    </w:p>
    <w:p w14:paraId="366F84AC" w14:textId="77777777" w:rsidR="001E205A" w:rsidRDefault="001E205A" w:rsidP="003334E1">
      <w:pPr>
        <w:rPr>
          <w:rFonts w:ascii="Arial" w:hAnsi="Arial" w:cs="Arial"/>
          <w:b/>
          <w:bCs/>
        </w:rPr>
      </w:pPr>
    </w:p>
    <w:p w14:paraId="409974B2" w14:textId="77777777" w:rsidR="001E205A" w:rsidRDefault="001E205A" w:rsidP="003334E1">
      <w:pPr>
        <w:rPr>
          <w:rFonts w:ascii="Arial" w:hAnsi="Arial" w:cs="Arial"/>
          <w:b/>
          <w:bCs/>
        </w:rPr>
      </w:pPr>
    </w:p>
    <w:p w14:paraId="6779D1C6" w14:textId="77777777" w:rsidR="001E205A" w:rsidRDefault="001E205A" w:rsidP="003334E1">
      <w:pPr>
        <w:rPr>
          <w:rFonts w:ascii="Arial" w:hAnsi="Arial" w:cs="Arial"/>
          <w:b/>
          <w:bCs/>
        </w:rPr>
      </w:pPr>
    </w:p>
    <w:p w14:paraId="66C57BCE" w14:textId="77777777" w:rsidR="001E205A" w:rsidRDefault="001E205A" w:rsidP="003334E1">
      <w:pPr>
        <w:rPr>
          <w:rFonts w:ascii="Arial" w:hAnsi="Arial" w:cs="Arial"/>
          <w:b/>
          <w:bCs/>
        </w:rPr>
      </w:pPr>
    </w:p>
    <w:p w14:paraId="3BF289F7" w14:textId="77777777" w:rsidR="001E205A" w:rsidRDefault="001E205A" w:rsidP="003334E1">
      <w:pPr>
        <w:rPr>
          <w:rFonts w:ascii="Arial" w:hAnsi="Arial" w:cs="Arial"/>
          <w:b/>
          <w:bCs/>
        </w:rPr>
      </w:pPr>
    </w:p>
    <w:p w14:paraId="3958DB74" w14:textId="77777777" w:rsidR="001E205A" w:rsidRDefault="001E205A" w:rsidP="003334E1">
      <w:pPr>
        <w:rPr>
          <w:rFonts w:ascii="Arial" w:hAnsi="Arial" w:cs="Arial"/>
          <w:b/>
          <w:bCs/>
        </w:rPr>
      </w:pPr>
    </w:p>
    <w:p w14:paraId="7B112F22" w14:textId="77777777" w:rsidR="001E205A" w:rsidRDefault="001E205A" w:rsidP="003334E1">
      <w:pPr>
        <w:rPr>
          <w:rFonts w:ascii="Arial" w:hAnsi="Arial" w:cs="Arial"/>
          <w:b/>
          <w:bCs/>
        </w:rPr>
      </w:pPr>
    </w:p>
    <w:p w14:paraId="0FBC25D9" w14:textId="77777777" w:rsidR="001E205A" w:rsidRDefault="001E205A" w:rsidP="003334E1">
      <w:pPr>
        <w:rPr>
          <w:rFonts w:ascii="Arial" w:hAnsi="Arial" w:cs="Arial"/>
          <w:b/>
          <w:bCs/>
        </w:rPr>
      </w:pPr>
    </w:p>
    <w:p w14:paraId="0DFE8C88" w14:textId="77777777" w:rsidR="003A6893" w:rsidRDefault="003A6893" w:rsidP="003334E1">
      <w:pPr>
        <w:rPr>
          <w:rFonts w:ascii="Arial" w:hAnsi="Arial" w:cs="Arial"/>
          <w:b/>
          <w:bCs/>
        </w:rPr>
      </w:pPr>
    </w:p>
    <w:p w14:paraId="3C8E2958" w14:textId="77777777" w:rsidR="003A6893" w:rsidRPr="001E0789" w:rsidRDefault="003A6893" w:rsidP="003334E1">
      <w:pPr>
        <w:rPr>
          <w:rFonts w:ascii="Arial" w:hAnsi="Arial" w:cs="Arial"/>
          <w:b/>
          <w:bCs/>
        </w:rPr>
      </w:pPr>
    </w:p>
    <w:p w14:paraId="66D350C9" w14:textId="562520B4" w:rsidR="001E0789" w:rsidRDefault="009E7BBE" w:rsidP="003334E1">
      <w:pPr>
        <w:rPr>
          <w:rFonts w:ascii="Arial" w:hAnsi="Arial" w:cs="Arial"/>
          <w:b/>
          <w:bCs/>
        </w:rPr>
      </w:pPr>
      <w:r>
        <w:rPr>
          <w:rFonts w:ascii="Arial" w:hAnsi="Arial" w:cs="Arial"/>
          <w:b/>
          <w:bCs/>
        </w:rPr>
        <w:lastRenderedPageBreak/>
        <w:t>References</w:t>
      </w:r>
    </w:p>
    <w:p w14:paraId="794F5755" w14:textId="77777777" w:rsidR="009E7BBE" w:rsidRDefault="009E7BBE" w:rsidP="009E7BBE">
      <w:pPr>
        <w:rPr>
          <w:rFonts w:ascii="Arial" w:hAnsi="Arial" w:cs="Arial"/>
        </w:rPr>
      </w:pPr>
      <w:r w:rsidRPr="009E7BBE">
        <w:rPr>
          <w:rFonts w:ascii="Arial" w:hAnsi="Arial" w:cs="Arial"/>
        </w:rPr>
        <w:t>Armstrong, M., &amp; Taylor, S. (2014). Armstrong's Handbook of Human Resource Management Practice. Kogan Page Publishers.</w:t>
      </w:r>
    </w:p>
    <w:p w14:paraId="684EC811" w14:textId="69B3BD24" w:rsidR="00250097" w:rsidRDefault="00250097" w:rsidP="009E7BBE">
      <w:pPr>
        <w:rPr>
          <w:rFonts w:ascii="Arial" w:hAnsi="Arial" w:cs="Arial"/>
        </w:rPr>
      </w:pPr>
      <w:r w:rsidRPr="00250097">
        <w:rPr>
          <w:rFonts w:ascii="Arial" w:hAnsi="Arial" w:cs="Arial"/>
        </w:rPr>
        <w:t>Armstrong, M., &amp; Taylor, S. (2023). Armstrong's Handbook of Human Resource Management Practice. Kogan Page.</w:t>
      </w:r>
    </w:p>
    <w:p w14:paraId="7BAE6485" w14:textId="2EA18E51" w:rsidR="006A60CE" w:rsidRDefault="006A60CE" w:rsidP="009E7BBE">
      <w:pPr>
        <w:rPr>
          <w:rFonts w:ascii="Arial" w:hAnsi="Arial" w:cs="Arial"/>
        </w:rPr>
      </w:pPr>
      <w:r w:rsidRPr="006A60CE">
        <w:rPr>
          <w:rFonts w:ascii="Arial" w:hAnsi="Arial" w:cs="Arial"/>
        </w:rPr>
        <w:t>Beardwell, J., &amp; Thompson, A. (2021). Human Resource Management: A Contemporary Approach. Pearson.</w:t>
      </w:r>
    </w:p>
    <w:p w14:paraId="73D64C8A" w14:textId="77777777" w:rsidR="009E7BBE" w:rsidRDefault="009E7BBE" w:rsidP="009E7BBE">
      <w:pPr>
        <w:rPr>
          <w:rFonts w:ascii="Arial" w:hAnsi="Arial" w:cs="Arial"/>
        </w:rPr>
      </w:pPr>
      <w:r w:rsidRPr="009E7BBE">
        <w:rPr>
          <w:rFonts w:ascii="Arial" w:hAnsi="Arial" w:cs="Arial"/>
        </w:rPr>
        <w:t>Boxall, P., &amp; Purcell, J. (2016). Strategy and Human Resource Management. Palgrave.</w:t>
      </w:r>
    </w:p>
    <w:p w14:paraId="3F641994" w14:textId="1AEDADD9" w:rsidR="00DD19F2" w:rsidRDefault="00DD19F2" w:rsidP="009E7BBE">
      <w:pPr>
        <w:rPr>
          <w:rFonts w:ascii="Arial" w:hAnsi="Arial" w:cs="Arial"/>
        </w:rPr>
      </w:pPr>
      <w:r w:rsidRPr="00DD19F2">
        <w:rPr>
          <w:rFonts w:ascii="Arial" w:hAnsi="Arial" w:cs="Arial"/>
        </w:rPr>
        <w:t>Brewster, C., Chung, C., &amp; Sparrow, P. (2023). Globalizing Human Resource Management. Routledge.</w:t>
      </w:r>
    </w:p>
    <w:p w14:paraId="23BA74CE" w14:textId="38700F43" w:rsidR="00226A1D" w:rsidRDefault="00226A1D" w:rsidP="009E7BBE">
      <w:pPr>
        <w:rPr>
          <w:rFonts w:ascii="Arial" w:hAnsi="Arial" w:cs="Arial"/>
        </w:rPr>
      </w:pPr>
      <w:r w:rsidRPr="00226A1D">
        <w:rPr>
          <w:rFonts w:ascii="Arial" w:hAnsi="Arial" w:cs="Arial"/>
        </w:rPr>
        <w:t>CIPD (2020). Learning and Development: Annual Survey Report. Chartered Institute of Personnel and Development.</w:t>
      </w:r>
    </w:p>
    <w:p w14:paraId="7E16C17C" w14:textId="791CBCA6" w:rsidR="006A60CE" w:rsidRDefault="006A60CE" w:rsidP="009E7BBE">
      <w:pPr>
        <w:rPr>
          <w:rFonts w:ascii="Arial" w:hAnsi="Arial" w:cs="Arial"/>
        </w:rPr>
      </w:pPr>
      <w:r w:rsidRPr="006A60CE">
        <w:rPr>
          <w:rFonts w:ascii="Arial" w:hAnsi="Arial" w:cs="Arial"/>
        </w:rPr>
        <w:t>CIPD (2020). Workforce Planning: Practice Guidance. Chartered Institute of Personnel and Development.</w:t>
      </w:r>
    </w:p>
    <w:p w14:paraId="58D0A01A" w14:textId="77777777" w:rsidR="00E676DF" w:rsidRDefault="00E676DF" w:rsidP="00E676DF">
      <w:pPr>
        <w:rPr>
          <w:rFonts w:ascii="Arial" w:hAnsi="Arial" w:cs="Arial"/>
        </w:rPr>
      </w:pPr>
      <w:r w:rsidRPr="00E676DF">
        <w:rPr>
          <w:rFonts w:ascii="Arial" w:hAnsi="Arial" w:cs="Arial"/>
        </w:rPr>
        <w:t>CIPD (2022). Succession Planning and Talent Management. Chartered Institute of Personnel and Development.</w:t>
      </w:r>
    </w:p>
    <w:p w14:paraId="1AD53478" w14:textId="7B646A33" w:rsidR="00DD19F2" w:rsidRPr="00E676DF" w:rsidRDefault="00DD19F2" w:rsidP="00E676DF">
      <w:pPr>
        <w:rPr>
          <w:rFonts w:ascii="Arial" w:hAnsi="Arial" w:cs="Arial"/>
        </w:rPr>
      </w:pPr>
      <w:r w:rsidRPr="00DD19F2">
        <w:rPr>
          <w:rFonts w:ascii="Arial" w:hAnsi="Arial" w:cs="Arial"/>
        </w:rPr>
        <w:t>CIPD (2022). Employment Contracts: Understanding Different Types. Chartered Institute of Personnel and Development.</w:t>
      </w:r>
    </w:p>
    <w:p w14:paraId="1727B304" w14:textId="569AF157" w:rsidR="00E676DF" w:rsidRPr="009E7BBE" w:rsidRDefault="00E676DF" w:rsidP="00E676DF">
      <w:pPr>
        <w:rPr>
          <w:rFonts w:ascii="Arial" w:hAnsi="Arial" w:cs="Arial"/>
        </w:rPr>
      </w:pPr>
      <w:r w:rsidRPr="00933F4A">
        <w:rPr>
          <w:rFonts w:ascii="Arial" w:hAnsi="Arial" w:cs="Arial"/>
        </w:rPr>
        <w:t xml:space="preserve">Collings, D. G., </w:t>
      </w:r>
      <w:proofErr w:type="spellStart"/>
      <w:r w:rsidRPr="00933F4A">
        <w:rPr>
          <w:rFonts w:ascii="Arial" w:hAnsi="Arial" w:cs="Arial"/>
        </w:rPr>
        <w:t>Mellahi</w:t>
      </w:r>
      <w:proofErr w:type="spellEnd"/>
      <w:r w:rsidRPr="00933F4A">
        <w:rPr>
          <w:rFonts w:ascii="Arial" w:hAnsi="Arial" w:cs="Arial"/>
        </w:rPr>
        <w:t xml:space="preserve">, K., &amp; Cascio, W. F. (2021). </w:t>
      </w:r>
      <w:r w:rsidRPr="00E676DF">
        <w:rPr>
          <w:rFonts w:ascii="Arial" w:hAnsi="Arial" w:cs="Arial"/>
        </w:rPr>
        <w:t>Global Talent Management: Trends, Challenges, and Opportunities. Academy of Management Perspectives.</w:t>
      </w:r>
    </w:p>
    <w:p w14:paraId="51AA81CE" w14:textId="7F43434A" w:rsidR="009E7BBE" w:rsidRPr="00933F4A" w:rsidRDefault="009E7BBE" w:rsidP="009E7BBE">
      <w:pPr>
        <w:rPr>
          <w:rFonts w:ascii="Arial" w:hAnsi="Arial" w:cs="Arial"/>
          <w:lang w:val="it-IT"/>
        </w:rPr>
      </w:pPr>
      <w:r w:rsidRPr="009E7BBE">
        <w:rPr>
          <w:rFonts w:ascii="Arial" w:hAnsi="Arial" w:cs="Arial"/>
        </w:rPr>
        <w:t xml:space="preserve">Edwards, M. R. (2010). An integrative review of employer branding and OB theory. </w:t>
      </w:r>
      <w:proofErr w:type="spellStart"/>
      <w:r w:rsidRPr="00933F4A">
        <w:rPr>
          <w:rFonts w:ascii="Arial" w:hAnsi="Arial" w:cs="Arial"/>
          <w:lang w:val="it-IT"/>
        </w:rPr>
        <w:t>Personnel</w:t>
      </w:r>
      <w:proofErr w:type="spellEnd"/>
      <w:r w:rsidRPr="00933F4A">
        <w:rPr>
          <w:rFonts w:ascii="Arial" w:hAnsi="Arial" w:cs="Arial"/>
          <w:lang w:val="it-IT"/>
        </w:rPr>
        <w:t xml:space="preserve"> Review.</w:t>
      </w:r>
    </w:p>
    <w:p w14:paraId="688880B6" w14:textId="51A55B28" w:rsidR="00135DA4" w:rsidRDefault="00135DA4" w:rsidP="009E7BBE">
      <w:pPr>
        <w:rPr>
          <w:rFonts w:ascii="Arial" w:hAnsi="Arial" w:cs="Arial"/>
        </w:rPr>
      </w:pPr>
      <w:r w:rsidRPr="00135DA4">
        <w:rPr>
          <w:rFonts w:ascii="Arial" w:hAnsi="Arial" w:cs="Arial"/>
          <w:lang w:val="it-IT"/>
        </w:rPr>
        <w:t xml:space="preserve">Hancock, J. I., Allen, D. G., Bosco, S. M., </w:t>
      </w:r>
      <w:proofErr w:type="spellStart"/>
      <w:r w:rsidRPr="00135DA4">
        <w:rPr>
          <w:rFonts w:ascii="Arial" w:hAnsi="Arial" w:cs="Arial"/>
          <w:lang w:val="it-IT"/>
        </w:rPr>
        <w:t>McDaniel</w:t>
      </w:r>
      <w:proofErr w:type="spellEnd"/>
      <w:r w:rsidRPr="00135DA4">
        <w:rPr>
          <w:rFonts w:ascii="Arial" w:hAnsi="Arial" w:cs="Arial"/>
          <w:lang w:val="it-IT"/>
        </w:rPr>
        <w:t xml:space="preserve">, M. A., &amp; Pierce, C. A. (2023). </w:t>
      </w:r>
      <w:r w:rsidRPr="00135DA4">
        <w:rPr>
          <w:rFonts w:ascii="Arial" w:hAnsi="Arial" w:cs="Arial"/>
        </w:rPr>
        <w:t>Meta-Analysis of the Relationship Between Turnover Intentions and Actual Turnover. Journal of Applied Psychology.</w:t>
      </w:r>
    </w:p>
    <w:p w14:paraId="08BBAFD9" w14:textId="5294D0AC" w:rsidR="00DD19F2" w:rsidRPr="009E7BBE" w:rsidRDefault="00DD19F2" w:rsidP="009E7BBE">
      <w:pPr>
        <w:rPr>
          <w:rFonts w:ascii="Arial" w:hAnsi="Arial" w:cs="Arial"/>
        </w:rPr>
      </w:pPr>
      <w:r w:rsidRPr="00DD19F2">
        <w:rPr>
          <w:rFonts w:ascii="Arial" w:hAnsi="Arial" w:cs="Arial"/>
        </w:rPr>
        <w:t>Harris, L., &amp; Brewster, C. (2023). Managing Employee Relations and Contractual Arrangements. Palgrave Macmillan.</w:t>
      </w:r>
    </w:p>
    <w:p w14:paraId="2E5BF6CA" w14:textId="238579C6" w:rsidR="00523DD0" w:rsidRDefault="00226A1D" w:rsidP="003334E1">
      <w:pPr>
        <w:rPr>
          <w:rFonts w:ascii="Arial" w:hAnsi="Arial" w:cs="Arial"/>
        </w:rPr>
      </w:pPr>
      <w:r w:rsidRPr="00250097">
        <w:rPr>
          <w:rFonts w:ascii="Arial" w:hAnsi="Arial" w:cs="Arial"/>
        </w:rPr>
        <w:t>Keep, E. (2012). Skills for Life and Work: What Is Needed? Foresight, Government Office for Science.</w:t>
      </w:r>
    </w:p>
    <w:p w14:paraId="2D2FF347" w14:textId="41A6DAD3" w:rsidR="00DD19F2" w:rsidRPr="00250097" w:rsidRDefault="00DD19F2" w:rsidP="003334E1">
      <w:pPr>
        <w:rPr>
          <w:rFonts w:ascii="Arial" w:hAnsi="Arial" w:cs="Arial"/>
        </w:rPr>
      </w:pPr>
      <w:r w:rsidRPr="00DD19F2">
        <w:rPr>
          <w:rFonts w:ascii="Arial" w:hAnsi="Arial" w:cs="Arial"/>
          <w:lang w:val="nl-NL"/>
        </w:rPr>
        <w:t xml:space="preserve">Klein, H. J., &amp; </w:t>
      </w:r>
      <w:proofErr w:type="spellStart"/>
      <w:r w:rsidRPr="00DD19F2">
        <w:rPr>
          <w:rFonts w:ascii="Arial" w:hAnsi="Arial" w:cs="Arial"/>
          <w:lang w:val="nl-NL"/>
        </w:rPr>
        <w:t>Weaver</w:t>
      </w:r>
      <w:proofErr w:type="spellEnd"/>
      <w:r w:rsidRPr="00DD19F2">
        <w:rPr>
          <w:rFonts w:ascii="Arial" w:hAnsi="Arial" w:cs="Arial"/>
          <w:lang w:val="nl-NL"/>
        </w:rPr>
        <w:t xml:space="preserve">, N. A. (2023). </w:t>
      </w:r>
      <w:r w:rsidRPr="00DD19F2">
        <w:rPr>
          <w:rFonts w:ascii="Arial" w:hAnsi="Arial" w:cs="Arial"/>
        </w:rPr>
        <w:t xml:space="preserve">The Effectiveness of Induction Programs in Enhancing New Employee Adjustment. Journal of Organizational </w:t>
      </w:r>
      <w:proofErr w:type="spellStart"/>
      <w:r w:rsidRPr="00DD19F2">
        <w:rPr>
          <w:rFonts w:ascii="Arial" w:hAnsi="Arial" w:cs="Arial"/>
        </w:rPr>
        <w:t>Behavior</w:t>
      </w:r>
      <w:proofErr w:type="spellEnd"/>
      <w:r w:rsidRPr="00DD19F2">
        <w:rPr>
          <w:rFonts w:ascii="Arial" w:hAnsi="Arial" w:cs="Arial"/>
        </w:rPr>
        <w:t>.</w:t>
      </w:r>
    </w:p>
    <w:p w14:paraId="5F195594" w14:textId="628558E4" w:rsidR="00250097" w:rsidRDefault="00250097" w:rsidP="003334E1">
      <w:pPr>
        <w:rPr>
          <w:rFonts w:ascii="Arial" w:hAnsi="Arial" w:cs="Arial"/>
        </w:rPr>
      </w:pPr>
      <w:r w:rsidRPr="00250097">
        <w:rPr>
          <w:rFonts w:ascii="Arial" w:hAnsi="Arial" w:cs="Arial"/>
        </w:rPr>
        <w:t>Torrington, D., Hall, L., Taylor, S., &amp; Atkinson, C. (2023). Human Resource Management. Pearson.</w:t>
      </w:r>
    </w:p>
    <w:p w14:paraId="3BFF9942" w14:textId="77777777" w:rsidR="00135DA4" w:rsidRDefault="00135DA4" w:rsidP="00135DA4">
      <w:pPr>
        <w:rPr>
          <w:rFonts w:ascii="Arial" w:hAnsi="Arial" w:cs="Arial"/>
        </w:rPr>
      </w:pPr>
      <w:r w:rsidRPr="00135DA4">
        <w:rPr>
          <w:rFonts w:ascii="Arial" w:hAnsi="Arial" w:cs="Arial"/>
        </w:rPr>
        <w:t>Page, S. E. (2022). The Diversity Bonus: How Great Teams Pay Off in the Knowledge Economy. Princeton University Press.</w:t>
      </w:r>
    </w:p>
    <w:p w14:paraId="474EC585" w14:textId="1C515C7B" w:rsidR="006A214B" w:rsidRPr="00135DA4" w:rsidRDefault="006A214B" w:rsidP="00135DA4">
      <w:pPr>
        <w:rPr>
          <w:rFonts w:ascii="Arial" w:hAnsi="Arial" w:cs="Arial"/>
        </w:rPr>
      </w:pPr>
      <w:r w:rsidRPr="006A214B">
        <w:rPr>
          <w:rFonts w:ascii="Arial" w:hAnsi="Arial" w:cs="Arial"/>
          <w:lang w:val="nb-NO"/>
        </w:rPr>
        <w:lastRenderedPageBreak/>
        <w:t xml:space="preserve">Saks, A. M., &amp; </w:t>
      </w:r>
      <w:proofErr w:type="spellStart"/>
      <w:r w:rsidRPr="006A214B">
        <w:rPr>
          <w:rFonts w:ascii="Arial" w:hAnsi="Arial" w:cs="Arial"/>
          <w:lang w:val="nb-NO"/>
        </w:rPr>
        <w:t>Gruman</w:t>
      </w:r>
      <w:proofErr w:type="spellEnd"/>
      <w:r w:rsidRPr="006A214B">
        <w:rPr>
          <w:rFonts w:ascii="Arial" w:hAnsi="Arial" w:cs="Arial"/>
          <w:lang w:val="nb-NO"/>
        </w:rPr>
        <w:t xml:space="preserve">, J. A. (2022). </w:t>
      </w:r>
      <w:r w:rsidRPr="006A214B">
        <w:rPr>
          <w:rFonts w:ascii="Arial" w:hAnsi="Arial" w:cs="Arial"/>
        </w:rPr>
        <w:t>Making Onboarding Work: A Review of the Literature and Implications for Human Resource Management. Journal of Human Resource Management.</w:t>
      </w:r>
    </w:p>
    <w:p w14:paraId="3EE2F0A2" w14:textId="57A75476" w:rsidR="00135DA4" w:rsidRPr="00250097" w:rsidRDefault="00135DA4" w:rsidP="00135DA4">
      <w:pPr>
        <w:rPr>
          <w:rFonts w:ascii="Arial" w:hAnsi="Arial" w:cs="Arial"/>
        </w:rPr>
      </w:pPr>
      <w:r w:rsidRPr="00135DA4">
        <w:rPr>
          <w:rFonts w:ascii="Arial" w:hAnsi="Arial" w:cs="Arial"/>
        </w:rPr>
        <w:t>Shin, D., Kim, S., &amp; Lee, J. (2022). Diversity and Creativity: The Role of Diverse Perspectives in Innovation. Journal of Business Research.</w:t>
      </w:r>
    </w:p>
    <w:p w14:paraId="6F817FE0" w14:textId="77777777" w:rsidR="00CB76E3" w:rsidRDefault="00CB76E3" w:rsidP="003334E1">
      <w:pPr>
        <w:rPr>
          <w:rFonts w:ascii="Arial" w:hAnsi="Arial" w:cs="Arial"/>
          <w:b/>
          <w:bCs/>
        </w:rPr>
      </w:pPr>
    </w:p>
    <w:p w14:paraId="4CEF4458" w14:textId="77777777" w:rsidR="00CB76E3" w:rsidRDefault="00CB76E3" w:rsidP="003334E1">
      <w:pPr>
        <w:rPr>
          <w:rFonts w:ascii="Arial" w:hAnsi="Arial" w:cs="Arial"/>
          <w:b/>
          <w:bCs/>
        </w:rPr>
      </w:pPr>
    </w:p>
    <w:p w14:paraId="18893113" w14:textId="77777777" w:rsidR="00CB76E3" w:rsidRDefault="00CB76E3" w:rsidP="003334E1">
      <w:pPr>
        <w:rPr>
          <w:rFonts w:ascii="Arial" w:hAnsi="Arial" w:cs="Arial"/>
          <w:b/>
          <w:bCs/>
        </w:rPr>
      </w:pPr>
    </w:p>
    <w:p w14:paraId="5C02FDAC" w14:textId="77777777" w:rsidR="00CB76E3" w:rsidRDefault="00CB76E3" w:rsidP="003334E1">
      <w:pPr>
        <w:rPr>
          <w:rFonts w:ascii="Arial" w:hAnsi="Arial" w:cs="Arial"/>
          <w:b/>
          <w:bCs/>
        </w:rPr>
      </w:pPr>
    </w:p>
    <w:sectPr w:rsidR="00CB76E3" w:rsidSect="00521ADE">
      <w:footerReference w:type="default" r:id="rId12"/>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0E35E8" w14:textId="77777777" w:rsidR="00880634" w:rsidRDefault="00880634" w:rsidP="00C81727">
      <w:pPr>
        <w:spacing w:after="0" w:line="240" w:lineRule="auto"/>
      </w:pPr>
      <w:r>
        <w:separator/>
      </w:r>
    </w:p>
  </w:endnote>
  <w:endnote w:type="continuationSeparator" w:id="0">
    <w:p w14:paraId="5F9BD41D" w14:textId="77777777" w:rsidR="00880634" w:rsidRDefault="00880634" w:rsidP="00C81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5142666"/>
      <w:docPartObj>
        <w:docPartGallery w:val="Page Numbers (Bottom of Page)"/>
        <w:docPartUnique/>
      </w:docPartObj>
    </w:sdtPr>
    <w:sdtEndPr>
      <w:rPr>
        <w:noProof/>
      </w:rPr>
    </w:sdtEndPr>
    <w:sdtContent>
      <w:p w14:paraId="608CD16B" w14:textId="743CF1B2" w:rsidR="00DF417E" w:rsidRDefault="00DF41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DFC4FE" w14:textId="77777777" w:rsidR="00DF417E" w:rsidRDefault="00DF41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E262BC" w14:textId="77777777" w:rsidR="00880634" w:rsidRDefault="00880634" w:rsidP="00C81727">
      <w:pPr>
        <w:spacing w:after="0" w:line="240" w:lineRule="auto"/>
      </w:pPr>
      <w:r>
        <w:separator/>
      </w:r>
    </w:p>
  </w:footnote>
  <w:footnote w:type="continuationSeparator" w:id="0">
    <w:p w14:paraId="7980D837" w14:textId="77777777" w:rsidR="00880634" w:rsidRDefault="00880634" w:rsidP="00C817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C22610"/>
    <w:multiLevelType w:val="hybridMultilevel"/>
    <w:tmpl w:val="00C6F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04C43"/>
    <w:multiLevelType w:val="multilevel"/>
    <w:tmpl w:val="F628E742"/>
    <w:lvl w:ilvl="0">
      <w:start w:val="1"/>
      <w:numFmt w:val="decimal"/>
      <w:pStyle w:val="Listparag"/>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7AE4139"/>
    <w:multiLevelType w:val="hybridMultilevel"/>
    <w:tmpl w:val="F6164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062886"/>
    <w:multiLevelType w:val="multilevel"/>
    <w:tmpl w:val="C30AE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116459"/>
    <w:multiLevelType w:val="hybridMultilevel"/>
    <w:tmpl w:val="CA56D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227096C"/>
    <w:multiLevelType w:val="hybridMultilevel"/>
    <w:tmpl w:val="63AA0A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596627D"/>
    <w:multiLevelType w:val="hybridMultilevel"/>
    <w:tmpl w:val="63B24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96223B"/>
    <w:multiLevelType w:val="hybridMultilevel"/>
    <w:tmpl w:val="42DA177C"/>
    <w:lvl w:ilvl="0" w:tplc="75747478">
      <w:start w:val="1"/>
      <w:numFmt w:val="decimal"/>
      <w:lvlText w:val="%1."/>
      <w:lvlJc w:val="left"/>
      <w:pPr>
        <w:ind w:left="1080" w:hanging="720"/>
      </w:pPr>
      <w:rPr>
        <w:rFonts w:hint="default"/>
      </w:rPr>
    </w:lvl>
    <w:lvl w:ilvl="1" w:tplc="2F9CE99A">
      <w:start w:val="1"/>
      <w:numFmt w:val="bullet"/>
      <w:lvlText w:val="•"/>
      <w:lvlJc w:val="left"/>
      <w:pPr>
        <w:ind w:left="1800" w:hanging="720"/>
      </w:pPr>
      <w:rPr>
        <w:rFonts w:ascii="Arial" w:eastAsia="Arial"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170BDF"/>
    <w:multiLevelType w:val="hybridMultilevel"/>
    <w:tmpl w:val="54B4D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041877"/>
    <w:multiLevelType w:val="hybridMultilevel"/>
    <w:tmpl w:val="5316C61A"/>
    <w:lvl w:ilvl="0" w:tplc="7BF8451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2" w15:restartNumberingAfterBreak="0">
    <w:nsid w:val="2E7452A2"/>
    <w:multiLevelType w:val="hybridMultilevel"/>
    <w:tmpl w:val="059691EA"/>
    <w:lvl w:ilvl="0" w:tplc="51186D78">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27F6368"/>
    <w:multiLevelType w:val="hybridMultilevel"/>
    <w:tmpl w:val="A0B86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43065E"/>
    <w:multiLevelType w:val="multilevel"/>
    <w:tmpl w:val="E0D26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B212B76"/>
    <w:multiLevelType w:val="hybridMultilevel"/>
    <w:tmpl w:val="086A1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400493"/>
    <w:multiLevelType w:val="hybridMultilevel"/>
    <w:tmpl w:val="4F107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4C51D4"/>
    <w:multiLevelType w:val="hybridMultilevel"/>
    <w:tmpl w:val="F5567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4A114A6"/>
    <w:multiLevelType w:val="hybridMultilevel"/>
    <w:tmpl w:val="8C24C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977BF6"/>
    <w:multiLevelType w:val="hybridMultilevel"/>
    <w:tmpl w:val="C0DA1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7B60A1"/>
    <w:multiLevelType w:val="hybridMultilevel"/>
    <w:tmpl w:val="8E70C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E02669"/>
    <w:multiLevelType w:val="hybridMultilevel"/>
    <w:tmpl w:val="94E4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C12026"/>
    <w:multiLevelType w:val="multilevel"/>
    <w:tmpl w:val="F9387442"/>
    <w:lvl w:ilvl="0">
      <w:start w:val="1"/>
      <w:numFmt w:val="decimal"/>
      <w:lvlText w:val="%1"/>
      <w:lvlJc w:val="left"/>
      <w:pPr>
        <w:ind w:left="400" w:hanging="400"/>
      </w:pPr>
      <w:rPr>
        <w:rFonts w:hint="default"/>
      </w:rPr>
    </w:lvl>
    <w:lvl w:ilvl="1">
      <w:start w:val="1"/>
      <w:numFmt w:val="decimal"/>
      <w:lvlText w:val="%1.%2"/>
      <w:lvlJc w:val="left"/>
      <w:pPr>
        <w:ind w:left="760" w:hanging="40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4" w15:restartNumberingAfterBreak="0">
    <w:nsid w:val="569B4504"/>
    <w:multiLevelType w:val="hybridMultilevel"/>
    <w:tmpl w:val="DD5A4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C0178E"/>
    <w:multiLevelType w:val="hybridMultilevel"/>
    <w:tmpl w:val="CD7C86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BA811E5"/>
    <w:multiLevelType w:val="hybridMultilevel"/>
    <w:tmpl w:val="5F5E0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D20CC2"/>
    <w:multiLevelType w:val="hybridMultilevel"/>
    <w:tmpl w:val="20163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ED6E03"/>
    <w:multiLevelType w:val="hybridMultilevel"/>
    <w:tmpl w:val="125A5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4C07083"/>
    <w:multiLevelType w:val="multilevel"/>
    <w:tmpl w:val="445281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60B04A2"/>
    <w:multiLevelType w:val="hybridMultilevel"/>
    <w:tmpl w:val="DDFCCB36"/>
    <w:lvl w:ilvl="0" w:tplc="0809000F">
      <w:start w:val="1"/>
      <w:numFmt w:val="decimal"/>
      <w:lvlText w:val="%1."/>
      <w:lvlJc w:val="left"/>
      <w:pPr>
        <w:ind w:left="818" w:hanging="360"/>
      </w:pPr>
    </w:lvl>
    <w:lvl w:ilvl="1" w:tplc="08090019" w:tentative="1">
      <w:start w:val="1"/>
      <w:numFmt w:val="lowerLetter"/>
      <w:lvlText w:val="%2."/>
      <w:lvlJc w:val="left"/>
      <w:pPr>
        <w:ind w:left="1538" w:hanging="360"/>
      </w:pPr>
    </w:lvl>
    <w:lvl w:ilvl="2" w:tplc="0809001B" w:tentative="1">
      <w:start w:val="1"/>
      <w:numFmt w:val="lowerRoman"/>
      <w:lvlText w:val="%3."/>
      <w:lvlJc w:val="right"/>
      <w:pPr>
        <w:ind w:left="2258" w:hanging="180"/>
      </w:pPr>
    </w:lvl>
    <w:lvl w:ilvl="3" w:tplc="0809000F" w:tentative="1">
      <w:start w:val="1"/>
      <w:numFmt w:val="decimal"/>
      <w:lvlText w:val="%4."/>
      <w:lvlJc w:val="left"/>
      <w:pPr>
        <w:ind w:left="2978" w:hanging="360"/>
      </w:pPr>
    </w:lvl>
    <w:lvl w:ilvl="4" w:tplc="08090019" w:tentative="1">
      <w:start w:val="1"/>
      <w:numFmt w:val="lowerLetter"/>
      <w:lvlText w:val="%5."/>
      <w:lvlJc w:val="left"/>
      <w:pPr>
        <w:ind w:left="3698" w:hanging="360"/>
      </w:pPr>
    </w:lvl>
    <w:lvl w:ilvl="5" w:tplc="0809001B" w:tentative="1">
      <w:start w:val="1"/>
      <w:numFmt w:val="lowerRoman"/>
      <w:lvlText w:val="%6."/>
      <w:lvlJc w:val="right"/>
      <w:pPr>
        <w:ind w:left="4418" w:hanging="180"/>
      </w:pPr>
    </w:lvl>
    <w:lvl w:ilvl="6" w:tplc="0809000F" w:tentative="1">
      <w:start w:val="1"/>
      <w:numFmt w:val="decimal"/>
      <w:lvlText w:val="%7."/>
      <w:lvlJc w:val="left"/>
      <w:pPr>
        <w:ind w:left="5138" w:hanging="360"/>
      </w:pPr>
    </w:lvl>
    <w:lvl w:ilvl="7" w:tplc="08090019" w:tentative="1">
      <w:start w:val="1"/>
      <w:numFmt w:val="lowerLetter"/>
      <w:lvlText w:val="%8."/>
      <w:lvlJc w:val="left"/>
      <w:pPr>
        <w:ind w:left="5858" w:hanging="360"/>
      </w:pPr>
    </w:lvl>
    <w:lvl w:ilvl="8" w:tplc="0809001B" w:tentative="1">
      <w:start w:val="1"/>
      <w:numFmt w:val="lowerRoman"/>
      <w:lvlText w:val="%9."/>
      <w:lvlJc w:val="right"/>
      <w:pPr>
        <w:ind w:left="6578" w:hanging="180"/>
      </w:pPr>
    </w:lvl>
  </w:abstractNum>
  <w:abstractNum w:abstractNumId="31"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4540A0D"/>
    <w:multiLevelType w:val="hybridMultilevel"/>
    <w:tmpl w:val="AD2E551C"/>
    <w:lvl w:ilvl="0" w:tplc="0809000F">
      <w:start w:val="1"/>
      <w:numFmt w:val="decimal"/>
      <w:lvlText w:val="%1."/>
      <w:lvlJc w:val="left"/>
      <w:pPr>
        <w:ind w:left="866" w:hanging="360"/>
      </w:pPr>
    </w:lvl>
    <w:lvl w:ilvl="1" w:tplc="08090019" w:tentative="1">
      <w:start w:val="1"/>
      <w:numFmt w:val="lowerLetter"/>
      <w:lvlText w:val="%2."/>
      <w:lvlJc w:val="left"/>
      <w:pPr>
        <w:ind w:left="1586" w:hanging="360"/>
      </w:pPr>
    </w:lvl>
    <w:lvl w:ilvl="2" w:tplc="0809001B" w:tentative="1">
      <w:start w:val="1"/>
      <w:numFmt w:val="lowerRoman"/>
      <w:lvlText w:val="%3."/>
      <w:lvlJc w:val="right"/>
      <w:pPr>
        <w:ind w:left="2306" w:hanging="180"/>
      </w:pPr>
    </w:lvl>
    <w:lvl w:ilvl="3" w:tplc="0809000F" w:tentative="1">
      <w:start w:val="1"/>
      <w:numFmt w:val="decimal"/>
      <w:lvlText w:val="%4."/>
      <w:lvlJc w:val="left"/>
      <w:pPr>
        <w:ind w:left="3026" w:hanging="360"/>
      </w:pPr>
    </w:lvl>
    <w:lvl w:ilvl="4" w:tplc="08090019" w:tentative="1">
      <w:start w:val="1"/>
      <w:numFmt w:val="lowerLetter"/>
      <w:lvlText w:val="%5."/>
      <w:lvlJc w:val="left"/>
      <w:pPr>
        <w:ind w:left="3746" w:hanging="360"/>
      </w:pPr>
    </w:lvl>
    <w:lvl w:ilvl="5" w:tplc="0809001B" w:tentative="1">
      <w:start w:val="1"/>
      <w:numFmt w:val="lowerRoman"/>
      <w:lvlText w:val="%6."/>
      <w:lvlJc w:val="right"/>
      <w:pPr>
        <w:ind w:left="4466" w:hanging="180"/>
      </w:pPr>
    </w:lvl>
    <w:lvl w:ilvl="6" w:tplc="0809000F" w:tentative="1">
      <w:start w:val="1"/>
      <w:numFmt w:val="decimal"/>
      <w:lvlText w:val="%7."/>
      <w:lvlJc w:val="left"/>
      <w:pPr>
        <w:ind w:left="5186" w:hanging="360"/>
      </w:pPr>
    </w:lvl>
    <w:lvl w:ilvl="7" w:tplc="08090019" w:tentative="1">
      <w:start w:val="1"/>
      <w:numFmt w:val="lowerLetter"/>
      <w:lvlText w:val="%8."/>
      <w:lvlJc w:val="left"/>
      <w:pPr>
        <w:ind w:left="5906" w:hanging="360"/>
      </w:pPr>
    </w:lvl>
    <w:lvl w:ilvl="8" w:tplc="0809001B" w:tentative="1">
      <w:start w:val="1"/>
      <w:numFmt w:val="lowerRoman"/>
      <w:lvlText w:val="%9."/>
      <w:lvlJc w:val="right"/>
      <w:pPr>
        <w:ind w:left="6626" w:hanging="180"/>
      </w:pPr>
    </w:lvl>
  </w:abstractNum>
  <w:abstractNum w:abstractNumId="33"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CB46725"/>
    <w:multiLevelType w:val="hybridMultilevel"/>
    <w:tmpl w:val="62DAD4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4511523">
    <w:abstractNumId w:val="21"/>
  </w:num>
  <w:num w:numId="2" w16cid:durableId="1647541990">
    <w:abstractNumId w:val="23"/>
  </w:num>
  <w:num w:numId="3" w16cid:durableId="84957453">
    <w:abstractNumId w:val="5"/>
  </w:num>
  <w:num w:numId="4" w16cid:durableId="1942488619">
    <w:abstractNumId w:val="10"/>
  </w:num>
  <w:num w:numId="5" w16cid:durableId="880291334">
    <w:abstractNumId w:val="24"/>
  </w:num>
  <w:num w:numId="6" w16cid:durableId="21564407">
    <w:abstractNumId w:val="13"/>
  </w:num>
  <w:num w:numId="7" w16cid:durableId="848445314">
    <w:abstractNumId w:val="6"/>
  </w:num>
  <w:num w:numId="8" w16cid:durableId="1846555915">
    <w:abstractNumId w:val="25"/>
  </w:num>
  <w:num w:numId="9" w16cid:durableId="832646285">
    <w:abstractNumId w:val="9"/>
  </w:num>
  <w:num w:numId="10" w16cid:durableId="782116674">
    <w:abstractNumId w:val="15"/>
  </w:num>
  <w:num w:numId="11" w16cid:durableId="2048917739">
    <w:abstractNumId w:val="0"/>
  </w:num>
  <w:num w:numId="12" w16cid:durableId="835530872">
    <w:abstractNumId w:val="17"/>
  </w:num>
  <w:num w:numId="13" w16cid:durableId="1467702196">
    <w:abstractNumId w:val="11"/>
  </w:num>
  <w:num w:numId="14" w16cid:durableId="256063931">
    <w:abstractNumId w:val="33"/>
  </w:num>
  <w:num w:numId="15" w16cid:durableId="1252156344">
    <w:abstractNumId w:val="31"/>
  </w:num>
  <w:num w:numId="16" w16cid:durableId="1580018845">
    <w:abstractNumId w:val="4"/>
  </w:num>
  <w:num w:numId="17" w16cid:durableId="966084908">
    <w:abstractNumId w:val="18"/>
  </w:num>
  <w:num w:numId="18" w16cid:durableId="821433662">
    <w:abstractNumId w:val="1"/>
  </w:num>
  <w:num w:numId="19" w16cid:durableId="1593320311">
    <w:abstractNumId w:val="22"/>
  </w:num>
  <w:num w:numId="20" w16cid:durableId="276257143">
    <w:abstractNumId w:val="30"/>
  </w:num>
  <w:num w:numId="21" w16cid:durableId="2032295918">
    <w:abstractNumId w:val="32"/>
  </w:num>
  <w:num w:numId="22" w16cid:durableId="574435787">
    <w:abstractNumId w:val="3"/>
  </w:num>
  <w:num w:numId="23" w16cid:durableId="1706828690">
    <w:abstractNumId w:val="29"/>
  </w:num>
  <w:num w:numId="24" w16cid:durableId="1338922284">
    <w:abstractNumId w:val="16"/>
  </w:num>
  <w:num w:numId="25" w16cid:durableId="1137332056">
    <w:abstractNumId w:val="8"/>
  </w:num>
  <w:num w:numId="26" w16cid:durableId="1771587036">
    <w:abstractNumId w:val="27"/>
  </w:num>
  <w:num w:numId="27" w16cid:durableId="1111391643">
    <w:abstractNumId w:val="28"/>
  </w:num>
  <w:num w:numId="28" w16cid:durableId="1707946552">
    <w:abstractNumId w:val="26"/>
  </w:num>
  <w:num w:numId="29" w16cid:durableId="1419985442">
    <w:abstractNumId w:val="19"/>
  </w:num>
  <w:num w:numId="30" w16cid:durableId="1098136863">
    <w:abstractNumId w:val="7"/>
  </w:num>
  <w:num w:numId="31" w16cid:durableId="1151023075">
    <w:abstractNumId w:val="20"/>
  </w:num>
  <w:num w:numId="32" w16cid:durableId="1674382439">
    <w:abstractNumId w:val="2"/>
  </w:num>
  <w:num w:numId="33" w16cid:durableId="1378050325">
    <w:abstractNumId w:val="14"/>
  </w:num>
  <w:num w:numId="34" w16cid:durableId="1836609966">
    <w:abstractNumId w:val="34"/>
  </w:num>
  <w:num w:numId="35" w16cid:durableId="20156408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C40"/>
    <w:rsid w:val="00000B50"/>
    <w:rsid w:val="0000507A"/>
    <w:rsid w:val="00005675"/>
    <w:rsid w:val="00012729"/>
    <w:rsid w:val="00022333"/>
    <w:rsid w:val="00024020"/>
    <w:rsid w:val="00026321"/>
    <w:rsid w:val="0003057D"/>
    <w:rsid w:val="0003654D"/>
    <w:rsid w:val="00040B62"/>
    <w:rsid w:val="00040DFA"/>
    <w:rsid w:val="00041CC4"/>
    <w:rsid w:val="00044D10"/>
    <w:rsid w:val="0005161F"/>
    <w:rsid w:val="00052246"/>
    <w:rsid w:val="00052B37"/>
    <w:rsid w:val="00053DA2"/>
    <w:rsid w:val="00054BB3"/>
    <w:rsid w:val="00057432"/>
    <w:rsid w:val="00061271"/>
    <w:rsid w:val="000621C0"/>
    <w:rsid w:val="00072CFF"/>
    <w:rsid w:val="00072DD9"/>
    <w:rsid w:val="00073C79"/>
    <w:rsid w:val="00073D6B"/>
    <w:rsid w:val="0007647E"/>
    <w:rsid w:val="00077DAD"/>
    <w:rsid w:val="00080D5E"/>
    <w:rsid w:val="00081276"/>
    <w:rsid w:val="00081FB4"/>
    <w:rsid w:val="0008667E"/>
    <w:rsid w:val="00093C85"/>
    <w:rsid w:val="00094C81"/>
    <w:rsid w:val="00097A19"/>
    <w:rsid w:val="000B14A4"/>
    <w:rsid w:val="000B564E"/>
    <w:rsid w:val="000B5983"/>
    <w:rsid w:val="000B6F3A"/>
    <w:rsid w:val="000B7EC5"/>
    <w:rsid w:val="000C2A66"/>
    <w:rsid w:val="000C5D8F"/>
    <w:rsid w:val="000D5293"/>
    <w:rsid w:val="000E6FB2"/>
    <w:rsid w:val="000F09F2"/>
    <w:rsid w:val="000F3AE9"/>
    <w:rsid w:val="001008BA"/>
    <w:rsid w:val="00100B7B"/>
    <w:rsid w:val="001048CD"/>
    <w:rsid w:val="0011038D"/>
    <w:rsid w:val="00122DA4"/>
    <w:rsid w:val="0012505E"/>
    <w:rsid w:val="001250B9"/>
    <w:rsid w:val="001258C4"/>
    <w:rsid w:val="001319A2"/>
    <w:rsid w:val="00135DA4"/>
    <w:rsid w:val="00141C07"/>
    <w:rsid w:val="00141DBF"/>
    <w:rsid w:val="00142405"/>
    <w:rsid w:val="00146E97"/>
    <w:rsid w:val="001521E2"/>
    <w:rsid w:val="001601E3"/>
    <w:rsid w:val="001631BC"/>
    <w:rsid w:val="001766F4"/>
    <w:rsid w:val="00190FDD"/>
    <w:rsid w:val="00195A7E"/>
    <w:rsid w:val="001A27CF"/>
    <w:rsid w:val="001B070D"/>
    <w:rsid w:val="001B093D"/>
    <w:rsid w:val="001B1233"/>
    <w:rsid w:val="001C74C0"/>
    <w:rsid w:val="001D21E8"/>
    <w:rsid w:val="001D738F"/>
    <w:rsid w:val="001E0789"/>
    <w:rsid w:val="001E205A"/>
    <w:rsid w:val="00221ED3"/>
    <w:rsid w:val="00225D6C"/>
    <w:rsid w:val="00225ECD"/>
    <w:rsid w:val="00226A1D"/>
    <w:rsid w:val="002301D8"/>
    <w:rsid w:val="00235F94"/>
    <w:rsid w:val="002477D6"/>
    <w:rsid w:val="00250097"/>
    <w:rsid w:val="00254183"/>
    <w:rsid w:val="0026666C"/>
    <w:rsid w:val="00270E69"/>
    <w:rsid w:val="002711AE"/>
    <w:rsid w:val="0029410A"/>
    <w:rsid w:val="002B4318"/>
    <w:rsid w:val="002B4482"/>
    <w:rsid w:val="002C29B0"/>
    <w:rsid w:val="002C50D2"/>
    <w:rsid w:val="002C764A"/>
    <w:rsid w:val="002E25BC"/>
    <w:rsid w:val="002E2B36"/>
    <w:rsid w:val="00301179"/>
    <w:rsid w:val="003221C7"/>
    <w:rsid w:val="00323B43"/>
    <w:rsid w:val="003253FC"/>
    <w:rsid w:val="003254B7"/>
    <w:rsid w:val="00330E5B"/>
    <w:rsid w:val="003334E1"/>
    <w:rsid w:val="00333665"/>
    <w:rsid w:val="003344BA"/>
    <w:rsid w:val="00345BE4"/>
    <w:rsid w:val="00350CCD"/>
    <w:rsid w:val="00360D5F"/>
    <w:rsid w:val="00360E14"/>
    <w:rsid w:val="00366120"/>
    <w:rsid w:val="00375289"/>
    <w:rsid w:val="003757E2"/>
    <w:rsid w:val="00395538"/>
    <w:rsid w:val="003A0C84"/>
    <w:rsid w:val="003A2035"/>
    <w:rsid w:val="003A21BB"/>
    <w:rsid w:val="003A6606"/>
    <w:rsid w:val="003A6893"/>
    <w:rsid w:val="003B2567"/>
    <w:rsid w:val="003B4E30"/>
    <w:rsid w:val="003C146C"/>
    <w:rsid w:val="003C52CE"/>
    <w:rsid w:val="003D3C93"/>
    <w:rsid w:val="003D3FB7"/>
    <w:rsid w:val="003D491B"/>
    <w:rsid w:val="003D662A"/>
    <w:rsid w:val="003D6BDF"/>
    <w:rsid w:val="003E1BA8"/>
    <w:rsid w:val="003E2167"/>
    <w:rsid w:val="003F0C6C"/>
    <w:rsid w:val="003F20AD"/>
    <w:rsid w:val="003F5B32"/>
    <w:rsid w:val="003F7866"/>
    <w:rsid w:val="00400708"/>
    <w:rsid w:val="00404FEC"/>
    <w:rsid w:val="004075B2"/>
    <w:rsid w:val="00426C09"/>
    <w:rsid w:val="00427E04"/>
    <w:rsid w:val="00433ACD"/>
    <w:rsid w:val="00437D2F"/>
    <w:rsid w:val="00437D34"/>
    <w:rsid w:val="00440DD0"/>
    <w:rsid w:val="00446C2F"/>
    <w:rsid w:val="00456572"/>
    <w:rsid w:val="00460327"/>
    <w:rsid w:val="004665A6"/>
    <w:rsid w:val="0047249E"/>
    <w:rsid w:val="00476C73"/>
    <w:rsid w:val="0047763C"/>
    <w:rsid w:val="00485E27"/>
    <w:rsid w:val="0049282C"/>
    <w:rsid w:val="00494299"/>
    <w:rsid w:val="00494991"/>
    <w:rsid w:val="004962F9"/>
    <w:rsid w:val="004A164E"/>
    <w:rsid w:val="004A374F"/>
    <w:rsid w:val="004B22DC"/>
    <w:rsid w:val="004C1EDC"/>
    <w:rsid w:val="004C2C44"/>
    <w:rsid w:val="004C5318"/>
    <w:rsid w:val="004C6ED9"/>
    <w:rsid w:val="004E0410"/>
    <w:rsid w:val="004E05E3"/>
    <w:rsid w:val="004E622D"/>
    <w:rsid w:val="004E6A45"/>
    <w:rsid w:val="005025E8"/>
    <w:rsid w:val="00503FBA"/>
    <w:rsid w:val="0051521F"/>
    <w:rsid w:val="00521ADE"/>
    <w:rsid w:val="00522BDB"/>
    <w:rsid w:val="005235E8"/>
    <w:rsid w:val="00523DD0"/>
    <w:rsid w:val="00524141"/>
    <w:rsid w:val="00525092"/>
    <w:rsid w:val="00540E4A"/>
    <w:rsid w:val="0054645B"/>
    <w:rsid w:val="005469A5"/>
    <w:rsid w:val="00551DE7"/>
    <w:rsid w:val="00552752"/>
    <w:rsid w:val="00554DF4"/>
    <w:rsid w:val="00555879"/>
    <w:rsid w:val="00556AC7"/>
    <w:rsid w:val="005709AA"/>
    <w:rsid w:val="00572BFA"/>
    <w:rsid w:val="00576BFA"/>
    <w:rsid w:val="0057714B"/>
    <w:rsid w:val="00577DF7"/>
    <w:rsid w:val="0058380F"/>
    <w:rsid w:val="005847B6"/>
    <w:rsid w:val="00590899"/>
    <w:rsid w:val="005A3057"/>
    <w:rsid w:val="005A59E3"/>
    <w:rsid w:val="005D6F99"/>
    <w:rsid w:val="005F7D5B"/>
    <w:rsid w:val="006010DB"/>
    <w:rsid w:val="006032CF"/>
    <w:rsid w:val="00604A0F"/>
    <w:rsid w:val="00617D4F"/>
    <w:rsid w:val="0062033A"/>
    <w:rsid w:val="0062051E"/>
    <w:rsid w:val="00626246"/>
    <w:rsid w:val="00626D8A"/>
    <w:rsid w:val="006312DA"/>
    <w:rsid w:val="00632B5D"/>
    <w:rsid w:val="006332D1"/>
    <w:rsid w:val="006336F9"/>
    <w:rsid w:val="00641061"/>
    <w:rsid w:val="0064135B"/>
    <w:rsid w:val="00642DDC"/>
    <w:rsid w:val="00647074"/>
    <w:rsid w:val="0064763A"/>
    <w:rsid w:val="00656783"/>
    <w:rsid w:val="006717B4"/>
    <w:rsid w:val="00683A4B"/>
    <w:rsid w:val="006863F6"/>
    <w:rsid w:val="00693601"/>
    <w:rsid w:val="006945E8"/>
    <w:rsid w:val="00696234"/>
    <w:rsid w:val="006A214B"/>
    <w:rsid w:val="006A60CE"/>
    <w:rsid w:val="006A686C"/>
    <w:rsid w:val="006B2F05"/>
    <w:rsid w:val="006C6A4B"/>
    <w:rsid w:val="006D33FB"/>
    <w:rsid w:val="006E7A14"/>
    <w:rsid w:val="00714B0C"/>
    <w:rsid w:val="00721533"/>
    <w:rsid w:val="0072348A"/>
    <w:rsid w:val="00736CA5"/>
    <w:rsid w:val="00743E7F"/>
    <w:rsid w:val="007467AD"/>
    <w:rsid w:val="00761428"/>
    <w:rsid w:val="00761F3B"/>
    <w:rsid w:val="00780283"/>
    <w:rsid w:val="00786C22"/>
    <w:rsid w:val="0079357C"/>
    <w:rsid w:val="00795C34"/>
    <w:rsid w:val="007A386A"/>
    <w:rsid w:val="007A395B"/>
    <w:rsid w:val="007A5F6D"/>
    <w:rsid w:val="007A7D47"/>
    <w:rsid w:val="007A7FCC"/>
    <w:rsid w:val="007C1FF6"/>
    <w:rsid w:val="007C2A08"/>
    <w:rsid w:val="007C2ADF"/>
    <w:rsid w:val="007C6E6F"/>
    <w:rsid w:val="007D07C0"/>
    <w:rsid w:val="007D61CA"/>
    <w:rsid w:val="007D7D66"/>
    <w:rsid w:val="007F0AB8"/>
    <w:rsid w:val="007F66BD"/>
    <w:rsid w:val="00802D62"/>
    <w:rsid w:val="00804524"/>
    <w:rsid w:val="0080576B"/>
    <w:rsid w:val="00812D28"/>
    <w:rsid w:val="0081622D"/>
    <w:rsid w:val="0082488C"/>
    <w:rsid w:val="00831453"/>
    <w:rsid w:val="00833ACA"/>
    <w:rsid w:val="0083732B"/>
    <w:rsid w:val="0084373C"/>
    <w:rsid w:val="00843E09"/>
    <w:rsid w:val="00844067"/>
    <w:rsid w:val="008500DD"/>
    <w:rsid w:val="00863654"/>
    <w:rsid w:val="00872B35"/>
    <w:rsid w:val="00880634"/>
    <w:rsid w:val="00881E0F"/>
    <w:rsid w:val="00886507"/>
    <w:rsid w:val="00890F41"/>
    <w:rsid w:val="00896F03"/>
    <w:rsid w:val="008979A7"/>
    <w:rsid w:val="00897EB7"/>
    <w:rsid w:val="008A2943"/>
    <w:rsid w:val="008A40AE"/>
    <w:rsid w:val="008A6B9C"/>
    <w:rsid w:val="008B03AE"/>
    <w:rsid w:val="008B3F4C"/>
    <w:rsid w:val="008B6DBD"/>
    <w:rsid w:val="008B717E"/>
    <w:rsid w:val="008C5FD4"/>
    <w:rsid w:val="008C7385"/>
    <w:rsid w:val="008E2386"/>
    <w:rsid w:val="008E54A2"/>
    <w:rsid w:val="008F1673"/>
    <w:rsid w:val="00903264"/>
    <w:rsid w:val="00926501"/>
    <w:rsid w:val="00926DA3"/>
    <w:rsid w:val="009272F2"/>
    <w:rsid w:val="009279A0"/>
    <w:rsid w:val="009322F6"/>
    <w:rsid w:val="00933F4A"/>
    <w:rsid w:val="00934176"/>
    <w:rsid w:val="00937918"/>
    <w:rsid w:val="00943E67"/>
    <w:rsid w:val="00953DD9"/>
    <w:rsid w:val="00953F55"/>
    <w:rsid w:val="0095573E"/>
    <w:rsid w:val="009613CD"/>
    <w:rsid w:val="00980CC5"/>
    <w:rsid w:val="00981F22"/>
    <w:rsid w:val="009844AF"/>
    <w:rsid w:val="009935DB"/>
    <w:rsid w:val="0099547A"/>
    <w:rsid w:val="009B26DA"/>
    <w:rsid w:val="009B71DE"/>
    <w:rsid w:val="009C09ED"/>
    <w:rsid w:val="009C0DF4"/>
    <w:rsid w:val="009C39DF"/>
    <w:rsid w:val="009D0E33"/>
    <w:rsid w:val="009D4491"/>
    <w:rsid w:val="009D5589"/>
    <w:rsid w:val="009E7BBE"/>
    <w:rsid w:val="009F36DE"/>
    <w:rsid w:val="00A05DBC"/>
    <w:rsid w:val="00A13748"/>
    <w:rsid w:val="00A2196A"/>
    <w:rsid w:val="00A252F7"/>
    <w:rsid w:val="00A274A7"/>
    <w:rsid w:val="00A31CB5"/>
    <w:rsid w:val="00A33E1C"/>
    <w:rsid w:val="00A435F1"/>
    <w:rsid w:val="00A55392"/>
    <w:rsid w:val="00A64C67"/>
    <w:rsid w:val="00A91634"/>
    <w:rsid w:val="00AA1F99"/>
    <w:rsid w:val="00AA6072"/>
    <w:rsid w:val="00AA7E68"/>
    <w:rsid w:val="00AB2676"/>
    <w:rsid w:val="00AB2EE9"/>
    <w:rsid w:val="00AB53F4"/>
    <w:rsid w:val="00AC2338"/>
    <w:rsid w:val="00AC5C66"/>
    <w:rsid w:val="00AD293D"/>
    <w:rsid w:val="00B003C9"/>
    <w:rsid w:val="00B02045"/>
    <w:rsid w:val="00B10619"/>
    <w:rsid w:val="00B10782"/>
    <w:rsid w:val="00B15CE1"/>
    <w:rsid w:val="00B17F8A"/>
    <w:rsid w:val="00B306B2"/>
    <w:rsid w:val="00B40551"/>
    <w:rsid w:val="00B43C40"/>
    <w:rsid w:val="00B46BEB"/>
    <w:rsid w:val="00B471B6"/>
    <w:rsid w:val="00B51C68"/>
    <w:rsid w:val="00B53032"/>
    <w:rsid w:val="00B574F0"/>
    <w:rsid w:val="00B72650"/>
    <w:rsid w:val="00B72F69"/>
    <w:rsid w:val="00B7695E"/>
    <w:rsid w:val="00B85197"/>
    <w:rsid w:val="00B865E0"/>
    <w:rsid w:val="00B87784"/>
    <w:rsid w:val="00B90E4A"/>
    <w:rsid w:val="00B90F81"/>
    <w:rsid w:val="00B93ECD"/>
    <w:rsid w:val="00B952DF"/>
    <w:rsid w:val="00B97DAB"/>
    <w:rsid w:val="00BA2B3A"/>
    <w:rsid w:val="00BA5345"/>
    <w:rsid w:val="00BA5683"/>
    <w:rsid w:val="00BB35BF"/>
    <w:rsid w:val="00BC013E"/>
    <w:rsid w:val="00BC5593"/>
    <w:rsid w:val="00BD06C7"/>
    <w:rsid w:val="00BD0BCE"/>
    <w:rsid w:val="00BE0CFD"/>
    <w:rsid w:val="00BE4E1D"/>
    <w:rsid w:val="00C02044"/>
    <w:rsid w:val="00C029FC"/>
    <w:rsid w:val="00C04EE8"/>
    <w:rsid w:val="00C116D9"/>
    <w:rsid w:val="00C139CF"/>
    <w:rsid w:val="00C14BFD"/>
    <w:rsid w:val="00C17943"/>
    <w:rsid w:val="00C31147"/>
    <w:rsid w:val="00C35476"/>
    <w:rsid w:val="00C36E6C"/>
    <w:rsid w:val="00C37924"/>
    <w:rsid w:val="00C46D4A"/>
    <w:rsid w:val="00C47814"/>
    <w:rsid w:val="00C509AC"/>
    <w:rsid w:val="00C51651"/>
    <w:rsid w:val="00C677D5"/>
    <w:rsid w:val="00C7124C"/>
    <w:rsid w:val="00C71645"/>
    <w:rsid w:val="00C71A9E"/>
    <w:rsid w:val="00C7424B"/>
    <w:rsid w:val="00C76AA8"/>
    <w:rsid w:val="00C804BA"/>
    <w:rsid w:val="00C81727"/>
    <w:rsid w:val="00C82419"/>
    <w:rsid w:val="00C83693"/>
    <w:rsid w:val="00C83EF9"/>
    <w:rsid w:val="00C84088"/>
    <w:rsid w:val="00C8652D"/>
    <w:rsid w:val="00C865F3"/>
    <w:rsid w:val="00C90262"/>
    <w:rsid w:val="00C9241B"/>
    <w:rsid w:val="00C94379"/>
    <w:rsid w:val="00C967DA"/>
    <w:rsid w:val="00CA5117"/>
    <w:rsid w:val="00CA70EE"/>
    <w:rsid w:val="00CB2870"/>
    <w:rsid w:val="00CB54E4"/>
    <w:rsid w:val="00CB76E3"/>
    <w:rsid w:val="00CD61BD"/>
    <w:rsid w:val="00CE48FD"/>
    <w:rsid w:val="00CE5311"/>
    <w:rsid w:val="00CF0855"/>
    <w:rsid w:val="00D01200"/>
    <w:rsid w:val="00D1503E"/>
    <w:rsid w:val="00D160E5"/>
    <w:rsid w:val="00D214BB"/>
    <w:rsid w:val="00D26CBB"/>
    <w:rsid w:val="00D31B01"/>
    <w:rsid w:val="00D33E70"/>
    <w:rsid w:val="00D43BA6"/>
    <w:rsid w:val="00D46AF3"/>
    <w:rsid w:val="00D70251"/>
    <w:rsid w:val="00D86C91"/>
    <w:rsid w:val="00D936A9"/>
    <w:rsid w:val="00D95B5A"/>
    <w:rsid w:val="00DB297F"/>
    <w:rsid w:val="00DD0E81"/>
    <w:rsid w:val="00DD19F2"/>
    <w:rsid w:val="00DD4229"/>
    <w:rsid w:val="00DE4316"/>
    <w:rsid w:val="00DE7F41"/>
    <w:rsid w:val="00DF0DFC"/>
    <w:rsid w:val="00DF28F4"/>
    <w:rsid w:val="00DF307B"/>
    <w:rsid w:val="00DF3F8E"/>
    <w:rsid w:val="00DF417E"/>
    <w:rsid w:val="00DF627D"/>
    <w:rsid w:val="00DF73E3"/>
    <w:rsid w:val="00E13434"/>
    <w:rsid w:val="00E22460"/>
    <w:rsid w:val="00E2480B"/>
    <w:rsid w:val="00E35B0D"/>
    <w:rsid w:val="00E439AD"/>
    <w:rsid w:val="00E46AE8"/>
    <w:rsid w:val="00E47A1D"/>
    <w:rsid w:val="00E503C7"/>
    <w:rsid w:val="00E51549"/>
    <w:rsid w:val="00E51AEB"/>
    <w:rsid w:val="00E53BFC"/>
    <w:rsid w:val="00E56157"/>
    <w:rsid w:val="00E60DEC"/>
    <w:rsid w:val="00E64C06"/>
    <w:rsid w:val="00E65851"/>
    <w:rsid w:val="00E676DF"/>
    <w:rsid w:val="00E8385B"/>
    <w:rsid w:val="00E841FF"/>
    <w:rsid w:val="00E84A94"/>
    <w:rsid w:val="00E903E0"/>
    <w:rsid w:val="00EA068C"/>
    <w:rsid w:val="00EA5DF4"/>
    <w:rsid w:val="00EB2013"/>
    <w:rsid w:val="00EB6540"/>
    <w:rsid w:val="00EC040E"/>
    <w:rsid w:val="00EC16C5"/>
    <w:rsid w:val="00EC6CF3"/>
    <w:rsid w:val="00ED64C2"/>
    <w:rsid w:val="00ED6BE4"/>
    <w:rsid w:val="00EE1F39"/>
    <w:rsid w:val="00F0088F"/>
    <w:rsid w:val="00F03E1A"/>
    <w:rsid w:val="00F17CEB"/>
    <w:rsid w:val="00F211A6"/>
    <w:rsid w:val="00F229DD"/>
    <w:rsid w:val="00F446AE"/>
    <w:rsid w:val="00F649B0"/>
    <w:rsid w:val="00F82311"/>
    <w:rsid w:val="00F86BF8"/>
    <w:rsid w:val="00F908DE"/>
    <w:rsid w:val="00FC2C9E"/>
    <w:rsid w:val="00FC32A5"/>
    <w:rsid w:val="00FD0409"/>
    <w:rsid w:val="00FD1A6A"/>
    <w:rsid w:val="00FD3E44"/>
    <w:rsid w:val="00FD4A12"/>
    <w:rsid w:val="00FE4E98"/>
    <w:rsid w:val="00FF0BE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DE9F1C"/>
  <w15:docId w15:val="{26EE017E-4243-440D-BC1B-65C244850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6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43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3C40"/>
    <w:rPr>
      <w:rFonts w:ascii="Tahoma" w:hAnsi="Tahoma" w:cs="Tahoma"/>
      <w:sz w:val="16"/>
      <w:szCs w:val="16"/>
    </w:rPr>
  </w:style>
  <w:style w:type="paragraph" w:styleId="Header">
    <w:name w:val="header"/>
    <w:basedOn w:val="Normal"/>
    <w:link w:val="HeaderChar"/>
    <w:uiPriority w:val="99"/>
    <w:unhideWhenUsed/>
    <w:rsid w:val="00C81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727"/>
  </w:style>
  <w:style w:type="paragraph" w:styleId="Footer">
    <w:name w:val="footer"/>
    <w:basedOn w:val="Normal"/>
    <w:link w:val="FooterChar"/>
    <w:uiPriority w:val="99"/>
    <w:unhideWhenUsed/>
    <w:rsid w:val="00C81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727"/>
  </w:style>
  <w:style w:type="paragraph" w:styleId="ListParagraph">
    <w:name w:val="List Paragraph"/>
    <w:basedOn w:val="Normal"/>
    <w:link w:val="ListParagraphChar"/>
    <w:uiPriority w:val="1"/>
    <w:qFormat/>
    <w:rsid w:val="00B51C68"/>
    <w:pPr>
      <w:ind w:left="720"/>
      <w:contextualSpacing/>
    </w:pPr>
  </w:style>
  <w:style w:type="character" w:styleId="Hyperlink">
    <w:name w:val="Hyperlink"/>
    <w:basedOn w:val="DefaultParagraphFont"/>
    <w:uiPriority w:val="99"/>
    <w:unhideWhenUsed/>
    <w:rsid w:val="00804524"/>
    <w:rPr>
      <w:color w:val="0000FF" w:themeColor="hyperlink"/>
      <w:u w:val="single"/>
    </w:rPr>
  </w:style>
  <w:style w:type="character" w:styleId="UnresolvedMention">
    <w:name w:val="Unresolved Mention"/>
    <w:basedOn w:val="DefaultParagraphFont"/>
    <w:uiPriority w:val="99"/>
    <w:semiHidden/>
    <w:unhideWhenUsed/>
    <w:rsid w:val="00804524"/>
    <w:rPr>
      <w:color w:val="605E5C"/>
      <w:shd w:val="clear" w:color="auto" w:fill="E1DFDD"/>
    </w:rPr>
  </w:style>
  <w:style w:type="table" w:styleId="TableGrid">
    <w:name w:val="Table Grid"/>
    <w:basedOn w:val="TableNormal"/>
    <w:uiPriority w:val="59"/>
    <w:rsid w:val="00404FE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
    <w:name w:val="Body Text"/>
    <w:basedOn w:val="Normal"/>
    <w:link w:val="BodyTextChar"/>
    <w:uiPriority w:val="1"/>
    <w:qFormat/>
    <w:rsid w:val="005D6F99"/>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5D6F99"/>
    <w:rPr>
      <w:rFonts w:ascii="Arial" w:eastAsia="Arial" w:hAnsi="Arial" w:cs="Arial"/>
    </w:rPr>
  </w:style>
  <w:style w:type="character" w:customStyle="1" w:styleId="ListParagraphChar">
    <w:name w:val="List Paragraph Char"/>
    <w:basedOn w:val="DefaultParagraphFont"/>
    <w:link w:val="ListParagraph"/>
    <w:uiPriority w:val="1"/>
    <w:rsid w:val="005D6F99"/>
  </w:style>
  <w:style w:type="paragraph" w:customStyle="1" w:styleId="Listparag">
    <w:name w:val="List parag"/>
    <w:basedOn w:val="ListParagraph"/>
    <w:link w:val="ListparagChar"/>
    <w:qFormat/>
    <w:rsid w:val="005D6F99"/>
    <w:pPr>
      <w:numPr>
        <w:numId w:val="18"/>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5D6F99"/>
    <w:rPr>
      <w:rFonts w:ascii="Arial" w:eastAsia="Times New Roman" w:hAnsi="Arial" w:cs="Arial"/>
      <w:szCs w:val="24"/>
      <w:lang w:eastAsia="en-GB"/>
    </w:rPr>
  </w:style>
  <w:style w:type="paragraph" w:customStyle="1" w:styleId="Nornal">
    <w:name w:val="Nornal"/>
    <w:basedOn w:val="Normal"/>
    <w:link w:val="NornalChar"/>
    <w:qFormat/>
    <w:rsid w:val="005D6F99"/>
    <w:pPr>
      <w:spacing w:after="160" w:line="264" w:lineRule="auto"/>
    </w:pPr>
    <w:rPr>
      <w:rFonts w:ascii="Arial" w:hAnsi="Arial" w:cs="Arial"/>
    </w:rPr>
  </w:style>
  <w:style w:type="character" w:customStyle="1" w:styleId="NornalChar">
    <w:name w:val="Nornal Char"/>
    <w:basedOn w:val="DefaultParagraphFont"/>
    <w:link w:val="Nornal"/>
    <w:rsid w:val="005D6F99"/>
    <w:rPr>
      <w:rFonts w:ascii="Arial" w:hAnsi="Arial" w:cs="Arial"/>
    </w:rPr>
  </w:style>
  <w:style w:type="paragraph" w:styleId="Caption">
    <w:name w:val="caption"/>
    <w:basedOn w:val="Normal"/>
    <w:next w:val="Normal"/>
    <w:uiPriority w:val="35"/>
    <w:unhideWhenUsed/>
    <w:qFormat/>
    <w:rsid w:val="005D6F99"/>
    <w:pPr>
      <w:widowControl w:val="0"/>
      <w:autoSpaceDE w:val="0"/>
      <w:autoSpaceDN w:val="0"/>
      <w:spacing w:line="240" w:lineRule="auto"/>
    </w:pPr>
    <w:rPr>
      <w:rFonts w:ascii="Arial" w:eastAsia="Arial" w:hAnsi="Arial" w:cs="Arial"/>
      <w:i/>
      <w:iCs/>
      <w:color w:val="1F497D" w:themeColor="text2"/>
      <w:sz w:val="18"/>
      <w:szCs w:val="18"/>
    </w:rPr>
  </w:style>
  <w:style w:type="paragraph" w:styleId="NormalWeb">
    <w:name w:val="Normal (Web)"/>
    <w:basedOn w:val="Normal"/>
    <w:uiPriority w:val="99"/>
    <w:semiHidden/>
    <w:unhideWhenUsed/>
    <w:rsid w:val="007C6E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555879"/>
    <w:rPr>
      <w:sz w:val="16"/>
      <w:szCs w:val="16"/>
    </w:rPr>
  </w:style>
  <w:style w:type="paragraph" w:styleId="CommentText">
    <w:name w:val="annotation text"/>
    <w:basedOn w:val="Normal"/>
    <w:link w:val="CommentTextChar"/>
    <w:uiPriority w:val="99"/>
    <w:unhideWhenUsed/>
    <w:rsid w:val="00555879"/>
    <w:pPr>
      <w:spacing w:line="240" w:lineRule="auto"/>
    </w:pPr>
    <w:rPr>
      <w:sz w:val="20"/>
      <w:szCs w:val="20"/>
    </w:rPr>
  </w:style>
  <w:style w:type="character" w:customStyle="1" w:styleId="CommentTextChar">
    <w:name w:val="Comment Text Char"/>
    <w:basedOn w:val="DefaultParagraphFont"/>
    <w:link w:val="CommentText"/>
    <w:uiPriority w:val="99"/>
    <w:rsid w:val="00555879"/>
    <w:rPr>
      <w:sz w:val="20"/>
      <w:szCs w:val="20"/>
    </w:rPr>
  </w:style>
  <w:style w:type="paragraph" w:styleId="CommentSubject">
    <w:name w:val="annotation subject"/>
    <w:basedOn w:val="CommentText"/>
    <w:next w:val="CommentText"/>
    <w:link w:val="CommentSubjectChar"/>
    <w:uiPriority w:val="99"/>
    <w:semiHidden/>
    <w:unhideWhenUsed/>
    <w:rsid w:val="00555879"/>
    <w:rPr>
      <w:b/>
      <w:bCs/>
    </w:rPr>
  </w:style>
  <w:style w:type="character" w:customStyle="1" w:styleId="CommentSubjectChar">
    <w:name w:val="Comment Subject Char"/>
    <w:basedOn w:val="CommentTextChar"/>
    <w:link w:val="CommentSubject"/>
    <w:uiPriority w:val="99"/>
    <w:semiHidden/>
    <w:rsid w:val="00555879"/>
    <w:rPr>
      <w:b/>
      <w:bCs/>
      <w:sz w:val="20"/>
      <w:szCs w:val="20"/>
    </w:rPr>
  </w:style>
  <w:style w:type="paragraph" w:styleId="Revision">
    <w:name w:val="Revision"/>
    <w:hidden/>
    <w:uiPriority w:val="99"/>
    <w:semiHidden/>
    <w:rsid w:val="00D95B5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2473254">
      <w:bodyDiv w:val="1"/>
      <w:marLeft w:val="0"/>
      <w:marRight w:val="0"/>
      <w:marTop w:val="0"/>
      <w:marBottom w:val="0"/>
      <w:divBdr>
        <w:top w:val="none" w:sz="0" w:space="0" w:color="auto"/>
        <w:left w:val="none" w:sz="0" w:space="0" w:color="auto"/>
        <w:bottom w:val="none" w:sz="0" w:space="0" w:color="auto"/>
        <w:right w:val="none" w:sz="0" w:space="0" w:color="auto"/>
      </w:divBdr>
    </w:div>
    <w:div w:id="356466132">
      <w:bodyDiv w:val="1"/>
      <w:marLeft w:val="0"/>
      <w:marRight w:val="0"/>
      <w:marTop w:val="0"/>
      <w:marBottom w:val="0"/>
      <w:divBdr>
        <w:top w:val="none" w:sz="0" w:space="0" w:color="auto"/>
        <w:left w:val="none" w:sz="0" w:space="0" w:color="auto"/>
        <w:bottom w:val="none" w:sz="0" w:space="0" w:color="auto"/>
        <w:right w:val="none" w:sz="0" w:space="0" w:color="auto"/>
      </w:divBdr>
    </w:div>
    <w:div w:id="540900195">
      <w:bodyDiv w:val="1"/>
      <w:marLeft w:val="0"/>
      <w:marRight w:val="0"/>
      <w:marTop w:val="0"/>
      <w:marBottom w:val="0"/>
      <w:divBdr>
        <w:top w:val="none" w:sz="0" w:space="0" w:color="auto"/>
        <w:left w:val="none" w:sz="0" w:space="0" w:color="auto"/>
        <w:bottom w:val="none" w:sz="0" w:space="0" w:color="auto"/>
        <w:right w:val="none" w:sz="0" w:space="0" w:color="auto"/>
      </w:divBdr>
    </w:div>
    <w:div w:id="761343421">
      <w:bodyDiv w:val="1"/>
      <w:marLeft w:val="0"/>
      <w:marRight w:val="0"/>
      <w:marTop w:val="0"/>
      <w:marBottom w:val="0"/>
      <w:divBdr>
        <w:top w:val="none" w:sz="0" w:space="0" w:color="auto"/>
        <w:left w:val="none" w:sz="0" w:space="0" w:color="auto"/>
        <w:bottom w:val="none" w:sz="0" w:space="0" w:color="auto"/>
        <w:right w:val="none" w:sz="0" w:space="0" w:color="auto"/>
      </w:divBdr>
    </w:div>
    <w:div w:id="890113555">
      <w:bodyDiv w:val="1"/>
      <w:marLeft w:val="0"/>
      <w:marRight w:val="0"/>
      <w:marTop w:val="0"/>
      <w:marBottom w:val="0"/>
      <w:divBdr>
        <w:top w:val="none" w:sz="0" w:space="0" w:color="auto"/>
        <w:left w:val="none" w:sz="0" w:space="0" w:color="auto"/>
        <w:bottom w:val="none" w:sz="0" w:space="0" w:color="auto"/>
        <w:right w:val="none" w:sz="0" w:space="0" w:color="auto"/>
      </w:divBdr>
    </w:div>
    <w:div w:id="1194418984">
      <w:bodyDiv w:val="1"/>
      <w:marLeft w:val="0"/>
      <w:marRight w:val="0"/>
      <w:marTop w:val="0"/>
      <w:marBottom w:val="0"/>
      <w:divBdr>
        <w:top w:val="none" w:sz="0" w:space="0" w:color="auto"/>
        <w:left w:val="none" w:sz="0" w:space="0" w:color="auto"/>
        <w:bottom w:val="none" w:sz="0" w:space="0" w:color="auto"/>
        <w:right w:val="none" w:sz="0" w:space="0" w:color="auto"/>
      </w:divBdr>
    </w:div>
    <w:div w:id="1366640064">
      <w:bodyDiv w:val="1"/>
      <w:marLeft w:val="0"/>
      <w:marRight w:val="0"/>
      <w:marTop w:val="0"/>
      <w:marBottom w:val="0"/>
      <w:divBdr>
        <w:top w:val="none" w:sz="0" w:space="0" w:color="auto"/>
        <w:left w:val="none" w:sz="0" w:space="0" w:color="auto"/>
        <w:bottom w:val="none" w:sz="0" w:space="0" w:color="auto"/>
        <w:right w:val="none" w:sz="0" w:space="0" w:color="auto"/>
      </w:divBdr>
    </w:div>
    <w:div w:id="1561210984">
      <w:bodyDiv w:val="1"/>
      <w:marLeft w:val="0"/>
      <w:marRight w:val="0"/>
      <w:marTop w:val="0"/>
      <w:marBottom w:val="0"/>
      <w:divBdr>
        <w:top w:val="none" w:sz="0" w:space="0" w:color="auto"/>
        <w:left w:val="none" w:sz="0" w:space="0" w:color="auto"/>
        <w:bottom w:val="none" w:sz="0" w:space="0" w:color="auto"/>
        <w:right w:val="none" w:sz="0" w:space="0" w:color="auto"/>
      </w:divBdr>
    </w:div>
    <w:div w:id="2071269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04dd535-e76e-46af-aca9-12f988e15a73" xsi:nil="true"/>
    <lcf76f155ced4ddcb4097134ff3c332f xmlns="0970e685-9bb0-486a-a631-6a9e6fa33b58">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F3FFA021D4B834FB2E8B2EC812F07BE" ma:contentTypeVersion="19" ma:contentTypeDescription="Create a new document." ma:contentTypeScope="" ma:versionID="81079835278f0e7ea43e6a65287a1ec9">
  <xsd:schema xmlns:xsd="http://www.w3.org/2001/XMLSchema" xmlns:xs="http://www.w3.org/2001/XMLSchema" xmlns:p="http://schemas.microsoft.com/office/2006/metadata/properties" xmlns:ns2="0970e685-9bb0-486a-a631-6a9e6fa33b58" xmlns:ns3="804dd535-e76e-46af-aca9-12f988e15a73" targetNamespace="http://schemas.microsoft.com/office/2006/metadata/properties" ma:root="true" ma:fieldsID="98887bb607e267c42d63c7e072c3e3f5" ns2:_="" ns3:_="">
    <xsd:import namespace="0970e685-9bb0-486a-a631-6a9e6fa33b58"/>
    <xsd:import namespace="804dd535-e76e-46af-aca9-12f988e15a73"/>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970e685-9bb0-486a-a631-6a9e6fa33b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cf7af5d-849d-4c04-83be-e9fafe00bcd2"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4dd535-e76e-46af-aca9-12f988e15a73" elementFormDefault="qualified">
    <xsd:import namespace="http://schemas.microsoft.com/office/2006/documentManagement/types"/>
    <xsd:import namespace="http://schemas.microsoft.com/office/infopath/2007/PartnerControls"/>
    <xsd:element name="SharedWithUsers" ma:index="16" nillable="true" ma:displayName="Shared With" ma:SearchPeopleOnly="false" ma:SharePointGroup="0" ma:internalName="SharedWithUsers" ma:readOnly="true" ma:showField="ImnNam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3c7fa1b-87e3-4228-9c89-8b29da2cd3c9}" ma:internalName="TaxCatchAll" ma:showField="CatchAllData" ma:web="804dd535-e76e-46af-aca9-12f988e15a7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4"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AA50E5-29B4-4F95-8878-150C55CD4DB5}">
  <ds:schemaRefs>
    <ds:schemaRef ds:uri="http://schemas.microsoft.com/office/2006/metadata/properties"/>
    <ds:schemaRef ds:uri="http://schemas.microsoft.com/office/infopath/2007/PartnerControls"/>
    <ds:schemaRef ds:uri="804dd535-e76e-46af-aca9-12f988e15a73"/>
    <ds:schemaRef ds:uri="0970e685-9bb0-486a-a631-6a9e6fa33b58"/>
  </ds:schemaRefs>
</ds:datastoreItem>
</file>

<file path=customXml/itemProps2.xml><?xml version="1.0" encoding="utf-8"?>
<ds:datastoreItem xmlns:ds="http://schemas.openxmlformats.org/officeDocument/2006/customXml" ds:itemID="{A2361014-0BCE-46AB-9B95-40450913804D}">
  <ds:schemaRefs>
    <ds:schemaRef ds:uri="http://schemas.microsoft.com/sharepoint/v3/contenttype/forms"/>
  </ds:schemaRefs>
</ds:datastoreItem>
</file>

<file path=customXml/itemProps3.xml><?xml version="1.0" encoding="utf-8"?>
<ds:datastoreItem xmlns:ds="http://schemas.openxmlformats.org/officeDocument/2006/customXml" ds:itemID="{09E94952-2542-4FFC-851B-CC9CA1491B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970e685-9bb0-486a-a631-6a9e6fa33b58"/>
    <ds:schemaRef ds:uri="804dd535-e76e-46af-aca9-12f988e15a7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DDD222E-F756-4E1A-9DB9-893750B6A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3846</Words>
  <Characters>21926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zsu</dc:creator>
  <cp:lastModifiedBy>Nefyn Cardwell</cp:lastModifiedBy>
  <cp:revision>2</cp:revision>
  <cp:lastPrinted>2010-10-26T14:35:00Z</cp:lastPrinted>
  <dcterms:created xsi:type="dcterms:W3CDTF">2024-10-02T18:35:00Z</dcterms:created>
  <dcterms:modified xsi:type="dcterms:W3CDTF">2024-10-02T18:35:00Z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0x010100DF3FFA021D4B834FB2E8B2EC812F07BE</vt:lpwstr>
  </property>
</Properties>
</file>