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B5DC0F" w14:textId="77777777" w:rsidR="00767B6D" w:rsidRDefault="00767B6D" w:rsidP="00CA5719">
      <w:pPr>
        <w:spacing w:before="100" w:beforeAutospacing="1" w:after="100" w:afterAutospacing="1" w:line="360" w:lineRule="auto"/>
        <w:jc w:val="both"/>
        <w:outlineLvl w:val="0"/>
        <w:rPr>
          <w:rFonts w:eastAsia="Times New Roman"/>
          <w:b/>
          <w:bCs/>
          <w:kern w:val="36"/>
          <w:lang w:eastAsia="en-GB"/>
          <w14:ligatures w14:val="none"/>
        </w:rPr>
      </w:pPr>
    </w:p>
    <w:p w14:paraId="6211FBF0" w14:textId="77777777" w:rsidR="00767B6D" w:rsidRDefault="00767B6D" w:rsidP="00CA5719">
      <w:pPr>
        <w:spacing w:before="100" w:beforeAutospacing="1" w:after="100" w:afterAutospacing="1" w:line="360" w:lineRule="auto"/>
        <w:jc w:val="both"/>
        <w:outlineLvl w:val="0"/>
        <w:rPr>
          <w:rFonts w:eastAsia="Times New Roman"/>
          <w:b/>
          <w:bCs/>
          <w:kern w:val="36"/>
          <w:lang w:eastAsia="en-GB"/>
          <w14:ligatures w14:val="none"/>
        </w:rPr>
      </w:pPr>
    </w:p>
    <w:p w14:paraId="4878E47B" w14:textId="77777777" w:rsidR="00767B6D" w:rsidRDefault="00767B6D" w:rsidP="00CA5719">
      <w:pPr>
        <w:spacing w:before="100" w:beforeAutospacing="1" w:after="100" w:afterAutospacing="1" w:line="360" w:lineRule="auto"/>
        <w:jc w:val="both"/>
        <w:outlineLvl w:val="0"/>
        <w:rPr>
          <w:rFonts w:eastAsia="Times New Roman"/>
          <w:b/>
          <w:bCs/>
          <w:kern w:val="36"/>
          <w:lang w:eastAsia="en-GB"/>
          <w14:ligatures w14:val="none"/>
        </w:rPr>
      </w:pPr>
    </w:p>
    <w:p w14:paraId="5B310C16" w14:textId="77777777" w:rsidR="00767B6D" w:rsidRDefault="00767B6D" w:rsidP="00CA5719">
      <w:pPr>
        <w:spacing w:before="100" w:beforeAutospacing="1" w:after="100" w:afterAutospacing="1" w:line="360" w:lineRule="auto"/>
        <w:jc w:val="both"/>
        <w:outlineLvl w:val="0"/>
        <w:rPr>
          <w:rFonts w:eastAsia="Times New Roman"/>
          <w:b/>
          <w:bCs/>
          <w:kern w:val="36"/>
          <w:lang w:eastAsia="en-GB"/>
          <w14:ligatures w14:val="none"/>
        </w:rPr>
      </w:pPr>
    </w:p>
    <w:p w14:paraId="53EB4C7B" w14:textId="77777777" w:rsidR="007E6DD2" w:rsidRDefault="007E6DD2" w:rsidP="00CA5719">
      <w:pPr>
        <w:spacing w:before="100" w:beforeAutospacing="1" w:after="100" w:afterAutospacing="1" w:line="360" w:lineRule="auto"/>
        <w:jc w:val="both"/>
        <w:outlineLvl w:val="0"/>
        <w:rPr>
          <w:rFonts w:eastAsia="Times New Roman"/>
          <w:b/>
          <w:bCs/>
          <w:kern w:val="36"/>
          <w:lang w:eastAsia="en-GB"/>
          <w14:ligatures w14:val="none"/>
        </w:rPr>
      </w:pPr>
    </w:p>
    <w:p w14:paraId="6A16EE31" w14:textId="77777777" w:rsidR="007E6DD2" w:rsidRDefault="007E6DD2" w:rsidP="00CA5719">
      <w:pPr>
        <w:spacing w:before="100" w:beforeAutospacing="1" w:after="100" w:afterAutospacing="1" w:line="360" w:lineRule="auto"/>
        <w:jc w:val="both"/>
        <w:outlineLvl w:val="0"/>
        <w:rPr>
          <w:rFonts w:eastAsia="Times New Roman"/>
          <w:b/>
          <w:bCs/>
          <w:kern w:val="36"/>
          <w:lang w:eastAsia="en-GB"/>
          <w14:ligatures w14:val="none"/>
        </w:rPr>
      </w:pPr>
    </w:p>
    <w:p w14:paraId="4196D547" w14:textId="77777777" w:rsidR="007E6DD2" w:rsidRPr="007E6DD2" w:rsidRDefault="007E6DD2" w:rsidP="003674FF">
      <w:pPr>
        <w:spacing w:before="100" w:beforeAutospacing="1" w:after="100" w:afterAutospacing="1" w:line="360" w:lineRule="auto"/>
        <w:jc w:val="both"/>
        <w:outlineLvl w:val="0"/>
        <w:rPr>
          <w:rFonts w:eastAsia="Times New Roman"/>
          <w:b/>
          <w:bCs/>
          <w:kern w:val="36"/>
          <w:sz w:val="18"/>
          <w:szCs w:val="18"/>
          <w:lang w:eastAsia="en-GB"/>
          <w14:ligatures w14:val="none"/>
        </w:rPr>
      </w:pPr>
    </w:p>
    <w:p w14:paraId="057F0A51" w14:textId="2FBEA2FA" w:rsidR="007E6DD2" w:rsidRPr="007E6DD2" w:rsidRDefault="007E6DD2" w:rsidP="003674FF">
      <w:pPr>
        <w:spacing w:line="360" w:lineRule="auto"/>
        <w:ind w:left="360"/>
        <w:jc w:val="both"/>
        <w:rPr>
          <w:b/>
          <w:bCs/>
          <w:sz w:val="24"/>
          <w:szCs w:val="24"/>
        </w:rPr>
      </w:pPr>
      <w:r w:rsidRPr="007E6DD2">
        <w:rPr>
          <w:b/>
          <w:bCs/>
          <w:sz w:val="24"/>
          <w:szCs w:val="24"/>
          <w:lang w:val="en-US"/>
        </w:rPr>
        <w:t xml:space="preserve">Student Name: </w:t>
      </w:r>
      <w:r w:rsidRPr="007E6DD2">
        <w:rPr>
          <w:b/>
          <w:bCs/>
          <w:sz w:val="24"/>
          <w:szCs w:val="24"/>
          <w:lang w:val="en-US"/>
        </w:rPr>
        <w:tab/>
      </w:r>
      <w:r w:rsidRPr="007E6DD2">
        <w:rPr>
          <w:b/>
          <w:bCs/>
          <w:sz w:val="24"/>
          <w:szCs w:val="24"/>
          <w:lang w:val="en-US"/>
        </w:rPr>
        <w:tab/>
        <w:t>Fateha Altafi</w:t>
      </w:r>
    </w:p>
    <w:p w14:paraId="75BB7916" w14:textId="6A3D79B0" w:rsidR="007E6DD2" w:rsidRPr="007E6DD2" w:rsidRDefault="007E6DD2" w:rsidP="003674FF">
      <w:pPr>
        <w:spacing w:line="360" w:lineRule="auto"/>
        <w:ind w:left="360"/>
        <w:jc w:val="both"/>
        <w:rPr>
          <w:b/>
          <w:bCs/>
          <w:sz w:val="24"/>
          <w:szCs w:val="24"/>
        </w:rPr>
      </w:pPr>
      <w:r w:rsidRPr="007E6DD2">
        <w:rPr>
          <w:b/>
          <w:bCs/>
          <w:sz w:val="24"/>
          <w:szCs w:val="24"/>
          <w:lang w:val="en-US"/>
        </w:rPr>
        <w:t>Student Number:</w:t>
      </w:r>
      <w:r w:rsidRPr="007E6DD2">
        <w:rPr>
          <w:b/>
          <w:bCs/>
          <w:sz w:val="24"/>
          <w:szCs w:val="24"/>
          <w:lang w:val="en-US"/>
        </w:rPr>
        <w:tab/>
        <w:t>2309157</w:t>
      </w:r>
    </w:p>
    <w:p w14:paraId="34213744" w14:textId="53723D89" w:rsidR="007E6DD2" w:rsidRPr="007E6DD2" w:rsidRDefault="007E6DD2" w:rsidP="003674FF">
      <w:pPr>
        <w:spacing w:line="360" w:lineRule="auto"/>
        <w:ind w:left="360"/>
        <w:jc w:val="both"/>
        <w:rPr>
          <w:b/>
          <w:bCs/>
          <w:sz w:val="24"/>
          <w:szCs w:val="24"/>
        </w:rPr>
      </w:pPr>
      <w:r w:rsidRPr="007E6DD2">
        <w:rPr>
          <w:b/>
          <w:bCs/>
          <w:sz w:val="24"/>
          <w:szCs w:val="24"/>
          <w:lang w:val="en-US"/>
        </w:rPr>
        <w:t xml:space="preserve">Lecturer’s Name: </w:t>
      </w:r>
      <w:r w:rsidRPr="007E6DD2">
        <w:rPr>
          <w:b/>
          <w:bCs/>
          <w:sz w:val="24"/>
          <w:szCs w:val="24"/>
          <w:lang w:val="en-US"/>
        </w:rPr>
        <w:tab/>
        <w:t>Philip Jones</w:t>
      </w:r>
    </w:p>
    <w:p w14:paraId="79520E15" w14:textId="015EE3CF" w:rsidR="007E6DD2" w:rsidRPr="007E6DD2" w:rsidRDefault="007E6DD2" w:rsidP="003674FF">
      <w:pPr>
        <w:spacing w:line="360" w:lineRule="auto"/>
        <w:ind w:left="360"/>
        <w:jc w:val="both"/>
        <w:rPr>
          <w:b/>
          <w:bCs/>
          <w:sz w:val="24"/>
          <w:szCs w:val="24"/>
        </w:rPr>
      </w:pPr>
      <w:r w:rsidRPr="007E6DD2">
        <w:rPr>
          <w:b/>
          <w:bCs/>
          <w:sz w:val="24"/>
          <w:szCs w:val="24"/>
          <w:lang w:val="en-US"/>
        </w:rPr>
        <w:t xml:space="preserve">Module:  </w:t>
      </w:r>
      <w:r w:rsidRPr="007E6DD2">
        <w:rPr>
          <w:b/>
          <w:bCs/>
          <w:sz w:val="24"/>
          <w:szCs w:val="24"/>
          <w:lang w:val="en-US"/>
        </w:rPr>
        <w:tab/>
      </w:r>
      <w:r w:rsidRPr="007E6DD2">
        <w:rPr>
          <w:b/>
          <w:bCs/>
          <w:sz w:val="24"/>
          <w:szCs w:val="24"/>
          <w:lang w:val="en-US"/>
        </w:rPr>
        <w:tab/>
      </w:r>
      <w:r>
        <w:rPr>
          <w:b/>
          <w:bCs/>
          <w:sz w:val="24"/>
          <w:szCs w:val="24"/>
          <w:lang w:val="en-US"/>
        </w:rPr>
        <w:t xml:space="preserve">      </w:t>
      </w:r>
      <w:r w:rsidR="003674FF">
        <w:rPr>
          <w:b/>
          <w:bCs/>
          <w:sz w:val="24"/>
          <w:szCs w:val="24"/>
          <w:lang w:val="en-US"/>
        </w:rPr>
        <w:t xml:space="preserve">     </w:t>
      </w:r>
      <w:r w:rsidRPr="007E6DD2">
        <w:rPr>
          <w:b/>
          <w:bCs/>
          <w:sz w:val="24"/>
          <w:szCs w:val="24"/>
          <w:lang w:val="en-US"/>
        </w:rPr>
        <w:t xml:space="preserve">Health, Wellbeing and Sustainable </w:t>
      </w:r>
      <w:r>
        <w:rPr>
          <w:b/>
          <w:bCs/>
          <w:sz w:val="24"/>
          <w:szCs w:val="24"/>
          <w:lang w:val="en-US"/>
        </w:rPr>
        <w:t>Development</w:t>
      </w:r>
      <w:r w:rsidRPr="007E6DD2">
        <w:rPr>
          <w:b/>
          <w:bCs/>
          <w:sz w:val="24"/>
          <w:szCs w:val="24"/>
          <w:lang w:val="en-US"/>
        </w:rPr>
        <w:t xml:space="preserve">                  </w:t>
      </w:r>
    </w:p>
    <w:p w14:paraId="5BF3286C" w14:textId="23479768" w:rsidR="007E6DD2" w:rsidRPr="007E6DD2" w:rsidRDefault="007E6DD2" w:rsidP="003674FF">
      <w:pPr>
        <w:spacing w:line="360" w:lineRule="auto"/>
        <w:ind w:left="360"/>
        <w:jc w:val="both"/>
        <w:rPr>
          <w:b/>
          <w:bCs/>
          <w:sz w:val="24"/>
          <w:szCs w:val="24"/>
        </w:rPr>
      </w:pPr>
      <w:r w:rsidRPr="007E6DD2">
        <w:rPr>
          <w:b/>
          <w:bCs/>
          <w:sz w:val="24"/>
          <w:szCs w:val="24"/>
          <w:lang w:val="en-US"/>
        </w:rPr>
        <w:t xml:space="preserve">Module Code: </w:t>
      </w:r>
      <w:r w:rsidRPr="007E6DD2">
        <w:rPr>
          <w:b/>
          <w:bCs/>
          <w:sz w:val="24"/>
          <w:szCs w:val="24"/>
          <w:lang w:val="en-US"/>
        </w:rPr>
        <w:tab/>
      </w:r>
      <w:r w:rsidRPr="007E6DD2">
        <w:rPr>
          <w:b/>
          <w:bCs/>
          <w:sz w:val="24"/>
          <w:szCs w:val="24"/>
          <w:lang w:val="en-US"/>
        </w:rPr>
        <w:tab/>
        <w:t>BMHP6030</w:t>
      </w:r>
    </w:p>
    <w:p w14:paraId="1A62AD8C" w14:textId="6AAD4280" w:rsidR="007E6DD2" w:rsidRPr="007E6DD2" w:rsidRDefault="007E6DD2" w:rsidP="003674FF">
      <w:pPr>
        <w:spacing w:line="360" w:lineRule="auto"/>
        <w:ind w:left="360"/>
        <w:jc w:val="both"/>
        <w:rPr>
          <w:b/>
          <w:bCs/>
          <w:sz w:val="24"/>
          <w:szCs w:val="24"/>
        </w:rPr>
      </w:pPr>
      <w:r w:rsidRPr="007E6DD2">
        <w:rPr>
          <w:b/>
          <w:bCs/>
          <w:sz w:val="24"/>
          <w:szCs w:val="24"/>
          <w:lang w:val="en-US"/>
        </w:rPr>
        <w:t xml:space="preserve">Assignment: </w:t>
      </w:r>
      <w:r w:rsidRPr="007E6DD2">
        <w:rPr>
          <w:b/>
          <w:bCs/>
          <w:sz w:val="24"/>
          <w:szCs w:val="24"/>
          <w:lang w:val="en-US"/>
        </w:rPr>
        <w:tab/>
      </w:r>
      <w:r w:rsidRPr="007E6DD2">
        <w:rPr>
          <w:b/>
          <w:bCs/>
          <w:sz w:val="24"/>
          <w:szCs w:val="24"/>
          <w:lang w:val="en-US"/>
        </w:rPr>
        <w:tab/>
        <w:t xml:space="preserve">Component 2: Report </w:t>
      </w:r>
    </w:p>
    <w:p w14:paraId="20D6B0E9" w14:textId="77777777" w:rsidR="00767B6D" w:rsidRDefault="00767B6D" w:rsidP="003674FF">
      <w:pPr>
        <w:spacing w:line="360" w:lineRule="auto"/>
        <w:jc w:val="both"/>
      </w:pPr>
    </w:p>
    <w:p w14:paraId="674D9456" w14:textId="77777777" w:rsidR="00767B6D" w:rsidRDefault="00767B6D" w:rsidP="00CA5719">
      <w:pPr>
        <w:spacing w:line="360" w:lineRule="auto"/>
        <w:jc w:val="both"/>
      </w:pPr>
    </w:p>
    <w:p w14:paraId="55282FC7" w14:textId="77777777" w:rsidR="00767B6D" w:rsidRDefault="00767B6D" w:rsidP="00CA5719">
      <w:pPr>
        <w:spacing w:before="100" w:beforeAutospacing="1" w:after="100" w:afterAutospacing="1" w:line="360" w:lineRule="auto"/>
        <w:jc w:val="both"/>
        <w:outlineLvl w:val="0"/>
        <w:rPr>
          <w:rFonts w:eastAsia="Times New Roman"/>
          <w:b/>
          <w:bCs/>
          <w:kern w:val="36"/>
          <w:lang w:eastAsia="en-GB"/>
          <w14:ligatures w14:val="none"/>
        </w:rPr>
      </w:pPr>
    </w:p>
    <w:p w14:paraId="661B3B60" w14:textId="77777777" w:rsidR="00767B6D" w:rsidRDefault="00767B6D" w:rsidP="00CA5719">
      <w:pPr>
        <w:spacing w:before="100" w:beforeAutospacing="1" w:after="100" w:afterAutospacing="1" w:line="360" w:lineRule="auto"/>
        <w:jc w:val="both"/>
        <w:outlineLvl w:val="0"/>
        <w:rPr>
          <w:rFonts w:eastAsia="Times New Roman"/>
          <w:b/>
          <w:bCs/>
          <w:kern w:val="36"/>
          <w:lang w:eastAsia="en-GB"/>
          <w14:ligatures w14:val="none"/>
        </w:rPr>
      </w:pPr>
    </w:p>
    <w:p w14:paraId="308AE5DD" w14:textId="77777777" w:rsidR="00767B6D" w:rsidRDefault="00767B6D" w:rsidP="00CA5719">
      <w:pPr>
        <w:spacing w:before="100" w:beforeAutospacing="1" w:after="100" w:afterAutospacing="1" w:line="360" w:lineRule="auto"/>
        <w:jc w:val="both"/>
        <w:outlineLvl w:val="0"/>
        <w:rPr>
          <w:rFonts w:eastAsia="Times New Roman"/>
          <w:b/>
          <w:bCs/>
          <w:kern w:val="36"/>
          <w:lang w:eastAsia="en-GB"/>
          <w14:ligatures w14:val="none"/>
        </w:rPr>
      </w:pPr>
    </w:p>
    <w:p w14:paraId="5D87F76F" w14:textId="77777777" w:rsidR="007E6DD2" w:rsidRDefault="007E6DD2" w:rsidP="00CA5719">
      <w:pPr>
        <w:spacing w:before="100" w:beforeAutospacing="1" w:after="100" w:afterAutospacing="1" w:line="360" w:lineRule="auto"/>
        <w:jc w:val="both"/>
        <w:outlineLvl w:val="0"/>
        <w:rPr>
          <w:rFonts w:eastAsia="Times New Roman"/>
          <w:b/>
          <w:bCs/>
          <w:kern w:val="36"/>
          <w:lang w:eastAsia="en-GB"/>
          <w14:ligatures w14:val="none"/>
        </w:rPr>
      </w:pPr>
    </w:p>
    <w:p w14:paraId="73E4C308" w14:textId="77777777" w:rsidR="007E6DD2" w:rsidRDefault="007E6DD2" w:rsidP="00CA5719">
      <w:pPr>
        <w:spacing w:before="100" w:beforeAutospacing="1" w:after="100" w:afterAutospacing="1" w:line="360" w:lineRule="auto"/>
        <w:jc w:val="both"/>
        <w:outlineLvl w:val="0"/>
        <w:rPr>
          <w:rFonts w:eastAsia="Times New Roman"/>
          <w:b/>
          <w:bCs/>
          <w:kern w:val="36"/>
          <w:lang w:eastAsia="en-GB"/>
          <w14:ligatures w14:val="none"/>
        </w:rPr>
      </w:pPr>
    </w:p>
    <w:p w14:paraId="39D3B0F9" w14:textId="495A841B" w:rsidR="00A70905" w:rsidRPr="00747303" w:rsidRDefault="00A70905" w:rsidP="00CA5719">
      <w:pPr>
        <w:spacing w:before="100" w:beforeAutospacing="1" w:after="100" w:afterAutospacing="1" w:line="360" w:lineRule="auto"/>
        <w:jc w:val="both"/>
        <w:outlineLvl w:val="0"/>
        <w:rPr>
          <w:rFonts w:eastAsia="Times New Roman"/>
          <w:b/>
          <w:bCs/>
          <w:kern w:val="36"/>
          <w:sz w:val="32"/>
          <w:szCs w:val="32"/>
          <w:lang w:eastAsia="en-GB"/>
          <w14:ligatures w14:val="none"/>
        </w:rPr>
      </w:pPr>
      <w:r w:rsidRPr="00747303">
        <w:rPr>
          <w:rFonts w:eastAsia="Times New Roman"/>
          <w:b/>
          <w:bCs/>
          <w:kern w:val="36"/>
          <w:sz w:val="32"/>
          <w:szCs w:val="32"/>
          <w:lang w:eastAsia="en-GB"/>
          <w14:ligatures w14:val="none"/>
        </w:rPr>
        <w:lastRenderedPageBreak/>
        <w:t>Critically Examining Health, Wellbeing and Sustainability Policies and Initiatives: An Analysis of SDG 3 (Good Health and Wellbeing) and SDG 10 (Reduced Inequalities)</w:t>
      </w:r>
    </w:p>
    <w:p w14:paraId="0939246A" w14:textId="77777777" w:rsidR="00A70905" w:rsidRPr="00747303" w:rsidRDefault="00A70905" w:rsidP="00CA5719">
      <w:pPr>
        <w:spacing w:before="100" w:beforeAutospacing="1" w:after="100" w:afterAutospacing="1" w:line="360" w:lineRule="auto"/>
        <w:jc w:val="both"/>
        <w:outlineLvl w:val="1"/>
        <w:rPr>
          <w:rFonts w:eastAsia="Times New Roman"/>
          <w:b/>
          <w:bCs/>
          <w:kern w:val="0"/>
          <w:sz w:val="28"/>
          <w:szCs w:val="28"/>
          <w:lang w:eastAsia="en-GB"/>
          <w14:ligatures w14:val="none"/>
        </w:rPr>
      </w:pPr>
      <w:r w:rsidRPr="00747303">
        <w:rPr>
          <w:rFonts w:eastAsia="Times New Roman"/>
          <w:b/>
          <w:bCs/>
          <w:kern w:val="0"/>
          <w:sz w:val="28"/>
          <w:szCs w:val="28"/>
          <w:lang w:eastAsia="en-GB"/>
          <w14:ligatures w14:val="none"/>
        </w:rPr>
        <w:t>Introduction</w:t>
      </w:r>
    </w:p>
    <w:p w14:paraId="50D6FCC1" w14:textId="77777777" w:rsidR="000B243E" w:rsidRPr="00D4509F" w:rsidRDefault="000B243E" w:rsidP="00CA5719">
      <w:pPr>
        <w:spacing w:before="100" w:beforeAutospacing="1" w:after="100" w:afterAutospacing="1" w:line="360" w:lineRule="auto"/>
        <w:jc w:val="both"/>
        <w:outlineLvl w:val="1"/>
        <w:rPr>
          <w:rFonts w:eastAsia="Times New Roman"/>
          <w:kern w:val="0"/>
          <w:lang w:eastAsia="en-GB"/>
          <w14:ligatures w14:val="none"/>
        </w:rPr>
      </w:pPr>
      <w:r w:rsidRPr="00D4509F">
        <w:rPr>
          <w:rFonts w:eastAsia="Times New Roman"/>
          <w:kern w:val="0"/>
          <w:lang w:eastAsia="en-GB"/>
          <w14:ligatures w14:val="none"/>
        </w:rPr>
        <w:t>The United Nations Sustainable Development Goals (SDGs) were implemented in 2015 as part of the 2030 Agenda for Sustainable Development to tackle connected global issues regarding health, inequality, poverty, and environmental sustainability (United Nations, 2015). The 17 goals acknowledge that economic, social, and environmental growth are closely linked and necessitate cooperative action at global, national, and local levels. Health is a key component of sustainable development, as poor health can hinder educational success, job opportunities, and overall living standards. Therefore, SDG 3 aims to guarantee healthy lives and promote well-being for everyone at all ages</w:t>
      </w:r>
      <w:r>
        <w:rPr>
          <w:rFonts w:eastAsia="Times New Roman"/>
          <w:kern w:val="0"/>
          <w:lang w:eastAsia="en-GB"/>
          <w14:ligatures w14:val="none"/>
        </w:rPr>
        <w:t>.</w:t>
      </w:r>
    </w:p>
    <w:p w14:paraId="62AB479C" w14:textId="77777777" w:rsidR="000B243E" w:rsidRDefault="000B243E" w:rsidP="00CA5719">
      <w:pPr>
        <w:spacing w:before="100" w:beforeAutospacing="1" w:after="100" w:afterAutospacing="1" w:line="360" w:lineRule="auto"/>
        <w:jc w:val="both"/>
        <w:outlineLvl w:val="1"/>
        <w:rPr>
          <w:rFonts w:eastAsia="Times New Roman"/>
          <w:kern w:val="0"/>
          <w:lang w:eastAsia="en-GB"/>
          <w14:ligatures w14:val="none"/>
        </w:rPr>
      </w:pPr>
      <w:r w:rsidRPr="00D4509F">
        <w:rPr>
          <w:rFonts w:eastAsia="Times New Roman"/>
          <w:kern w:val="0"/>
          <w:lang w:eastAsia="en-GB"/>
          <w14:ligatures w14:val="none"/>
        </w:rPr>
        <w:t>Nevertheless, health outcomes are influenced by more than just healthcare services. Social, economic, and environmental elements such as income, education, housing, and employment have a significant impact on health and well-being (Marmot et al. , 2020). This underscores the significance of SDG 10, which aims to reduce inequalities both within and between countries. Health disparities continue to be a substantial issue globally and within the United Kingdom, with individuals in disadvantaged communities facing worse health outcomes and shorter life expectancies compared to those in wealthier areas (Office for National Statistics, 2024). This report provides a thorough analysis of the effects of SDG 3 (Good Health and Well-being) and SDG 10 (Reduced Inequalities) on the health and well-being of citizens at global, national, and local levels. The effectiveness of existing policies and initiatives is assessed using the Health Belief Model, Social Cognitive Theory, and the Social Determinants of Health Framework. Additionally, the report offers evidence-based recommendations for enhancing policy and practice to foster sustainable improvements in health and well-being.</w:t>
      </w:r>
    </w:p>
    <w:p w14:paraId="6F2212DE" w14:textId="77777777" w:rsidR="00747303" w:rsidRDefault="00747303" w:rsidP="00CA5719">
      <w:pPr>
        <w:spacing w:before="100" w:beforeAutospacing="1" w:after="100" w:afterAutospacing="1" w:line="360" w:lineRule="auto"/>
        <w:jc w:val="both"/>
        <w:outlineLvl w:val="1"/>
        <w:rPr>
          <w:rFonts w:eastAsia="Times New Roman"/>
          <w:kern w:val="0"/>
          <w:lang w:eastAsia="en-GB"/>
          <w14:ligatures w14:val="none"/>
        </w:rPr>
      </w:pPr>
    </w:p>
    <w:p w14:paraId="2CA61AFB" w14:textId="77777777" w:rsidR="00747303" w:rsidRDefault="00747303" w:rsidP="00CA5719">
      <w:pPr>
        <w:spacing w:before="100" w:beforeAutospacing="1" w:after="100" w:afterAutospacing="1" w:line="360" w:lineRule="auto"/>
        <w:jc w:val="both"/>
        <w:outlineLvl w:val="1"/>
        <w:rPr>
          <w:rFonts w:eastAsia="Times New Roman"/>
          <w:kern w:val="0"/>
          <w:lang w:eastAsia="en-GB"/>
          <w14:ligatures w14:val="none"/>
        </w:rPr>
      </w:pPr>
    </w:p>
    <w:p w14:paraId="0D0B9AFD" w14:textId="77777777" w:rsidR="00747303" w:rsidRDefault="00747303" w:rsidP="00CA5719">
      <w:pPr>
        <w:spacing w:before="100" w:beforeAutospacing="1" w:after="100" w:afterAutospacing="1" w:line="360" w:lineRule="auto"/>
        <w:jc w:val="both"/>
        <w:outlineLvl w:val="1"/>
        <w:rPr>
          <w:rFonts w:eastAsia="Times New Roman"/>
          <w:kern w:val="0"/>
          <w:lang w:eastAsia="en-GB"/>
          <w14:ligatures w14:val="none"/>
        </w:rPr>
      </w:pPr>
    </w:p>
    <w:p w14:paraId="34B75958" w14:textId="77777777" w:rsidR="00747303" w:rsidRDefault="00747303" w:rsidP="00CA5719">
      <w:pPr>
        <w:spacing w:before="100" w:beforeAutospacing="1" w:after="100" w:afterAutospacing="1" w:line="360" w:lineRule="auto"/>
        <w:jc w:val="both"/>
        <w:outlineLvl w:val="1"/>
        <w:rPr>
          <w:rFonts w:eastAsia="Times New Roman"/>
          <w:kern w:val="0"/>
          <w:lang w:eastAsia="en-GB"/>
          <w14:ligatures w14:val="none"/>
        </w:rPr>
      </w:pPr>
    </w:p>
    <w:p w14:paraId="4CDE15E3" w14:textId="51033F57" w:rsidR="0023724F" w:rsidRPr="00747303" w:rsidRDefault="0023724F" w:rsidP="00CA5719">
      <w:pPr>
        <w:spacing w:before="100" w:beforeAutospacing="1" w:after="100" w:afterAutospacing="1" w:line="360" w:lineRule="auto"/>
        <w:jc w:val="both"/>
        <w:outlineLvl w:val="1"/>
        <w:rPr>
          <w:rFonts w:eastAsia="Times New Roman"/>
          <w:b/>
          <w:bCs/>
          <w:kern w:val="0"/>
          <w:sz w:val="32"/>
          <w:szCs w:val="32"/>
          <w:lang w:eastAsia="en-GB"/>
          <w14:ligatures w14:val="none"/>
        </w:rPr>
      </w:pPr>
      <w:r w:rsidRPr="00747303">
        <w:rPr>
          <w:rFonts w:eastAsia="Times New Roman"/>
          <w:b/>
          <w:bCs/>
          <w:kern w:val="0"/>
          <w:sz w:val="32"/>
          <w:szCs w:val="32"/>
          <w:lang w:eastAsia="en-GB"/>
          <w14:ligatures w14:val="none"/>
        </w:rPr>
        <w:lastRenderedPageBreak/>
        <w:t>SDG 3: Good Health and Wellbeing</w:t>
      </w:r>
    </w:p>
    <w:p w14:paraId="7EFA8CCA" w14:textId="77777777" w:rsidR="0023724F" w:rsidRPr="00747303" w:rsidRDefault="0023724F" w:rsidP="00CA5719">
      <w:pPr>
        <w:spacing w:before="100" w:beforeAutospacing="1" w:after="100" w:afterAutospacing="1" w:line="360" w:lineRule="auto"/>
        <w:jc w:val="both"/>
        <w:outlineLvl w:val="2"/>
        <w:rPr>
          <w:rFonts w:eastAsia="Times New Roman"/>
          <w:b/>
          <w:bCs/>
          <w:kern w:val="0"/>
          <w:sz w:val="28"/>
          <w:szCs w:val="28"/>
          <w:lang w:eastAsia="en-GB"/>
          <w14:ligatures w14:val="none"/>
        </w:rPr>
      </w:pPr>
      <w:r w:rsidRPr="00747303">
        <w:rPr>
          <w:rFonts w:eastAsia="Times New Roman"/>
          <w:b/>
          <w:bCs/>
          <w:kern w:val="0"/>
          <w:sz w:val="28"/>
          <w:szCs w:val="28"/>
          <w:lang w:eastAsia="en-GB"/>
          <w14:ligatures w14:val="none"/>
        </w:rPr>
        <w:t>Overview of SDG 3</w:t>
      </w:r>
    </w:p>
    <w:p w14:paraId="111C20EA" w14:textId="77777777" w:rsidR="00D4509F" w:rsidRDefault="00D4509F" w:rsidP="00CA5719">
      <w:pPr>
        <w:spacing w:before="100" w:beforeAutospacing="1" w:after="100" w:afterAutospacing="1" w:line="360" w:lineRule="auto"/>
        <w:jc w:val="both"/>
        <w:outlineLvl w:val="2"/>
        <w:rPr>
          <w:rFonts w:eastAsia="Times New Roman"/>
          <w:kern w:val="0"/>
          <w:lang w:eastAsia="en-GB"/>
          <w14:ligatures w14:val="none"/>
        </w:rPr>
      </w:pPr>
      <w:r w:rsidRPr="00D4509F">
        <w:rPr>
          <w:rFonts w:eastAsia="Times New Roman"/>
          <w:kern w:val="0"/>
          <w:lang w:eastAsia="en-GB"/>
          <w14:ligatures w14:val="none"/>
        </w:rPr>
        <w:t>SDG 3 seeks to guarantee healthy lives and enhance wellbeing for everyone by setting targets such as lowering mortality rates, preventing illnesses, improving mental health, and achieving Universal Health Coverage (United Nations, 2015). Health is acknowledged as an essential human right and a vital element of sustainable development, as healthier populations lead to greater economic productivity, active social engagement, and overall improved quality of life (World Health Organization, 2023).</w:t>
      </w:r>
    </w:p>
    <w:p w14:paraId="03338B97" w14:textId="30C1AD25" w:rsidR="0023724F" w:rsidRPr="00747303" w:rsidRDefault="0023724F" w:rsidP="00CA5719">
      <w:pPr>
        <w:spacing w:before="100" w:beforeAutospacing="1" w:after="100" w:afterAutospacing="1" w:line="360" w:lineRule="auto"/>
        <w:jc w:val="both"/>
        <w:outlineLvl w:val="2"/>
        <w:rPr>
          <w:rFonts w:eastAsia="Times New Roman"/>
          <w:b/>
          <w:bCs/>
          <w:kern w:val="0"/>
          <w:sz w:val="28"/>
          <w:szCs w:val="28"/>
          <w:lang w:eastAsia="en-GB"/>
          <w14:ligatures w14:val="none"/>
        </w:rPr>
      </w:pPr>
      <w:r w:rsidRPr="00747303">
        <w:rPr>
          <w:rFonts w:eastAsia="Times New Roman"/>
          <w:b/>
          <w:bCs/>
          <w:kern w:val="0"/>
          <w:sz w:val="28"/>
          <w:szCs w:val="28"/>
          <w:lang w:eastAsia="en-GB"/>
          <w14:ligatures w14:val="none"/>
        </w:rPr>
        <w:t>Global Policies and Initiatives</w:t>
      </w:r>
    </w:p>
    <w:p w14:paraId="59910395" w14:textId="77777777" w:rsidR="002D3002" w:rsidRPr="00D4509F" w:rsidRDefault="002D3002" w:rsidP="00CA5719">
      <w:pPr>
        <w:spacing w:before="100" w:beforeAutospacing="1" w:after="100" w:afterAutospacing="1" w:line="360" w:lineRule="auto"/>
        <w:jc w:val="both"/>
        <w:outlineLvl w:val="2"/>
        <w:rPr>
          <w:rFonts w:eastAsia="Times New Roman"/>
          <w:kern w:val="0"/>
          <w:lang w:eastAsia="en-GB"/>
          <w14:ligatures w14:val="none"/>
        </w:rPr>
      </w:pPr>
      <w:r w:rsidRPr="00D4509F">
        <w:rPr>
          <w:rFonts w:eastAsia="Times New Roman"/>
          <w:kern w:val="0"/>
          <w:lang w:eastAsia="en-GB"/>
          <w14:ligatures w14:val="none"/>
        </w:rPr>
        <w:t>Universal Health Coverage, which is sponsored by the World Health Organization, is an important worldwide endeavour that supports SDG 3. According to the WHO (2024), UHC seeks to guarantee that people may get necessary healthcare treatments without suffering financial difficulty. According to research, nations with universal healthcare systems tend to have better health outcomes and lower mortality rates than those with inadequate healthcare access (Solar and Irwin, 2010). Progress, however, is still not uniform despite international commitment to UHC. Shortages of health professionals, infrastructure, and money are still prevalent in several low-income nations. The COVID-19 pandemic also revealed enormous disparities in access to medical resources and healthcare, underlining the shortcomings of global health governance (The Lancet, 2022). Although international organizations offer direction and assistance, national governments and the resources at hand are the ones who will determine how successfully something is implemented.</w:t>
      </w:r>
    </w:p>
    <w:p w14:paraId="2B434C16" w14:textId="77777777" w:rsidR="002D3002" w:rsidRDefault="002D3002" w:rsidP="00CA5719">
      <w:pPr>
        <w:spacing w:before="100" w:beforeAutospacing="1" w:after="100" w:afterAutospacing="1" w:line="360" w:lineRule="auto"/>
        <w:jc w:val="both"/>
        <w:outlineLvl w:val="2"/>
        <w:rPr>
          <w:rFonts w:eastAsia="Times New Roman"/>
          <w:kern w:val="0"/>
          <w:lang w:eastAsia="en-GB"/>
          <w14:ligatures w14:val="none"/>
        </w:rPr>
      </w:pPr>
      <w:r w:rsidRPr="00D4509F">
        <w:rPr>
          <w:rFonts w:eastAsia="Times New Roman"/>
          <w:kern w:val="0"/>
          <w:lang w:eastAsia="en-GB"/>
          <w14:ligatures w14:val="none"/>
        </w:rPr>
        <w:t>Many global health interventions owe their success to Social Cognitive Theory. According to Bandura (1986), observational learning and social surroundings affect behavior. To encourage beneficial behavioural changes, public health campaigns that promote vaccination, healthy eating, and physical exercise frequently use social support and role modelling. Nevertheless, environmental barriers including poverty and deprivation can limit people's capacity to lead healthier lives.</w:t>
      </w:r>
    </w:p>
    <w:p w14:paraId="67D8009D" w14:textId="77777777" w:rsidR="00747303" w:rsidRDefault="00747303" w:rsidP="00CA5719">
      <w:pPr>
        <w:spacing w:before="100" w:beforeAutospacing="1" w:after="100" w:afterAutospacing="1" w:line="360" w:lineRule="auto"/>
        <w:jc w:val="both"/>
        <w:outlineLvl w:val="2"/>
        <w:rPr>
          <w:rFonts w:eastAsia="Times New Roman"/>
          <w:kern w:val="0"/>
          <w:lang w:eastAsia="en-GB"/>
          <w14:ligatures w14:val="none"/>
        </w:rPr>
      </w:pPr>
    </w:p>
    <w:p w14:paraId="5FC9F133" w14:textId="77777777" w:rsidR="00747303" w:rsidRDefault="00747303" w:rsidP="00CA5719">
      <w:pPr>
        <w:spacing w:before="100" w:beforeAutospacing="1" w:after="100" w:afterAutospacing="1" w:line="360" w:lineRule="auto"/>
        <w:jc w:val="both"/>
        <w:outlineLvl w:val="2"/>
        <w:rPr>
          <w:rFonts w:eastAsia="Times New Roman"/>
          <w:kern w:val="0"/>
          <w:lang w:eastAsia="en-GB"/>
          <w14:ligatures w14:val="none"/>
        </w:rPr>
      </w:pPr>
    </w:p>
    <w:p w14:paraId="18AD5BF6" w14:textId="77777777" w:rsidR="00747303" w:rsidRDefault="00747303" w:rsidP="00CA5719">
      <w:pPr>
        <w:spacing w:before="100" w:beforeAutospacing="1" w:after="100" w:afterAutospacing="1" w:line="360" w:lineRule="auto"/>
        <w:jc w:val="both"/>
        <w:outlineLvl w:val="2"/>
        <w:rPr>
          <w:rFonts w:eastAsia="Times New Roman"/>
          <w:kern w:val="0"/>
          <w:lang w:eastAsia="en-GB"/>
          <w14:ligatures w14:val="none"/>
        </w:rPr>
      </w:pPr>
    </w:p>
    <w:p w14:paraId="03D949DA" w14:textId="6B4138C9" w:rsidR="0023724F" w:rsidRPr="00747303" w:rsidRDefault="0023724F" w:rsidP="00CA5719">
      <w:pPr>
        <w:spacing w:before="100" w:beforeAutospacing="1" w:after="100" w:afterAutospacing="1" w:line="360" w:lineRule="auto"/>
        <w:jc w:val="both"/>
        <w:outlineLvl w:val="2"/>
        <w:rPr>
          <w:rFonts w:eastAsia="Times New Roman"/>
          <w:b/>
          <w:bCs/>
          <w:kern w:val="0"/>
          <w:sz w:val="28"/>
          <w:szCs w:val="28"/>
          <w:lang w:eastAsia="en-GB"/>
          <w14:ligatures w14:val="none"/>
        </w:rPr>
      </w:pPr>
      <w:r w:rsidRPr="00747303">
        <w:rPr>
          <w:rFonts w:eastAsia="Times New Roman"/>
          <w:b/>
          <w:bCs/>
          <w:kern w:val="0"/>
          <w:sz w:val="28"/>
          <w:szCs w:val="28"/>
          <w:lang w:eastAsia="en-GB"/>
          <w14:ligatures w14:val="none"/>
        </w:rPr>
        <w:lastRenderedPageBreak/>
        <w:t>National Policies and Initiatives</w:t>
      </w:r>
    </w:p>
    <w:p w14:paraId="1915C117" w14:textId="77777777" w:rsidR="00D4509F" w:rsidRDefault="00D4509F" w:rsidP="00CA5719">
      <w:pPr>
        <w:spacing w:before="100" w:beforeAutospacing="1" w:after="100" w:afterAutospacing="1" w:line="360" w:lineRule="auto"/>
        <w:jc w:val="both"/>
        <w:outlineLvl w:val="2"/>
        <w:rPr>
          <w:rFonts w:eastAsia="Times New Roman"/>
          <w:kern w:val="0"/>
          <w:lang w:eastAsia="en-GB"/>
          <w14:ligatures w14:val="none"/>
        </w:rPr>
      </w:pPr>
      <w:r w:rsidRPr="00D4509F">
        <w:rPr>
          <w:rFonts w:eastAsia="Times New Roman"/>
          <w:kern w:val="0"/>
          <w:lang w:eastAsia="en-GB"/>
          <w14:ligatures w14:val="none"/>
        </w:rPr>
        <w:t xml:space="preserve">In England, the NHS Long Term Plan is an essential policy that supports Sustainable Development Goal 3 (NHS England, 2019). This strategy prioritizes prevention, early intervention, digital health solutions, and enhancements in mental health services. A significant advantage of this policy is its focus on preventing illness instead of concentrating exclusively on treatment. However, the implementation of this plan has encountered considerable difficulties. The increasing demand for healthcare services, a shortage of healthcare professionals, and financial constraints continue to impact service delivery (King’s Fund, 2024). Waiting lists remain elevated, raising concerns about fair access to care. Additionally, Marmot et al. (2020) indicate that healthcare services alone cannot resolve health inequalities, as many health determinants stem from outside the healthcare framework. Their research reveals that disparities in income, education, and housing persistently affect health outcomes throughout England. The NHS Core20PLUS5 initiative represents a focused effort to diminish healthcare disparities by directing resources toward the most disadvantaged groups (NHS England, 2021). While the program reflects a dedication to equity, its long-term success will rely on ongoing investment and collaboration across various sectors. The Health Belief Model offers further understanding of health promotion efforts. Rosenstock (1974) proposes that individuals are more inclined to adopt healthier behaviors when they acknowledge health risks and perceive the advantages of </w:t>
      </w:r>
      <w:proofErr w:type="gramStart"/>
      <w:r w:rsidRPr="00D4509F">
        <w:rPr>
          <w:rFonts w:eastAsia="Times New Roman"/>
          <w:kern w:val="0"/>
          <w:lang w:eastAsia="en-GB"/>
          <w14:ligatures w14:val="none"/>
        </w:rPr>
        <w:t>taking action</w:t>
      </w:r>
      <w:proofErr w:type="gramEnd"/>
      <w:r w:rsidRPr="00D4509F">
        <w:rPr>
          <w:rFonts w:eastAsia="Times New Roman"/>
          <w:kern w:val="0"/>
          <w:lang w:eastAsia="en-GB"/>
          <w14:ligatures w14:val="none"/>
        </w:rPr>
        <w:t>. Nonetheless, this model has faced criticism for placing excessive accountability on individuals while undervaluing structural barriers, such as poverty and limited access to services (Glanz, Rimer, and Viswanath, 2015).</w:t>
      </w:r>
    </w:p>
    <w:p w14:paraId="6AA54208" w14:textId="69B32816" w:rsidR="0023724F" w:rsidRPr="00747303" w:rsidRDefault="0023724F" w:rsidP="00CA5719">
      <w:pPr>
        <w:spacing w:before="100" w:beforeAutospacing="1" w:after="100" w:afterAutospacing="1" w:line="360" w:lineRule="auto"/>
        <w:jc w:val="both"/>
        <w:outlineLvl w:val="2"/>
        <w:rPr>
          <w:rFonts w:eastAsia="Times New Roman"/>
          <w:b/>
          <w:bCs/>
          <w:kern w:val="0"/>
          <w:sz w:val="28"/>
          <w:szCs w:val="28"/>
          <w:lang w:eastAsia="en-GB"/>
          <w14:ligatures w14:val="none"/>
        </w:rPr>
      </w:pPr>
      <w:r w:rsidRPr="00747303">
        <w:rPr>
          <w:rFonts w:eastAsia="Times New Roman"/>
          <w:b/>
          <w:bCs/>
          <w:kern w:val="0"/>
          <w:sz w:val="28"/>
          <w:szCs w:val="28"/>
          <w:lang w:eastAsia="en-GB"/>
          <w14:ligatures w14:val="none"/>
        </w:rPr>
        <w:t>Local Policies and Initiatives</w:t>
      </w:r>
    </w:p>
    <w:p w14:paraId="5B69A124" w14:textId="77777777" w:rsidR="00D4509F" w:rsidRDefault="00D4509F" w:rsidP="00CA5719">
      <w:pPr>
        <w:spacing w:before="100" w:beforeAutospacing="1" w:after="100" w:afterAutospacing="1" w:line="360" w:lineRule="auto"/>
        <w:jc w:val="both"/>
        <w:outlineLvl w:val="2"/>
        <w:rPr>
          <w:rFonts w:eastAsia="Times New Roman"/>
          <w:kern w:val="0"/>
          <w:lang w:eastAsia="en-GB"/>
          <w14:ligatures w14:val="none"/>
        </w:rPr>
      </w:pPr>
      <w:r w:rsidRPr="00D4509F">
        <w:rPr>
          <w:rFonts w:eastAsia="Times New Roman"/>
          <w:kern w:val="0"/>
          <w:lang w:eastAsia="en-GB"/>
          <w14:ligatures w14:val="none"/>
        </w:rPr>
        <w:t>In the West Midlands, health disparities continue to pose a considerable challenge. Communities facing greater deprivation frequently report worse health results and shorter life expectancy in contrast to wealthier areas. The Thrive at Work initiative, created by the West Midlands Combined Authority, aims to enhance employee wellbeing through various workplace health promotion programs (West Midlands Combined Authority, 2023). Although assessments indicate beneficial effects for involved organizations, workplace efforts may overlook unemployed individuals, who often suffer from some of the most severe health issues. This underscores the necessity of tackling broader socioeconomic factors in conjunction with healthcare and wellbeing initiatives.</w:t>
      </w:r>
    </w:p>
    <w:p w14:paraId="18A63579" w14:textId="77777777" w:rsidR="00747303" w:rsidRDefault="00747303" w:rsidP="00CA5719">
      <w:pPr>
        <w:spacing w:before="100" w:beforeAutospacing="1" w:after="100" w:afterAutospacing="1" w:line="360" w:lineRule="auto"/>
        <w:jc w:val="both"/>
        <w:outlineLvl w:val="2"/>
        <w:rPr>
          <w:rFonts w:eastAsia="Times New Roman"/>
          <w:kern w:val="0"/>
          <w:lang w:eastAsia="en-GB"/>
          <w14:ligatures w14:val="none"/>
        </w:rPr>
      </w:pPr>
    </w:p>
    <w:p w14:paraId="34DE5CE0" w14:textId="6B8EAC01" w:rsidR="0023724F" w:rsidRPr="00747303" w:rsidRDefault="0023724F" w:rsidP="00CA5719">
      <w:pPr>
        <w:spacing w:before="100" w:beforeAutospacing="1" w:after="100" w:afterAutospacing="1" w:line="360" w:lineRule="auto"/>
        <w:jc w:val="both"/>
        <w:outlineLvl w:val="2"/>
        <w:rPr>
          <w:rFonts w:eastAsia="Times New Roman"/>
          <w:b/>
          <w:bCs/>
          <w:kern w:val="0"/>
          <w:sz w:val="28"/>
          <w:szCs w:val="28"/>
          <w:lang w:eastAsia="en-GB"/>
          <w14:ligatures w14:val="none"/>
        </w:rPr>
      </w:pPr>
      <w:r w:rsidRPr="00747303">
        <w:rPr>
          <w:rFonts w:eastAsia="Times New Roman"/>
          <w:b/>
          <w:bCs/>
          <w:kern w:val="0"/>
          <w:sz w:val="28"/>
          <w:szCs w:val="28"/>
          <w:lang w:eastAsia="en-GB"/>
          <w14:ligatures w14:val="none"/>
        </w:rPr>
        <w:lastRenderedPageBreak/>
        <w:t>Recommendations for SDG 3</w:t>
      </w:r>
    </w:p>
    <w:p w14:paraId="786E205C" w14:textId="01645B09" w:rsidR="00D4509F" w:rsidRPr="00D4509F" w:rsidRDefault="00D4509F" w:rsidP="00CA5719">
      <w:pPr>
        <w:spacing w:before="100" w:beforeAutospacing="1" w:after="100" w:afterAutospacing="1" w:line="360" w:lineRule="auto"/>
        <w:jc w:val="both"/>
        <w:outlineLvl w:val="1"/>
        <w:rPr>
          <w:rFonts w:eastAsia="Times New Roman"/>
          <w:kern w:val="0"/>
          <w:lang w:eastAsia="en-GB"/>
          <w14:ligatures w14:val="none"/>
        </w:rPr>
      </w:pPr>
      <w:r w:rsidRPr="00D4509F">
        <w:rPr>
          <w:rFonts w:eastAsia="Times New Roman"/>
          <w:kern w:val="0"/>
          <w:lang w:eastAsia="en-GB"/>
          <w14:ligatures w14:val="none"/>
        </w:rPr>
        <w:t>The evaluation indicates that achieving future advancements in SDG 3 necessitates a stronger focus on prevention and the broader factors that influence health. To begin with, policymakers should enhance collaboration among healthcare services, local authorities, housing providers, and educational institutions. Marmot et al. (2020) assert that social and economic factors largely contribute to health inequalities; thus, integrated strategies are more likely to lead to sustainable improvements compared to relying solely on healthcare interventions. Furthermore, there should be an increase in public health funding, particularly in underprivileged communities where health needs are most pressing. Bambra (2016) notes that cuts in preventative spending can exacerbate health inequalities and place long-term strain on healthcare systems. Although greater investment may impose immediate financial demands, evidence indicates that preventative measures are frequently more cost-effective than treatment-oriented methods. Additionally, health promotion initiatives based in the community should be broadened across disadvantaged regions of the West Midlands. According to Social Cognitive Theory, supportive social environments can boost self-efficacy and promote positive health behaviors (Bandura, 1986). Local programs that engage community leaders and residents in the design of services may therefore enhance involvement and effectiveness</w:t>
      </w:r>
      <w:r w:rsidR="000B243E">
        <w:rPr>
          <w:rFonts w:eastAsia="Times New Roman"/>
          <w:kern w:val="0"/>
          <w:lang w:eastAsia="en-GB"/>
          <w14:ligatures w14:val="none"/>
        </w:rPr>
        <w:t>.</w:t>
      </w:r>
    </w:p>
    <w:p w14:paraId="3A4D7DB6" w14:textId="77777777" w:rsidR="00D4509F" w:rsidRDefault="00D4509F" w:rsidP="00CA5719">
      <w:pPr>
        <w:spacing w:before="100" w:beforeAutospacing="1" w:after="100" w:afterAutospacing="1" w:line="360" w:lineRule="auto"/>
        <w:jc w:val="both"/>
        <w:outlineLvl w:val="1"/>
        <w:rPr>
          <w:rFonts w:eastAsia="Times New Roman"/>
          <w:kern w:val="0"/>
          <w:lang w:eastAsia="en-GB"/>
          <w14:ligatures w14:val="none"/>
        </w:rPr>
      </w:pPr>
      <w:r w:rsidRPr="00D4509F">
        <w:rPr>
          <w:rFonts w:eastAsia="Times New Roman"/>
          <w:kern w:val="0"/>
          <w:lang w:eastAsia="en-GB"/>
          <w14:ligatures w14:val="none"/>
        </w:rPr>
        <w:t>Finally, policymakers should bolster health literacy programs. Nutbeam and Lloyd (2021) recognize health literacy as a crucial determinant of health, as it affects individuals' ability to access, comprehend, and utilize health information. Enhancing health literacy may empower individuals to make informed choices about preventative healthcare and healthy lifestyles. However, such initiatives must also address systemic barriers that hinder opportunities for behavioral change.</w:t>
      </w:r>
    </w:p>
    <w:p w14:paraId="582A04B7" w14:textId="29263860" w:rsidR="0023724F" w:rsidRPr="00747303" w:rsidRDefault="0023724F" w:rsidP="00CA5719">
      <w:pPr>
        <w:spacing w:before="100" w:beforeAutospacing="1" w:after="100" w:afterAutospacing="1" w:line="360" w:lineRule="auto"/>
        <w:jc w:val="both"/>
        <w:outlineLvl w:val="1"/>
        <w:rPr>
          <w:rFonts w:eastAsia="Times New Roman"/>
          <w:b/>
          <w:bCs/>
          <w:kern w:val="0"/>
          <w:sz w:val="32"/>
          <w:szCs w:val="32"/>
          <w:lang w:eastAsia="en-GB"/>
          <w14:ligatures w14:val="none"/>
        </w:rPr>
      </w:pPr>
      <w:r w:rsidRPr="00747303">
        <w:rPr>
          <w:rFonts w:eastAsia="Times New Roman"/>
          <w:b/>
          <w:bCs/>
          <w:kern w:val="0"/>
          <w:sz w:val="32"/>
          <w:szCs w:val="32"/>
          <w:lang w:eastAsia="en-GB"/>
          <w14:ligatures w14:val="none"/>
        </w:rPr>
        <w:t>SDG 10: Reduced Inequalities</w:t>
      </w:r>
    </w:p>
    <w:p w14:paraId="5F03B692" w14:textId="77777777" w:rsidR="0023724F" w:rsidRPr="00747303" w:rsidRDefault="0023724F" w:rsidP="00CA5719">
      <w:pPr>
        <w:spacing w:before="100" w:beforeAutospacing="1" w:after="100" w:afterAutospacing="1" w:line="360" w:lineRule="auto"/>
        <w:jc w:val="both"/>
        <w:outlineLvl w:val="2"/>
        <w:rPr>
          <w:rFonts w:eastAsia="Times New Roman"/>
          <w:b/>
          <w:bCs/>
          <w:kern w:val="0"/>
          <w:sz w:val="28"/>
          <w:szCs w:val="28"/>
          <w:lang w:eastAsia="en-GB"/>
          <w14:ligatures w14:val="none"/>
        </w:rPr>
      </w:pPr>
      <w:r w:rsidRPr="00747303">
        <w:rPr>
          <w:rFonts w:eastAsia="Times New Roman"/>
          <w:b/>
          <w:bCs/>
          <w:kern w:val="0"/>
          <w:sz w:val="28"/>
          <w:szCs w:val="28"/>
          <w:lang w:eastAsia="en-GB"/>
          <w14:ligatures w14:val="none"/>
        </w:rPr>
        <w:t>Overview of SDG 10</w:t>
      </w:r>
    </w:p>
    <w:p w14:paraId="7822828F" w14:textId="3B5E1370" w:rsidR="00747303" w:rsidRDefault="00D4509F" w:rsidP="00CA5719">
      <w:pPr>
        <w:spacing w:before="100" w:beforeAutospacing="1" w:after="100" w:afterAutospacing="1" w:line="360" w:lineRule="auto"/>
        <w:jc w:val="both"/>
        <w:outlineLvl w:val="2"/>
        <w:rPr>
          <w:rFonts w:eastAsia="Times New Roman"/>
          <w:kern w:val="0"/>
          <w:lang w:eastAsia="en-GB"/>
          <w14:ligatures w14:val="none"/>
        </w:rPr>
      </w:pPr>
      <w:r w:rsidRPr="00D4509F">
        <w:rPr>
          <w:rFonts w:eastAsia="Times New Roman"/>
          <w:kern w:val="0"/>
          <w:lang w:eastAsia="en-GB"/>
          <w14:ligatures w14:val="none"/>
        </w:rPr>
        <w:t xml:space="preserve">SDG 10 seeks to lessen inequalities both within and between nations by fostering social inclusion, equal opportunities, and fair access to resources (United Nations, 2015). Although inequality is commonly linked to income, it also encompasses variations in education, employment, housing, and healthcare. These elements greatly affect health and well-being, thereby closely connecting SDG 10 to SDG 3. Research consistently shows that societies with greater inequality tend to suffer from worse health outcomes, diminished social cohesion, and </w:t>
      </w:r>
      <w:r w:rsidRPr="00D4509F">
        <w:rPr>
          <w:rFonts w:eastAsia="Times New Roman"/>
          <w:kern w:val="0"/>
          <w:lang w:eastAsia="en-GB"/>
          <w14:ligatures w14:val="none"/>
        </w:rPr>
        <w:lastRenderedPageBreak/>
        <w:t>increased rates of mental health issues (Wilkinson and Pickett, 2018). Therefore, diminishing inequalities is vital for enhancing public health and achieving sustainable development.</w:t>
      </w:r>
    </w:p>
    <w:p w14:paraId="5F7E4510" w14:textId="2E047D92" w:rsidR="0023724F" w:rsidRPr="00747303" w:rsidRDefault="0023724F" w:rsidP="00CA5719">
      <w:pPr>
        <w:spacing w:before="100" w:beforeAutospacing="1" w:after="100" w:afterAutospacing="1" w:line="360" w:lineRule="auto"/>
        <w:jc w:val="both"/>
        <w:outlineLvl w:val="2"/>
        <w:rPr>
          <w:rFonts w:eastAsia="Times New Roman"/>
          <w:b/>
          <w:bCs/>
          <w:kern w:val="0"/>
          <w:sz w:val="28"/>
          <w:szCs w:val="28"/>
          <w:lang w:eastAsia="en-GB"/>
          <w14:ligatures w14:val="none"/>
        </w:rPr>
      </w:pPr>
      <w:r w:rsidRPr="00747303">
        <w:rPr>
          <w:rFonts w:eastAsia="Times New Roman"/>
          <w:b/>
          <w:bCs/>
          <w:kern w:val="0"/>
          <w:sz w:val="28"/>
          <w:szCs w:val="28"/>
          <w:lang w:eastAsia="en-GB"/>
          <w14:ligatures w14:val="none"/>
        </w:rPr>
        <w:t>Global Policies and Initiatives</w:t>
      </w:r>
    </w:p>
    <w:p w14:paraId="553B8F9B" w14:textId="21A32DB0" w:rsidR="00E106CD" w:rsidRDefault="000B243E" w:rsidP="00CA5719">
      <w:pPr>
        <w:spacing w:before="100" w:beforeAutospacing="1" w:after="100" w:afterAutospacing="1" w:line="360" w:lineRule="auto"/>
        <w:jc w:val="both"/>
        <w:outlineLvl w:val="2"/>
        <w:rPr>
          <w:rFonts w:eastAsia="Times New Roman"/>
          <w:b/>
          <w:bCs/>
          <w:kern w:val="0"/>
          <w:lang w:eastAsia="en-GB"/>
          <w14:ligatures w14:val="none"/>
        </w:rPr>
      </w:pPr>
      <w:r w:rsidRPr="000B243E">
        <w:rPr>
          <w:rFonts w:eastAsia="Times New Roman"/>
          <w:kern w:val="0"/>
          <w:lang w:eastAsia="en-GB"/>
          <w14:ligatures w14:val="none"/>
        </w:rPr>
        <w:t>International organizations such as the United Nations and the World Bank have implemented policies designed to alleviate poverty and enhance social inclusion. These efforts have led to improvements in living conditions and greater access to educational and healthcare services in numerous nations (United Nations, 2024). However, notable disparities remain. The World Bank (2023) indicates that marginalized groups still face elevated levels of poverty, food insecurity, and restricted access to vital services. The Social Determinants of Health Framework suggests that these disparities impact health outcomes, as availability of resources, opportunities, and social support is crucial for an individual’s capacity to sustain good health (Solar and Irwin, 2010). A prominent critique of various global initiatives is that they often focus on the effects of inequality rather than addressing its root causes. Although programs may alleviate short-term suffering, achieving lasting progress necessitates structural changes that tackle the uneven distribution of wealth, power, and opportunity.</w:t>
      </w:r>
    </w:p>
    <w:p w14:paraId="6DADFDFA" w14:textId="1BCE5264" w:rsidR="0023724F" w:rsidRPr="00747303" w:rsidRDefault="0023724F" w:rsidP="00CA5719">
      <w:pPr>
        <w:spacing w:before="100" w:beforeAutospacing="1" w:after="100" w:afterAutospacing="1" w:line="360" w:lineRule="auto"/>
        <w:jc w:val="both"/>
        <w:outlineLvl w:val="2"/>
        <w:rPr>
          <w:rFonts w:eastAsia="Times New Roman"/>
          <w:b/>
          <w:bCs/>
          <w:kern w:val="0"/>
          <w:sz w:val="28"/>
          <w:szCs w:val="28"/>
          <w:lang w:eastAsia="en-GB"/>
          <w14:ligatures w14:val="none"/>
        </w:rPr>
      </w:pPr>
      <w:r w:rsidRPr="00747303">
        <w:rPr>
          <w:rFonts w:eastAsia="Times New Roman"/>
          <w:b/>
          <w:bCs/>
          <w:kern w:val="0"/>
          <w:sz w:val="28"/>
          <w:szCs w:val="28"/>
          <w:lang w:eastAsia="en-GB"/>
          <w14:ligatures w14:val="none"/>
        </w:rPr>
        <w:t>National Policies and Initiatives</w:t>
      </w:r>
    </w:p>
    <w:p w14:paraId="4B983D72" w14:textId="77777777" w:rsidR="00A36F37" w:rsidRPr="00A36F37" w:rsidRDefault="00A36F37" w:rsidP="00CA5719">
      <w:pPr>
        <w:spacing w:before="100" w:beforeAutospacing="1" w:after="100" w:afterAutospacing="1" w:line="360" w:lineRule="auto"/>
        <w:jc w:val="both"/>
        <w:outlineLvl w:val="2"/>
        <w:rPr>
          <w:rFonts w:eastAsia="Times New Roman"/>
          <w:kern w:val="0"/>
          <w:lang w:eastAsia="en-GB"/>
          <w14:ligatures w14:val="none"/>
        </w:rPr>
      </w:pPr>
      <w:r w:rsidRPr="00A36F37">
        <w:rPr>
          <w:rFonts w:eastAsia="Times New Roman"/>
          <w:kern w:val="0"/>
          <w:lang w:eastAsia="en-GB"/>
          <w14:ligatures w14:val="none"/>
        </w:rPr>
        <w:t>In the United Kingdom, the Levelling Up White Paper aims to reduce regional inequalities by investing in education, employment, infrastructure, and public services (UK Government, 2022). While the policy reflects the objectives of SDG 10, there is growing evidence that inequalities are continuing to increase rather than decrease. The Institute of Health Equity (2024) reports that healthy life expectancy has stalled or declined in many deprived communities, while regional differences in health outcomes remain substantial. This suggests that, despite ambitious policy commitments, existing strategies have not produced meaningful reductions in inequality. Critics argue that short-term funding, inconsistent implementation, and insufficient cross-government collaboration have limited the policy's impact (Marmot et al., 2020). Furthermore, although investment has been directed towards disadvantaged areas, significant disparities in income, employment, housing and access to healthcare continue to persist, indicating that the structural causes of inequality have not been adequately addressed. This demonstrates that policy intentions alone are insufficient; without sustained long-term investment, accountability, and action on the wider social determinants of health, inequalities are likely to continue widening rather than improving.</w:t>
      </w:r>
    </w:p>
    <w:p w14:paraId="254735EB" w14:textId="0315BB25" w:rsidR="003C68C6" w:rsidRDefault="000B243E" w:rsidP="00CA5719">
      <w:pPr>
        <w:spacing w:before="100" w:beforeAutospacing="1" w:after="100" w:afterAutospacing="1" w:line="360" w:lineRule="auto"/>
        <w:jc w:val="both"/>
        <w:outlineLvl w:val="2"/>
        <w:rPr>
          <w:rFonts w:eastAsia="Times New Roman"/>
          <w:kern w:val="0"/>
          <w:lang w:eastAsia="en-GB"/>
          <w14:ligatures w14:val="none"/>
        </w:rPr>
      </w:pPr>
      <w:r w:rsidRPr="000B243E">
        <w:rPr>
          <w:rFonts w:eastAsia="Times New Roman"/>
          <w:kern w:val="0"/>
          <w:lang w:eastAsia="en-GB"/>
          <w14:ligatures w14:val="none"/>
        </w:rPr>
        <w:lastRenderedPageBreak/>
        <w:t>Moreover, Bambra (2016) points out that cuts in public spending have notably harmed disadvantaged groups, leading to increased inequalities. These insights underscore the necessity of assessing the results of policies instead of merely their intentions. The Health Belief Model further illustrates the shortcomings of strategies that concentrate mainly on changing individual behaviors. People experiencing financial difficulties, inadequate housing, or unemployment often face major obstacles to adopting healthier lifestyles, irrespective of their understanding of health risks (Rosenstock, 1974). Therefore, addressing inequalities requires initiatives aimed at broader structural factors rather than focusing solely on individual behavior.</w:t>
      </w:r>
      <w:r w:rsidR="003C68C6" w:rsidRPr="003C68C6">
        <w:t xml:space="preserve"> </w:t>
      </w:r>
      <w:r w:rsidR="003C68C6" w:rsidRPr="003C68C6">
        <w:rPr>
          <w:rFonts w:eastAsia="Times New Roman"/>
          <w:kern w:val="0"/>
          <w:lang w:eastAsia="en-GB"/>
          <w14:ligatures w14:val="none"/>
        </w:rPr>
        <w:t>Recent evidence suggests that health inequalities across England have continued to widen despite the introduction of national initiatives. The Institute of Health Equity (2024) reports that life expectancy improvements have stalled, healthy life expectancy has declined in many deprived communities, and regional inequalities remain substantial. This indicates that policies such as the Levelling Up White Paper have yet to produce measurable improvements in reducing inequalities. Critics argue that short-term funding cycles, inconsistent implementation and limited cross-government collaboration have weakened the effectiveness of these strategies (Marmot et al., 2020). Consequently, while policy objectives align closely with SDG 10, the persistence of widening inequalities suggests that current interventions have not sufficiently addressed the structural causes of disadvantage</w:t>
      </w:r>
      <w:r w:rsidR="008967D7">
        <w:rPr>
          <w:rFonts w:eastAsia="Times New Roman"/>
          <w:kern w:val="0"/>
          <w:lang w:eastAsia="en-GB"/>
          <w14:ligatures w14:val="none"/>
        </w:rPr>
        <w:t>.</w:t>
      </w:r>
    </w:p>
    <w:p w14:paraId="57B00AAE" w14:textId="37491BE7" w:rsidR="0023724F" w:rsidRPr="00747303" w:rsidRDefault="0023724F" w:rsidP="00CA5719">
      <w:pPr>
        <w:spacing w:before="100" w:beforeAutospacing="1" w:after="100" w:afterAutospacing="1" w:line="360" w:lineRule="auto"/>
        <w:jc w:val="both"/>
        <w:outlineLvl w:val="2"/>
        <w:rPr>
          <w:rFonts w:eastAsia="Times New Roman"/>
          <w:b/>
          <w:bCs/>
          <w:kern w:val="0"/>
          <w:sz w:val="28"/>
          <w:szCs w:val="28"/>
          <w:lang w:eastAsia="en-GB"/>
          <w14:ligatures w14:val="none"/>
        </w:rPr>
      </w:pPr>
      <w:r w:rsidRPr="00747303">
        <w:rPr>
          <w:rFonts w:eastAsia="Times New Roman"/>
          <w:b/>
          <w:bCs/>
          <w:kern w:val="0"/>
          <w:sz w:val="28"/>
          <w:szCs w:val="28"/>
          <w:lang w:eastAsia="en-GB"/>
          <w14:ligatures w14:val="none"/>
        </w:rPr>
        <w:t>Local Policies and Initiatives</w:t>
      </w:r>
    </w:p>
    <w:p w14:paraId="19B2B84E" w14:textId="14C7D3C5" w:rsidR="000B243E" w:rsidRDefault="00E422F5" w:rsidP="00CA5719">
      <w:pPr>
        <w:spacing w:before="100" w:beforeAutospacing="1" w:after="100" w:afterAutospacing="1" w:line="360" w:lineRule="auto"/>
        <w:jc w:val="both"/>
        <w:outlineLvl w:val="2"/>
        <w:rPr>
          <w:rFonts w:eastAsia="Times New Roman"/>
          <w:kern w:val="0"/>
          <w:lang w:eastAsia="en-GB"/>
          <w14:ligatures w14:val="none"/>
        </w:rPr>
      </w:pPr>
      <w:r w:rsidRPr="00E422F5">
        <w:rPr>
          <w:rFonts w:eastAsia="Times New Roman"/>
          <w:kern w:val="0"/>
          <w:lang w:eastAsia="en-GB"/>
          <w14:ligatures w14:val="none"/>
        </w:rPr>
        <w:t>The Inclusive Growth Framework of the West Midlands Combined Authority aims to ensure that economic prosperity reaches all communities through investments in housing, skills, and employment (West Midlands Combined Authority, 2021). This effort acknowledges that economic development by itself does not guarantee a reduction in inequalities and that specific steps are needed to aid disadvantaged groups. Nevertheless, significant differences persist across the region. Even though there has been a considerable decline in the proportion of individuals living in poverty, several regions of the Black Country continue to have health outcomes that are subpar and rates of poverty that are higher than the national average. These places include Birmingham, Wolverhampton, and Sandwell. This shows that local initiatives can promote constructive change, but they require continuous support from national policies to have a long-term effect.</w:t>
      </w:r>
    </w:p>
    <w:p w14:paraId="16149167" w14:textId="77777777" w:rsidR="00747303" w:rsidRDefault="00747303" w:rsidP="00CA5719">
      <w:pPr>
        <w:spacing w:before="100" w:beforeAutospacing="1" w:after="100" w:afterAutospacing="1" w:line="360" w:lineRule="auto"/>
        <w:jc w:val="both"/>
        <w:outlineLvl w:val="2"/>
        <w:rPr>
          <w:rFonts w:eastAsia="Times New Roman"/>
          <w:kern w:val="0"/>
          <w:lang w:eastAsia="en-GB"/>
          <w14:ligatures w14:val="none"/>
        </w:rPr>
      </w:pPr>
    </w:p>
    <w:p w14:paraId="5769A18F" w14:textId="77777777" w:rsidR="00747303" w:rsidRDefault="00747303" w:rsidP="00CA5719">
      <w:pPr>
        <w:spacing w:before="100" w:beforeAutospacing="1" w:after="100" w:afterAutospacing="1" w:line="360" w:lineRule="auto"/>
        <w:jc w:val="both"/>
        <w:outlineLvl w:val="2"/>
        <w:rPr>
          <w:rFonts w:eastAsia="Times New Roman"/>
          <w:b/>
          <w:bCs/>
          <w:kern w:val="0"/>
          <w:lang w:eastAsia="en-GB"/>
          <w14:ligatures w14:val="none"/>
        </w:rPr>
      </w:pPr>
    </w:p>
    <w:p w14:paraId="73FE3703" w14:textId="0AB248DA" w:rsidR="0023724F" w:rsidRPr="00747303" w:rsidRDefault="0023724F" w:rsidP="00CA5719">
      <w:pPr>
        <w:spacing w:before="100" w:beforeAutospacing="1" w:after="100" w:afterAutospacing="1" w:line="360" w:lineRule="auto"/>
        <w:jc w:val="both"/>
        <w:outlineLvl w:val="2"/>
        <w:rPr>
          <w:rFonts w:eastAsia="Times New Roman"/>
          <w:b/>
          <w:bCs/>
          <w:kern w:val="0"/>
          <w:sz w:val="28"/>
          <w:szCs w:val="28"/>
          <w:lang w:eastAsia="en-GB"/>
          <w14:ligatures w14:val="none"/>
        </w:rPr>
      </w:pPr>
      <w:r w:rsidRPr="00747303">
        <w:rPr>
          <w:rFonts w:eastAsia="Times New Roman"/>
          <w:b/>
          <w:bCs/>
          <w:kern w:val="0"/>
          <w:sz w:val="28"/>
          <w:szCs w:val="28"/>
          <w:lang w:eastAsia="en-GB"/>
          <w14:ligatures w14:val="none"/>
        </w:rPr>
        <w:lastRenderedPageBreak/>
        <w:t>Recommendations for SDG 10</w:t>
      </w:r>
    </w:p>
    <w:p w14:paraId="13202DC6" w14:textId="75DE716B" w:rsidR="003C68C6" w:rsidRDefault="00E422F5" w:rsidP="00CA5719">
      <w:pPr>
        <w:spacing w:before="100" w:beforeAutospacing="1" w:after="100" w:afterAutospacing="1" w:line="360" w:lineRule="auto"/>
        <w:jc w:val="both"/>
        <w:outlineLvl w:val="1"/>
        <w:rPr>
          <w:rFonts w:eastAsia="Times New Roman"/>
          <w:kern w:val="0"/>
          <w:lang w:eastAsia="en-GB"/>
          <w14:ligatures w14:val="none"/>
        </w:rPr>
      </w:pPr>
      <w:r w:rsidRPr="00E422F5">
        <w:rPr>
          <w:rFonts w:eastAsia="Times New Roman"/>
          <w:kern w:val="0"/>
          <w:lang w:eastAsia="en-GB"/>
          <w14:ligatures w14:val="none"/>
        </w:rPr>
        <w:t>The assessment shows that decreasing inequities is essential for improving health and wellbeing outcomes. First and foremost, policymakers should prioritize long-term investments in education, job security, and affordable housing. According to Marmot (2015), inequalities in these areas are a major factor in health inequities and require continuous policy attention. Secondly, we must make a greater effort to lessen child poverty. Studies demonstrate that early childhood challenges may have long-term consequences on a person's academic achievement, employment opportunities, and general health (Wilkinson and Pickett, 2018). So, there could be significant social and financial benefits to spending money on early intervention initiatives. Third, local governments ought to use cooperative production strategies that include locals in the planning and delivery of services to increase community engagement. According to Braveman and Gottlieb (2014), interventions are more effective when they are tailored to local experiences and needs. Collaboration in production can improve trust, boost involvement, and raise the quality of services, but it also necessitates additional time and resources. Lastly, significant social and economic policies should incorporate health impact assessments. Prior to implementation, policymakers would be able to recognize potential impacts on health disparities, ensuring that choices support both SDG 3 and SDG 10. While this may raise administrative needs, it would foster a more proactive and coordinated strategy to policymaking.</w:t>
      </w:r>
      <w:r w:rsidR="003C68C6">
        <w:rPr>
          <w:rFonts w:eastAsia="Times New Roman"/>
          <w:kern w:val="0"/>
          <w:lang w:eastAsia="en-GB"/>
          <w14:ligatures w14:val="none"/>
        </w:rPr>
        <w:t xml:space="preserve"> </w:t>
      </w:r>
      <w:r w:rsidR="003C68C6" w:rsidRPr="003C68C6">
        <w:rPr>
          <w:rFonts w:eastAsia="Times New Roman"/>
          <w:kern w:val="0"/>
          <w:lang w:eastAsia="en-GB"/>
          <w14:ligatures w14:val="none"/>
        </w:rPr>
        <w:t>Furthermore, future policies should include measurable indicators for reducing inequality alongside regular independent evaluation. Without robust monitoring, governments may demonstrate policy commitment without achieving meaningful improvements in health outcomes. Greater long-term investment and accountability are essential because evidence suggests that inequalities continue to widen despite existing policy initiatives (Institute of Health Equity, 2024)</w:t>
      </w:r>
      <w:r w:rsidR="00CA5719">
        <w:rPr>
          <w:rFonts w:eastAsia="Times New Roman"/>
          <w:kern w:val="0"/>
          <w:lang w:eastAsia="en-GB"/>
          <w14:ligatures w14:val="none"/>
        </w:rPr>
        <w:t>.</w:t>
      </w:r>
    </w:p>
    <w:p w14:paraId="5C5CC489" w14:textId="77777777" w:rsidR="00747303" w:rsidRDefault="00747303" w:rsidP="00CA5719">
      <w:pPr>
        <w:spacing w:before="100" w:beforeAutospacing="1" w:after="100" w:afterAutospacing="1" w:line="360" w:lineRule="auto"/>
        <w:jc w:val="both"/>
        <w:outlineLvl w:val="1"/>
        <w:rPr>
          <w:rFonts w:eastAsia="Times New Roman"/>
          <w:kern w:val="0"/>
          <w:lang w:eastAsia="en-GB"/>
          <w14:ligatures w14:val="none"/>
        </w:rPr>
      </w:pPr>
    </w:p>
    <w:p w14:paraId="2BE0490E" w14:textId="77777777" w:rsidR="00747303" w:rsidRDefault="00747303" w:rsidP="00CA5719">
      <w:pPr>
        <w:spacing w:before="100" w:beforeAutospacing="1" w:after="100" w:afterAutospacing="1" w:line="360" w:lineRule="auto"/>
        <w:jc w:val="both"/>
        <w:outlineLvl w:val="1"/>
        <w:rPr>
          <w:rFonts w:eastAsia="Times New Roman"/>
          <w:kern w:val="0"/>
          <w:lang w:eastAsia="en-GB"/>
          <w14:ligatures w14:val="none"/>
        </w:rPr>
      </w:pPr>
    </w:p>
    <w:p w14:paraId="26BF59D3" w14:textId="77777777" w:rsidR="00747303" w:rsidRDefault="00747303" w:rsidP="00CA5719">
      <w:pPr>
        <w:spacing w:before="100" w:beforeAutospacing="1" w:after="100" w:afterAutospacing="1" w:line="360" w:lineRule="auto"/>
        <w:jc w:val="both"/>
        <w:outlineLvl w:val="1"/>
        <w:rPr>
          <w:rFonts w:eastAsia="Times New Roman"/>
          <w:kern w:val="0"/>
          <w:lang w:eastAsia="en-GB"/>
          <w14:ligatures w14:val="none"/>
        </w:rPr>
      </w:pPr>
    </w:p>
    <w:p w14:paraId="2934CD0A" w14:textId="77777777" w:rsidR="00747303" w:rsidRDefault="00747303" w:rsidP="00CA5719">
      <w:pPr>
        <w:spacing w:before="100" w:beforeAutospacing="1" w:after="100" w:afterAutospacing="1" w:line="360" w:lineRule="auto"/>
        <w:jc w:val="both"/>
        <w:outlineLvl w:val="1"/>
        <w:rPr>
          <w:rFonts w:eastAsia="Times New Roman"/>
          <w:kern w:val="0"/>
          <w:lang w:eastAsia="en-GB"/>
          <w14:ligatures w14:val="none"/>
        </w:rPr>
      </w:pPr>
    </w:p>
    <w:p w14:paraId="53EFBBF7" w14:textId="77777777" w:rsidR="00747303" w:rsidRDefault="00747303" w:rsidP="00CA5719">
      <w:pPr>
        <w:spacing w:before="100" w:beforeAutospacing="1" w:after="100" w:afterAutospacing="1" w:line="360" w:lineRule="auto"/>
        <w:jc w:val="both"/>
        <w:outlineLvl w:val="1"/>
        <w:rPr>
          <w:rFonts w:eastAsia="Times New Roman"/>
          <w:kern w:val="0"/>
          <w:lang w:eastAsia="en-GB"/>
          <w14:ligatures w14:val="none"/>
        </w:rPr>
      </w:pPr>
    </w:p>
    <w:p w14:paraId="4AAA62E8" w14:textId="77777777" w:rsidR="00747303" w:rsidRDefault="00747303" w:rsidP="00CA5719">
      <w:pPr>
        <w:spacing w:before="100" w:beforeAutospacing="1" w:after="100" w:afterAutospacing="1" w:line="360" w:lineRule="auto"/>
        <w:jc w:val="both"/>
        <w:outlineLvl w:val="1"/>
        <w:rPr>
          <w:rFonts w:eastAsia="Times New Roman"/>
          <w:kern w:val="0"/>
          <w:lang w:eastAsia="en-GB"/>
          <w14:ligatures w14:val="none"/>
        </w:rPr>
      </w:pPr>
    </w:p>
    <w:p w14:paraId="513F183A" w14:textId="0A67C983" w:rsidR="00A70905" w:rsidRPr="00747303" w:rsidRDefault="00A70905" w:rsidP="00CA5719">
      <w:pPr>
        <w:spacing w:before="100" w:beforeAutospacing="1" w:after="100" w:afterAutospacing="1" w:line="360" w:lineRule="auto"/>
        <w:jc w:val="both"/>
        <w:outlineLvl w:val="1"/>
        <w:rPr>
          <w:rFonts w:eastAsia="Times New Roman"/>
          <w:b/>
          <w:bCs/>
          <w:kern w:val="0"/>
          <w:sz w:val="28"/>
          <w:szCs w:val="28"/>
          <w:lang w:eastAsia="en-GB"/>
          <w14:ligatures w14:val="none"/>
        </w:rPr>
      </w:pPr>
      <w:r w:rsidRPr="00747303">
        <w:rPr>
          <w:rFonts w:eastAsia="Times New Roman"/>
          <w:b/>
          <w:bCs/>
          <w:kern w:val="0"/>
          <w:sz w:val="28"/>
          <w:szCs w:val="28"/>
          <w:lang w:eastAsia="en-GB"/>
          <w14:ligatures w14:val="none"/>
        </w:rPr>
        <w:lastRenderedPageBreak/>
        <w:t>Conclusion</w:t>
      </w:r>
    </w:p>
    <w:p w14:paraId="4EEAB638" w14:textId="77777777" w:rsidR="003C68C6" w:rsidRPr="003C68C6" w:rsidRDefault="00E422F5" w:rsidP="00CA5719">
      <w:pPr>
        <w:spacing w:line="360" w:lineRule="auto"/>
        <w:jc w:val="both"/>
        <w:rPr>
          <w:rFonts w:eastAsia="Times New Roman"/>
          <w:kern w:val="0"/>
          <w:lang w:eastAsia="en-GB"/>
          <w14:ligatures w14:val="none"/>
        </w:rPr>
      </w:pPr>
      <w:r w:rsidRPr="00E422F5">
        <w:rPr>
          <w:rFonts w:eastAsia="Times New Roman"/>
          <w:kern w:val="0"/>
          <w:lang w:eastAsia="en-GB"/>
          <w14:ligatures w14:val="none"/>
        </w:rPr>
        <w:t xml:space="preserve">This research has extensively explored the influence of SDG 3 (Good Health and Wellbeing) and SDG 10 (Reduced Inequalities) on health and wellbeing at the local, national, and international scales. Despite significant advances accomplished through initiatives like Universal Health Coverage, the NHS Long Term Plan, and the West Midlands Inclusive Growth Framework, the study indicates that significant disparities persist. Health outcomes, access to healthcare, and overall well-being continue to be affected by these disparities. Applying the Health Belief Model, Social Cognitive Theory, and the Social Determinants of Health Framework revealed that health is shaped by both personal actions and broader social, economic, and environmental variables. As a result, long-term enhancements to the health of the populace cannot be made by health care alone. Coordinated activity on SDG 10 is needed to achieve significant progress toward SDG 3 because income, education, employment, and housing disparities are largely responsible for disparities in health. </w:t>
      </w:r>
      <w:r w:rsidR="003C68C6" w:rsidRPr="003C68C6">
        <w:rPr>
          <w:rFonts w:eastAsia="Times New Roman"/>
          <w:kern w:val="0"/>
          <w:lang w:eastAsia="en-GB"/>
          <w14:ligatures w14:val="none"/>
        </w:rPr>
        <w:t>Overall, although SDG 3 and SDG 10 provide comprehensive policy frameworks for improving health and reducing inequalities, current evidence suggests that implementation has not been sufficient to reverse worsening health disparities. Persistent differences in income, housing, education and access to healthcare continue to drive unequal health outcomes, demonstrating that many policies have achieved only limited success. Therefore, meaningful progress towards the Sustainable Development Goals will depend on sustained investment, stronger accountability and coordinated action across government rather than isolated health interventions alone.</w:t>
      </w:r>
    </w:p>
    <w:p w14:paraId="17AF3297" w14:textId="1D5D5C09" w:rsidR="003918F2" w:rsidRDefault="003918F2" w:rsidP="00CA5719">
      <w:pPr>
        <w:spacing w:line="360" w:lineRule="auto"/>
        <w:jc w:val="both"/>
        <w:rPr>
          <w:b/>
          <w:bCs/>
        </w:rPr>
      </w:pPr>
    </w:p>
    <w:p w14:paraId="75DC1DA8" w14:textId="77777777" w:rsidR="003918F2" w:rsidRDefault="003918F2" w:rsidP="00CA5719">
      <w:pPr>
        <w:spacing w:line="360" w:lineRule="auto"/>
        <w:jc w:val="both"/>
        <w:rPr>
          <w:b/>
          <w:bCs/>
        </w:rPr>
      </w:pPr>
    </w:p>
    <w:p w14:paraId="50B88F4D" w14:textId="77777777" w:rsidR="003918F2" w:rsidRDefault="003918F2" w:rsidP="00CA5719">
      <w:pPr>
        <w:spacing w:line="360" w:lineRule="auto"/>
        <w:jc w:val="both"/>
        <w:rPr>
          <w:b/>
          <w:bCs/>
        </w:rPr>
      </w:pPr>
    </w:p>
    <w:p w14:paraId="63C26BEA" w14:textId="77777777" w:rsidR="003918F2" w:rsidRPr="0023724F" w:rsidRDefault="003918F2" w:rsidP="00CA5719">
      <w:pPr>
        <w:spacing w:line="360" w:lineRule="auto"/>
        <w:jc w:val="both"/>
        <w:rPr>
          <w:b/>
          <w:bCs/>
        </w:rPr>
      </w:pPr>
    </w:p>
    <w:p w14:paraId="3BCC02E4" w14:textId="77777777" w:rsidR="00A70905" w:rsidRPr="0023724F" w:rsidRDefault="00A70905" w:rsidP="00CA5719">
      <w:pPr>
        <w:spacing w:line="360" w:lineRule="auto"/>
        <w:jc w:val="both"/>
        <w:rPr>
          <w:b/>
          <w:bCs/>
        </w:rPr>
      </w:pPr>
    </w:p>
    <w:p w14:paraId="6A5466E1" w14:textId="77777777" w:rsidR="00A70905" w:rsidRDefault="00A70905" w:rsidP="00CA5719">
      <w:pPr>
        <w:spacing w:line="360" w:lineRule="auto"/>
        <w:jc w:val="both"/>
        <w:rPr>
          <w:b/>
          <w:bCs/>
        </w:rPr>
      </w:pPr>
    </w:p>
    <w:p w14:paraId="0F7C5286" w14:textId="39207198" w:rsidR="00A70905" w:rsidRDefault="00A70905" w:rsidP="00CA5719">
      <w:pPr>
        <w:spacing w:line="360" w:lineRule="auto"/>
        <w:jc w:val="both"/>
        <w:rPr>
          <w:b/>
          <w:bCs/>
        </w:rPr>
      </w:pPr>
    </w:p>
    <w:p w14:paraId="54E12DD9" w14:textId="77777777" w:rsidR="00747303" w:rsidRDefault="00747303" w:rsidP="00CA5719">
      <w:pPr>
        <w:spacing w:line="360" w:lineRule="auto"/>
        <w:jc w:val="both"/>
        <w:rPr>
          <w:b/>
          <w:bCs/>
        </w:rPr>
      </w:pPr>
    </w:p>
    <w:p w14:paraId="30134B32" w14:textId="77777777" w:rsidR="00747303" w:rsidRDefault="00747303" w:rsidP="00CA5719">
      <w:pPr>
        <w:spacing w:line="360" w:lineRule="auto"/>
        <w:jc w:val="both"/>
        <w:rPr>
          <w:b/>
          <w:bCs/>
        </w:rPr>
      </w:pPr>
    </w:p>
    <w:p w14:paraId="1F6321BC" w14:textId="77777777" w:rsidR="008967D7" w:rsidRDefault="008967D7" w:rsidP="00CA5719">
      <w:pPr>
        <w:spacing w:line="360" w:lineRule="auto"/>
        <w:jc w:val="both"/>
        <w:rPr>
          <w:b/>
          <w:bCs/>
        </w:rPr>
      </w:pPr>
    </w:p>
    <w:p w14:paraId="7CC56FCE" w14:textId="77777777" w:rsidR="008967D7" w:rsidRPr="0023724F" w:rsidRDefault="008967D7" w:rsidP="00CA5719">
      <w:pPr>
        <w:spacing w:line="360" w:lineRule="auto"/>
        <w:jc w:val="both"/>
        <w:rPr>
          <w:b/>
          <w:bCs/>
        </w:rPr>
      </w:pPr>
    </w:p>
    <w:p w14:paraId="43492EE9" w14:textId="77777777" w:rsidR="00A36F37" w:rsidRPr="002D13C7" w:rsidRDefault="00A36F37" w:rsidP="002D13C7">
      <w:pPr>
        <w:spacing w:line="360" w:lineRule="auto"/>
        <w:jc w:val="both"/>
        <w:rPr>
          <w:b/>
          <w:bCs/>
          <w:sz w:val="32"/>
          <w:szCs w:val="32"/>
        </w:rPr>
      </w:pPr>
      <w:r w:rsidRPr="002D13C7">
        <w:rPr>
          <w:b/>
          <w:bCs/>
          <w:sz w:val="32"/>
          <w:szCs w:val="32"/>
        </w:rPr>
        <w:lastRenderedPageBreak/>
        <w:t>References</w:t>
      </w:r>
    </w:p>
    <w:p w14:paraId="00315C8B"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proofErr w:type="spellStart"/>
      <w:r w:rsidRPr="002D13C7">
        <w:rPr>
          <w:rFonts w:eastAsia="Times New Roman"/>
          <w:kern w:val="0"/>
          <w:lang w:eastAsia="en-GB"/>
          <w14:ligatures w14:val="none"/>
        </w:rPr>
        <w:t>Alderwick</w:t>
      </w:r>
      <w:proofErr w:type="spellEnd"/>
      <w:r w:rsidRPr="002D13C7">
        <w:rPr>
          <w:rFonts w:eastAsia="Times New Roman"/>
          <w:kern w:val="0"/>
          <w:lang w:eastAsia="en-GB"/>
          <w14:ligatures w14:val="none"/>
        </w:rPr>
        <w:t xml:space="preserve">, H. and Dixon, J. (2019) 'The NHS Long Term Plan', </w:t>
      </w:r>
      <w:r w:rsidRPr="002D13C7">
        <w:rPr>
          <w:rFonts w:eastAsia="Times New Roman"/>
          <w:i/>
          <w:iCs/>
          <w:kern w:val="0"/>
          <w:lang w:eastAsia="en-GB"/>
          <w14:ligatures w14:val="none"/>
        </w:rPr>
        <w:t>BMJ</w:t>
      </w:r>
      <w:r w:rsidRPr="002D13C7">
        <w:rPr>
          <w:rFonts w:eastAsia="Times New Roman"/>
          <w:kern w:val="0"/>
          <w:lang w:eastAsia="en-GB"/>
          <w14:ligatures w14:val="none"/>
        </w:rPr>
        <w:t xml:space="preserve">, 364, l84. Available at: </w:t>
      </w:r>
      <w:hyperlink r:id="rId7" w:tgtFrame="_new" w:history="1">
        <w:r w:rsidRPr="002D13C7">
          <w:rPr>
            <w:rFonts w:eastAsia="Times New Roman"/>
            <w:color w:val="0000FF"/>
            <w:kern w:val="0"/>
            <w:u w:val="single"/>
            <w:lang w:eastAsia="en-GB"/>
            <w14:ligatures w14:val="none"/>
          </w:rPr>
          <w:t>https://doi.org/10.1136/bmj.l84</w:t>
        </w:r>
      </w:hyperlink>
    </w:p>
    <w:p w14:paraId="00B7FB9E"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Bambra, C. (2016) </w:t>
      </w:r>
      <w:r w:rsidRPr="002D13C7">
        <w:rPr>
          <w:rFonts w:eastAsia="Times New Roman"/>
          <w:i/>
          <w:iCs/>
          <w:kern w:val="0"/>
          <w:lang w:eastAsia="en-GB"/>
          <w14:ligatures w14:val="none"/>
        </w:rPr>
        <w:t>Health Divides: Where You Live Can Kill You</w:t>
      </w:r>
      <w:r w:rsidRPr="002D13C7">
        <w:rPr>
          <w:rFonts w:eastAsia="Times New Roman"/>
          <w:kern w:val="0"/>
          <w:lang w:eastAsia="en-GB"/>
          <w14:ligatures w14:val="none"/>
        </w:rPr>
        <w:t>. Bristol: Policy Press.</w:t>
      </w:r>
    </w:p>
    <w:p w14:paraId="2D3C9BF1"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Bandura, A. (1986) </w:t>
      </w:r>
      <w:r w:rsidRPr="002D13C7">
        <w:rPr>
          <w:rFonts w:eastAsia="Times New Roman"/>
          <w:i/>
          <w:iCs/>
          <w:kern w:val="0"/>
          <w:lang w:eastAsia="en-GB"/>
          <w14:ligatures w14:val="none"/>
        </w:rPr>
        <w:t>Social Foundations of Thought and Action: A Social Cognitive Theory</w:t>
      </w:r>
      <w:r w:rsidRPr="002D13C7">
        <w:rPr>
          <w:rFonts w:eastAsia="Times New Roman"/>
          <w:kern w:val="0"/>
          <w:lang w:eastAsia="en-GB"/>
          <w14:ligatures w14:val="none"/>
        </w:rPr>
        <w:t>. Englewood Cliffs, NJ: Prentice Hall.</w:t>
      </w:r>
    </w:p>
    <w:p w14:paraId="09372F9A"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Braveman, P. and Gottlieb, L. (2014) 'The social determinants of health: It's time to consider the causes of the causes', </w:t>
      </w:r>
      <w:r w:rsidRPr="002D13C7">
        <w:rPr>
          <w:rFonts w:eastAsia="Times New Roman"/>
          <w:i/>
          <w:iCs/>
          <w:kern w:val="0"/>
          <w:lang w:eastAsia="en-GB"/>
          <w14:ligatures w14:val="none"/>
        </w:rPr>
        <w:t>Public Health Reports</w:t>
      </w:r>
      <w:r w:rsidRPr="002D13C7">
        <w:rPr>
          <w:rFonts w:eastAsia="Times New Roman"/>
          <w:kern w:val="0"/>
          <w:lang w:eastAsia="en-GB"/>
          <w14:ligatures w14:val="none"/>
        </w:rPr>
        <w:t xml:space="preserve">, 129(Suppl. 2), pp. 19–31. Available at: </w:t>
      </w:r>
      <w:hyperlink r:id="rId8" w:tgtFrame="_new" w:history="1">
        <w:r w:rsidRPr="002D13C7">
          <w:rPr>
            <w:rFonts w:eastAsia="Times New Roman"/>
            <w:color w:val="0000FF"/>
            <w:kern w:val="0"/>
            <w:u w:val="single"/>
            <w:lang w:eastAsia="en-GB"/>
            <w14:ligatures w14:val="none"/>
          </w:rPr>
          <w:t>https://doi.org/10.1177/00333549141291S206</w:t>
        </w:r>
      </w:hyperlink>
    </w:p>
    <w:p w14:paraId="2529E4D7"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Dahlgren, G. and Whitehead, M. (1991) </w:t>
      </w:r>
      <w:r w:rsidRPr="002D13C7">
        <w:rPr>
          <w:rFonts w:eastAsia="Times New Roman"/>
          <w:i/>
          <w:iCs/>
          <w:kern w:val="0"/>
          <w:lang w:eastAsia="en-GB"/>
          <w14:ligatures w14:val="none"/>
        </w:rPr>
        <w:t>Policies and Strategies to Promote Social Equity in Health</w:t>
      </w:r>
      <w:r w:rsidRPr="002D13C7">
        <w:rPr>
          <w:rFonts w:eastAsia="Times New Roman"/>
          <w:kern w:val="0"/>
          <w:lang w:eastAsia="en-GB"/>
          <w14:ligatures w14:val="none"/>
        </w:rPr>
        <w:t>. Stockholm: Institute for Futures Studies.</w:t>
      </w:r>
    </w:p>
    <w:p w14:paraId="533CC0EE"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Glanz, K., Rimer, B.K. and Viswanath, K. (2015) </w:t>
      </w:r>
      <w:r w:rsidRPr="002D13C7">
        <w:rPr>
          <w:rFonts w:eastAsia="Times New Roman"/>
          <w:i/>
          <w:iCs/>
          <w:kern w:val="0"/>
          <w:lang w:eastAsia="en-GB"/>
          <w14:ligatures w14:val="none"/>
        </w:rPr>
        <w:t>Health Behavior: Theory, Research and Practice</w:t>
      </w:r>
      <w:r w:rsidRPr="002D13C7">
        <w:rPr>
          <w:rFonts w:eastAsia="Times New Roman"/>
          <w:kern w:val="0"/>
          <w:lang w:eastAsia="en-GB"/>
          <w14:ligatures w14:val="none"/>
        </w:rPr>
        <w:t xml:space="preserve">. 5th </w:t>
      </w:r>
      <w:proofErr w:type="spellStart"/>
      <w:r w:rsidRPr="002D13C7">
        <w:rPr>
          <w:rFonts w:eastAsia="Times New Roman"/>
          <w:kern w:val="0"/>
          <w:lang w:eastAsia="en-GB"/>
          <w14:ligatures w14:val="none"/>
        </w:rPr>
        <w:t>edn</w:t>
      </w:r>
      <w:proofErr w:type="spellEnd"/>
      <w:r w:rsidRPr="002D13C7">
        <w:rPr>
          <w:rFonts w:eastAsia="Times New Roman"/>
          <w:kern w:val="0"/>
          <w:lang w:eastAsia="en-GB"/>
          <w14:ligatures w14:val="none"/>
        </w:rPr>
        <w:t>. San Francisco: Jossey-Bass.</w:t>
      </w:r>
    </w:p>
    <w:p w14:paraId="5CC24679"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HM Government (2022) </w:t>
      </w:r>
      <w:r w:rsidRPr="002D13C7">
        <w:rPr>
          <w:rFonts w:eastAsia="Times New Roman"/>
          <w:i/>
          <w:iCs/>
          <w:kern w:val="0"/>
          <w:lang w:eastAsia="en-GB"/>
          <w14:ligatures w14:val="none"/>
        </w:rPr>
        <w:t>Levelling Up the United Kingdom</w:t>
      </w:r>
      <w:r w:rsidRPr="002D13C7">
        <w:rPr>
          <w:rFonts w:eastAsia="Times New Roman"/>
          <w:kern w:val="0"/>
          <w:lang w:eastAsia="en-GB"/>
          <w14:ligatures w14:val="none"/>
        </w:rPr>
        <w:t xml:space="preserve">. London: HM Government. Available at: </w:t>
      </w:r>
      <w:hyperlink r:id="rId9" w:tgtFrame="_new" w:history="1">
        <w:r w:rsidRPr="002D13C7">
          <w:rPr>
            <w:rFonts w:eastAsia="Times New Roman"/>
            <w:color w:val="0000FF"/>
            <w:kern w:val="0"/>
            <w:u w:val="single"/>
            <w:lang w:eastAsia="en-GB"/>
            <w14:ligatures w14:val="none"/>
          </w:rPr>
          <w:t>https://www.gov.uk/government/publications/levelling-up-the-united-kingdom</w:t>
        </w:r>
      </w:hyperlink>
      <w:r w:rsidRPr="002D13C7">
        <w:rPr>
          <w:rFonts w:eastAsia="Times New Roman"/>
          <w:kern w:val="0"/>
          <w:lang w:eastAsia="en-GB"/>
          <w14:ligatures w14:val="none"/>
        </w:rPr>
        <w:t xml:space="preserve"> (Accessed: 17 July 2026).</w:t>
      </w:r>
    </w:p>
    <w:p w14:paraId="24166BE5"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Institute of Health Equity (2024) </w:t>
      </w:r>
      <w:r w:rsidRPr="002D13C7">
        <w:rPr>
          <w:rFonts w:eastAsia="Times New Roman"/>
          <w:i/>
          <w:iCs/>
          <w:kern w:val="0"/>
          <w:lang w:eastAsia="en-GB"/>
          <w14:ligatures w14:val="none"/>
        </w:rPr>
        <w:t>Health Inequalities, Lives Cut Short: The State of Health Equity in England</w:t>
      </w:r>
      <w:r w:rsidRPr="002D13C7">
        <w:rPr>
          <w:rFonts w:eastAsia="Times New Roman"/>
          <w:kern w:val="0"/>
          <w:lang w:eastAsia="en-GB"/>
          <w14:ligatures w14:val="none"/>
        </w:rPr>
        <w:t xml:space="preserve">. London: Institute of Health Equity. Available at: </w:t>
      </w:r>
      <w:hyperlink r:id="rId10" w:tgtFrame="_new" w:history="1">
        <w:r w:rsidRPr="002D13C7">
          <w:rPr>
            <w:rFonts w:eastAsia="Times New Roman"/>
            <w:color w:val="0000FF"/>
            <w:kern w:val="0"/>
            <w:u w:val="single"/>
            <w:lang w:eastAsia="en-GB"/>
            <w14:ligatures w14:val="none"/>
          </w:rPr>
          <w:t>https://www.instituteofhealthequity.org/resources-reports/health-inequalities-lives-cut-short/the-state-of-health-equity-in-england</w:t>
        </w:r>
      </w:hyperlink>
      <w:r w:rsidRPr="002D13C7">
        <w:rPr>
          <w:rFonts w:eastAsia="Times New Roman"/>
          <w:kern w:val="0"/>
          <w:lang w:eastAsia="en-GB"/>
          <w14:ligatures w14:val="none"/>
        </w:rPr>
        <w:t xml:space="preserve"> (Accessed: 17 July 2026).</w:t>
      </w:r>
    </w:p>
    <w:p w14:paraId="0B36052A"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Kickbusch, I., Allen, L. and Franz, C. (2021) 'The commercial determinants of health', </w:t>
      </w:r>
      <w:r w:rsidRPr="002D13C7">
        <w:rPr>
          <w:rFonts w:eastAsia="Times New Roman"/>
          <w:i/>
          <w:iCs/>
          <w:kern w:val="0"/>
          <w:lang w:eastAsia="en-GB"/>
          <w14:ligatures w14:val="none"/>
        </w:rPr>
        <w:t>The Lancet Global Health</w:t>
      </w:r>
      <w:r w:rsidRPr="002D13C7">
        <w:rPr>
          <w:rFonts w:eastAsia="Times New Roman"/>
          <w:kern w:val="0"/>
          <w:lang w:eastAsia="en-GB"/>
          <w14:ligatures w14:val="none"/>
        </w:rPr>
        <w:t xml:space="preserve">, 9(10), pp. e1351–e1352. Available at: </w:t>
      </w:r>
      <w:hyperlink r:id="rId11" w:tgtFrame="_new" w:history="1">
        <w:r w:rsidRPr="002D13C7">
          <w:rPr>
            <w:rFonts w:eastAsia="Times New Roman"/>
            <w:color w:val="0000FF"/>
            <w:kern w:val="0"/>
            <w:u w:val="single"/>
            <w:lang w:eastAsia="en-GB"/>
            <w14:ligatures w14:val="none"/>
          </w:rPr>
          <w:t>https://doi.org/10.1016/S2214-109X(21)00377-0</w:t>
        </w:r>
      </w:hyperlink>
    </w:p>
    <w:p w14:paraId="3270CEFC"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The King's Fund (2024) </w:t>
      </w:r>
      <w:r w:rsidRPr="002D13C7">
        <w:rPr>
          <w:rFonts w:eastAsia="Times New Roman"/>
          <w:i/>
          <w:iCs/>
          <w:kern w:val="0"/>
          <w:lang w:eastAsia="en-GB"/>
          <w14:ligatures w14:val="none"/>
        </w:rPr>
        <w:t>NHS Performance and Pressures</w:t>
      </w:r>
      <w:r w:rsidRPr="002D13C7">
        <w:rPr>
          <w:rFonts w:eastAsia="Times New Roman"/>
          <w:kern w:val="0"/>
          <w:lang w:eastAsia="en-GB"/>
          <w14:ligatures w14:val="none"/>
        </w:rPr>
        <w:t xml:space="preserve">. Available at: </w:t>
      </w:r>
      <w:hyperlink r:id="rId12" w:tgtFrame="_new" w:history="1">
        <w:r w:rsidRPr="002D13C7">
          <w:rPr>
            <w:rFonts w:eastAsia="Times New Roman"/>
            <w:color w:val="0000FF"/>
            <w:kern w:val="0"/>
            <w:u w:val="single"/>
            <w:lang w:eastAsia="en-GB"/>
            <w14:ligatures w14:val="none"/>
          </w:rPr>
          <w:t>https://www.kingsfund.org.uk/</w:t>
        </w:r>
      </w:hyperlink>
      <w:r w:rsidRPr="002D13C7">
        <w:rPr>
          <w:rFonts w:eastAsia="Times New Roman"/>
          <w:kern w:val="0"/>
          <w:lang w:eastAsia="en-GB"/>
          <w14:ligatures w14:val="none"/>
        </w:rPr>
        <w:t xml:space="preserve"> (Accessed: 17 July 2026).</w:t>
      </w:r>
    </w:p>
    <w:p w14:paraId="2CC17243"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proofErr w:type="spellStart"/>
      <w:r w:rsidRPr="002D13C7">
        <w:rPr>
          <w:rFonts w:eastAsia="Times New Roman"/>
          <w:kern w:val="0"/>
          <w:lang w:eastAsia="en-GB"/>
          <w14:ligatures w14:val="none"/>
        </w:rPr>
        <w:t>Mackenbach</w:t>
      </w:r>
      <w:proofErr w:type="spellEnd"/>
      <w:r w:rsidRPr="002D13C7">
        <w:rPr>
          <w:rFonts w:eastAsia="Times New Roman"/>
          <w:kern w:val="0"/>
          <w:lang w:eastAsia="en-GB"/>
          <w14:ligatures w14:val="none"/>
        </w:rPr>
        <w:t xml:space="preserve">, J.P. (2019) </w:t>
      </w:r>
      <w:r w:rsidRPr="002D13C7">
        <w:rPr>
          <w:rFonts w:eastAsia="Times New Roman"/>
          <w:i/>
          <w:iCs/>
          <w:kern w:val="0"/>
          <w:lang w:eastAsia="en-GB"/>
          <w14:ligatures w14:val="none"/>
        </w:rPr>
        <w:t>Health Inequalities: Persistence and Change in European Welfare States</w:t>
      </w:r>
      <w:r w:rsidRPr="002D13C7">
        <w:rPr>
          <w:rFonts w:eastAsia="Times New Roman"/>
          <w:kern w:val="0"/>
          <w:lang w:eastAsia="en-GB"/>
          <w14:ligatures w14:val="none"/>
        </w:rPr>
        <w:t>. Oxford: Oxford University Press.</w:t>
      </w:r>
    </w:p>
    <w:p w14:paraId="14495094"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lastRenderedPageBreak/>
        <w:t xml:space="preserve">Marmot, M. (2015) </w:t>
      </w:r>
      <w:r w:rsidRPr="002D13C7">
        <w:rPr>
          <w:rFonts w:eastAsia="Times New Roman"/>
          <w:i/>
          <w:iCs/>
          <w:kern w:val="0"/>
          <w:lang w:eastAsia="en-GB"/>
          <w14:ligatures w14:val="none"/>
        </w:rPr>
        <w:t>The Health Gap: The Challenge of an Unequal World</w:t>
      </w:r>
      <w:r w:rsidRPr="002D13C7">
        <w:rPr>
          <w:rFonts w:eastAsia="Times New Roman"/>
          <w:kern w:val="0"/>
          <w:lang w:eastAsia="en-GB"/>
          <w14:ligatures w14:val="none"/>
        </w:rPr>
        <w:t>. London: Bloomsbury.</w:t>
      </w:r>
    </w:p>
    <w:p w14:paraId="5BA5083E"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Marmot, M., Allen, J., Boyce, T., Goldblatt, P. and Morrison, J. (2020) </w:t>
      </w:r>
      <w:r w:rsidRPr="002D13C7">
        <w:rPr>
          <w:rFonts w:eastAsia="Times New Roman"/>
          <w:i/>
          <w:iCs/>
          <w:kern w:val="0"/>
          <w:lang w:eastAsia="en-GB"/>
          <w14:ligatures w14:val="none"/>
        </w:rPr>
        <w:t>Health Equity in England: The Marmot Review 10 Years On</w:t>
      </w:r>
      <w:r w:rsidRPr="002D13C7">
        <w:rPr>
          <w:rFonts w:eastAsia="Times New Roman"/>
          <w:kern w:val="0"/>
          <w:lang w:eastAsia="en-GB"/>
          <w14:ligatures w14:val="none"/>
        </w:rPr>
        <w:t xml:space="preserve">. London: Institute of Health Equity. Available at: </w:t>
      </w:r>
      <w:hyperlink r:id="rId13" w:tgtFrame="_new" w:history="1">
        <w:r w:rsidRPr="002D13C7">
          <w:rPr>
            <w:rFonts w:eastAsia="Times New Roman"/>
            <w:color w:val="0000FF"/>
            <w:kern w:val="0"/>
            <w:u w:val="single"/>
            <w:lang w:eastAsia="en-GB"/>
            <w14:ligatures w14:val="none"/>
          </w:rPr>
          <w:t>https://www.instituteofhealthequity.org/</w:t>
        </w:r>
      </w:hyperlink>
      <w:r w:rsidRPr="002D13C7">
        <w:rPr>
          <w:rFonts w:eastAsia="Times New Roman"/>
          <w:kern w:val="0"/>
          <w:lang w:eastAsia="en-GB"/>
          <w14:ligatures w14:val="none"/>
        </w:rPr>
        <w:t xml:space="preserve"> (Accessed: 17 July 2026).</w:t>
      </w:r>
    </w:p>
    <w:p w14:paraId="653A217E"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NHS England (2019) </w:t>
      </w:r>
      <w:r w:rsidRPr="002D13C7">
        <w:rPr>
          <w:rFonts w:eastAsia="Times New Roman"/>
          <w:i/>
          <w:iCs/>
          <w:kern w:val="0"/>
          <w:lang w:eastAsia="en-GB"/>
          <w14:ligatures w14:val="none"/>
        </w:rPr>
        <w:t>The NHS Long Term Plan</w:t>
      </w:r>
      <w:r w:rsidRPr="002D13C7">
        <w:rPr>
          <w:rFonts w:eastAsia="Times New Roman"/>
          <w:kern w:val="0"/>
          <w:lang w:eastAsia="en-GB"/>
          <w14:ligatures w14:val="none"/>
        </w:rPr>
        <w:t xml:space="preserve">. Available at: </w:t>
      </w:r>
      <w:hyperlink r:id="rId14" w:tgtFrame="_new" w:history="1">
        <w:r w:rsidRPr="002D13C7">
          <w:rPr>
            <w:rFonts w:eastAsia="Times New Roman"/>
            <w:color w:val="0000FF"/>
            <w:kern w:val="0"/>
            <w:u w:val="single"/>
            <w:lang w:eastAsia="en-GB"/>
            <w14:ligatures w14:val="none"/>
          </w:rPr>
          <w:t>https://www.longtermplan.nhs.uk/</w:t>
        </w:r>
      </w:hyperlink>
      <w:r w:rsidRPr="002D13C7">
        <w:rPr>
          <w:rFonts w:eastAsia="Times New Roman"/>
          <w:kern w:val="0"/>
          <w:lang w:eastAsia="en-GB"/>
          <w14:ligatures w14:val="none"/>
        </w:rPr>
        <w:t xml:space="preserve"> (Accessed: 17 July 2026).</w:t>
      </w:r>
    </w:p>
    <w:p w14:paraId="0223B8FE"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NHS England (2021) </w:t>
      </w:r>
      <w:r w:rsidRPr="002D13C7">
        <w:rPr>
          <w:rFonts w:eastAsia="Times New Roman"/>
          <w:i/>
          <w:iCs/>
          <w:kern w:val="0"/>
          <w:lang w:eastAsia="en-GB"/>
          <w14:ligatures w14:val="none"/>
        </w:rPr>
        <w:t>Core20PLUS5: An Approach to Reducing Healthcare Inequalities</w:t>
      </w:r>
      <w:r w:rsidRPr="002D13C7">
        <w:rPr>
          <w:rFonts w:eastAsia="Times New Roman"/>
          <w:kern w:val="0"/>
          <w:lang w:eastAsia="en-GB"/>
          <w14:ligatures w14:val="none"/>
        </w:rPr>
        <w:t xml:space="preserve">. Available at: </w:t>
      </w:r>
      <w:hyperlink r:id="rId15" w:tgtFrame="_new" w:history="1">
        <w:r w:rsidRPr="002D13C7">
          <w:rPr>
            <w:rFonts w:eastAsia="Times New Roman"/>
            <w:color w:val="0000FF"/>
            <w:kern w:val="0"/>
            <w:u w:val="single"/>
            <w:lang w:eastAsia="en-GB"/>
            <w14:ligatures w14:val="none"/>
          </w:rPr>
          <w:t>https://www.england.nhs.uk/about/equality/equality-hub/core20plus5/</w:t>
        </w:r>
      </w:hyperlink>
      <w:r w:rsidRPr="002D13C7">
        <w:rPr>
          <w:rFonts w:eastAsia="Times New Roman"/>
          <w:kern w:val="0"/>
          <w:lang w:eastAsia="en-GB"/>
          <w14:ligatures w14:val="none"/>
        </w:rPr>
        <w:t xml:space="preserve"> (Accessed: 17 July 2026).</w:t>
      </w:r>
    </w:p>
    <w:p w14:paraId="2F7C9010"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Nutbeam, D. and Lloyd, J.E. (2021) 'Understanding and responding to health literacy as a social determinant of health', </w:t>
      </w:r>
      <w:r w:rsidRPr="002D13C7">
        <w:rPr>
          <w:rFonts w:eastAsia="Times New Roman"/>
          <w:i/>
          <w:iCs/>
          <w:kern w:val="0"/>
          <w:lang w:eastAsia="en-GB"/>
          <w14:ligatures w14:val="none"/>
        </w:rPr>
        <w:t>Annual Review of Public Health</w:t>
      </w:r>
      <w:r w:rsidRPr="002D13C7">
        <w:rPr>
          <w:rFonts w:eastAsia="Times New Roman"/>
          <w:kern w:val="0"/>
          <w:lang w:eastAsia="en-GB"/>
          <w14:ligatures w14:val="none"/>
        </w:rPr>
        <w:t xml:space="preserve">, 42, pp. 159–173. Available at: </w:t>
      </w:r>
      <w:hyperlink r:id="rId16" w:tgtFrame="_new" w:history="1">
        <w:r w:rsidRPr="002D13C7">
          <w:rPr>
            <w:rFonts w:eastAsia="Times New Roman"/>
            <w:color w:val="0000FF"/>
            <w:kern w:val="0"/>
            <w:u w:val="single"/>
            <w:lang w:eastAsia="en-GB"/>
            <w14:ligatures w14:val="none"/>
          </w:rPr>
          <w:t>https://doi.org/10.1146/annurev-publhealth-090419-102529</w:t>
        </w:r>
      </w:hyperlink>
    </w:p>
    <w:p w14:paraId="58AF7A99"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Office for National Statistics (2024) </w:t>
      </w:r>
      <w:r w:rsidRPr="002D13C7">
        <w:rPr>
          <w:rFonts w:eastAsia="Times New Roman"/>
          <w:i/>
          <w:iCs/>
          <w:kern w:val="0"/>
          <w:lang w:eastAsia="en-GB"/>
          <w14:ligatures w14:val="none"/>
        </w:rPr>
        <w:t>Health State Life Expectancies, UK: 2021 to 2023</w:t>
      </w:r>
      <w:r w:rsidRPr="002D13C7">
        <w:rPr>
          <w:rFonts w:eastAsia="Times New Roman"/>
          <w:kern w:val="0"/>
          <w:lang w:eastAsia="en-GB"/>
          <w14:ligatures w14:val="none"/>
        </w:rPr>
        <w:t xml:space="preserve">. Newport: Office for National Statistics. Available at: </w:t>
      </w:r>
      <w:hyperlink r:id="rId17" w:tgtFrame="_new" w:history="1">
        <w:r w:rsidRPr="002D13C7">
          <w:rPr>
            <w:rFonts w:eastAsia="Times New Roman"/>
            <w:color w:val="0000FF"/>
            <w:kern w:val="0"/>
            <w:u w:val="single"/>
            <w:lang w:eastAsia="en-GB"/>
            <w14:ligatures w14:val="none"/>
          </w:rPr>
          <w:t>https://www.ons.gov.uk/</w:t>
        </w:r>
      </w:hyperlink>
      <w:r w:rsidRPr="002D13C7">
        <w:rPr>
          <w:rFonts w:eastAsia="Times New Roman"/>
          <w:kern w:val="0"/>
          <w:lang w:eastAsia="en-GB"/>
          <w14:ligatures w14:val="none"/>
        </w:rPr>
        <w:t xml:space="preserve"> (Accessed: 17 July 2026).</w:t>
      </w:r>
    </w:p>
    <w:p w14:paraId="5EFF26AF"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Pickett, K.E. and Wilkinson, R.G. (2015) 'Income inequality and health: A causal review', </w:t>
      </w:r>
      <w:r w:rsidRPr="002D13C7">
        <w:rPr>
          <w:rFonts w:eastAsia="Times New Roman"/>
          <w:i/>
          <w:iCs/>
          <w:kern w:val="0"/>
          <w:lang w:eastAsia="en-GB"/>
          <w14:ligatures w14:val="none"/>
        </w:rPr>
        <w:t>Social Science &amp; Medicine</w:t>
      </w:r>
      <w:r w:rsidRPr="002D13C7">
        <w:rPr>
          <w:rFonts w:eastAsia="Times New Roman"/>
          <w:kern w:val="0"/>
          <w:lang w:eastAsia="en-GB"/>
          <w14:ligatures w14:val="none"/>
        </w:rPr>
        <w:t xml:space="preserve">, 128, pp. 316–326. Available at: </w:t>
      </w:r>
      <w:hyperlink r:id="rId18" w:tgtFrame="_new" w:history="1">
        <w:r w:rsidRPr="002D13C7">
          <w:rPr>
            <w:rFonts w:eastAsia="Times New Roman"/>
            <w:color w:val="0000FF"/>
            <w:kern w:val="0"/>
            <w:u w:val="single"/>
            <w:lang w:eastAsia="en-GB"/>
            <w14:ligatures w14:val="none"/>
          </w:rPr>
          <w:t>https://doi.org/10.1016/j.socscimed.2014.12.031</w:t>
        </w:r>
      </w:hyperlink>
    </w:p>
    <w:p w14:paraId="7D7BDF03"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Rosenstock, I.M. (1974) 'Historical origins of the Health Belief Model', </w:t>
      </w:r>
      <w:r w:rsidRPr="002D13C7">
        <w:rPr>
          <w:rFonts w:eastAsia="Times New Roman"/>
          <w:i/>
          <w:iCs/>
          <w:kern w:val="0"/>
          <w:lang w:eastAsia="en-GB"/>
          <w14:ligatures w14:val="none"/>
        </w:rPr>
        <w:t>Health Education Monographs</w:t>
      </w:r>
      <w:r w:rsidRPr="002D13C7">
        <w:rPr>
          <w:rFonts w:eastAsia="Times New Roman"/>
          <w:kern w:val="0"/>
          <w:lang w:eastAsia="en-GB"/>
          <w14:ligatures w14:val="none"/>
        </w:rPr>
        <w:t xml:space="preserve">, 2(4), pp. 328–335. Available at: </w:t>
      </w:r>
      <w:hyperlink r:id="rId19" w:tgtFrame="_new" w:history="1">
        <w:r w:rsidRPr="002D13C7">
          <w:rPr>
            <w:rFonts w:eastAsia="Times New Roman"/>
            <w:color w:val="0000FF"/>
            <w:kern w:val="0"/>
            <w:u w:val="single"/>
            <w:lang w:eastAsia="en-GB"/>
            <w14:ligatures w14:val="none"/>
          </w:rPr>
          <w:t>https://doi.org/10.1177/109019817400200403</w:t>
        </w:r>
      </w:hyperlink>
    </w:p>
    <w:p w14:paraId="14277552"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Solar, O. and Irwin, A. (2010) </w:t>
      </w:r>
      <w:r w:rsidRPr="002D13C7">
        <w:rPr>
          <w:rFonts w:eastAsia="Times New Roman"/>
          <w:i/>
          <w:iCs/>
          <w:kern w:val="0"/>
          <w:lang w:eastAsia="en-GB"/>
          <w14:ligatures w14:val="none"/>
        </w:rPr>
        <w:t>A Conceptual Framework for Action on the Social Determinants of Health</w:t>
      </w:r>
      <w:r w:rsidRPr="002D13C7">
        <w:rPr>
          <w:rFonts w:eastAsia="Times New Roman"/>
          <w:kern w:val="0"/>
          <w:lang w:eastAsia="en-GB"/>
          <w14:ligatures w14:val="none"/>
        </w:rPr>
        <w:t xml:space="preserve">. Geneva: World Health Organization. Available at: </w:t>
      </w:r>
      <w:hyperlink r:id="rId20" w:tgtFrame="_new" w:history="1">
        <w:r w:rsidRPr="002D13C7">
          <w:rPr>
            <w:rFonts w:eastAsia="Times New Roman"/>
            <w:color w:val="0000FF"/>
            <w:kern w:val="0"/>
            <w:u w:val="single"/>
            <w:lang w:eastAsia="en-GB"/>
            <w14:ligatures w14:val="none"/>
          </w:rPr>
          <w:t>https://apps.who.int/iris/handle/10665/44489</w:t>
        </w:r>
      </w:hyperlink>
      <w:r w:rsidRPr="002D13C7">
        <w:rPr>
          <w:rFonts w:eastAsia="Times New Roman"/>
          <w:kern w:val="0"/>
          <w:lang w:eastAsia="en-GB"/>
          <w14:ligatures w14:val="none"/>
        </w:rPr>
        <w:t xml:space="preserve"> (Accessed: 17 July 2026).</w:t>
      </w:r>
    </w:p>
    <w:p w14:paraId="48CC8EC0"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i/>
          <w:iCs/>
          <w:kern w:val="0"/>
          <w:lang w:eastAsia="en-GB"/>
          <w14:ligatures w14:val="none"/>
        </w:rPr>
        <w:t>The Lancet</w:t>
      </w:r>
      <w:r w:rsidRPr="002D13C7">
        <w:rPr>
          <w:rFonts w:eastAsia="Times New Roman"/>
          <w:kern w:val="0"/>
          <w:lang w:eastAsia="en-GB"/>
          <w14:ligatures w14:val="none"/>
        </w:rPr>
        <w:t xml:space="preserve"> (2022) 'COVID-19 and health inequalities', </w:t>
      </w:r>
      <w:r w:rsidRPr="002D13C7">
        <w:rPr>
          <w:rFonts w:eastAsia="Times New Roman"/>
          <w:i/>
          <w:iCs/>
          <w:kern w:val="0"/>
          <w:lang w:eastAsia="en-GB"/>
          <w14:ligatures w14:val="none"/>
        </w:rPr>
        <w:t>The Lancet</w:t>
      </w:r>
      <w:r w:rsidRPr="002D13C7">
        <w:rPr>
          <w:rFonts w:eastAsia="Times New Roman"/>
          <w:kern w:val="0"/>
          <w:lang w:eastAsia="en-GB"/>
          <w14:ligatures w14:val="none"/>
        </w:rPr>
        <w:t xml:space="preserve">, 399(10332), pp. 1461–1462. Available at: </w:t>
      </w:r>
      <w:hyperlink r:id="rId21" w:tgtFrame="_new" w:history="1">
        <w:r w:rsidRPr="002D13C7">
          <w:rPr>
            <w:rFonts w:eastAsia="Times New Roman"/>
            <w:color w:val="0000FF"/>
            <w:kern w:val="0"/>
            <w:u w:val="single"/>
            <w:lang w:eastAsia="en-GB"/>
            <w14:ligatures w14:val="none"/>
          </w:rPr>
          <w:t>https://doi.org/10.1016/S0140-6736(22)00585-7</w:t>
        </w:r>
      </w:hyperlink>
    </w:p>
    <w:p w14:paraId="6A8D2BEC"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United Nations (2015) </w:t>
      </w:r>
      <w:r w:rsidRPr="002D13C7">
        <w:rPr>
          <w:rFonts w:eastAsia="Times New Roman"/>
          <w:i/>
          <w:iCs/>
          <w:kern w:val="0"/>
          <w:lang w:eastAsia="en-GB"/>
          <w14:ligatures w14:val="none"/>
        </w:rPr>
        <w:t>Transforming Our World: The 2030 Agenda for Sustainable Development</w:t>
      </w:r>
      <w:r w:rsidRPr="002D13C7">
        <w:rPr>
          <w:rFonts w:eastAsia="Times New Roman"/>
          <w:kern w:val="0"/>
          <w:lang w:eastAsia="en-GB"/>
          <w14:ligatures w14:val="none"/>
        </w:rPr>
        <w:t xml:space="preserve">. New York: United Nations. Available at: </w:t>
      </w:r>
      <w:hyperlink r:id="rId22" w:tgtFrame="_new" w:history="1">
        <w:r w:rsidRPr="002D13C7">
          <w:rPr>
            <w:rFonts w:eastAsia="Times New Roman"/>
            <w:color w:val="0000FF"/>
            <w:kern w:val="0"/>
            <w:u w:val="single"/>
            <w:lang w:eastAsia="en-GB"/>
            <w14:ligatures w14:val="none"/>
          </w:rPr>
          <w:t>https://sdgs.un.org/2030agenda</w:t>
        </w:r>
      </w:hyperlink>
      <w:r w:rsidRPr="002D13C7">
        <w:rPr>
          <w:rFonts w:eastAsia="Times New Roman"/>
          <w:kern w:val="0"/>
          <w:lang w:eastAsia="en-GB"/>
          <w14:ligatures w14:val="none"/>
        </w:rPr>
        <w:t xml:space="preserve"> (Accessed: 17 July 2026).</w:t>
      </w:r>
    </w:p>
    <w:p w14:paraId="44DAE436"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lastRenderedPageBreak/>
        <w:t xml:space="preserve">United Nations (2024) </w:t>
      </w:r>
      <w:r w:rsidRPr="002D13C7">
        <w:rPr>
          <w:rFonts w:eastAsia="Times New Roman"/>
          <w:i/>
          <w:iCs/>
          <w:kern w:val="0"/>
          <w:lang w:eastAsia="en-GB"/>
          <w14:ligatures w14:val="none"/>
        </w:rPr>
        <w:t>The Sustainable Development Goals Report 2024</w:t>
      </w:r>
      <w:r w:rsidRPr="002D13C7">
        <w:rPr>
          <w:rFonts w:eastAsia="Times New Roman"/>
          <w:kern w:val="0"/>
          <w:lang w:eastAsia="en-GB"/>
          <w14:ligatures w14:val="none"/>
        </w:rPr>
        <w:t xml:space="preserve">. New York: United Nations. Available at: </w:t>
      </w:r>
      <w:hyperlink r:id="rId23" w:tgtFrame="_new" w:history="1">
        <w:r w:rsidRPr="002D13C7">
          <w:rPr>
            <w:rFonts w:eastAsia="Times New Roman"/>
            <w:color w:val="0000FF"/>
            <w:kern w:val="0"/>
            <w:u w:val="single"/>
            <w:lang w:eastAsia="en-GB"/>
            <w14:ligatures w14:val="none"/>
          </w:rPr>
          <w:t>https://unstats.un.org/sdgs/report/2024/</w:t>
        </w:r>
      </w:hyperlink>
      <w:r w:rsidRPr="002D13C7">
        <w:rPr>
          <w:rFonts w:eastAsia="Times New Roman"/>
          <w:kern w:val="0"/>
          <w:lang w:eastAsia="en-GB"/>
          <w14:ligatures w14:val="none"/>
        </w:rPr>
        <w:t xml:space="preserve"> (Accessed: 17 July 2026).</w:t>
      </w:r>
    </w:p>
    <w:p w14:paraId="1C71BF8A"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West Midlands Combined Authority (2021) </w:t>
      </w:r>
      <w:r w:rsidRPr="002D13C7">
        <w:rPr>
          <w:rFonts w:eastAsia="Times New Roman"/>
          <w:i/>
          <w:iCs/>
          <w:kern w:val="0"/>
          <w:lang w:eastAsia="en-GB"/>
          <w14:ligatures w14:val="none"/>
        </w:rPr>
        <w:t>Inclusive Growth Framework</w:t>
      </w:r>
      <w:r w:rsidRPr="002D13C7">
        <w:rPr>
          <w:rFonts w:eastAsia="Times New Roman"/>
          <w:kern w:val="0"/>
          <w:lang w:eastAsia="en-GB"/>
          <w14:ligatures w14:val="none"/>
        </w:rPr>
        <w:t xml:space="preserve">. Birmingham: West Midlands Combined Authority. Available at: </w:t>
      </w:r>
      <w:hyperlink r:id="rId24" w:tgtFrame="_new" w:history="1">
        <w:r w:rsidRPr="002D13C7">
          <w:rPr>
            <w:rFonts w:eastAsia="Times New Roman"/>
            <w:color w:val="0000FF"/>
            <w:kern w:val="0"/>
            <w:u w:val="single"/>
            <w:lang w:eastAsia="en-GB"/>
            <w14:ligatures w14:val="none"/>
          </w:rPr>
          <w:t>https://www.wmca.org.uk/</w:t>
        </w:r>
      </w:hyperlink>
      <w:r w:rsidRPr="002D13C7">
        <w:rPr>
          <w:rFonts w:eastAsia="Times New Roman"/>
          <w:kern w:val="0"/>
          <w:lang w:eastAsia="en-GB"/>
          <w14:ligatures w14:val="none"/>
        </w:rPr>
        <w:t xml:space="preserve"> (Accessed: 17 July 2026).</w:t>
      </w:r>
    </w:p>
    <w:p w14:paraId="52CDD564"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West Midlands Combined Authority (2023) </w:t>
      </w:r>
      <w:r w:rsidRPr="002D13C7">
        <w:rPr>
          <w:rFonts w:eastAsia="Times New Roman"/>
          <w:i/>
          <w:iCs/>
          <w:kern w:val="0"/>
          <w:lang w:eastAsia="en-GB"/>
          <w14:ligatures w14:val="none"/>
        </w:rPr>
        <w:t>Thrive at Work Programme Evaluation Report</w:t>
      </w:r>
      <w:r w:rsidRPr="002D13C7">
        <w:rPr>
          <w:rFonts w:eastAsia="Times New Roman"/>
          <w:kern w:val="0"/>
          <w:lang w:eastAsia="en-GB"/>
          <w14:ligatures w14:val="none"/>
        </w:rPr>
        <w:t xml:space="preserve">. Available at: </w:t>
      </w:r>
      <w:hyperlink r:id="rId25" w:tgtFrame="_new" w:history="1">
        <w:r w:rsidRPr="002D13C7">
          <w:rPr>
            <w:rFonts w:eastAsia="Times New Roman"/>
            <w:color w:val="0000FF"/>
            <w:kern w:val="0"/>
            <w:u w:val="single"/>
            <w:lang w:eastAsia="en-GB"/>
            <w14:ligatures w14:val="none"/>
          </w:rPr>
          <w:t>https://www.thriveatwork.org.uk/</w:t>
        </w:r>
      </w:hyperlink>
      <w:r w:rsidRPr="002D13C7">
        <w:rPr>
          <w:rFonts w:eastAsia="Times New Roman"/>
          <w:kern w:val="0"/>
          <w:lang w:eastAsia="en-GB"/>
          <w14:ligatures w14:val="none"/>
        </w:rPr>
        <w:t xml:space="preserve"> (Accessed: 17 July 2026).</w:t>
      </w:r>
    </w:p>
    <w:p w14:paraId="3D804960"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Wilkinson, R. and Pickett, K. (2018) </w:t>
      </w:r>
      <w:r w:rsidRPr="002D13C7">
        <w:rPr>
          <w:rFonts w:eastAsia="Times New Roman"/>
          <w:i/>
          <w:iCs/>
          <w:kern w:val="0"/>
          <w:lang w:eastAsia="en-GB"/>
          <w14:ligatures w14:val="none"/>
        </w:rPr>
        <w:t>The Inner Level: How More Equal Societies Reduce Stress, Restore Sanity and Improve Everyone's Wellbeing</w:t>
      </w:r>
      <w:r w:rsidRPr="002D13C7">
        <w:rPr>
          <w:rFonts w:eastAsia="Times New Roman"/>
          <w:kern w:val="0"/>
          <w:lang w:eastAsia="en-GB"/>
          <w14:ligatures w14:val="none"/>
        </w:rPr>
        <w:t>. London: Penguin Books.</w:t>
      </w:r>
    </w:p>
    <w:p w14:paraId="7D8BBEDD"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World Bank (2023) </w:t>
      </w:r>
      <w:r w:rsidRPr="002D13C7">
        <w:rPr>
          <w:rFonts w:eastAsia="Times New Roman"/>
          <w:i/>
          <w:iCs/>
          <w:kern w:val="0"/>
          <w:lang w:eastAsia="en-GB"/>
          <w14:ligatures w14:val="none"/>
        </w:rPr>
        <w:t xml:space="preserve">Poverty, Prosperity and Planet Report 2023: Pathways Out of the </w:t>
      </w:r>
      <w:proofErr w:type="spellStart"/>
      <w:r w:rsidRPr="002D13C7">
        <w:rPr>
          <w:rFonts w:eastAsia="Times New Roman"/>
          <w:i/>
          <w:iCs/>
          <w:kern w:val="0"/>
          <w:lang w:eastAsia="en-GB"/>
          <w14:ligatures w14:val="none"/>
        </w:rPr>
        <w:t>Polycrisis</w:t>
      </w:r>
      <w:proofErr w:type="spellEnd"/>
      <w:r w:rsidRPr="002D13C7">
        <w:rPr>
          <w:rFonts w:eastAsia="Times New Roman"/>
          <w:kern w:val="0"/>
          <w:lang w:eastAsia="en-GB"/>
          <w14:ligatures w14:val="none"/>
        </w:rPr>
        <w:t xml:space="preserve">. Washington, DC: World Bank. Available at: </w:t>
      </w:r>
      <w:hyperlink r:id="rId26" w:tgtFrame="_new" w:history="1">
        <w:r w:rsidRPr="002D13C7">
          <w:rPr>
            <w:rFonts w:eastAsia="Times New Roman"/>
            <w:color w:val="0000FF"/>
            <w:kern w:val="0"/>
            <w:u w:val="single"/>
            <w:lang w:eastAsia="en-GB"/>
            <w14:ligatures w14:val="none"/>
          </w:rPr>
          <w:t>https://www.worldbank.org/en/publication/poverty-prosperity-and-planet</w:t>
        </w:r>
      </w:hyperlink>
      <w:r w:rsidRPr="002D13C7">
        <w:rPr>
          <w:rFonts w:eastAsia="Times New Roman"/>
          <w:kern w:val="0"/>
          <w:lang w:eastAsia="en-GB"/>
          <w14:ligatures w14:val="none"/>
        </w:rPr>
        <w:t xml:space="preserve"> (Accessed: 17 July 2026).</w:t>
      </w:r>
    </w:p>
    <w:p w14:paraId="75262010"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World Health Organization (2008) </w:t>
      </w:r>
      <w:r w:rsidRPr="002D13C7">
        <w:rPr>
          <w:rFonts w:eastAsia="Times New Roman"/>
          <w:i/>
          <w:iCs/>
          <w:kern w:val="0"/>
          <w:lang w:eastAsia="en-GB"/>
          <w14:ligatures w14:val="none"/>
        </w:rPr>
        <w:t>Closing the Gap in a Generation: Health Equity Through Action on the Social Determinants of Health</w:t>
      </w:r>
      <w:r w:rsidRPr="002D13C7">
        <w:rPr>
          <w:rFonts w:eastAsia="Times New Roman"/>
          <w:kern w:val="0"/>
          <w:lang w:eastAsia="en-GB"/>
          <w14:ligatures w14:val="none"/>
        </w:rPr>
        <w:t xml:space="preserve">. Geneva: World Health Organization. Available at: </w:t>
      </w:r>
      <w:hyperlink r:id="rId27" w:tgtFrame="_new" w:history="1">
        <w:r w:rsidRPr="002D13C7">
          <w:rPr>
            <w:rFonts w:eastAsia="Times New Roman"/>
            <w:color w:val="0000FF"/>
            <w:kern w:val="0"/>
            <w:u w:val="single"/>
            <w:lang w:eastAsia="en-GB"/>
            <w14:ligatures w14:val="none"/>
          </w:rPr>
          <w:t>https://www.who.int/publications/i/item/WHO-IER-CSDH-08.1</w:t>
        </w:r>
      </w:hyperlink>
      <w:r w:rsidRPr="002D13C7">
        <w:rPr>
          <w:rFonts w:eastAsia="Times New Roman"/>
          <w:kern w:val="0"/>
          <w:lang w:eastAsia="en-GB"/>
          <w14:ligatures w14:val="none"/>
        </w:rPr>
        <w:t xml:space="preserve"> (Accessed: 17 July 2026).</w:t>
      </w:r>
    </w:p>
    <w:p w14:paraId="52A908B6"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World Health Organization (2023) </w:t>
      </w:r>
      <w:r w:rsidRPr="002D13C7">
        <w:rPr>
          <w:rFonts w:eastAsia="Times New Roman"/>
          <w:i/>
          <w:iCs/>
          <w:kern w:val="0"/>
          <w:lang w:eastAsia="en-GB"/>
          <w14:ligatures w14:val="none"/>
        </w:rPr>
        <w:t>World Health Statistics 2023: Monitoring Health for the SDGs</w:t>
      </w:r>
      <w:r w:rsidRPr="002D13C7">
        <w:rPr>
          <w:rFonts w:eastAsia="Times New Roman"/>
          <w:kern w:val="0"/>
          <w:lang w:eastAsia="en-GB"/>
          <w14:ligatures w14:val="none"/>
        </w:rPr>
        <w:t xml:space="preserve">. Geneva: World Health Organization. Available at: </w:t>
      </w:r>
      <w:hyperlink r:id="rId28" w:tgtFrame="_new" w:history="1">
        <w:r w:rsidRPr="002D13C7">
          <w:rPr>
            <w:rFonts w:eastAsia="Times New Roman"/>
            <w:color w:val="0000FF"/>
            <w:kern w:val="0"/>
            <w:u w:val="single"/>
            <w:lang w:eastAsia="en-GB"/>
            <w14:ligatures w14:val="none"/>
          </w:rPr>
          <w:t>https://www.who.int/data/gho/publications/world-health-statistics</w:t>
        </w:r>
      </w:hyperlink>
      <w:r w:rsidRPr="002D13C7">
        <w:rPr>
          <w:rFonts w:eastAsia="Times New Roman"/>
          <w:kern w:val="0"/>
          <w:lang w:eastAsia="en-GB"/>
          <w14:ligatures w14:val="none"/>
        </w:rPr>
        <w:t xml:space="preserve"> (Accessed: 17 July 2026).</w:t>
      </w:r>
    </w:p>
    <w:p w14:paraId="39C0148B" w14:textId="77777777" w:rsidR="002D13C7" w:rsidRPr="002D13C7" w:rsidRDefault="002D13C7" w:rsidP="002D13C7">
      <w:pPr>
        <w:spacing w:before="100" w:beforeAutospacing="1" w:after="100" w:afterAutospacing="1" w:line="360" w:lineRule="auto"/>
        <w:rPr>
          <w:rFonts w:eastAsia="Times New Roman"/>
          <w:kern w:val="0"/>
          <w:lang w:eastAsia="en-GB"/>
          <w14:ligatures w14:val="none"/>
        </w:rPr>
      </w:pPr>
      <w:r w:rsidRPr="002D13C7">
        <w:rPr>
          <w:rFonts w:eastAsia="Times New Roman"/>
          <w:kern w:val="0"/>
          <w:lang w:eastAsia="en-GB"/>
          <w14:ligatures w14:val="none"/>
        </w:rPr>
        <w:t xml:space="preserve">World Health Organization (2024) </w:t>
      </w:r>
      <w:r w:rsidRPr="002D13C7">
        <w:rPr>
          <w:rFonts w:eastAsia="Times New Roman"/>
          <w:i/>
          <w:iCs/>
          <w:kern w:val="0"/>
          <w:lang w:eastAsia="en-GB"/>
          <w14:ligatures w14:val="none"/>
        </w:rPr>
        <w:t>Universal Health Coverage (UHC): Fact Sheet</w:t>
      </w:r>
      <w:r w:rsidRPr="002D13C7">
        <w:rPr>
          <w:rFonts w:eastAsia="Times New Roman"/>
          <w:kern w:val="0"/>
          <w:lang w:eastAsia="en-GB"/>
          <w14:ligatures w14:val="none"/>
        </w:rPr>
        <w:t xml:space="preserve">. Available at: </w:t>
      </w:r>
      <w:hyperlink r:id="rId29" w:tgtFrame="_new" w:history="1">
        <w:r w:rsidRPr="002D13C7">
          <w:rPr>
            <w:rFonts w:eastAsia="Times New Roman"/>
            <w:color w:val="0000FF"/>
            <w:kern w:val="0"/>
            <w:u w:val="single"/>
            <w:lang w:eastAsia="en-GB"/>
            <w14:ligatures w14:val="none"/>
          </w:rPr>
          <w:t>https://www.who.int/news-room/fact-sheets/detail/universal-health-coverage-(uhc)</w:t>
        </w:r>
      </w:hyperlink>
      <w:r w:rsidRPr="002D13C7">
        <w:rPr>
          <w:rFonts w:eastAsia="Times New Roman"/>
          <w:kern w:val="0"/>
          <w:lang w:eastAsia="en-GB"/>
          <w14:ligatures w14:val="none"/>
        </w:rPr>
        <w:t xml:space="preserve"> (Accessed: 17 July 2026).</w:t>
      </w:r>
    </w:p>
    <w:p w14:paraId="03B69C4F" w14:textId="77777777" w:rsidR="00951AD2" w:rsidRPr="002D13C7" w:rsidRDefault="00951AD2" w:rsidP="002D13C7">
      <w:pPr>
        <w:spacing w:line="360" w:lineRule="auto"/>
        <w:jc w:val="both"/>
      </w:pPr>
    </w:p>
    <w:sectPr w:rsidR="00951AD2" w:rsidRPr="002D13C7">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6E42EA" w14:textId="77777777" w:rsidR="00D95FF8" w:rsidRDefault="00D95FF8" w:rsidP="001C5248">
      <w:pPr>
        <w:spacing w:after="0" w:line="240" w:lineRule="auto"/>
      </w:pPr>
      <w:r>
        <w:separator/>
      </w:r>
    </w:p>
  </w:endnote>
  <w:endnote w:type="continuationSeparator" w:id="0">
    <w:p w14:paraId="0BBC9D93" w14:textId="77777777" w:rsidR="00D95FF8" w:rsidRDefault="00D95FF8" w:rsidP="001C52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9391264"/>
      <w:docPartObj>
        <w:docPartGallery w:val="Page Numbers (Bottom of Page)"/>
        <w:docPartUnique/>
      </w:docPartObj>
    </w:sdtPr>
    <w:sdtEndPr>
      <w:rPr>
        <w:noProof/>
      </w:rPr>
    </w:sdtEndPr>
    <w:sdtContent>
      <w:p w14:paraId="195429F7" w14:textId="7B9E784A" w:rsidR="001C5248" w:rsidRDefault="001C52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17D1CE" w14:textId="77777777" w:rsidR="001C5248" w:rsidRDefault="001C52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F27E3A" w14:textId="77777777" w:rsidR="00D95FF8" w:rsidRDefault="00D95FF8" w:rsidP="001C5248">
      <w:pPr>
        <w:spacing w:after="0" w:line="240" w:lineRule="auto"/>
      </w:pPr>
      <w:r>
        <w:separator/>
      </w:r>
    </w:p>
  </w:footnote>
  <w:footnote w:type="continuationSeparator" w:id="0">
    <w:p w14:paraId="2BA62B80" w14:textId="77777777" w:rsidR="00D95FF8" w:rsidRDefault="00D95FF8" w:rsidP="001C52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184282"/>
    <w:multiLevelType w:val="hybridMultilevel"/>
    <w:tmpl w:val="6D90A26C"/>
    <w:lvl w:ilvl="0" w:tplc="8708B50A">
      <w:start w:val="1"/>
      <w:numFmt w:val="bullet"/>
      <w:lvlText w:val="•"/>
      <w:lvlJc w:val="left"/>
      <w:pPr>
        <w:tabs>
          <w:tab w:val="num" w:pos="720"/>
        </w:tabs>
        <w:ind w:left="720" w:hanging="360"/>
      </w:pPr>
      <w:rPr>
        <w:rFonts w:ascii="Arial" w:hAnsi="Arial" w:hint="default"/>
      </w:rPr>
    </w:lvl>
    <w:lvl w:ilvl="1" w:tplc="DBAE1DE4">
      <w:start w:val="1"/>
      <w:numFmt w:val="bullet"/>
      <w:lvlText w:val="•"/>
      <w:lvlJc w:val="left"/>
      <w:pPr>
        <w:tabs>
          <w:tab w:val="num" w:pos="1440"/>
        </w:tabs>
        <w:ind w:left="1440" w:hanging="360"/>
      </w:pPr>
      <w:rPr>
        <w:rFonts w:ascii="Arial" w:hAnsi="Arial" w:hint="default"/>
      </w:rPr>
    </w:lvl>
    <w:lvl w:ilvl="2" w:tplc="2A26731A" w:tentative="1">
      <w:start w:val="1"/>
      <w:numFmt w:val="bullet"/>
      <w:lvlText w:val="•"/>
      <w:lvlJc w:val="left"/>
      <w:pPr>
        <w:tabs>
          <w:tab w:val="num" w:pos="2160"/>
        </w:tabs>
        <w:ind w:left="2160" w:hanging="360"/>
      </w:pPr>
      <w:rPr>
        <w:rFonts w:ascii="Arial" w:hAnsi="Arial" w:hint="default"/>
      </w:rPr>
    </w:lvl>
    <w:lvl w:ilvl="3" w:tplc="451A865A" w:tentative="1">
      <w:start w:val="1"/>
      <w:numFmt w:val="bullet"/>
      <w:lvlText w:val="•"/>
      <w:lvlJc w:val="left"/>
      <w:pPr>
        <w:tabs>
          <w:tab w:val="num" w:pos="2880"/>
        </w:tabs>
        <w:ind w:left="2880" w:hanging="360"/>
      </w:pPr>
      <w:rPr>
        <w:rFonts w:ascii="Arial" w:hAnsi="Arial" w:hint="default"/>
      </w:rPr>
    </w:lvl>
    <w:lvl w:ilvl="4" w:tplc="A6BC04AA" w:tentative="1">
      <w:start w:val="1"/>
      <w:numFmt w:val="bullet"/>
      <w:lvlText w:val="•"/>
      <w:lvlJc w:val="left"/>
      <w:pPr>
        <w:tabs>
          <w:tab w:val="num" w:pos="3600"/>
        </w:tabs>
        <w:ind w:left="3600" w:hanging="360"/>
      </w:pPr>
      <w:rPr>
        <w:rFonts w:ascii="Arial" w:hAnsi="Arial" w:hint="default"/>
      </w:rPr>
    </w:lvl>
    <w:lvl w:ilvl="5" w:tplc="2C147B94" w:tentative="1">
      <w:start w:val="1"/>
      <w:numFmt w:val="bullet"/>
      <w:lvlText w:val="•"/>
      <w:lvlJc w:val="left"/>
      <w:pPr>
        <w:tabs>
          <w:tab w:val="num" w:pos="4320"/>
        </w:tabs>
        <w:ind w:left="4320" w:hanging="360"/>
      </w:pPr>
      <w:rPr>
        <w:rFonts w:ascii="Arial" w:hAnsi="Arial" w:hint="default"/>
      </w:rPr>
    </w:lvl>
    <w:lvl w:ilvl="6" w:tplc="81D2CCC4" w:tentative="1">
      <w:start w:val="1"/>
      <w:numFmt w:val="bullet"/>
      <w:lvlText w:val="•"/>
      <w:lvlJc w:val="left"/>
      <w:pPr>
        <w:tabs>
          <w:tab w:val="num" w:pos="5040"/>
        </w:tabs>
        <w:ind w:left="5040" w:hanging="360"/>
      </w:pPr>
      <w:rPr>
        <w:rFonts w:ascii="Arial" w:hAnsi="Arial" w:hint="default"/>
      </w:rPr>
    </w:lvl>
    <w:lvl w:ilvl="7" w:tplc="0BF62168" w:tentative="1">
      <w:start w:val="1"/>
      <w:numFmt w:val="bullet"/>
      <w:lvlText w:val="•"/>
      <w:lvlJc w:val="left"/>
      <w:pPr>
        <w:tabs>
          <w:tab w:val="num" w:pos="5760"/>
        </w:tabs>
        <w:ind w:left="5760" w:hanging="360"/>
      </w:pPr>
      <w:rPr>
        <w:rFonts w:ascii="Arial" w:hAnsi="Arial" w:hint="default"/>
      </w:rPr>
    </w:lvl>
    <w:lvl w:ilvl="8" w:tplc="D862DD20" w:tentative="1">
      <w:start w:val="1"/>
      <w:numFmt w:val="bullet"/>
      <w:lvlText w:val="•"/>
      <w:lvlJc w:val="left"/>
      <w:pPr>
        <w:tabs>
          <w:tab w:val="num" w:pos="6480"/>
        </w:tabs>
        <w:ind w:left="6480" w:hanging="360"/>
      </w:pPr>
      <w:rPr>
        <w:rFonts w:ascii="Arial" w:hAnsi="Arial" w:hint="default"/>
      </w:rPr>
    </w:lvl>
  </w:abstractNum>
  <w:num w:numId="1" w16cid:durableId="15899997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756"/>
    <w:rsid w:val="000B243E"/>
    <w:rsid w:val="0014656B"/>
    <w:rsid w:val="001C5248"/>
    <w:rsid w:val="002307C1"/>
    <w:rsid w:val="0023724F"/>
    <w:rsid w:val="002D13C7"/>
    <w:rsid w:val="002D3002"/>
    <w:rsid w:val="002E28B5"/>
    <w:rsid w:val="002F223A"/>
    <w:rsid w:val="003674FF"/>
    <w:rsid w:val="003918F2"/>
    <w:rsid w:val="003C68C6"/>
    <w:rsid w:val="004269CA"/>
    <w:rsid w:val="00452458"/>
    <w:rsid w:val="005B66D0"/>
    <w:rsid w:val="00656CFC"/>
    <w:rsid w:val="00747303"/>
    <w:rsid w:val="00767B6D"/>
    <w:rsid w:val="007E6DD2"/>
    <w:rsid w:val="008967D7"/>
    <w:rsid w:val="00951AD2"/>
    <w:rsid w:val="00962638"/>
    <w:rsid w:val="00993030"/>
    <w:rsid w:val="00997BE7"/>
    <w:rsid w:val="00A36F37"/>
    <w:rsid w:val="00A70905"/>
    <w:rsid w:val="00A76756"/>
    <w:rsid w:val="00AE005D"/>
    <w:rsid w:val="00BE0134"/>
    <w:rsid w:val="00C441BF"/>
    <w:rsid w:val="00CA5719"/>
    <w:rsid w:val="00D40134"/>
    <w:rsid w:val="00D4509F"/>
    <w:rsid w:val="00D95FF8"/>
    <w:rsid w:val="00DA52DE"/>
    <w:rsid w:val="00E106CD"/>
    <w:rsid w:val="00E229A7"/>
    <w:rsid w:val="00E422F5"/>
    <w:rsid w:val="00E818B1"/>
    <w:rsid w:val="00EA6E4C"/>
    <w:rsid w:val="00F31E98"/>
    <w:rsid w:val="00FA6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85BC6"/>
  <w15:chartTrackingRefBased/>
  <w15:docId w15:val="{C1DFDA67-1731-4C86-B1E5-ACC054B43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67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67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675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675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7675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7675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7675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7675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7675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67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67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6756"/>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6756"/>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A76756"/>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A76756"/>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A76756"/>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A76756"/>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A76756"/>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A767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67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675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6756"/>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A76756"/>
    <w:pPr>
      <w:spacing w:before="160"/>
      <w:jc w:val="center"/>
    </w:pPr>
    <w:rPr>
      <w:i/>
      <w:iCs/>
      <w:color w:val="404040" w:themeColor="text1" w:themeTint="BF"/>
    </w:rPr>
  </w:style>
  <w:style w:type="character" w:customStyle="1" w:styleId="QuoteChar">
    <w:name w:val="Quote Char"/>
    <w:basedOn w:val="DefaultParagraphFont"/>
    <w:link w:val="Quote"/>
    <w:uiPriority w:val="29"/>
    <w:rsid w:val="00A76756"/>
    <w:rPr>
      <w:i/>
      <w:iCs/>
      <w:color w:val="404040" w:themeColor="text1" w:themeTint="BF"/>
    </w:rPr>
  </w:style>
  <w:style w:type="paragraph" w:styleId="ListParagraph">
    <w:name w:val="List Paragraph"/>
    <w:basedOn w:val="Normal"/>
    <w:uiPriority w:val="34"/>
    <w:qFormat/>
    <w:rsid w:val="00A76756"/>
    <w:pPr>
      <w:ind w:left="720"/>
      <w:contextualSpacing/>
    </w:pPr>
  </w:style>
  <w:style w:type="character" w:styleId="IntenseEmphasis">
    <w:name w:val="Intense Emphasis"/>
    <w:basedOn w:val="DefaultParagraphFont"/>
    <w:uiPriority w:val="21"/>
    <w:qFormat/>
    <w:rsid w:val="00A76756"/>
    <w:rPr>
      <w:i/>
      <w:iCs/>
      <w:color w:val="0F4761" w:themeColor="accent1" w:themeShade="BF"/>
    </w:rPr>
  </w:style>
  <w:style w:type="paragraph" w:styleId="IntenseQuote">
    <w:name w:val="Intense Quote"/>
    <w:basedOn w:val="Normal"/>
    <w:next w:val="Normal"/>
    <w:link w:val="IntenseQuoteChar"/>
    <w:uiPriority w:val="30"/>
    <w:qFormat/>
    <w:rsid w:val="00A767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6756"/>
    <w:rPr>
      <w:i/>
      <w:iCs/>
      <w:color w:val="0F4761" w:themeColor="accent1" w:themeShade="BF"/>
    </w:rPr>
  </w:style>
  <w:style w:type="character" w:styleId="IntenseReference">
    <w:name w:val="Intense Reference"/>
    <w:basedOn w:val="DefaultParagraphFont"/>
    <w:uiPriority w:val="32"/>
    <w:qFormat/>
    <w:rsid w:val="00A76756"/>
    <w:rPr>
      <w:b/>
      <w:bCs/>
      <w:smallCaps/>
      <w:color w:val="0F4761" w:themeColor="accent1" w:themeShade="BF"/>
      <w:spacing w:val="5"/>
    </w:rPr>
  </w:style>
  <w:style w:type="paragraph" w:styleId="Header">
    <w:name w:val="header"/>
    <w:basedOn w:val="Normal"/>
    <w:link w:val="HeaderChar"/>
    <w:uiPriority w:val="99"/>
    <w:unhideWhenUsed/>
    <w:rsid w:val="001C52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5248"/>
  </w:style>
  <w:style w:type="paragraph" w:styleId="Footer">
    <w:name w:val="footer"/>
    <w:basedOn w:val="Normal"/>
    <w:link w:val="FooterChar"/>
    <w:uiPriority w:val="99"/>
    <w:unhideWhenUsed/>
    <w:rsid w:val="001C52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5248"/>
  </w:style>
  <w:style w:type="character" w:styleId="Hyperlink">
    <w:name w:val="Hyperlink"/>
    <w:basedOn w:val="DefaultParagraphFont"/>
    <w:uiPriority w:val="99"/>
    <w:unhideWhenUsed/>
    <w:rsid w:val="00A36F37"/>
    <w:rPr>
      <w:color w:val="467886" w:themeColor="hyperlink"/>
      <w:u w:val="single"/>
    </w:rPr>
  </w:style>
  <w:style w:type="character" w:styleId="UnresolvedMention">
    <w:name w:val="Unresolved Mention"/>
    <w:basedOn w:val="DefaultParagraphFont"/>
    <w:uiPriority w:val="99"/>
    <w:semiHidden/>
    <w:unhideWhenUsed/>
    <w:rsid w:val="00A36F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333549141291S206" TargetMode="External"/><Relationship Id="rId13" Type="http://schemas.openxmlformats.org/officeDocument/2006/relationships/hyperlink" Target="https://www.instituteofhealthequity.org/" TargetMode="External"/><Relationship Id="rId18" Type="http://schemas.openxmlformats.org/officeDocument/2006/relationships/hyperlink" Target="https://doi.org/10.1016/j.socscimed.2014.12.031" TargetMode="External"/><Relationship Id="rId26" Type="http://schemas.openxmlformats.org/officeDocument/2006/relationships/hyperlink" Target="https://www.worldbank.org/en/publication/poverty-prosperity-and-planet" TargetMode="External"/><Relationship Id="rId3" Type="http://schemas.openxmlformats.org/officeDocument/2006/relationships/settings" Target="settings.xml"/><Relationship Id="rId21" Type="http://schemas.openxmlformats.org/officeDocument/2006/relationships/hyperlink" Target="https://doi.org/10.1016/S0140-6736(22)00585-7" TargetMode="External"/><Relationship Id="rId7" Type="http://schemas.openxmlformats.org/officeDocument/2006/relationships/hyperlink" Target="https://doi.org/10.1136/bmj.l84" TargetMode="External"/><Relationship Id="rId12" Type="http://schemas.openxmlformats.org/officeDocument/2006/relationships/hyperlink" Target="https://www.kingsfund.org.uk/" TargetMode="External"/><Relationship Id="rId17" Type="http://schemas.openxmlformats.org/officeDocument/2006/relationships/hyperlink" Target="https://www.ons.gov.uk/" TargetMode="External"/><Relationship Id="rId25" Type="http://schemas.openxmlformats.org/officeDocument/2006/relationships/hyperlink" Target="https://www.thriveatwork.org.uk/" TargetMode="External"/><Relationship Id="rId2" Type="http://schemas.openxmlformats.org/officeDocument/2006/relationships/styles" Target="styles.xml"/><Relationship Id="rId16" Type="http://schemas.openxmlformats.org/officeDocument/2006/relationships/hyperlink" Target="https://doi.org/10.1146/annurev-publhealth-090419-102529" TargetMode="External"/><Relationship Id="rId20" Type="http://schemas.openxmlformats.org/officeDocument/2006/relationships/hyperlink" Target="https://apps.who.int/iris/handle/10665/44489" TargetMode="External"/><Relationship Id="rId29" Type="http://schemas.openxmlformats.org/officeDocument/2006/relationships/hyperlink" Target="https://www.who.int/news-room/fact-sheets/detail/universal-health-coverage-(uhc)"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S2214-109X(21)00377-0" TargetMode="External"/><Relationship Id="rId24" Type="http://schemas.openxmlformats.org/officeDocument/2006/relationships/hyperlink" Target="https://www.wmca.org.uk/"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ngland.nhs.uk/about/equality/equality-hub/core20plus5/" TargetMode="External"/><Relationship Id="rId23" Type="http://schemas.openxmlformats.org/officeDocument/2006/relationships/hyperlink" Target="https://unstats.un.org/sdgs/report/2024/" TargetMode="External"/><Relationship Id="rId28" Type="http://schemas.openxmlformats.org/officeDocument/2006/relationships/hyperlink" Target="https://www.who.int/data/gho/publications/world-health-statistics" TargetMode="External"/><Relationship Id="rId10" Type="http://schemas.openxmlformats.org/officeDocument/2006/relationships/hyperlink" Target="https://www.instituteofhealthequity.org/resources-reports/health-inequalities-lives-cut-short/the-state-of-health-equity-in-england" TargetMode="External"/><Relationship Id="rId19" Type="http://schemas.openxmlformats.org/officeDocument/2006/relationships/hyperlink" Target="https://doi.org/10.1177/109019817400200403"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s/levelling-up-the-united-kingdom" TargetMode="External"/><Relationship Id="rId14" Type="http://schemas.openxmlformats.org/officeDocument/2006/relationships/hyperlink" Target="https://www.longtermplan.nhs.uk/" TargetMode="External"/><Relationship Id="rId22" Type="http://schemas.openxmlformats.org/officeDocument/2006/relationships/hyperlink" Target="https://sdgs.un.org/2030agenda" TargetMode="External"/><Relationship Id="rId27" Type="http://schemas.openxmlformats.org/officeDocument/2006/relationships/hyperlink" Target="https://www.who.int/publications/i/item/WHO-IER-CSDH-08.1"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TotalTime>
  <Pages>12</Pages>
  <Words>3855</Words>
  <Characters>21980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Fateha Altafi (2309157)</dc:creator>
  <cp:keywords/>
  <dc:description/>
  <cp:lastModifiedBy>Fateha Altafi (2309157)</cp:lastModifiedBy>
  <cp:revision>17</cp:revision>
  <dcterms:created xsi:type="dcterms:W3CDTF">2026-06-21T08:49:00Z</dcterms:created>
  <dcterms:modified xsi:type="dcterms:W3CDTF">2026-07-18T16:56:00Z</dcterms:modified>
</cp:coreProperties>
</file>