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27A23" w14:textId="690EA5C1" w:rsidR="00A82D7E" w:rsidRDefault="002875C4" w:rsidP="00A82D7E">
      <w:pPr>
        <w:tabs>
          <w:tab w:val="left" w:pos="6540"/>
        </w:tabs>
        <w:spacing w:line="360" w:lineRule="auto"/>
        <w:rPr>
          <w:rFonts w:ascii="Arial" w:hAnsi="Arial" w:cs="Arial"/>
          <w:b/>
          <w:bCs/>
          <w:sz w:val="28"/>
          <w:szCs w:val="28"/>
          <w:lang w:val="nl-NL"/>
        </w:rPr>
      </w:pPr>
      <w:r>
        <w:rPr>
          <w:noProof/>
        </w:rPr>
        <w:drawing>
          <wp:inline distT="0" distB="0" distL="0" distR="0" wp14:anchorId="3A4130F8" wp14:editId="768A3330">
            <wp:extent cx="4572000" cy="2613660"/>
            <wp:effectExtent l="0" t="0" r="0" b="0"/>
            <wp:docPr id="1015360465" name="Picture 1" descr="University of Wales Trinity Saint David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Climate Cymr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2613660"/>
                    </a:xfrm>
                    <a:prstGeom prst="rect">
                      <a:avLst/>
                    </a:prstGeom>
                    <a:noFill/>
                    <a:ln>
                      <a:noFill/>
                    </a:ln>
                  </pic:spPr>
                </pic:pic>
              </a:graphicData>
            </a:graphic>
          </wp:inline>
        </w:drawing>
      </w:r>
    </w:p>
    <w:p w14:paraId="45148ADB" w14:textId="6A147019" w:rsidR="00A82D7E" w:rsidRPr="00CD33A8" w:rsidRDefault="00A82D7E" w:rsidP="00A82D7E">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2875C4">
        <w:rPr>
          <w:rFonts w:ascii="Arial" w:hAnsi="Arial" w:cs="Arial"/>
          <w:sz w:val="28"/>
          <w:szCs w:val="28"/>
          <w:lang w:val="nl-NL"/>
        </w:rPr>
        <w:t xml:space="preserve">Changemakers: Building </w:t>
      </w:r>
      <w:r w:rsidR="008D38DB">
        <w:rPr>
          <w:rFonts w:ascii="Arial" w:hAnsi="Arial" w:cs="Arial"/>
          <w:sz w:val="28"/>
          <w:szCs w:val="28"/>
          <w:lang w:val="nl-NL"/>
        </w:rPr>
        <w:t>Your</w:t>
      </w:r>
      <w:r w:rsidR="002875C4">
        <w:rPr>
          <w:rFonts w:ascii="Arial" w:hAnsi="Arial" w:cs="Arial"/>
          <w:sz w:val="28"/>
          <w:szCs w:val="28"/>
          <w:lang w:val="nl-NL"/>
        </w:rPr>
        <w:t xml:space="preserve"> Personal Brand for Sustainable Employment</w:t>
      </w:r>
    </w:p>
    <w:p w14:paraId="401FBC2A" w14:textId="2A767605" w:rsidR="00A82D7E" w:rsidRDefault="00A82D7E" w:rsidP="00A82D7E">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2875C4">
        <w:rPr>
          <w:rFonts w:ascii="Arial" w:hAnsi="Arial" w:cs="Arial"/>
          <w:sz w:val="28"/>
          <w:szCs w:val="28"/>
        </w:rPr>
        <w:t xml:space="preserve"> BMHP5015_LON</w:t>
      </w:r>
    </w:p>
    <w:p w14:paraId="0D58D23F" w14:textId="7B5508BA" w:rsidR="002875C4" w:rsidRPr="002875C4" w:rsidRDefault="002875C4" w:rsidP="00A82D7E">
      <w:pPr>
        <w:tabs>
          <w:tab w:val="left" w:pos="6540"/>
        </w:tabs>
        <w:spacing w:line="360" w:lineRule="auto"/>
        <w:rPr>
          <w:rFonts w:ascii="Arial" w:hAnsi="Arial" w:cs="Arial"/>
          <w:sz w:val="28"/>
          <w:szCs w:val="28"/>
        </w:rPr>
      </w:pPr>
      <w:r w:rsidRPr="002875C4">
        <w:rPr>
          <w:rFonts w:ascii="Arial" w:hAnsi="Arial" w:cs="Arial"/>
          <w:b/>
          <w:bCs/>
          <w:sz w:val="28"/>
          <w:szCs w:val="28"/>
        </w:rPr>
        <w:t>Lecturer name:</w:t>
      </w:r>
      <w:r>
        <w:rPr>
          <w:rFonts w:ascii="Arial" w:hAnsi="Arial" w:cs="Arial"/>
          <w:b/>
          <w:bCs/>
          <w:sz w:val="28"/>
          <w:szCs w:val="28"/>
        </w:rPr>
        <w:t xml:space="preserve"> </w:t>
      </w:r>
      <w:r w:rsidRPr="002875C4">
        <w:rPr>
          <w:rFonts w:ascii="Arial" w:hAnsi="Arial" w:cs="Arial"/>
          <w:sz w:val="28"/>
          <w:szCs w:val="28"/>
        </w:rPr>
        <w:t>Caroline Salami</w:t>
      </w:r>
    </w:p>
    <w:p w14:paraId="5347FD1B" w14:textId="4192CB48" w:rsidR="00A82D7E" w:rsidRPr="00CD33A8" w:rsidRDefault="00A82D7E" w:rsidP="00A82D7E">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2875C4">
        <w:rPr>
          <w:rFonts w:ascii="Arial" w:hAnsi="Arial" w:cs="Arial"/>
          <w:sz w:val="28"/>
          <w:szCs w:val="28"/>
          <w:lang w:val="nl-NL"/>
        </w:rPr>
        <w:t xml:space="preserve"> Abosede Dehinbo</w:t>
      </w:r>
    </w:p>
    <w:p w14:paraId="0BC5DFF6" w14:textId="1B5ED6E6" w:rsidR="00A82D7E" w:rsidRPr="00CD33A8" w:rsidRDefault="00A82D7E" w:rsidP="00A82D7E">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2875C4">
        <w:rPr>
          <w:rFonts w:ascii="Arial" w:hAnsi="Arial" w:cs="Arial"/>
          <w:sz w:val="28"/>
          <w:szCs w:val="28"/>
          <w:lang w:val="nl-NL"/>
        </w:rPr>
        <w:t xml:space="preserve"> 2313077</w:t>
      </w:r>
    </w:p>
    <w:p w14:paraId="1D6D39A7" w14:textId="77777777" w:rsidR="002F0943" w:rsidRDefault="002F0943">
      <w:pPr>
        <w:rPr>
          <w:rFonts w:ascii="Arial" w:hAnsi="Arial" w:cs="Arial"/>
          <w:szCs w:val="24"/>
        </w:rPr>
      </w:pPr>
    </w:p>
    <w:p w14:paraId="49F2462D" w14:textId="77777777" w:rsidR="003A4414" w:rsidRDefault="003A4414">
      <w:pPr>
        <w:rPr>
          <w:rFonts w:ascii="Arial" w:hAnsi="Arial" w:cs="Arial"/>
          <w:szCs w:val="24"/>
        </w:rPr>
      </w:pPr>
    </w:p>
    <w:p w14:paraId="7E676B1A" w14:textId="77777777" w:rsidR="003A4414" w:rsidRDefault="003A4414">
      <w:pPr>
        <w:rPr>
          <w:rFonts w:ascii="Arial" w:hAnsi="Arial" w:cs="Arial"/>
          <w:szCs w:val="24"/>
        </w:rPr>
      </w:pPr>
    </w:p>
    <w:p w14:paraId="5E11C1BA" w14:textId="77777777" w:rsidR="003A4414" w:rsidRDefault="003A4414">
      <w:pPr>
        <w:rPr>
          <w:rFonts w:ascii="Arial" w:hAnsi="Arial" w:cs="Arial"/>
          <w:szCs w:val="24"/>
        </w:rPr>
      </w:pPr>
    </w:p>
    <w:p w14:paraId="7BB42156" w14:textId="77777777" w:rsidR="003A4414" w:rsidRDefault="003A4414">
      <w:pPr>
        <w:rPr>
          <w:rFonts w:ascii="Arial" w:hAnsi="Arial" w:cs="Arial"/>
          <w:szCs w:val="24"/>
        </w:rPr>
      </w:pPr>
    </w:p>
    <w:p w14:paraId="08A8D43B" w14:textId="77777777" w:rsidR="003A4414" w:rsidRDefault="003A4414">
      <w:pPr>
        <w:rPr>
          <w:rFonts w:ascii="Arial" w:hAnsi="Arial" w:cs="Arial"/>
          <w:szCs w:val="24"/>
        </w:rPr>
      </w:pPr>
    </w:p>
    <w:p w14:paraId="3F0A8F6A" w14:textId="77777777" w:rsidR="003A4414" w:rsidRDefault="003A4414">
      <w:pPr>
        <w:rPr>
          <w:rFonts w:ascii="Arial" w:hAnsi="Arial" w:cs="Arial"/>
          <w:szCs w:val="24"/>
        </w:rPr>
      </w:pPr>
    </w:p>
    <w:p w14:paraId="35389088" w14:textId="77777777" w:rsidR="003A4414" w:rsidRDefault="003A4414">
      <w:pPr>
        <w:rPr>
          <w:rFonts w:ascii="Arial" w:hAnsi="Arial" w:cs="Arial"/>
          <w:szCs w:val="24"/>
        </w:rPr>
      </w:pPr>
    </w:p>
    <w:p w14:paraId="5C8A90C3" w14:textId="77777777" w:rsidR="003A4414" w:rsidRDefault="003A4414">
      <w:pPr>
        <w:rPr>
          <w:rFonts w:ascii="Arial" w:hAnsi="Arial" w:cs="Arial"/>
          <w:szCs w:val="24"/>
        </w:rPr>
      </w:pPr>
    </w:p>
    <w:p w14:paraId="1E58D1D3" w14:textId="77777777" w:rsidR="003A4414" w:rsidRDefault="003A4414">
      <w:pPr>
        <w:rPr>
          <w:rFonts w:ascii="Arial" w:hAnsi="Arial" w:cs="Arial"/>
          <w:szCs w:val="24"/>
        </w:rPr>
      </w:pPr>
    </w:p>
    <w:p w14:paraId="642CBD7A" w14:textId="77777777" w:rsidR="003A4414" w:rsidRDefault="003A4414">
      <w:pPr>
        <w:rPr>
          <w:rFonts w:ascii="Arial" w:hAnsi="Arial" w:cs="Arial"/>
          <w:szCs w:val="24"/>
        </w:rPr>
      </w:pPr>
    </w:p>
    <w:p w14:paraId="482B7DA4" w14:textId="77777777" w:rsidR="003A4414" w:rsidRDefault="003A4414">
      <w:pPr>
        <w:rPr>
          <w:rFonts w:ascii="Arial" w:hAnsi="Arial" w:cs="Arial"/>
          <w:szCs w:val="24"/>
        </w:rPr>
      </w:pPr>
    </w:p>
    <w:p w14:paraId="0EFB30EB" w14:textId="77777777" w:rsidR="003A4414" w:rsidRDefault="003A4414">
      <w:pPr>
        <w:rPr>
          <w:rFonts w:ascii="Arial" w:hAnsi="Arial" w:cs="Arial"/>
          <w:szCs w:val="24"/>
        </w:rPr>
      </w:pPr>
    </w:p>
    <w:p w14:paraId="1BF77FA8" w14:textId="77777777" w:rsidR="003A4414" w:rsidRDefault="003A4414">
      <w:pPr>
        <w:rPr>
          <w:rFonts w:ascii="Arial" w:hAnsi="Arial" w:cs="Arial"/>
          <w:szCs w:val="24"/>
        </w:rPr>
      </w:pPr>
    </w:p>
    <w:p w14:paraId="0777758C" w14:textId="51B5E684" w:rsidR="003A4414" w:rsidRDefault="003A4414">
      <w:pPr>
        <w:rPr>
          <w:rFonts w:ascii="Arial" w:hAnsi="Arial" w:cs="Arial"/>
          <w:b/>
          <w:bCs/>
          <w:sz w:val="28"/>
          <w:szCs w:val="28"/>
        </w:rPr>
      </w:pPr>
    </w:p>
    <w:p w14:paraId="33469CF6" w14:textId="77777777" w:rsidR="003A4414" w:rsidRDefault="003A4414">
      <w:pPr>
        <w:rPr>
          <w:rFonts w:ascii="Arial" w:hAnsi="Arial" w:cs="Arial"/>
          <w:b/>
          <w:bCs/>
          <w:sz w:val="28"/>
          <w:szCs w:val="28"/>
        </w:rPr>
      </w:pPr>
    </w:p>
    <w:p w14:paraId="22051B4B" w14:textId="77777777" w:rsidR="003A4414" w:rsidRDefault="003A4414">
      <w:pPr>
        <w:rPr>
          <w:rFonts w:ascii="Arial" w:hAnsi="Arial" w:cs="Arial"/>
          <w:b/>
          <w:bCs/>
          <w:sz w:val="28"/>
          <w:szCs w:val="28"/>
        </w:rPr>
      </w:pPr>
    </w:p>
    <w:p w14:paraId="2476BF53" w14:textId="77777777" w:rsidR="003A4414" w:rsidRDefault="003A4414">
      <w:pPr>
        <w:rPr>
          <w:rFonts w:ascii="Arial" w:hAnsi="Arial" w:cs="Arial"/>
          <w:b/>
          <w:bCs/>
          <w:sz w:val="28"/>
          <w:szCs w:val="28"/>
        </w:rPr>
      </w:pPr>
    </w:p>
    <w:p w14:paraId="797AEC41" w14:textId="77777777" w:rsidR="009276AF" w:rsidRDefault="009276AF" w:rsidP="0098699E">
      <w:pPr>
        <w:spacing w:line="360" w:lineRule="auto"/>
        <w:rPr>
          <w:rFonts w:ascii="Arial" w:hAnsi="Arial" w:cs="Arial"/>
          <w:b/>
          <w:bCs/>
          <w:sz w:val="28"/>
          <w:szCs w:val="28"/>
        </w:rPr>
      </w:pPr>
    </w:p>
    <w:sdt>
      <w:sdtPr>
        <w:rPr>
          <w:rFonts w:ascii="Times New Roman" w:eastAsiaTheme="minorHAnsi" w:hAnsi="Times New Roman" w:cstheme="minorBidi"/>
          <w:color w:val="auto"/>
          <w:sz w:val="24"/>
          <w:szCs w:val="22"/>
          <w:lang w:eastAsia="en-US"/>
        </w:rPr>
        <w:id w:val="-303161394"/>
        <w:docPartObj>
          <w:docPartGallery w:val="Table of Contents"/>
          <w:docPartUnique/>
        </w:docPartObj>
      </w:sdtPr>
      <w:sdtEndPr>
        <w:rPr>
          <w:b/>
          <w:bCs/>
        </w:rPr>
      </w:sdtEndPr>
      <w:sdtContent>
        <w:p w14:paraId="4AAEE426" w14:textId="0BE54E3F" w:rsidR="009276AF" w:rsidRDefault="009276AF">
          <w:pPr>
            <w:pStyle w:val="TOCHeading"/>
          </w:pPr>
          <w:r>
            <w:t>Contents</w:t>
          </w:r>
        </w:p>
        <w:p w14:paraId="53AFAAA4" w14:textId="0B424A4F" w:rsidR="00213B9E" w:rsidRDefault="009276AF">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3457828" w:history="1">
            <w:r w:rsidR="00213B9E" w:rsidRPr="001406B7">
              <w:rPr>
                <w:rStyle w:val="Hyperlink"/>
                <w:noProof/>
              </w:rPr>
              <w:t>Introduction</w:t>
            </w:r>
            <w:r w:rsidR="00213B9E">
              <w:rPr>
                <w:noProof/>
                <w:webHidden/>
              </w:rPr>
              <w:tab/>
            </w:r>
            <w:r w:rsidR="00213B9E">
              <w:rPr>
                <w:noProof/>
                <w:webHidden/>
              </w:rPr>
              <w:fldChar w:fldCharType="begin"/>
            </w:r>
            <w:r w:rsidR="00213B9E">
              <w:rPr>
                <w:noProof/>
                <w:webHidden/>
              </w:rPr>
              <w:instrText xml:space="preserve"> PAGEREF _Toc213457828 \h </w:instrText>
            </w:r>
            <w:r w:rsidR="00213B9E">
              <w:rPr>
                <w:noProof/>
                <w:webHidden/>
              </w:rPr>
            </w:r>
            <w:r w:rsidR="00213B9E">
              <w:rPr>
                <w:noProof/>
                <w:webHidden/>
              </w:rPr>
              <w:fldChar w:fldCharType="separate"/>
            </w:r>
            <w:r w:rsidR="00213B9E">
              <w:rPr>
                <w:noProof/>
                <w:webHidden/>
              </w:rPr>
              <w:t>3</w:t>
            </w:r>
            <w:r w:rsidR="00213B9E">
              <w:rPr>
                <w:noProof/>
                <w:webHidden/>
              </w:rPr>
              <w:fldChar w:fldCharType="end"/>
            </w:r>
          </w:hyperlink>
        </w:p>
        <w:p w14:paraId="153237E3" w14:textId="164FDEB4" w:rsidR="00213B9E" w:rsidRDefault="00213B9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3457829" w:history="1">
            <w:r w:rsidRPr="001406B7">
              <w:rPr>
                <w:rStyle w:val="Hyperlink"/>
                <w:noProof/>
              </w:rPr>
              <w:t>Task 1- Unit 1: Goal Setting</w:t>
            </w:r>
            <w:r>
              <w:rPr>
                <w:noProof/>
                <w:webHidden/>
              </w:rPr>
              <w:tab/>
            </w:r>
            <w:r>
              <w:rPr>
                <w:noProof/>
                <w:webHidden/>
              </w:rPr>
              <w:fldChar w:fldCharType="begin"/>
            </w:r>
            <w:r>
              <w:rPr>
                <w:noProof/>
                <w:webHidden/>
              </w:rPr>
              <w:instrText xml:space="preserve"> PAGEREF _Toc213457829 \h </w:instrText>
            </w:r>
            <w:r>
              <w:rPr>
                <w:noProof/>
                <w:webHidden/>
              </w:rPr>
            </w:r>
            <w:r>
              <w:rPr>
                <w:noProof/>
                <w:webHidden/>
              </w:rPr>
              <w:fldChar w:fldCharType="separate"/>
            </w:r>
            <w:r>
              <w:rPr>
                <w:noProof/>
                <w:webHidden/>
              </w:rPr>
              <w:t>4</w:t>
            </w:r>
            <w:r>
              <w:rPr>
                <w:noProof/>
                <w:webHidden/>
              </w:rPr>
              <w:fldChar w:fldCharType="end"/>
            </w:r>
          </w:hyperlink>
        </w:p>
        <w:p w14:paraId="4296BEEE" w14:textId="794AC55C" w:rsidR="00213B9E" w:rsidRDefault="00213B9E" w:rsidP="003131E5">
          <w:pPr>
            <w:pStyle w:val="TOC2"/>
            <w:tabs>
              <w:tab w:val="right" w:leader="dot" w:pos="9016"/>
            </w:tabs>
            <w:ind w:left="0"/>
            <w:rPr>
              <w:rFonts w:asciiTheme="minorHAnsi" w:eastAsiaTheme="minorEastAsia" w:hAnsiTheme="minorHAnsi"/>
              <w:noProof/>
              <w:kern w:val="2"/>
              <w:szCs w:val="24"/>
              <w:lang w:eastAsia="en-GB"/>
              <w14:ligatures w14:val="standardContextual"/>
            </w:rPr>
          </w:pPr>
          <w:hyperlink w:anchor="_Toc213457830" w:history="1">
            <w:r w:rsidRPr="001406B7">
              <w:rPr>
                <w:rStyle w:val="Hyperlink"/>
                <w:noProof/>
              </w:rPr>
              <w:t>Task 2- Unit 2: Networking in Health and Social Care in the UK: Essential Aspects, Critical Evaluation, and International Significance</w:t>
            </w:r>
            <w:r>
              <w:rPr>
                <w:noProof/>
                <w:webHidden/>
              </w:rPr>
              <w:tab/>
            </w:r>
            <w:r>
              <w:rPr>
                <w:noProof/>
                <w:webHidden/>
              </w:rPr>
              <w:fldChar w:fldCharType="begin"/>
            </w:r>
            <w:r>
              <w:rPr>
                <w:noProof/>
                <w:webHidden/>
              </w:rPr>
              <w:instrText xml:space="preserve"> PAGEREF _Toc213457830 \h </w:instrText>
            </w:r>
            <w:r>
              <w:rPr>
                <w:noProof/>
                <w:webHidden/>
              </w:rPr>
            </w:r>
            <w:r>
              <w:rPr>
                <w:noProof/>
                <w:webHidden/>
              </w:rPr>
              <w:fldChar w:fldCharType="separate"/>
            </w:r>
            <w:r>
              <w:rPr>
                <w:noProof/>
                <w:webHidden/>
              </w:rPr>
              <w:t>6</w:t>
            </w:r>
            <w:r>
              <w:rPr>
                <w:noProof/>
                <w:webHidden/>
              </w:rPr>
              <w:fldChar w:fldCharType="end"/>
            </w:r>
          </w:hyperlink>
        </w:p>
        <w:p w14:paraId="2C278488" w14:textId="58E1122D" w:rsidR="00213B9E" w:rsidRDefault="00213B9E" w:rsidP="003131E5">
          <w:pPr>
            <w:pStyle w:val="TOC2"/>
            <w:tabs>
              <w:tab w:val="right" w:leader="dot" w:pos="9016"/>
            </w:tabs>
            <w:ind w:left="0"/>
            <w:rPr>
              <w:rFonts w:asciiTheme="minorHAnsi" w:eastAsiaTheme="minorEastAsia" w:hAnsiTheme="minorHAnsi"/>
              <w:noProof/>
              <w:kern w:val="2"/>
              <w:szCs w:val="24"/>
              <w:lang w:eastAsia="en-GB"/>
              <w14:ligatures w14:val="standardContextual"/>
            </w:rPr>
          </w:pPr>
          <w:hyperlink w:anchor="_Toc213457831" w:history="1">
            <w:r w:rsidRPr="001406B7">
              <w:rPr>
                <w:rStyle w:val="Hyperlink"/>
                <w:noProof/>
              </w:rPr>
              <w:t>TASK 3- UNIT 3: Analysis of "Strategies for Unlocking Employment Opportunities in Health and Social Care in the UK</w:t>
            </w:r>
            <w:r>
              <w:rPr>
                <w:noProof/>
                <w:webHidden/>
              </w:rPr>
              <w:tab/>
            </w:r>
            <w:r>
              <w:rPr>
                <w:noProof/>
                <w:webHidden/>
              </w:rPr>
              <w:fldChar w:fldCharType="begin"/>
            </w:r>
            <w:r>
              <w:rPr>
                <w:noProof/>
                <w:webHidden/>
              </w:rPr>
              <w:instrText xml:space="preserve"> PAGEREF _Toc213457831 \h </w:instrText>
            </w:r>
            <w:r>
              <w:rPr>
                <w:noProof/>
                <w:webHidden/>
              </w:rPr>
            </w:r>
            <w:r>
              <w:rPr>
                <w:noProof/>
                <w:webHidden/>
              </w:rPr>
              <w:fldChar w:fldCharType="separate"/>
            </w:r>
            <w:r>
              <w:rPr>
                <w:noProof/>
                <w:webHidden/>
              </w:rPr>
              <w:t>7</w:t>
            </w:r>
            <w:r>
              <w:rPr>
                <w:noProof/>
                <w:webHidden/>
              </w:rPr>
              <w:fldChar w:fldCharType="end"/>
            </w:r>
          </w:hyperlink>
        </w:p>
        <w:p w14:paraId="0314279B" w14:textId="3E1356F5" w:rsidR="00213B9E" w:rsidRDefault="00213B9E" w:rsidP="003131E5">
          <w:pPr>
            <w:pStyle w:val="TOC2"/>
            <w:tabs>
              <w:tab w:val="right" w:leader="dot" w:pos="9016"/>
            </w:tabs>
            <w:ind w:left="0"/>
            <w:rPr>
              <w:rFonts w:asciiTheme="minorHAnsi" w:eastAsiaTheme="minorEastAsia" w:hAnsiTheme="minorHAnsi"/>
              <w:noProof/>
              <w:kern w:val="2"/>
              <w:szCs w:val="24"/>
              <w:lang w:eastAsia="en-GB"/>
              <w14:ligatures w14:val="standardContextual"/>
            </w:rPr>
          </w:pPr>
          <w:hyperlink w:anchor="_Toc213457832" w:history="1">
            <w:r w:rsidRPr="001406B7">
              <w:rPr>
                <w:rStyle w:val="Hyperlink"/>
                <w:noProof/>
              </w:rPr>
              <w:t>Task 4- Unit 4: Career Role Models</w:t>
            </w:r>
            <w:r>
              <w:rPr>
                <w:noProof/>
                <w:webHidden/>
              </w:rPr>
              <w:tab/>
            </w:r>
            <w:r>
              <w:rPr>
                <w:noProof/>
                <w:webHidden/>
              </w:rPr>
              <w:fldChar w:fldCharType="begin"/>
            </w:r>
            <w:r>
              <w:rPr>
                <w:noProof/>
                <w:webHidden/>
              </w:rPr>
              <w:instrText xml:space="preserve"> PAGEREF _Toc213457832 \h </w:instrText>
            </w:r>
            <w:r>
              <w:rPr>
                <w:noProof/>
                <w:webHidden/>
              </w:rPr>
            </w:r>
            <w:r>
              <w:rPr>
                <w:noProof/>
                <w:webHidden/>
              </w:rPr>
              <w:fldChar w:fldCharType="separate"/>
            </w:r>
            <w:r>
              <w:rPr>
                <w:noProof/>
                <w:webHidden/>
              </w:rPr>
              <w:t>8</w:t>
            </w:r>
            <w:r>
              <w:rPr>
                <w:noProof/>
                <w:webHidden/>
              </w:rPr>
              <w:fldChar w:fldCharType="end"/>
            </w:r>
          </w:hyperlink>
        </w:p>
        <w:p w14:paraId="374022C0" w14:textId="06F2D25C" w:rsidR="00213B9E" w:rsidRDefault="00213B9E" w:rsidP="003131E5">
          <w:pPr>
            <w:pStyle w:val="TOC2"/>
            <w:tabs>
              <w:tab w:val="right" w:leader="dot" w:pos="9016"/>
            </w:tabs>
            <w:ind w:left="0"/>
            <w:rPr>
              <w:rFonts w:asciiTheme="minorHAnsi" w:eastAsiaTheme="minorEastAsia" w:hAnsiTheme="minorHAnsi"/>
              <w:noProof/>
              <w:kern w:val="2"/>
              <w:szCs w:val="24"/>
              <w:lang w:eastAsia="en-GB"/>
              <w14:ligatures w14:val="standardContextual"/>
            </w:rPr>
          </w:pPr>
          <w:hyperlink w:anchor="_Toc213457833" w:history="1">
            <w:r w:rsidRPr="001406B7">
              <w:rPr>
                <w:rStyle w:val="Hyperlink"/>
                <w:noProof/>
              </w:rPr>
              <w:t>Conclusion</w:t>
            </w:r>
            <w:r>
              <w:rPr>
                <w:noProof/>
                <w:webHidden/>
              </w:rPr>
              <w:tab/>
            </w:r>
            <w:r>
              <w:rPr>
                <w:noProof/>
                <w:webHidden/>
              </w:rPr>
              <w:fldChar w:fldCharType="begin"/>
            </w:r>
            <w:r>
              <w:rPr>
                <w:noProof/>
                <w:webHidden/>
              </w:rPr>
              <w:instrText xml:space="preserve"> PAGEREF _Toc213457833 \h </w:instrText>
            </w:r>
            <w:r>
              <w:rPr>
                <w:noProof/>
                <w:webHidden/>
              </w:rPr>
            </w:r>
            <w:r>
              <w:rPr>
                <w:noProof/>
                <w:webHidden/>
              </w:rPr>
              <w:fldChar w:fldCharType="separate"/>
            </w:r>
            <w:r>
              <w:rPr>
                <w:noProof/>
                <w:webHidden/>
              </w:rPr>
              <w:t>10</w:t>
            </w:r>
            <w:r>
              <w:rPr>
                <w:noProof/>
                <w:webHidden/>
              </w:rPr>
              <w:fldChar w:fldCharType="end"/>
            </w:r>
          </w:hyperlink>
        </w:p>
        <w:p w14:paraId="3281F77F" w14:textId="2535E31D" w:rsidR="00213B9E" w:rsidRDefault="00213B9E">
          <w:pPr>
            <w:pStyle w:val="TOC2"/>
            <w:tabs>
              <w:tab w:val="right" w:leader="dot" w:pos="9016"/>
            </w:tabs>
            <w:rPr>
              <w:rFonts w:asciiTheme="minorHAnsi" w:eastAsiaTheme="minorEastAsia" w:hAnsiTheme="minorHAnsi"/>
              <w:noProof/>
              <w:kern w:val="2"/>
              <w:szCs w:val="24"/>
              <w:lang w:eastAsia="en-GB"/>
              <w14:ligatures w14:val="standardContextual"/>
            </w:rPr>
          </w:pPr>
        </w:p>
        <w:p w14:paraId="3273632B" w14:textId="3F008227" w:rsidR="009276AF" w:rsidRDefault="009276AF">
          <w:r>
            <w:rPr>
              <w:b/>
              <w:bCs/>
            </w:rPr>
            <w:fldChar w:fldCharType="end"/>
          </w:r>
        </w:p>
      </w:sdtContent>
    </w:sdt>
    <w:p w14:paraId="22625227" w14:textId="77777777" w:rsidR="009276AF" w:rsidRDefault="009276AF">
      <w:pPr>
        <w:rPr>
          <w:rFonts w:ascii="Arial" w:hAnsi="Arial" w:cs="Arial"/>
          <w:b/>
          <w:bCs/>
          <w:sz w:val="28"/>
          <w:szCs w:val="28"/>
        </w:rPr>
      </w:pPr>
    </w:p>
    <w:p w14:paraId="7D894B35" w14:textId="77777777" w:rsidR="003A4414" w:rsidRDefault="003A4414">
      <w:pPr>
        <w:rPr>
          <w:rFonts w:ascii="Arial" w:hAnsi="Arial" w:cs="Arial"/>
          <w:b/>
          <w:bCs/>
          <w:sz w:val="28"/>
          <w:szCs w:val="28"/>
        </w:rPr>
      </w:pPr>
    </w:p>
    <w:p w14:paraId="6D4965AA" w14:textId="77777777" w:rsidR="003A4414" w:rsidRDefault="003A4414">
      <w:pPr>
        <w:rPr>
          <w:rFonts w:ascii="Arial" w:hAnsi="Arial" w:cs="Arial"/>
          <w:b/>
          <w:bCs/>
          <w:sz w:val="28"/>
          <w:szCs w:val="28"/>
        </w:rPr>
      </w:pPr>
    </w:p>
    <w:p w14:paraId="06FF94F1" w14:textId="77777777" w:rsidR="003A4414" w:rsidRDefault="003A4414">
      <w:pPr>
        <w:rPr>
          <w:rFonts w:ascii="Arial" w:hAnsi="Arial" w:cs="Arial"/>
          <w:b/>
          <w:bCs/>
          <w:sz w:val="28"/>
          <w:szCs w:val="28"/>
        </w:rPr>
      </w:pPr>
    </w:p>
    <w:p w14:paraId="586E004E" w14:textId="77777777" w:rsidR="003A4414" w:rsidRDefault="003A4414">
      <w:pPr>
        <w:rPr>
          <w:rFonts w:ascii="Arial" w:hAnsi="Arial" w:cs="Arial"/>
          <w:b/>
          <w:bCs/>
          <w:sz w:val="28"/>
          <w:szCs w:val="28"/>
        </w:rPr>
      </w:pPr>
    </w:p>
    <w:p w14:paraId="3DA67D33" w14:textId="77777777" w:rsidR="003A4414" w:rsidRDefault="003A4414">
      <w:pPr>
        <w:rPr>
          <w:rFonts w:ascii="Arial" w:hAnsi="Arial" w:cs="Arial"/>
          <w:b/>
          <w:bCs/>
          <w:sz w:val="28"/>
          <w:szCs w:val="28"/>
        </w:rPr>
      </w:pPr>
    </w:p>
    <w:p w14:paraId="0F7E8721" w14:textId="77777777" w:rsidR="003A4414" w:rsidRDefault="003A4414">
      <w:pPr>
        <w:rPr>
          <w:rFonts w:ascii="Arial" w:hAnsi="Arial" w:cs="Arial"/>
          <w:b/>
          <w:bCs/>
          <w:sz w:val="28"/>
          <w:szCs w:val="28"/>
        </w:rPr>
      </w:pPr>
    </w:p>
    <w:p w14:paraId="5B31009A" w14:textId="77777777" w:rsidR="003A4414" w:rsidRDefault="003A4414">
      <w:pPr>
        <w:rPr>
          <w:rFonts w:ascii="Arial" w:hAnsi="Arial" w:cs="Arial"/>
          <w:b/>
          <w:bCs/>
          <w:sz w:val="28"/>
          <w:szCs w:val="28"/>
        </w:rPr>
      </w:pPr>
    </w:p>
    <w:p w14:paraId="132126B8" w14:textId="77777777" w:rsidR="003A4414" w:rsidRDefault="003A4414">
      <w:pPr>
        <w:rPr>
          <w:rFonts w:ascii="Arial" w:hAnsi="Arial" w:cs="Arial"/>
          <w:b/>
          <w:bCs/>
          <w:sz w:val="28"/>
          <w:szCs w:val="28"/>
        </w:rPr>
      </w:pPr>
    </w:p>
    <w:p w14:paraId="4E2D3431" w14:textId="77777777" w:rsidR="003A4414" w:rsidRDefault="003A4414">
      <w:pPr>
        <w:rPr>
          <w:rFonts w:ascii="Arial" w:hAnsi="Arial" w:cs="Arial"/>
          <w:b/>
          <w:bCs/>
          <w:sz w:val="28"/>
          <w:szCs w:val="28"/>
        </w:rPr>
      </w:pPr>
    </w:p>
    <w:p w14:paraId="7F4C731B" w14:textId="77777777" w:rsidR="003A4414" w:rsidRDefault="003A4414">
      <w:pPr>
        <w:rPr>
          <w:rFonts w:ascii="Arial" w:hAnsi="Arial" w:cs="Arial"/>
          <w:b/>
          <w:bCs/>
          <w:sz w:val="28"/>
          <w:szCs w:val="28"/>
        </w:rPr>
      </w:pPr>
    </w:p>
    <w:p w14:paraId="297825E4" w14:textId="77777777" w:rsidR="003A4414" w:rsidRDefault="003A4414">
      <w:pPr>
        <w:rPr>
          <w:rFonts w:ascii="Arial" w:hAnsi="Arial" w:cs="Arial"/>
          <w:b/>
          <w:bCs/>
          <w:sz w:val="28"/>
          <w:szCs w:val="28"/>
        </w:rPr>
      </w:pPr>
    </w:p>
    <w:p w14:paraId="54B3F7FD" w14:textId="01F9ABC7" w:rsidR="003A4414" w:rsidRDefault="003A4414" w:rsidP="00AD3DCB">
      <w:pPr>
        <w:pStyle w:val="Heading1"/>
      </w:pPr>
      <w:bookmarkStart w:id="0" w:name="_Toc213457098"/>
      <w:bookmarkStart w:id="1" w:name="_Toc213457159"/>
      <w:bookmarkStart w:id="2" w:name="_Toc213457828"/>
      <w:r>
        <w:t>Introduction</w:t>
      </w:r>
      <w:bookmarkEnd w:id="0"/>
      <w:bookmarkEnd w:id="1"/>
      <w:bookmarkEnd w:id="2"/>
      <w:r>
        <w:t xml:space="preserve"> </w:t>
      </w:r>
    </w:p>
    <w:p w14:paraId="0BE35BDC" w14:textId="77777777" w:rsidR="003A4414" w:rsidRDefault="003A4414">
      <w:pPr>
        <w:rPr>
          <w:rFonts w:ascii="Arial" w:hAnsi="Arial" w:cs="Arial"/>
          <w:b/>
          <w:bCs/>
          <w:sz w:val="28"/>
          <w:szCs w:val="28"/>
        </w:rPr>
      </w:pPr>
    </w:p>
    <w:p w14:paraId="5C182D63" w14:textId="77777777" w:rsidR="007E4C67" w:rsidRPr="00F75126" w:rsidRDefault="00683152" w:rsidP="00F75126">
      <w:pPr>
        <w:spacing w:line="360" w:lineRule="auto"/>
        <w:jc w:val="both"/>
        <w:rPr>
          <w:rFonts w:ascii="Arial" w:hAnsi="Arial" w:cs="Arial"/>
          <w:sz w:val="22"/>
        </w:rPr>
      </w:pPr>
      <w:r w:rsidRPr="00F75126">
        <w:rPr>
          <w:rFonts w:ascii="Arial" w:hAnsi="Arial" w:cs="Arial"/>
          <w:sz w:val="22"/>
        </w:rPr>
        <w:t>This assignment offers a reflective summary of my educational journey, covering four key units—'</w:t>
      </w:r>
      <w:r w:rsidR="00974D7D" w:rsidRPr="00F75126">
        <w:rPr>
          <w:rFonts w:ascii="Arial" w:hAnsi="Arial" w:cs="Arial"/>
          <w:sz w:val="22"/>
        </w:rPr>
        <w:t xml:space="preserve"> </w:t>
      </w:r>
      <w:r w:rsidRPr="00F75126">
        <w:rPr>
          <w:rFonts w:ascii="Arial" w:hAnsi="Arial" w:cs="Arial"/>
          <w:sz w:val="22"/>
        </w:rPr>
        <w:t xml:space="preserve">My Personal Brand,' 'It’s a Small World,' 'Opportunity Knocks,' and 'The Pursuit of Happiness'—with a focus on health and social care in the UK. It aims to examine key themes from each module and incorporate relevant academic literature to enrich my understanding. </w:t>
      </w:r>
      <w:r w:rsidR="005851E4" w:rsidRPr="00F75126">
        <w:rPr>
          <w:rFonts w:ascii="Arial" w:hAnsi="Arial" w:cs="Arial"/>
          <w:sz w:val="22"/>
        </w:rPr>
        <w:t>I will demonstrate how these modules have enhanced my knowledge of personal branding, global networking, opportunity recognition, and well-being, particularly in the context of health and social care.</w:t>
      </w:r>
      <w:r w:rsidR="007E5750" w:rsidRPr="00F75126">
        <w:rPr>
          <w:rFonts w:ascii="Arial" w:hAnsi="Arial" w:cs="Arial"/>
          <w:sz w:val="22"/>
        </w:rPr>
        <w:t xml:space="preserve"> </w:t>
      </w:r>
    </w:p>
    <w:p w14:paraId="029564BF" w14:textId="4DB60CDC" w:rsidR="00CA17EB" w:rsidRPr="00F75126" w:rsidRDefault="00683152" w:rsidP="00F75126">
      <w:pPr>
        <w:spacing w:line="360" w:lineRule="auto"/>
        <w:jc w:val="both"/>
        <w:rPr>
          <w:rFonts w:ascii="Arial" w:hAnsi="Arial" w:cs="Arial"/>
          <w:sz w:val="22"/>
        </w:rPr>
      </w:pPr>
      <w:r w:rsidRPr="00F75126">
        <w:rPr>
          <w:rFonts w:ascii="Arial" w:hAnsi="Arial" w:cs="Arial"/>
          <w:sz w:val="22"/>
        </w:rPr>
        <w:t>By synthesising insights from lectures, online activities, and theoretical frameworks, this work intends to illustrate how the skills and knowledge acquired will support and develop my future professional practice. Critical reflection on these areas is vital for effective practice within the evolving UK health and social care system (Thompson, 2023).</w:t>
      </w:r>
    </w:p>
    <w:p w14:paraId="56AFADC3" w14:textId="77777777" w:rsidR="003A4414" w:rsidRDefault="003A4414" w:rsidP="00D031CD">
      <w:pPr>
        <w:spacing w:line="360" w:lineRule="auto"/>
        <w:rPr>
          <w:rFonts w:ascii="Arial" w:hAnsi="Arial" w:cs="Arial"/>
          <w:b/>
          <w:bCs/>
          <w:sz w:val="28"/>
          <w:szCs w:val="28"/>
        </w:rPr>
      </w:pPr>
    </w:p>
    <w:p w14:paraId="5CC8562E" w14:textId="0CC05044" w:rsidR="003A4414" w:rsidRDefault="003A4414" w:rsidP="00D031CD">
      <w:pPr>
        <w:spacing w:line="360" w:lineRule="auto"/>
        <w:jc w:val="both"/>
        <w:rPr>
          <w:rFonts w:ascii="Arial" w:hAnsi="Arial" w:cs="Arial"/>
          <w:b/>
          <w:bCs/>
          <w:sz w:val="28"/>
          <w:szCs w:val="28"/>
        </w:rPr>
      </w:pPr>
    </w:p>
    <w:p w14:paraId="4EE04A21" w14:textId="77777777" w:rsidR="003A4414" w:rsidRDefault="003A4414">
      <w:pPr>
        <w:rPr>
          <w:rFonts w:ascii="Arial" w:hAnsi="Arial" w:cs="Arial"/>
          <w:b/>
          <w:bCs/>
          <w:sz w:val="28"/>
          <w:szCs w:val="28"/>
        </w:rPr>
      </w:pPr>
    </w:p>
    <w:p w14:paraId="506D2515" w14:textId="77777777" w:rsidR="003A4414" w:rsidRDefault="003A4414">
      <w:pPr>
        <w:rPr>
          <w:rFonts w:ascii="Arial" w:hAnsi="Arial" w:cs="Arial"/>
          <w:b/>
          <w:bCs/>
          <w:sz w:val="28"/>
          <w:szCs w:val="28"/>
        </w:rPr>
      </w:pPr>
    </w:p>
    <w:p w14:paraId="1A6F8F9B" w14:textId="77777777" w:rsidR="00351DE1" w:rsidRDefault="00351DE1">
      <w:pPr>
        <w:rPr>
          <w:rFonts w:ascii="Arial" w:hAnsi="Arial" w:cs="Arial"/>
          <w:b/>
          <w:bCs/>
          <w:sz w:val="28"/>
          <w:szCs w:val="28"/>
        </w:rPr>
      </w:pPr>
      <w:r>
        <w:rPr>
          <w:noProof/>
        </w:rPr>
        <w:drawing>
          <wp:inline distT="0" distB="0" distL="0" distR="0" wp14:anchorId="1F662955" wp14:editId="2F77BFE4">
            <wp:extent cx="4434290" cy="3985260"/>
            <wp:effectExtent l="0" t="0" r="4445" b="0"/>
            <wp:docPr id="799614985" name="Picture 2" descr="Becoming A Change Maker | PDF | Mindset | Optim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coming A Change Maker | PDF | Mindset | Optimis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52507" cy="4001633"/>
                    </a:xfrm>
                    <a:prstGeom prst="rect">
                      <a:avLst/>
                    </a:prstGeom>
                    <a:noFill/>
                    <a:ln>
                      <a:noFill/>
                    </a:ln>
                  </pic:spPr>
                </pic:pic>
              </a:graphicData>
            </a:graphic>
          </wp:inline>
        </w:drawing>
      </w:r>
    </w:p>
    <w:p w14:paraId="63AAF3F4" w14:textId="03797EDF" w:rsidR="003A4414" w:rsidRDefault="003A4414" w:rsidP="00CA0C21">
      <w:pPr>
        <w:pStyle w:val="Heading1"/>
      </w:pPr>
      <w:bookmarkStart w:id="3" w:name="_Toc213457099"/>
      <w:bookmarkStart w:id="4" w:name="_Toc213457160"/>
      <w:bookmarkStart w:id="5" w:name="_Toc213457829"/>
      <w:r>
        <w:t>Task 1</w:t>
      </w:r>
      <w:r w:rsidR="00CA0C21">
        <w:t>-</w:t>
      </w:r>
      <w:r>
        <w:t xml:space="preserve"> Unit 1: </w:t>
      </w:r>
      <w:r w:rsidR="002A474C">
        <w:t>Goal Setting</w:t>
      </w:r>
      <w:bookmarkEnd w:id="3"/>
      <w:bookmarkEnd w:id="4"/>
      <w:bookmarkEnd w:id="5"/>
    </w:p>
    <w:p w14:paraId="385340D2" w14:textId="77777777" w:rsidR="003A4414" w:rsidRDefault="003A4414">
      <w:pPr>
        <w:rPr>
          <w:rFonts w:ascii="Arial" w:hAnsi="Arial" w:cs="Arial"/>
          <w:b/>
          <w:bCs/>
          <w:sz w:val="28"/>
          <w:szCs w:val="28"/>
        </w:rPr>
      </w:pPr>
    </w:p>
    <w:p w14:paraId="4C506F99" w14:textId="77777777" w:rsidR="00351D5B" w:rsidRPr="007D33EB" w:rsidRDefault="003A4414" w:rsidP="00766043">
      <w:pPr>
        <w:rPr>
          <w:rFonts w:ascii="Arial" w:hAnsi="Arial" w:cs="Arial"/>
          <w:szCs w:val="24"/>
        </w:rPr>
      </w:pPr>
      <w:r w:rsidRPr="007D33EB">
        <w:rPr>
          <w:rFonts w:ascii="Arial" w:hAnsi="Arial" w:cs="Arial"/>
          <w:szCs w:val="24"/>
        </w:rPr>
        <w:t>Preface</w:t>
      </w:r>
    </w:p>
    <w:p w14:paraId="67EB0E6F" w14:textId="77777777" w:rsidR="00351D5B" w:rsidRDefault="00351D5B" w:rsidP="00766043">
      <w:pPr>
        <w:rPr>
          <w:rFonts w:ascii="Arial" w:hAnsi="Arial" w:cs="Arial"/>
          <w:szCs w:val="24"/>
        </w:rPr>
      </w:pPr>
    </w:p>
    <w:p w14:paraId="7C7294C0" w14:textId="61B6CBF6" w:rsidR="00A73D54" w:rsidRPr="004D1E75" w:rsidRDefault="00A73D54" w:rsidP="004D1E75">
      <w:pPr>
        <w:spacing w:line="360" w:lineRule="auto"/>
        <w:jc w:val="both"/>
        <w:rPr>
          <w:rFonts w:ascii="Arial" w:hAnsi="Arial" w:cs="Arial"/>
          <w:sz w:val="22"/>
        </w:rPr>
      </w:pPr>
      <w:r w:rsidRPr="004D1E75">
        <w:rPr>
          <w:rFonts w:ascii="Arial" w:hAnsi="Arial" w:cs="Arial"/>
          <w:sz w:val="22"/>
        </w:rPr>
        <w:t xml:space="preserve">This report explores the structured use of the SMART criteria in setting goals for both personal and organisational growth. According to Bovend’Eerdt, </w:t>
      </w:r>
      <w:proofErr w:type="spellStart"/>
      <w:r w:rsidRPr="004D1E75">
        <w:rPr>
          <w:rFonts w:ascii="Arial" w:hAnsi="Arial" w:cs="Arial"/>
          <w:sz w:val="22"/>
        </w:rPr>
        <w:t>Botell</w:t>
      </w:r>
      <w:proofErr w:type="spellEnd"/>
      <w:r w:rsidRPr="004D1E75">
        <w:rPr>
          <w:rFonts w:ascii="Arial" w:hAnsi="Arial" w:cs="Arial"/>
          <w:sz w:val="22"/>
        </w:rPr>
        <w:t>, and Wade (2009),</w:t>
      </w:r>
      <w:r w:rsidR="00F04647" w:rsidRPr="004D1E75">
        <w:rPr>
          <w:rFonts w:ascii="Arial" w:hAnsi="Arial" w:cs="Arial"/>
          <w:sz w:val="22"/>
        </w:rPr>
        <w:t xml:space="preserve"> this</w:t>
      </w:r>
      <w:r w:rsidRPr="004D1E75">
        <w:rPr>
          <w:rFonts w:ascii="Arial" w:hAnsi="Arial" w:cs="Arial"/>
          <w:sz w:val="22"/>
        </w:rPr>
        <w:t xml:space="preserve"> stands for Specific, Measurable, Achievable, Relevant, and Time-bound, and serves as a foundational guideline for creating effective objectives. This approach also corresponds closely with the core elements of personal branding, including transparency and genuineness.</w:t>
      </w:r>
    </w:p>
    <w:p w14:paraId="6AD097A4" w14:textId="3C35F130" w:rsidR="00351D5B" w:rsidRPr="004D1E75" w:rsidRDefault="00351D5B" w:rsidP="004D1E75">
      <w:pPr>
        <w:spacing w:line="360" w:lineRule="auto"/>
        <w:jc w:val="both"/>
        <w:rPr>
          <w:rFonts w:ascii="Arial" w:hAnsi="Arial" w:cs="Arial"/>
          <w:sz w:val="22"/>
        </w:rPr>
      </w:pPr>
      <w:r w:rsidRPr="004D1E75">
        <w:rPr>
          <w:rFonts w:ascii="Arial" w:hAnsi="Arial" w:cs="Arial"/>
          <w:sz w:val="22"/>
        </w:rPr>
        <w:t>In the UK health and social care sector, both practitioners and service users collaboratively set goals tailored to individual needs, with the SMART framework widely adopted to ensure these objectives are clear and structured (Bjerke and Renger, 2017). The main advantages of this approach include enhanced motivation and accountability. Clearly defined objectives with explicit timeframes enable service users to understand expectations, track progress, and maintain motivation (Van de Velde et al., 2025). Furthermore, the framework supports accountability, as measurable and time-bound goals facilitate monitoring and shared responsibility between practitioners and clients. The 'Relevant' aspect of SMART ensures objectives are tailored to individual needs, increasing the likelihood of meaningful outcomes.</w:t>
      </w:r>
    </w:p>
    <w:p w14:paraId="5F564EC9" w14:textId="3CBB8D5C" w:rsidR="00351D5B" w:rsidRPr="004D1E75" w:rsidRDefault="00351D5B" w:rsidP="004D1E75">
      <w:pPr>
        <w:spacing w:line="360" w:lineRule="auto"/>
        <w:jc w:val="both"/>
        <w:rPr>
          <w:rFonts w:ascii="Arial" w:hAnsi="Arial" w:cs="Arial"/>
          <w:sz w:val="22"/>
        </w:rPr>
      </w:pPr>
      <w:r w:rsidRPr="004D1E75">
        <w:rPr>
          <w:rFonts w:ascii="Arial" w:hAnsi="Arial" w:cs="Arial"/>
          <w:sz w:val="22"/>
        </w:rPr>
        <w:t>However, the framework is not without criticism. Its emphasis on measurability can lead to the neglect of important, yet less quantifiable, aspects of care</w:t>
      </w:r>
      <w:r w:rsidR="00F04647" w:rsidRPr="004D1E75">
        <w:rPr>
          <w:rFonts w:ascii="Arial" w:hAnsi="Arial" w:cs="Arial"/>
          <w:sz w:val="22"/>
        </w:rPr>
        <w:t>,</w:t>
      </w:r>
      <w:r w:rsidRPr="004D1E75">
        <w:rPr>
          <w:rFonts w:ascii="Arial" w:hAnsi="Arial" w:cs="Arial"/>
          <w:sz w:val="22"/>
        </w:rPr>
        <w:t xml:space="preserve"> such as emotional </w:t>
      </w:r>
      <w:r w:rsidR="001131AA" w:rsidRPr="004D1E75">
        <w:rPr>
          <w:rFonts w:ascii="Arial" w:hAnsi="Arial" w:cs="Arial"/>
          <w:sz w:val="22"/>
        </w:rPr>
        <w:t>well-being</w:t>
      </w:r>
      <w:r w:rsidRPr="004D1E75">
        <w:rPr>
          <w:rFonts w:ascii="Arial" w:hAnsi="Arial" w:cs="Arial"/>
          <w:sz w:val="22"/>
        </w:rPr>
        <w:t xml:space="preserve"> (Levack et al., 2015). There is also a risk that goals may be set that are not truly achievable or relevant, potentially causing dissatisfaction or disengagement, particularly among vulnerable populations. The process can also become overly administrative, detracting from person-centred approaches.</w:t>
      </w:r>
    </w:p>
    <w:p w14:paraId="0D19578E" w14:textId="58752A3A" w:rsidR="00351D5B" w:rsidRPr="004D1E75" w:rsidRDefault="00351D5B" w:rsidP="004D1E75">
      <w:pPr>
        <w:spacing w:line="360" w:lineRule="auto"/>
        <w:jc w:val="both"/>
        <w:rPr>
          <w:rFonts w:ascii="Arial" w:hAnsi="Arial" w:cs="Arial"/>
          <w:sz w:val="22"/>
        </w:rPr>
      </w:pPr>
      <w:r w:rsidRPr="004D1E75">
        <w:rPr>
          <w:rFonts w:ascii="Arial" w:hAnsi="Arial" w:cs="Arial"/>
          <w:sz w:val="22"/>
        </w:rPr>
        <w:t xml:space="preserve">Key concepts from the Brand module that have influenced my perspective include the value of self-reflection, authentic communication, and effective </w:t>
      </w:r>
      <w:r w:rsidR="006B5A54" w:rsidRPr="004D1E75">
        <w:rPr>
          <w:rFonts w:ascii="Arial" w:hAnsi="Arial" w:cs="Arial"/>
          <w:sz w:val="22"/>
        </w:rPr>
        <w:t>goal setting</w:t>
      </w:r>
      <w:r w:rsidRPr="004D1E75">
        <w:rPr>
          <w:rFonts w:ascii="Arial" w:hAnsi="Arial" w:cs="Arial"/>
          <w:sz w:val="22"/>
        </w:rPr>
        <w:t>. Self-awareness is crucial, allowing for a realistic evaluation of strengths and areas for growth. Applying the Johari Window model supports reflective practice by highlighting 'open' and 'blind' areas, fostering honest self-assessment and receptiveness to feedback (McCarthy et al., 2022). This process not only enhances self-awareness but also ensures that goals are developmentally appropriate. Commitment and motivation are essential, helping maintain focus and resilience despite challenges, ultimately benefiting both practitioners and those they support.</w:t>
      </w:r>
    </w:p>
    <w:p w14:paraId="20409098" w14:textId="4F67E143" w:rsidR="00351D5B" w:rsidRPr="004D1E75" w:rsidRDefault="00351D5B" w:rsidP="004D1E75">
      <w:pPr>
        <w:spacing w:line="360" w:lineRule="auto"/>
        <w:jc w:val="both"/>
        <w:rPr>
          <w:rFonts w:ascii="Arial" w:hAnsi="Arial" w:cs="Arial"/>
          <w:sz w:val="22"/>
        </w:rPr>
      </w:pPr>
      <w:r w:rsidRPr="004D1E75">
        <w:rPr>
          <w:rFonts w:ascii="Arial" w:hAnsi="Arial" w:cs="Arial"/>
          <w:sz w:val="22"/>
        </w:rPr>
        <w:t xml:space="preserve">For instance, a social care provider might set a SMART goal with a client: “Participate in two community activities weekly for three months to mitigate social isolation.” This goal is explicit, measurable, achievable, relevant, and </w:t>
      </w:r>
      <w:proofErr w:type="gramStart"/>
      <w:r w:rsidRPr="004D1E75">
        <w:rPr>
          <w:rFonts w:ascii="Arial" w:hAnsi="Arial" w:cs="Arial"/>
          <w:sz w:val="22"/>
        </w:rPr>
        <w:t>time-bound</w:t>
      </w:r>
      <w:proofErr w:type="gramEnd"/>
      <w:r w:rsidRPr="004D1E75">
        <w:rPr>
          <w:rFonts w:ascii="Arial" w:hAnsi="Arial" w:cs="Arial"/>
          <w:sz w:val="22"/>
        </w:rPr>
        <w:t>. Overall, while the SMART framework provides clear benefits in health and social care, it is important to be mindful of its limitations, ensuring a balance between structured goal-setting and person-centred care.</w:t>
      </w:r>
    </w:p>
    <w:p w14:paraId="513E4D6E" w14:textId="44D62F8D" w:rsidR="00766043" w:rsidRPr="004D1E75" w:rsidRDefault="00766043" w:rsidP="004D1E75">
      <w:pPr>
        <w:spacing w:line="360" w:lineRule="auto"/>
        <w:jc w:val="both"/>
        <w:rPr>
          <w:rFonts w:ascii="Arial" w:hAnsi="Arial" w:cs="Arial"/>
          <w:sz w:val="22"/>
        </w:rPr>
      </w:pPr>
      <w:r w:rsidRPr="004D1E75">
        <w:rPr>
          <w:rFonts w:ascii="Arial" w:hAnsi="Arial" w:cs="Arial"/>
          <w:sz w:val="22"/>
        </w:rPr>
        <w:br/>
      </w:r>
    </w:p>
    <w:p w14:paraId="5E2DC0C5" w14:textId="2D4B3046" w:rsidR="00F90A97" w:rsidRDefault="00004132" w:rsidP="003A4414">
      <w:pPr>
        <w:rPr>
          <w:rFonts w:ascii="Arial" w:hAnsi="Arial" w:cs="Arial"/>
          <w:szCs w:val="24"/>
        </w:rPr>
      </w:pPr>
      <w:r w:rsidRPr="00004132">
        <w:rPr>
          <w:rFonts w:ascii="Arial" w:hAnsi="Arial" w:cs="Arial"/>
          <w:noProof/>
          <w:szCs w:val="24"/>
        </w:rPr>
        <w:drawing>
          <wp:inline distT="0" distB="0" distL="0" distR="0" wp14:anchorId="3C8C9EF9" wp14:editId="217C868B">
            <wp:extent cx="5731510" cy="1425575"/>
            <wp:effectExtent l="0" t="0" r="2540" b="3175"/>
            <wp:docPr id="1243416737"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16737" name="Picture 1" descr="A close up of text&#10;&#10;AI-generated content may be incorrect."/>
                    <pic:cNvPicPr/>
                  </pic:nvPicPr>
                  <pic:blipFill>
                    <a:blip r:embed="rId7"/>
                    <a:stretch>
                      <a:fillRect/>
                    </a:stretch>
                  </pic:blipFill>
                  <pic:spPr>
                    <a:xfrm>
                      <a:off x="0" y="0"/>
                      <a:ext cx="5731510" cy="1425575"/>
                    </a:xfrm>
                    <a:prstGeom prst="rect">
                      <a:avLst/>
                    </a:prstGeom>
                  </pic:spPr>
                </pic:pic>
              </a:graphicData>
            </a:graphic>
          </wp:inline>
        </w:drawing>
      </w:r>
      <w:r w:rsidR="003A4414" w:rsidRPr="00B250C1">
        <w:rPr>
          <w:rFonts w:ascii="Arial" w:hAnsi="Arial" w:cs="Arial"/>
          <w:szCs w:val="24"/>
        </w:rPr>
        <w:br/>
      </w:r>
    </w:p>
    <w:p w14:paraId="654ECF0F" w14:textId="7FA6641F" w:rsidR="00ED63F3" w:rsidRDefault="00ED63F3" w:rsidP="00C74B40">
      <w:pPr>
        <w:rPr>
          <w:rFonts w:ascii="Arial" w:hAnsi="Arial" w:cs="Arial"/>
          <w:szCs w:val="24"/>
        </w:rPr>
      </w:pPr>
      <w:r w:rsidRPr="00ED63F3">
        <w:rPr>
          <w:rFonts w:ascii="Arial" w:hAnsi="Arial" w:cs="Arial"/>
          <w:noProof/>
          <w:szCs w:val="24"/>
        </w:rPr>
        <w:drawing>
          <wp:inline distT="0" distB="0" distL="0" distR="0" wp14:anchorId="2D5BED67" wp14:editId="5A582BB4">
            <wp:extent cx="5731510" cy="1062990"/>
            <wp:effectExtent l="0" t="0" r="2540" b="3810"/>
            <wp:docPr id="223101438" name="Picture 1" descr="A close up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101438" name="Picture 1" descr="A close up of a screen&#10;&#10;AI-generated content may be incorrect."/>
                    <pic:cNvPicPr/>
                  </pic:nvPicPr>
                  <pic:blipFill>
                    <a:blip r:embed="rId8"/>
                    <a:stretch>
                      <a:fillRect/>
                    </a:stretch>
                  </pic:blipFill>
                  <pic:spPr>
                    <a:xfrm>
                      <a:off x="0" y="0"/>
                      <a:ext cx="5731510" cy="1062990"/>
                    </a:xfrm>
                    <a:prstGeom prst="rect">
                      <a:avLst/>
                    </a:prstGeom>
                  </pic:spPr>
                </pic:pic>
              </a:graphicData>
            </a:graphic>
          </wp:inline>
        </w:drawing>
      </w:r>
    </w:p>
    <w:p w14:paraId="5BEB974A" w14:textId="77777777" w:rsidR="00ED63F3" w:rsidRDefault="00ED63F3" w:rsidP="00C74B40">
      <w:pPr>
        <w:rPr>
          <w:rFonts w:ascii="Arial" w:hAnsi="Arial" w:cs="Arial"/>
          <w:szCs w:val="24"/>
        </w:rPr>
      </w:pPr>
    </w:p>
    <w:p w14:paraId="462E3003" w14:textId="77777777" w:rsidR="00ED63F3" w:rsidRDefault="00ED63F3" w:rsidP="00C74B40">
      <w:pPr>
        <w:rPr>
          <w:rFonts w:ascii="Arial" w:hAnsi="Arial" w:cs="Arial"/>
          <w:szCs w:val="24"/>
        </w:rPr>
      </w:pPr>
    </w:p>
    <w:p w14:paraId="7B8A1E68" w14:textId="7BFB4E9A" w:rsidR="002A474C" w:rsidRPr="002A474C" w:rsidRDefault="002A474C" w:rsidP="00CA0C21">
      <w:pPr>
        <w:pStyle w:val="Heading2"/>
      </w:pPr>
      <w:bookmarkStart w:id="6" w:name="_Toc213457100"/>
      <w:bookmarkStart w:id="7" w:name="_Toc213457161"/>
      <w:bookmarkStart w:id="8" w:name="_Toc213457830"/>
      <w:r>
        <w:t>T</w:t>
      </w:r>
      <w:r w:rsidR="009238F3">
        <w:t>ask</w:t>
      </w:r>
      <w:r>
        <w:t xml:space="preserve"> 2- Unit 2: </w:t>
      </w:r>
      <w:r w:rsidRPr="002A474C">
        <w:t>Networking in Health and Social Care in the UK: Essential Aspects, Critical Evaluation, and International Significance</w:t>
      </w:r>
      <w:bookmarkEnd w:id="6"/>
      <w:bookmarkEnd w:id="7"/>
      <w:bookmarkEnd w:id="8"/>
    </w:p>
    <w:p w14:paraId="1F84B355" w14:textId="77777777" w:rsidR="00A24F98" w:rsidRPr="00A41958" w:rsidRDefault="00A24F98" w:rsidP="00A41958">
      <w:pPr>
        <w:spacing w:line="360" w:lineRule="auto"/>
        <w:jc w:val="both"/>
        <w:rPr>
          <w:rFonts w:ascii="Arial" w:hAnsi="Arial" w:cs="Arial"/>
          <w:sz w:val="22"/>
        </w:rPr>
      </w:pPr>
      <w:r w:rsidRPr="00A41958">
        <w:rPr>
          <w:rFonts w:ascii="Arial" w:hAnsi="Arial" w:cs="Arial"/>
          <w:sz w:val="22"/>
        </w:rPr>
        <w:t>In the UK, networking within health and social care has become increasingly significant for delivering integrated, person-centred services. Strong professional networks enhance coordination, reduce service duplication, and improve patient outcomes, emphasising collaboration among health and social care professionals to deliver comprehensive care (Indeed Editorial Team, 2023).</w:t>
      </w:r>
    </w:p>
    <w:p w14:paraId="40E07E66" w14:textId="77777777" w:rsidR="00A24F98" w:rsidRPr="00A41958" w:rsidRDefault="00A24F98" w:rsidP="00A41958">
      <w:pPr>
        <w:spacing w:line="360" w:lineRule="auto"/>
        <w:jc w:val="both"/>
        <w:rPr>
          <w:rFonts w:ascii="Arial" w:hAnsi="Arial" w:cs="Arial"/>
          <w:sz w:val="22"/>
        </w:rPr>
      </w:pPr>
      <w:r w:rsidRPr="00A41958">
        <w:rPr>
          <w:rFonts w:ascii="Arial" w:hAnsi="Arial" w:cs="Arial"/>
          <w:sz w:val="22"/>
        </w:rPr>
        <w:t>Collaboration is achieved through partnerships across professions and organisations, improving service delivery and patient experiences. Multi-Disciplinary Team Meetings (MDTs) facilitate coordinated care, while Safeguarding Partnerships protect vulnerable groups, and Integrated Care Systems (ICS) aim for cohesive regional health planning. Engagement with the voluntary sector and the adoption of information-sharing tools—such as Electronic Health Records (EHRs) and professional forums—are vital for effective communication and support. Multiagency community centres offer a variety of services in one place, and peer support networks encourage the sharing of experiences. Ongoing professional development is supported by collaborative educational activities, and digital platforms like NHS Collaborate enable healthcare leaders to share resources and solutions, promoting coordinated, efficient, and patient-centred care.</w:t>
      </w:r>
    </w:p>
    <w:p w14:paraId="7F5DE392" w14:textId="6F462A50" w:rsidR="00A24F98" w:rsidRPr="00A41958" w:rsidRDefault="00B67FE7" w:rsidP="00A41958">
      <w:pPr>
        <w:spacing w:line="360" w:lineRule="auto"/>
        <w:jc w:val="both"/>
        <w:rPr>
          <w:rFonts w:ascii="Arial" w:hAnsi="Arial" w:cs="Arial"/>
          <w:sz w:val="22"/>
        </w:rPr>
      </w:pPr>
      <w:r w:rsidRPr="00A41958">
        <w:rPr>
          <w:rFonts w:ascii="Arial" w:hAnsi="Arial" w:cs="Arial"/>
          <w:sz w:val="22"/>
        </w:rPr>
        <w:t xml:space="preserve">The </w:t>
      </w:r>
      <w:r w:rsidR="00A24F98" w:rsidRPr="00A41958">
        <w:rPr>
          <w:rFonts w:ascii="Arial" w:hAnsi="Arial" w:cs="Arial"/>
          <w:sz w:val="22"/>
        </w:rPr>
        <w:t>central principle of networking in health and social care is “interprofessional collaboration.” This involves multidisciplinary teams—spanning nursing, social work, physiotherapy, and mental health—working together to address complex patient needs. Such integration of expertise enables more comprehensive and effective support (Davidson et al., 2024). In practice, networking appears as regular multidisciplinary meetings, integrated information systems, and joint service contracting. The benefits of networking are significant: it streamlines referrals, ensures smooth patient transfers, and improves care coordination. Collaboration enables practitioners to address both clinical and social determinants of health, resulting in fewer hospital admissions and greater patient satisfaction. Resource and knowledge sharing further fosters a culture of continuous professional development (</w:t>
      </w:r>
      <w:proofErr w:type="spellStart"/>
      <w:r w:rsidR="00A24F98" w:rsidRPr="00A41958">
        <w:rPr>
          <w:rFonts w:ascii="Arial" w:hAnsi="Arial" w:cs="Arial"/>
          <w:sz w:val="22"/>
        </w:rPr>
        <w:t>Xyrichis</w:t>
      </w:r>
      <w:proofErr w:type="spellEnd"/>
      <w:r w:rsidR="00A24F98" w:rsidRPr="00A41958">
        <w:rPr>
          <w:rFonts w:ascii="Arial" w:hAnsi="Arial" w:cs="Arial"/>
          <w:sz w:val="22"/>
        </w:rPr>
        <w:t xml:space="preserve"> et al., 2024).</w:t>
      </w:r>
    </w:p>
    <w:p w14:paraId="4FF0540B" w14:textId="77777777" w:rsidR="00A24F98" w:rsidRPr="00A41958" w:rsidRDefault="00A24F98" w:rsidP="00A41958">
      <w:pPr>
        <w:spacing w:line="360" w:lineRule="auto"/>
        <w:jc w:val="both"/>
        <w:rPr>
          <w:rFonts w:ascii="Arial" w:hAnsi="Arial" w:cs="Arial"/>
          <w:sz w:val="22"/>
        </w:rPr>
      </w:pPr>
      <w:r w:rsidRPr="00A41958">
        <w:rPr>
          <w:rFonts w:ascii="Arial" w:hAnsi="Arial" w:cs="Arial"/>
          <w:sz w:val="22"/>
        </w:rPr>
        <w:t>However, networking poses challenges, such as clashes in organisational culture, conflicting professional goals, and power imbalances, which can hinder effective teamwork (Crocker et al., 2020). Poor communication or unclear roles can result in care gaps or unnecessary duplication of work. Maintaining networks also requires time and resources, which can be taxing in stretched systems. Some professionals may undervalue collaborative practice (Carey et al., 2018).</w:t>
      </w:r>
    </w:p>
    <w:p w14:paraId="51D51B83" w14:textId="77777777" w:rsidR="00A24F98" w:rsidRPr="00A41958" w:rsidRDefault="00A24F98" w:rsidP="00A41958">
      <w:pPr>
        <w:spacing w:line="360" w:lineRule="auto"/>
        <w:jc w:val="both"/>
        <w:rPr>
          <w:rFonts w:ascii="Arial" w:hAnsi="Arial" w:cs="Arial"/>
          <w:sz w:val="22"/>
        </w:rPr>
      </w:pPr>
      <w:r w:rsidRPr="00A41958">
        <w:rPr>
          <w:rFonts w:ascii="Arial" w:hAnsi="Arial" w:cs="Arial"/>
          <w:sz w:val="22"/>
        </w:rPr>
        <w:t>Reflecting on networking theories has highlighted the deep interdependence of health and social care, with integration leading to better outcomes, as seen in Scandinavian countries (Koteyko, Hunt and Gunter, 2015). Overall, despite obstacles, networking and collaboration remain essential for improving the quality and continuity of care in the UK and globally.</w:t>
      </w:r>
    </w:p>
    <w:p w14:paraId="4A52C2B9" w14:textId="498A5927" w:rsidR="00CC6224" w:rsidRDefault="00CC6224" w:rsidP="00657D95">
      <w:pPr>
        <w:rPr>
          <w:rFonts w:ascii="Arial" w:hAnsi="Arial" w:cs="Arial"/>
          <w:szCs w:val="24"/>
        </w:rPr>
      </w:pPr>
    </w:p>
    <w:p w14:paraId="2F9F3FC2" w14:textId="58F49791" w:rsidR="009D76E4" w:rsidRDefault="00AB30BD" w:rsidP="009238F3">
      <w:pPr>
        <w:rPr>
          <w:rStyle w:val="Heading2Char"/>
        </w:rPr>
      </w:pPr>
      <w:bookmarkStart w:id="9" w:name="_Toc213457101"/>
      <w:bookmarkStart w:id="10" w:name="_Toc213457162"/>
      <w:bookmarkStart w:id="11" w:name="_Toc213457831"/>
      <w:r w:rsidRPr="00AB30BD">
        <w:rPr>
          <w:rStyle w:val="Heading2Char"/>
          <w:noProof/>
        </w:rPr>
        <w:drawing>
          <wp:inline distT="0" distB="0" distL="0" distR="0" wp14:anchorId="3A676C25" wp14:editId="55BCCF13">
            <wp:extent cx="5731510" cy="1171575"/>
            <wp:effectExtent l="0" t="0" r="2540" b="9525"/>
            <wp:docPr id="637393930"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93930" name="Picture 1" descr="A close-up of a computer screen&#10;&#10;AI-generated content may be incorrect."/>
                    <pic:cNvPicPr/>
                  </pic:nvPicPr>
                  <pic:blipFill>
                    <a:blip r:embed="rId9"/>
                    <a:stretch>
                      <a:fillRect/>
                    </a:stretch>
                  </pic:blipFill>
                  <pic:spPr>
                    <a:xfrm>
                      <a:off x="0" y="0"/>
                      <a:ext cx="5731510" cy="1171575"/>
                    </a:xfrm>
                    <a:prstGeom prst="rect">
                      <a:avLst/>
                    </a:prstGeom>
                  </pic:spPr>
                </pic:pic>
              </a:graphicData>
            </a:graphic>
          </wp:inline>
        </w:drawing>
      </w:r>
    </w:p>
    <w:p w14:paraId="1915987F" w14:textId="77777777" w:rsidR="00DF62EF" w:rsidRDefault="00DF62EF" w:rsidP="009238F3">
      <w:pPr>
        <w:rPr>
          <w:rStyle w:val="Heading2Char"/>
        </w:rPr>
      </w:pPr>
    </w:p>
    <w:p w14:paraId="3A795317" w14:textId="612AE848" w:rsidR="00DF62EF" w:rsidRDefault="00C272A6" w:rsidP="009238F3">
      <w:pPr>
        <w:rPr>
          <w:rStyle w:val="Heading2Char"/>
        </w:rPr>
      </w:pPr>
      <w:r w:rsidRPr="00C272A6">
        <w:rPr>
          <w:rStyle w:val="Heading2Char"/>
          <w:noProof/>
        </w:rPr>
        <w:drawing>
          <wp:inline distT="0" distB="0" distL="0" distR="0" wp14:anchorId="461E0060" wp14:editId="11BE9774">
            <wp:extent cx="5731510" cy="2354580"/>
            <wp:effectExtent l="0" t="0" r="2540" b="7620"/>
            <wp:docPr id="6575510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551009" name="Picture 1" descr="A screenshot of a computer&#10;&#10;AI-generated content may be incorrect."/>
                    <pic:cNvPicPr/>
                  </pic:nvPicPr>
                  <pic:blipFill>
                    <a:blip r:embed="rId10"/>
                    <a:stretch>
                      <a:fillRect/>
                    </a:stretch>
                  </pic:blipFill>
                  <pic:spPr>
                    <a:xfrm>
                      <a:off x="0" y="0"/>
                      <a:ext cx="5731510" cy="2354580"/>
                    </a:xfrm>
                    <a:prstGeom prst="rect">
                      <a:avLst/>
                    </a:prstGeom>
                  </pic:spPr>
                </pic:pic>
              </a:graphicData>
            </a:graphic>
          </wp:inline>
        </w:drawing>
      </w:r>
    </w:p>
    <w:p w14:paraId="6E6298C6" w14:textId="5910D8AA" w:rsidR="00AB30BD" w:rsidRDefault="008C6C65" w:rsidP="009238F3">
      <w:pPr>
        <w:rPr>
          <w:rStyle w:val="Heading2Char"/>
        </w:rPr>
      </w:pPr>
      <w:r w:rsidRPr="008C6C65">
        <w:rPr>
          <w:rStyle w:val="Heading2Char"/>
          <w:noProof/>
        </w:rPr>
        <w:drawing>
          <wp:inline distT="0" distB="0" distL="0" distR="0" wp14:anchorId="7654CB25" wp14:editId="3BDFC262">
            <wp:extent cx="5731510" cy="1950720"/>
            <wp:effectExtent l="0" t="0" r="2540" b="0"/>
            <wp:docPr id="4734619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461999" name="Picture 1" descr="A screenshot of a computer&#10;&#10;AI-generated content may be incorrect."/>
                    <pic:cNvPicPr/>
                  </pic:nvPicPr>
                  <pic:blipFill>
                    <a:blip r:embed="rId11"/>
                    <a:stretch>
                      <a:fillRect/>
                    </a:stretch>
                  </pic:blipFill>
                  <pic:spPr>
                    <a:xfrm>
                      <a:off x="0" y="0"/>
                      <a:ext cx="5731510" cy="1950720"/>
                    </a:xfrm>
                    <a:prstGeom prst="rect">
                      <a:avLst/>
                    </a:prstGeom>
                  </pic:spPr>
                </pic:pic>
              </a:graphicData>
            </a:graphic>
          </wp:inline>
        </w:drawing>
      </w:r>
    </w:p>
    <w:p w14:paraId="2CA4BF22" w14:textId="77777777" w:rsidR="00AB30BD" w:rsidRDefault="00AB30BD" w:rsidP="009238F3">
      <w:pPr>
        <w:rPr>
          <w:rStyle w:val="Heading2Char"/>
        </w:rPr>
      </w:pPr>
    </w:p>
    <w:p w14:paraId="222630DA" w14:textId="77777777" w:rsidR="008C6C65" w:rsidRDefault="008C6C65" w:rsidP="009238F3">
      <w:pPr>
        <w:rPr>
          <w:rStyle w:val="Heading2Char"/>
        </w:rPr>
      </w:pPr>
    </w:p>
    <w:p w14:paraId="09F6C61F" w14:textId="363B75E2" w:rsidR="00B32CAF" w:rsidRDefault="009238F3" w:rsidP="009238F3">
      <w:pPr>
        <w:rPr>
          <w:rFonts w:ascii="Arial" w:hAnsi="Arial" w:cs="Arial"/>
          <w:szCs w:val="24"/>
        </w:rPr>
      </w:pPr>
      <w:r w:rsidRPr="00CA0C21">
        <w:rPr>
          <w:rStyle w:val="Heading2Char"/>
        </w:rPr>
        <w:t xml:space="preserve">TASK 3- UNIT 3: </w:t>
      </w:r>
      <w:r w:rsidRPr="009238F3">
        <w:rPr>
          <w:rStyle w:val="Heading2Char"/>
        </w:rPr>
        <w:t>Analysis of "Strategies for Unlocking Employment Opportunities in Health and Social Care in the UK</w:t>
      </w:r>
      <w:bookmarkEnd w:id="9"/>
      <w:bookmarkEnd w:id="10"/>
      <w:bookmarkEnd w:id="11"/>
      <w:r w:rsidRPr="009238F3">
        <w:rPr>
          <w:rStyle w:val="Heading2Char"/>
        </w:rPr>
        <w:br/>
      </w:r>
    </w:p>
    <w:p w14:paraId="4043E183" w14:textId="77777777" w:rsidR="0018284E" w:rsidRDefault="009238F3" w:rsidP="009238F3">
      <w:pPr>
        <w:rPr>
          <w:rFonts w:ascii="Arial" w:hAnsi="Arial" w:cs="Arial"/>
          <w:b/>
          <w:bCs/>
          <w:szCs w:val="24"/>
        </w:rPr>
      </w:pPr>
      <w:r w:rsidRPr="00EB35BE">
        <w:rPr>
          <w:rFonts w:ascii="Arial" w:hAnsi="Arial" w:cs="Arial"/>
          <w:b/>
          <w:bCs/>
          <w:szCs w:val="24"/>
        </w:rPr>
        <w:t>Definition and Theory:</w:t>
      </w:r>
    </w:p>
    <w:p w14:paraId="05222053" w14:textId="77777777" w:rsidR="00BA7692" w:rsidRPr="001826E0" w:rsidRDefault="009238F3" w:rsidP="001826E0">
      <w:pPr>
        <w:spacing w:line="360" w:lineRule="auto"/>
        <w:jc w:val="both"/>
        <w:rPr>
          <w:rFonts w:ascii="Arial" w:hAnsi="Arial" w:cs="Arial"/>
          <w:sz w:val="22"/>
        </w:rPr>
      </w:pPr>
      <w:r w:rsidRPr="009238F3">
        <w:rPr>
          <w:rFonts w:ascii="Arial" w:hAnsi="Arial" w:cs="Arial"/>
          <w:szCs w:val="24"/>
        </w:rPr>
        <w:br/>
      </w:r>
      <w:r w:rsidR="00BA7692" w:rsidRPr="001826E0">
        <w:rPr>
          <w:rFonts w:ascii="Arial" w:hAnsi="Arial" w:cs="Arial"/>
          <w:sz w:val="22"/>
        </w:rPr>
        <w:t>Rochat and Borgen (2021) suggest that expanding work opportunities involves not only actively seeking and identifying potential career paths but also taking actions to encourage their progress. Within the UK’s health and social care sector, this process typically includes networking, gaining sector-specific qualifications, volunteering, and developing an understanding of the industry’s demands. By doing so, individuals can better access and make use of available job opportunities. Furthermore, Mitchell, Levin, and Krumboltz's Happenstance Learning Theory (1999) suggests that unexpected events often shape career development. Therefore, we encourage individuals to be proactive and flexible, enabling them to seize new or unforeseen opportunities as they present themselves.</w:t>
      </w:r>
    </w:p>
    <w:p w14:paraId="2C334FAB" w14:textId="093EC8BA" w:rsidR="00170AFB" w:rsidRDefault="009B3AFC" w:rsidP="00BA7692">
      <w:pPr>
        <w:spacing w:line="360" w:lineRule="auto"/>
        <w:jc w:val="both"/>
        <w:rPr>
          <w:rFonts w:ascii="Arial" w:hAnsi="Arial" w:cs="Arial"/>
          <w:b/>
          <w:bCs/>
          <w:szCs w:val="24"/>
        </w:rPr>
      </w:pPr>
      <w:r w:rsidRPr="009B3AFC">
        <w:rPr>
          <w:rFonts w:ascii="Arial" w:hAnsi="Arial" w:cs="Arial"/>
          <w:noProof/>
          <w:szCs w:val="24"/>
        </w:rPr>
        <w:drawing>
          <wp:inline distT="0" distB="0" distL="0" distR="0" wp14:anchorId="3119106E" wp14:editId="30B565B4">
            <wp:extent cx="5731510" cy="1577340"/>
            <wp:effectExtent l="0" t="0" r="2540" b="3810"/>
            <wp:docPr id="21009131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13141" name="Picture 1" descr="A screenshot of a computer&#10;&#10;AI-generated content may be incorrect."/>
                    <pic:cNvPicPr/>
                  </pic:nvPicPr>
                  <pic:blipFill>
                    <a:blip r:embed="rId12"/>
                    <a:stretch>
                      <a:fillRect/>
                    </a:stretch>
                  </pic:blipFill>
                  <pic:spPr>
                    <a:xfrm>
                      <a:off x="0" y="0"/>
                      <a:ext cx="5731510" cy="1577340"/>
                    </a:xfrm>
                    <a:prstGeom prst="rect">
                      <a:avLst/>
                    </a:prstGeom>
                  </pic:spPr>
                </pic:pic>
              </a:graphicData>
            </a:graphic>
          </wp:inline>
        </w:drawing>
      </w:r>
      <w:r w:rsidR="009238F3" w:rsidRPr="009238F3">
        <w:rPr>
          <w:rFonts w:ascii="Arial" w:hAnsi="Arial" w:cs="Arial"/>
          <w:szCs w:val="24"/>
        </w:rPr>
        <w:br/>
      </w:r>
      <w:r w:rsidR="009238F3" w:rsidRPr="009238F3">
        <w:rPr>
          <w:rFonts w:ascii="Arial" w:hAnsi="Arial" w:cs="Arial"/>
          <w:szCs w:val="24"/>
        </w:rPr>
        <w:br/>
      </w:r>
      <w:r w:rsidR="00170AFB" w:rsidRPr="00170AFB">
        <w:rPr>
          <w:rFonts w:ascii="Arial" w:hAnsi="Arial" w:cs="Arial"/>
          <w:b/>
          <w:bCs/>
          <w:noProof/>
          <w:szCs w:val="24"/>
        </w:rPr>
        <w:drawing>
          <wp:inline distT="0" distB="0" distL="0" distR="0" wp14:anchorId="539A8493" wp14:editId="561281DC">
            <wp:extent cx="5731510" cy="1280160"/>
            <wp:effectExtent l="0" t="0" r="2540" b="0"/>
            <wp:docPr id="16560282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28240" name="Picture 1" descr="A screenshot of a computer&#10;&#10;AI-generated content may be incorrect."/>
                    <pic:cNvPicPr/>
                  </pic:nvPicPr>
                  <pic:blipFill>
                    <a:blip r:embed="rId13"/>
                    <a:stretch>
                      <a:fillRect/>
                    </a:stretch>
                  </pic:blipFill>
                  <pic:spPr>
                    <a:xfrm>
                      <a:off x="0" y="0"/>
                      <a:ext cx="5731510" cy="1280160"/>
                    </a:xfrm>
                    <a:prstGeom prst="rect">
                      <a:avLst/>
                    </a:prstGeom>
                  </pic:spPr>
                </pic:pic>
              </a:graphicData>
            </a:graphic>
          </wp:inline>
        </w:drawing>
      </w:r>
    </w:p>
    <w:p w14:paraId="2879B464" w14:textId="77777777" w:rsidR="0015742B" w:rsidRDefault="0015742B" w:rsidP="009238F3">
      <w:pPr>
        <w:rPr>
          <w:rFonts w:ascii="Arial" w:hAnsi="Arial" w:cs="Arial"/>
          <w:b/>
          <w:bCs/>
          <w:szCs w:val="24"/>
        </w:rPr>
      </w:pPr>
    </w:p>
    <w:p w14:paraId="53D91FFC" w14:textId="77777777" w:rsidR="00BD6056" w:rsidRDefault="009238F3" w:rsidP="009238F3">
      <w:pPr>
        <w:rPr>
          <w:rFonts w:ascii="Arial" w:hAnsi="Arial" w:cs="Arial"/>
          <w:szCs w:val="24"/>
        </w:rPr>
      </w:pPr>
      <w:r w:rsidRPr="00EB35BE">
        <w:rPr>
          <w:rFonts w:ascii="Arial" w:hAnsi="Arial" w:cs="Arial"/>
          <w:b/>
          <w:bCs/>
          <w:szCs w:val="24"/>
        </w:rPr>
        <w:t>Critical Evaluation and Implementation</w:t>
      </w:r>
      <w:r w:rsidRPr="009238F3">
        <w:rPr>
          <w:rFonts w:ascii="Arial" w:hAnsi="Arial" w:cs="Arial"/>
          <w:szCs w:val="24"/>
        </w:rPr>
        <w:t>:</w:t>
      </w:r>
      <w:r w:rsidRPr="009238F3">
        <w:rPr>
          <w:rFonts w:ascii="Arial" w:hAnsi="Arial" w:cs="Arial"/>
          <w:szCs w:val="24"/>
        </w:rPr>
        <w:br/>
      </w:r>
    </w:p>
    <w:p w14:paraId="2F8FB624" w14:textId="77777777" w:rsidR="00C92E85" w:rsidRPr="00E712A2" w:rsidRDefault="009238F3" w:rsidP="00E712A2">
      <w:pPr>
        <w:spacing w:line="360" w:lineRule="auto"/>
        <w:rPr>
          <w:rFonts w:ascii="Arial" w:hAnsi="Arial" w:cs="Arial"/>
          <w:b/>
          <w:bCs/>
          <w:sz w:val="22"/>
        </w:rPr>
      </w:pPr>
      <w:r w:rsidRPr="00E712A2">
        <w:rPr>
          <w:rFonts w:ascii="Arial" w:hAnsi="Arial" w:cs="Arial"/>
          <w:sz w:val="22"/>
        </w:rPr>
        <w:t>In the educational material, I acknowledged the significance of both formal and informal approaches to job advancement. Structured pathways, like apprenticeships or degrees, are essential; nevertheless, informal approaches like cultivating professional networks, participating in industry events, and engaging in volunteer work are also important. This idea corresponds with</w:t>
      </w:r>
      <w:r w:rsidR="003B3760" w:rsidRPr="00E712A2">
        <w:rPr>
          <w:rFonts w:ascii="Arial" w:hAnsi="Arial" w:cs="Arial"/>
          <w:sz w:val="22"/>
        </w:rPr>
        <w:t xml:space="preserve"> </w:t>
      </w:r>
      <w:r w:rsidR="00DF62EF" w:rsidRPr="00E712A2">
        <w:rPr>
          <w:rFonts w:ascii="Arial" w:hAnsi="Arial" w:cs="Arial"/>
          <w:sz w:val="22"/>
        </w:rPr>
        <w:t>(</w:t>
      </w:r>
      <w:r w:rsidR="00A82A3E" w:rsidRPr="00E712A2">
        <w:rPr>
          <w:rFonts w:ascii="Arial" w:hAnsi="Arial" w:cs="Arial"/>
          <w:sz w:val="22"/>
        </w:rPr>
        <w:t>T</w:t>
      </w:r>
      <w:r w:rsidRPr="00E712A2">
        <w:rPr>
          <w:rFonts w:ascii="Arial" w:hAnsi="Arial" w:cs="Arial"/>
          <w:sz w:val="22"/>
        </w:rPr>
        <w:t>omlinson’s</w:t>
      </w:r>
      <w:r w:rsidR="00DF62EF" w:rsidRPr="00E712A2">
        <w:rPr>
          <w:rFonts w:ascii="Arial" w:hAnsi="Arial" w:cs="Arial"/>
          <w:sz w:val="22"/>
        </w:rPr>
        <w:t xml:space="preserve"> </w:t>
      </w:r>
      <w:r w:rsidRPr="00E712A2">
        <w:rPr>
          <w:rFonts w:ascii="Arial" w:hAnsi="Arial" w:cs="Arial"/>
          <w:sz w:val="22"/>
        </w:rPr>
        <w:t>2017) results that social capital and proactive participation significantly improve employability in the health industry.</w:t>
      </w:r>
      <w:r w:rsidRPr="00E712A2">
        <w:rPr>
          <w:rFonts w:ascii="Arial" w:hAnsi="Arial" w:cs="Arial"/>
          <w:sz w:val="22"/>
        </w:rPr>
        <w:br/>
        <w:t xml:space="preserve">Through introspective practice, I gained more awareness of my strengths and deficiencies. I noticed that volunteering enhances experience and broadens my professional network, increasing my visibility to prospective employers. </w:t>
      </w:r>
      <w:r w:rsidR="009B7FE0" w:rsidRPr="00E712A2">
        <w:rPr>
          <w:rFonts w:ascii="Arial" w:hAnsi="Arial" w:cs="Arial"/>
          <w:sz w:val="22"/>
        </w:rPr>
        <w:t>(</w:t>
      </w:r>
      <w:r w:rsidRPr="00E712A2">
        <w:rPr>
          <w:rFonts w:ascii="Arial" w:hAnsi="Arial" w:cs="Arial"/>
          <w:sz w:val="22"/>
        </w:rPr>
        <w:t>The NHS Leadership Academy</w:t>
      </w:r>
      <w:r w:rsidR="00FE04CB" w:rsidRPr="00E712A2">
        <w:rPr>
          <w:rFonts w:ascii="Arial" w:hAnsi="Arial" w:cs="Arial"/>
          <w:sz w:val="22"/>
        </w:rPr>
        <w:t>,</w:t>
      </w:r>
      <w:r w:rsidRPr="00E712A2">
        <w:rPr>
          <w:rFonts w:ascii="Arial" w:hAnsi="Arial" w:cs="Arial"/>
          <w:sz w:val="22"/>
        </w:rPr>
        <w:t xml:space="preserve"> 202</w:t>
      </w:r>
      <w:r w:rsidR="00FE04CB" w:rsidRPr="00E712A2">
        <w:rPr>
          <w:rFonts w:ascii="Arial" w:hAnsi="Arial" w:cs="Arial"/>
          <w:sz w:val="22"/>
        </w:rPr>
        <w:t>5</w:t>
      </w:r>
      <w:r w:rsidRPr="00E712A2">
        <w:rPr>
          <w:rFonts w:ascii="Arial" w:hAnsi="Arial" w:cs="Arial"/>
          <w:sz w:val="22"/>
        </w:rPr>
        <w:t>) endorses this proactive approach, highlighting reflective practice and networking as essential components for professional advancement in health and social care.</w:t>
      </w:r>
      <w:r w:rsidRPr="00E712A2">
        <w:rPr>
          <w:rFonts w:ascii="Arial" w:hAnsi="Arial" w:cs="Arial"/>
          <w:sz w:val="22"/>
        </w:rPr>
        <w:br/>
      </w:r>
      <w:r w:rsidRPr="00E712A2">
        <w:rPr>
          <w:rFonts w:ascii="Arial" w:hAnsi="Arial" w:cs="Arial"/>
          <w:sz w:val="22"/>
        </w:rPr>
        <w:br/>
      </w:r>
    </w:p>
    <w:p w14:paraId="15E1E108" w14:textId="05C9F384" w:rsidR="005113D5" w:rsidRPr="00295414" w:rsidRDefault="009238F3" w:rsidP="00E712A2">
      <w:pPr>
        <w:spacing w:line="360" w:lineRule="auto"/>
        <w:jc w:val="both"/>
        <w:rPr>
          <w:rFonts w:ascii="Arial" w:hAnsi="Arial" w:cs="Arial"/>
          <w:sz w:val="22"/>
        </w:rPr>
      </w:pPr>
      <w:r w:rsidRPr="005F546C">
        <w:rPr>
          <w:rFonts w:ascii="Arial" w:hAnsi="Arial" w:cs="Arial"/>
          <w:b/>
          <w:bCs/>
          <w:szCs w:val="24"/>
        </w:rPr>
        <w:t>Illustrations:</w:t>
      </w:r>
      <w:r w:rsidRPr="009238F3">
        <w:rPr>
          <w:rFonts w:ascii="Arial" w:hAnsi="Arial" w:cs="Arial"/>
          <w:szCs w:val="24"/>
        </w:rPr>
        <w:br/>
      </w:r>
      <w:r w:rsidRPr="00295414">
        <w:rPr>
          <w:rFonts w:ascii="Arial" w:hAnsi="Arial" w:cs="Arial"/>
          <w:sz w:val="22"/>
        </w:rPr>
        <w:t>Following my participation in a local job fair and interaction with NHS recruiters, I obtained a shadowing opportunity that provided me with practical insight into healthcare careers. This experience immediately impacted my choice to obtain a certification in health and social care, illustrating how embracing such chances may affect personal and professional trajectories.</w:t>
      </w:r>
    </w:p>
    <w:p w14:paraId="48A44CFE" w14:textId="77777777" w:rsidR="002D055A" w:rsidRDefault="009238F3" w:rsidP="00D93BA6">
      <w:pPr>
        <w:spacing w:line="360" w:lineRule="auto"/>
        <w:rPr>
          <w:rFonts w:ascii="Arial" w:hAnsi="Arial" w:cs="Arial"/>
          <w:szCs w:val="24"/>
        </w:rPr>
      </w:pPr>
      <w:r w:rsidRPr="009238F3">
        <w:rPr>
          <w:rFonts w:ascii="Arial" w:hAnsi="Arial" w:cs="Arial"/>
          <w:szCs w:val="24"/>
        </w:rPr>
        <w:br/>
      </w:r>
      <w:r w:rsidRPr="003736DD">
        <w:rPr>
          <w:rFonts w:ascii="Arial" w:hAnsi="Arial" w:cs="Arial"/>
          <w:b/>
          <w:bCs/>
          <w:szCs w:val="24"/>
        </w:rPr>
        <w:t>Advantages:</w:t>
      </w:r>
      <w:r w:rsidRPr="009238F3">
        <w:rPr>
          <w:rFonts w:ascii="Arial" w:hAnsi="Arial" w:cs="Arial"/>
          <w:szCs w:val="24"/>
        </w:rPr>
        <w:br/>
      </w:r>
      <w:r w:rsidRPr="00D93BA6">
        <w:rPr>
          <w:rFonts w:ascii="Arial" w:hAnsi="Arial" w:cs="Arial"/>
          <w:sz w:val="22"/>
        </w:rPr>
        <w:t>Enhances employability and self-assurance.</w:t>
      </w:r>
      <w:r w:rsidRPr="00D93BA6">
        <w:rPr>
          <w:rFonts w:ascii="Arial" w:hAnsi="Arial" w:cs="Arial"/>
          <w:sz w:val="22"/>
        </w:rPr>
        <w:br/>
        <w:t>Establishes a professional network that might result in employment recommendations.</w:t>
      </w:r>
      <w:r w:rsidRPr="00D93BA6">
        <w:rPr>
          <w:rFonts w:ascii="Arial" w:hAnsi="Arial" w:cs="Arial"/>
          <w:sz w:val="22"/>
        </w:rPr>
        <w:br/>
        <w:t>Offers pragmatic experience and industrial knowledge.</w:t>
      </w:r>
      <w:r w:rsidRPr="00D93BA6">
        <w:rPr>
          <w:rFonts w:ascii="Arial" w:hAnsi="Arial" w:cs="Arial"/>
          <w:sz w:val="22"/>
        </w:rPr>
        <w:br/>
        <w:t>Promotes continuous education and flexibility.</w:t>
      </w:r>
      <w:r w:rsidRPr="00D93BA6">
        <w:rPr>
          <w:rFonts w:ascii="Arial" w:hAnsi="Arial" w:cs="Arial"/>
          <w:sz w:val="22"/>
        </w:rPr>
        <w:br/>
      </w:r>
    </w:p>
    <w:p w14:paraId="6C28F216" w14:textId="77777777" w:rsidR="00C92E85" w:rsidRDefault="009238F3" w:rsidP="009238F3">
      <w:pPr>
        <w:rPr>
          <w:rFonts w:ascii="Arial" w:hAnsi="Arial" w:cs="Arial"/>
          <w:szCs w:val="24"/>
        </w:rPr>
      </w:pPr>
      <w:r w:rsidRPr="003736DD">
        <w:rPr>
          <w:rFonts w:ascii="Arial" w:hAnsi="Arial" w:cs="Arial"/>
          <w:b/>
          <w:bCs/>
          <w:szCs w:val="24"/>
        </w:rPr>
        <w:t>Disadvantages:</w:t>
      </w:r>
      <w:r w:rsidRPr="009238F3">
        <w:rPr>
          <w:rFonts w:ascii="Arial" w:hAnsi="Arial" w:cs="Arial"/>
          <w:szCs w:val="24"/>
        </w:rPr>
        <w:br/>
      </w:r>
    </w:p>
    <w:p w14:paraId="44938EAD" w14:textId="77777777" w:rsidR="009A39AE" w:rsidRDefault="00595C2E" w:rsidP="00595C2E">
      <w:pPr>
        <w:spacing w:line="360" w:lineRule="auto"/>
        <w:rPr>
          <w:rFonts w:ascii="Arial" w:hAnsi="Arial" w:cs="Arial"/>
          <w:sz w:val="22"/>
        </w:rPr>
      </w:pPr>
      <w:r>
        <w:rPr>
          <w:rFonts w:ascii="Arial" w:hAnsi="Arial" w:cs="Arial"/>
          <w:sz w:val="22"/>
        </w:rPr>
        <w:t>This</w:t>
      </w:r>
      <w:r w:rsidR="009238F3" w:rsidRPr="00A676C9">
        <w:rPr>
          <w:rFonts w:ascii="Arial" w:hAnsi="Arial" w:cs="Arial"/>
          <w:sz w:val="22"/>
        </w:rPr>
        <w:t xml:space="preserve"> may be labour-intensive and might interfere with other obligations.</w:t>
      </w:r>
      <w:r w:rsidR="009238F3" w:rsidRPr="00A676C9">
        <w:rPr>
          <w:rFonts w:ascii="Arial" w:hAnsi="Arial" w:cs="Arial"/>
          <w:sz w:val="22"/>
        </w:rPr>
        <w:br/>
        <w:t>Networking may be intimidating for shy individuals.</w:t>
      </w:r>
      <w:r w:rsidR="009238F3" w:rsidRPr="00A676C9">
        <w:rPr>
          <w:rFonts w:ascii="Arial" w:hAnsi="Arial" w:cs="Arial"/>
          <w:sz w:val="22"/>
        </w:rPr>
        <w:br/>
        <w:t>Volunteering or unpaid positions may not be economically feasible for many individuals.</w:t>
      </w:r>
      <w:r w:rsidR="009238F3" w:rsidRPr="00A676C9">
        <w:rPr>
          <w:rFonts w:ascii="Arial" w:hAnsi="Arial" w:cs="Arial"/>
          <w:sz w:val="22"/>
        </w:rPr>
        <w:br/>
      </w:r>
    </w:p>
    <w:p w14:paraId="3DC99472" w14:textId="7D5F1AC9" w:rsidR="009238F3" w:rsidRPr="00A676C9" w:rsidRDefault="005244A9" w:rsidP="00595C2E">
      <w:pPr>
        <w:spacing w:line="360" w:lineRule="auto"/>
        <w:rPr>
          <w:rFonts w:ascii="Arial" w:hAnsi="Arial" w:cs="Arial"/>
          <w:sz w:val="22"/>
        </w:rPr>
      </w:pPr>
      <w:r w:rsidRPr="00A676C9">
        <w:rPr>
          <w:rFonts w:ascii="Arial" w:hAnsi="Arial" w:cs="Arial"/>
          <w:sz w:val="22"/>
        </w:rPr>
        <w:t>C</w:t>
      </w:r>
      <w:r w:rsidR="009238F3" w:rsidRPr="00A676C9">
        <w:rPr>
          <w:rFonts w:ascii="Arial" w:hAnsi="Arial" w:cs="Arial"/>
          <w:sz w:val="22"/>
        </w:rPr>
        <w:t>ultivating social capital and participating in sector-specific activities significantly improve employability in health and social care. The NHS Leadership Academy (2021) emphasises the need for continuous professional development and networking for career advancement.</w:t>
      </w:r>
      <w:r w:rsidR="009238F3" w:rsidRPr="00A676C9">
        <w:rPr>
          <w:rFonts w:ascii="Arial" w:hAnsi="Arial" w:cs="Arial"/>
          <w:sz w:val="22"/>
        </w:rPr>
        <w:br/>
      </w:r>
      <w:r w:rsidR="003D67DD" w:rsidRPr="00A676C9">
        <w:rPr>
          <w:rFonts w:ascii="Arial" w:hAnsi="Arial" w:cs="Arial"/>
          <w:sz w:val="22"/>
        </w:rPr>
        <w:t>In summary, a</w:t>
      </w:r>
      <w:r w:rsidR="009238F3" w:rsidRPr="00A676C9">
        <w:rPr>
          <w:rFonts w:ascii="Arial" w:hAnsi="Arial" w:cs="Arial"/>
          <w:sz w:val="22"/>
        </w:rPr>
        <w:t>cquiring knowledge about "how to unlock job opportunities" has provided me with pragmatic techniques to identify and capitalise on growth prospects. By integrating theory with practice, I have more confidence in managing my professional trajectory in health and social care.</w:t>
      </w:r>
    </w:p>
    <w:p w14:paraId="7BCAAEA6" w14:textId="484D5624" w:rsidR="00690AD9" w:rsidRDefault="00690AD9" w:rsidP="009238F3">
      <w:pPr>
        <w:rPr>
          <w:rFonts w:ascii="Arial" w:hAnsi="Arial" w:cs="Arial"/>
          <w:szCs w:val="24"/>
        </w:rPr>
      </w:pPr>
      <w:r w:rsidRPr="00690AD9">
        <w:rPr>
          <w:rFonts w:ascii="Arial" w:hAnsi="Arial" w:cs="Arial"/>
          <w:noProof/>
          <w:szCs w:val="24"/>
        </w:rPr>
        <w:drawing>
          <wp:inline distT="0" distB="0" distL="0" distR="0" wp14:anchorId="59EE7EF0" wp14:editId="225D25F0">
            <wp:extent cx="5731510" cy="2080260"/>
            <wp:effectExtent l="0" t="0" r="2540" b="0"/>
            <wp:docPr id="3885592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559211" name="Picture 1" descr="A screenshot of a computer&#10;&#10;AI-generated content may be incorrect."/>
                    <pic:cNvPicPr/>
                  </pic:nvPicPr>
                  <pic:blipFill>
                    <a:blip r:embed="rId14"/>
                    <a:stretch>
                      <a:fillRect/>
                    </a:stretch>
                  </pic:blipFill>
                  <pic:spPr>
                    <a:xfrm>
                      <a:off x="0" y="0"/>
                      <a:ext cx="5731510" cy="2080260"/>
                    </a:xfrm>
                    <a:prstGeom prst="rect">
                      <a:avLst/>
                    </a:prstGeom>
                  </pic:spPr>
                </pic:pic>
              </a:graphicData>
            </a:graphic>
          </wp:inline>
        </w:drawing>
      </w:r>
    </w:p>
    <w:p w14:paraId="166F2A2B" w14:textId="77777777" w:rsidR="009238F3" w:rsidRDefault="009238F3" w:rsidP="009238F3">
      <w:pPr>
        <w:rPr>
          <w:rFonts w:ascii="Arial" w:hAnsi="Arial" w:cs="Arial"/>
          <w:szCs w:val="24"/>
        </w:rPr>
      </w:pPr>
    </w:p>
    <w:p w14:paraId="1698D0E9" w14:textId="72960FAC" w:rsidR="00686DD9" w:rsidRDefault="00686DD9" w:rsidP="009238F3">
      <w:pPr>
        <w:rPr>
          <w:rFonts w:ascii="Arial" w:hAnsi="Arial" w:cs="Arial"/>
          <w:szCs w:val="24"/>
        </w:rPr>
      </w:pPr>
      <w:r w:rsidRPr="00686DD9">
        <w:rPr>
          <w:rFonts w:ascii="Arial" w:hAnsi="Arial" w:cs="Arial"/>
          <w:noProof/>
          <w:szCs w:val="24"/>
        </w:rPr>
        <w:drawing>
          <wp:inline distT="0" distB="0" distL="0" distR="0" wp14:anchorId="01E41DF8" wp14:editId="3287AF37">
            <wp:extent cx="5731510" cy="2255520"/>
            <wp:effectExtent l="0" t="0" r="2540" b="0"/>
            <wp:docPr id="175395893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58937" name="Picture 1" descr="A white background with black text&#10;&#10;AI-generated content may be incorrect."/>
                    <pic:cNvPicPr/>
                  </pic:nvPicPr>
                  <pic:blipFill>
                    <a:blip r:embed="rId15"/>
                    <a:stretch>
                      <a:fillRect/>
                    </a:stretch>
                  </pic:blipFill>
                  <pic:spPr>
                    <a:xfrm>
                      <a:off x="0" y="0"/>
                      <a:ext cx="5731510" cy="2255520"/>
                    </a:xfrm>
                    <a:prstGeom prst="rect">
                      <a:avLst/>
                    </a:prstGeom>
                  </pic:spPr>
                </pic:pic>
              </a:graphicData>
            </a:graphic>
          </wp:inline>
        </w:drawing>
      </w:r>
    </w:p>
    <w:p w14:paraId="5B61A1D4" w14:textId="77777777" w:rsidR="003C081A" w:rsidRDefault="003C081A" w:rsidP="00C46D99">
      <w:pPr>
        <w:pStyle w:val="Heading2"/>
      </w:pPr>
      <w:bookmarkStart w:id="12" w:name="_Toc213457102"/>
      <w:bookmarkStart w:id="13" w:name="_Toc213457163"/>
      <w:bookmarkStart w:id="14" w:name="_Toc213457832"/>
    </w:p>
    <w:p w14:paraId="4D3D4238" w14:textId="070163E3" w:rsidR="009238F3" w:rsidRDefault="009238F3" w:rsidP="00C46D99">
      <w:pPr>
        <w:pStyle w:val="Heading2"/>
      </w:pPr>
      <w:r w:rsidRPr="004370FE">
        <w:t>Task 4- Unit 4</w:t>
      </w:r>
      <w:r w:rsidR="004370FE" w:rsidRPr="004370FE">
        <w:t>: Career Role Model</w:t>
      </w:r>
      <w:r w:rsidR="004370FE">
        <w:t>s</w:t>
      </w:r>
      <w:bookmarkEnd w:id="12"/>
      <w:bookmarkEnd w:id="13"/>
      <w:bookmarkEnd w:id="14"/>
    </w:p>
    <w:p w14:paraId="3429127B" w14:textId="50D2133C" w:rsidR="00391D41" w:rsidRPr="003C0058" w:rsidRDefault="00391D41" w:rsidP="004E2B41">
      <w:pPr>
        <w:spacing w:line="360" w:lineRule="auto"/>
        <w:jc w:val="both"/>
        <w:rPr>
          <w:rFonts w:ascii="Arial" w:hAnsi="Arial" w:cs="Arial"/>
          <w:sz w:val="22"/>
        </w:rPr>
      </w:pPr>
      <w:r w:rsidRPr="003C0058">
        <w:rPr>
          <w:rFonts w:ascii="Arial" w:hAnsi="Arial" w:cs="Arial"/>
          <w:sz w:val="22"/>
        </w:rPr>
        <w:t xml:space="preserve">Career role models in health and social care are professionals whose behaviours, skills, and values exemplify best practices, motivating others to emulate their </w:t>
      </w:r>
      <w:r w:rsidR="003C081A" w:rsidRPr="003C0058">
        <w:rPr>
          <w:rFonts w:ascii="Arial" w:hAnsi="Arial" w:cs="Arial"/>
          <w:sz w:val="22"/>
        </w:rPr>
        <w:t>patient-centred</w:t>
      </w:r>
      <w:r w:rsidRPr="003C0058">
        <w:rPr>
          <w:rFonts w:ascii="Arial" w:hAnsi="Arial" w:cs="Arial"/>
          <w:sz w:val="22"/>
        </w:rPr>
        <w:t xml:space="preserve"> approaches (Colombo et al., 2019). Studying UK career role models has provided valuable insights into the competencies and ethical standards vital for effective practice. Bandura’s Social Learning Theory (1977) offers a useful framework, suggesting that individuals learn behaviours and attitudes by observing others, particularly those they admire. In health and social care, observing role models not only teaches optimal practices but also inspires the adoption of positive behaviours essential for compassionate and competent care.</w:t>
      </w:r>
    </w:p>
    <w:p w14:paraId="26B6D5E6" w14:textId="6D5BE4E2" w:rsidR="00391D41" w:rsidRPr="00913016" w:rsidRDefault="00391D41" w:rsidP="004E2B41">
      <w:pPr>
        <w:spacing w:line="360" w:lineRule="auto"/>
        <w:jc w:val="both"/>
        <w:rPr>
          <w:rFonts w:ascii="Arial" w:hAnsi="Arial" w:cs="Arial"/>
          <w:sz w:val="22"/>
        </w:rPr>
      </w:pPr>
      <w:r w:rsidRPr="003C0058">
        <w:rPr>
          <w:rFonts w:ascii="Arial" w:hAnsi="Arial" w:cs="Arial"/>
          <w:sz w:val="22"/>
        </w:rPr>
        <w:t xml:space="preserve">Role models </w:t>
      </w:r>
      <w:r w:rsidR="001C51C1" w:rsidRPr="003C0058">
        <w:rPr>
          <w:rFonts w:ascii="Arial" w:hAnsi="Arial" w:cs="Arial"/>
          <w:sz w:val="22"/>
        </w:rPr>
        <w:t xml:space="preserve">have a vital impact on skill </w:t>
      </w:r>
      <w:r w:rsidR="007F1BDC" w:rsidRPr="003C0058">
        <w:rPr>
          <w:rFonts w:ascii="Arial" w:hAnsi="Arial" w:cs="Arial"/>
          <w:sz w:val="22"/>
        </w:rPr>
        <w:t>adva</w:t>
      </w:r>
      <w:r w:rsidR="00820879" w:rsidRPr="003C0058">
        <w:rPr>
          <w:rFonts w:ascii="Arial" w:hAnsi="Arial" w:cs="Arial"/>
          <w:sz w:val="22"/>
        </w:rPr>
        <w:t>nce</w:t>
      </w:r>
      <w:r w:rsidRPr="003C0058">
        <w:rPr>
          <w:rFonts w:ascii="Arial" w:hAnsi="Arial" w:cs="Arial"/>
          <w:sz w:val="22"/>
        </w:rPr>
        <w:t>ment by demonstrating the practical application of theoretical knowledge. For example, witnessing a nurse’s effective communication with patients can enhance one’s interpersonal abilities (Pakkanen et al., 2024). They also provide ethical guidance, highlighting the importance of maintaining confidentiality</w:t>
      </w:r>
      <w:r w:rsidRPr="00391D41">
        <w:t xml:space="preserve"> </w:t>
      </w:r>
      <w:r w:rsidRPr="00913016">
        <w:rPr>
          <w:rFonts w:ascii="Arial" w:hAnsi="Arial" w:cs="Arial"/>
          <w:sz w:val="22"/>
        </w:rPr>
        <w:t>and advocating for patients’ rights. Furthermore, observing the achievements and career paths of respected professionals can inspire ambition and motivate individuals to set and pursue higher career goals. Engaging with role models also helps shape a strong professional identity, fostering a sense of belonging and purpose within the field.</w:t>
      </w:r>
    </w:p>
    <w:p w14:paraId="4F3898EB" w14:textId="0A50181A" w:rsidR="00391D41" w:rsidRPr="00913016" w:rsidRDefault="004F571F" w:rsidP="00525B5E">
      <w:pPr>
        <w:spacing w:line="360" w:lineRule="auto"/>
        <w:jc w:val="both"/>
        <w:rPr>
          <w:rFonts w:ascii="Arial" w:hAnsi="Arial" w:cs="Arial"/>
          <w:sz w:val="22"/>
        </w:rPr>
      </w:pPr>
      <w:r w:rsidRPr="00913016">
        <w:rPr>
          <w:rFonts w:ascii="Arial" w:hAnsi="Arial" w:cs="Arial"/>
          <w:sz w:val="22"/>
        </w:rPr>
        <w:t>However, there are potential drawbacks. Relying too heavily on role models may create unrealistic expectations or idealisation, often overshadowing the importance of personal growth and self-critical reflection. If a role model exhibits poor practice, there is a risk that these negative behaviours could be imitated. Moreover, a lack of diversity among role models can impede inclusion, making it more difficult for individuals from different backgrounds to see themselves within the profession.</w:t>
      </w:r>
    </w:p>
    <w:p w14:paraId="494F4A55" w14:textId="77777777" w:rsidR="00391D41" w:rsidRPr="00913016" w:rsidRDefault="00391D41" w:rsidP="00525B5E">
      <w:pPr>
        <w:spacing w:line="360" w:lineRule="auto"/>
        <w:jc w:val="both"/>
        <w:rPr>
          <w:rFonts w:ascii="Arial" w:hAnsi="Arial" w:cs="Arial"/>
          <w:sz w:val="22"/>
        </w:rPr>
      </w:pPr>
      <w:r w:rsidRPr="00913016">
        <w:rPr>
          <w:rFonts w:ascii="Arial" w:hAnsi="Arial" w:cs="Arial"/>
          <w:sz w:val="22"/>
        </w:rPr>
        <w:t>For instance, a senior social worker who advocates for vulnerable children and shows resilience in challenging situations serves as a positive role model, encouraging newer practitioners to value advocacy and emotional intelligence. Conversely, observing professionals experiencing burnout or ethical lapses underscores the need for self-care and ongoing development.</w:t>
      </w:r>
    </w:p>
    <w:p w14:paraId="01E38C5A" w14:textId="77777777" w:rsidR="00391D41" w:rsidRPr="00913016" w:rsidRDefault="00391D41" w:rsidP="00525B5E">
      <w:pPr>
        <w:spacing w:line="360" w:lineRule="auto"/>
        <w:jc w:val="both"/>
        <w:rPr>
          <w:rFonts w:ascii="Arial" w:hAnsi="Arial" w:cs="Arial"/>
          <w:sz w:val="22"/>
        </w:rPr>
      </w:pPr>
      <w:r w:rsidRPr="00913016">
        <w:rPr>
          <w:rFonts w:ascii="Arial" w:hAnsi="Arial" w:cs="Arial"/>
          <w:sz w:val="22"/>
        </w:rPr>
        <w:t xml:space="preserve">Reflecting on the actions and experiences of role models has deepened my understanding of leadership, communication, and ethical conduct in real-world settings. These observations have clarified the skills required in health and social care and provided direction for my own professional growth. Analysing UK career role models through the lens of Social Learning Theory has emphasised the importance of observational learning and critical reflection, forming a strong basis for my continued development as a reflective, ethical, and motivated practitioner (Deniz Dirik and </w:t>
      </w:r>
      <w:proofErr w:type="spellStart"/>
      <w:r w:rsidRPr="00913016">
        <w:rPr>
          <w:rFonts w:ascii="Arial" w:hAnsi="Arial" w:cs="Arial"/>
          <w:sz w:val="22"/>
        </w:rPr>
        <w:t>İnan</w:t>
      </w:r>
      <w:proofErr w:type="spellEnd"/>
      <w:r w:rsidRPr="00913016">
        <w:rPr>
          <w:rFonts w:ascii="Arial" w:hAnsi="Arial" w:cs="Arial"/>
          <w:sz w:val="22"/>
        </w:rPr>
        <w:t xml:space="preserve"> Eryılmaz, 2024).</w:t>
      </w:r>
    </w:p>
    <w:p w14:paraId="7CAA8E5C" w14:textId="77777777" w:rsidR="00D729D5" w:rsidRPr="00D729D5" w:rsidRDefault="00D729D5" w:rsidP="00D729D5"/>
    <w:p w14:paraId="47CBB6C7" w14:textId="77777777" w:rsidR="009668BC" w:rsidRDefault="009668BC" w:rsidP="00663C23">
      <w:pPr>
        <w:rPr>
          <w:rFonts w:ascii="Arial" w:hAnsi="Arial" w:cs="Arial"/>
          <w:szCs w:val="24"/>
        </w:rPr>
      </w:pPr>
    </w:p>
    <w:p w14:paraId="2D7059A2" w14:textId="48D77878" w:rsidR="005D60D2" w:rsidRDefault="0008528F" w:rsidP="00663C23">
      <w:pPr>
        <w:rPr>
          <w:rFonts w:ascii="Arial" w:hAnsi="Arial" w:cs="Arial"/>
          <w:b/>
          <w:bCs/>
          <w:szCs w:val="24"/>
        </w:rPr>
      </w:pPr>
      <w:r w:rsidRPr="0008528F">
        <w:rPr>
          <w:rFonts w:ascii="Arial" w:hAnsi="Arial" w:cs="Arial"/>
          <w:noProof/>
          <w:szCs w:val="24"/>
        </w:rPr>
        <w:drawing>
          <wp:inline distT="0" distB="0" distL="0" distR="0" wp14:anchorId="0A86F4D7" wp14:editId="37E7A08B">
            <wp:extent cx="5318760" cy="2074545"/>
            <wp:effectExtent l="0" t="0" r="0" b="1905"/>
            <wp:docPr id="796974734"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74734" name="Picture 1" descr="A close-up of a text&#10;&#10;AI-generated content may be incorrect."/>
                    <pic:cNvPicPr/>
                  </pic:nvPicPr>
                  <pic:blipFill>
                    <a:blip r:embed="rId16"/>
                    <a:stretch>
                      <a:fillRect/>
                    </a:stretch>
                  </pic:blipFill>
                  <pic:spPr>
                    <a:xfrm>
                      <a:off x="0" y="0"/>
                      <a:ext cx="5384863" cy="2100328"/>
                    </a:xfrm>
                    <a:prstGeom prst="rect">
                      <a:avLst/>
                    </a:prstGeom>
                  </pic:spPr>
                </pic:pic>
              </a:graphicData>
            </a:graphic>
          </wp:inline>
        </w:drawing>
      </w:r>
      <w:r w:rsidR="00663C23" w:rsidRPr="00663C23">
        <w:rPr>
          <w:rFonts w:ascii="Arial" w:hAnsi="Arial" w:cs="Arial"/>
          <w:szCs w:val="24"/>
        </w:rPr>
        <w:br/>
      </w:r>
      <w:r w:rsidR="00663C23" w:rsidRPr="00663C23">
        <w:rPr>
          <w:rFonts w:ascii="Arial" w:hAnsi="Arial" w:cs="Arial"/>
          <w:szCs w:val="24"/>
        </w:rPr>
        <w:br/>
      </w:r>
      <w:r w:rsidR="005D60D2" w:rsidRPr="005D60D2">
        <w:rPr>
          <w:rFonts w:ascii="Arial" w:hAnsi="Arial" w:cs="Arial"/>
          <w:b/>
          <w:bCs/>
          <w:noProof/>
          <w:szCs w:val="24"/>
        </w:rPr>
        <w:drawing>
          <wp:inline distT="0" distB="0" distL="0" distR="0" wp14:anchorId="0D3574EE" wp14:editId="321C7920">
            <wp:extent cx="5731510" cy="1912620"/>
            <wp:effectExtent l="0" t="0" r="2540" b="0"/>
            <wp:docPr id="166573758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737586" name="Picture 1" descr="A white background with black text&#10;&#10;AI-generated content may be incorrect."/>
                    <pic:cNvPicPr/>
                  </pic:nvPicPr>
                  <pic:blipFill>
                    <a:blip r:embed="rId17"/>
                    <a:stretch>
                      <a:fillRect/>
                    </a:stretch>
                  </pic:blipFill>
                  <pic:spPr>
                    <a:xfrm>
                      <a:off x="0" y="0"/>
                      <a:ext cx="5731510" cy="1912620"/>
                    </a:xfrm>
                    <a:prstGeom prst="rect">
                      <a:avLst/>
                    </a:prstGeom>
                  </pic:spPr>
                </pic:pic>
              </a:graphicData>
            </a:graphic>
          </wp:inline>
        </w:drawing>
      </w:r>
    </w:p>
    <w:p w14:paraId="7FA82078" w14:textId="77777777" w:rsidR="005D60D2" w:rsidRDefault="005D60D2" w:rsidP="00663C23">
      <w:pPr>
        <w:rPr>
          <w:rFonts w:ascii="Arial" w:hAnsi="Arial" w:cs="Arial"/>
          <w:b/>
          <w:bCs/>
          <w:szCs w:val="24"/>
        </w:rPr>
      </w:pPr>
    </w:p>
    <w:p w14:paraId="4A91A45F" w14:textId="77777777" w:rsidR="005D60D2" w:rsidRDefault="005D60D2" w:rsidP="00663C23">
      <w:pPr>
        <w:rPr>
          <w:rFonts w:ascii="Arial" w:hAnsi="Arial" w:cs="Arial"/>
          <w:b/>
          <w:bCs/>
          <w:szCs w:val="24"/>
        </w:rPr>
      </w:pPr>
    </w:p>
    <w:p w14:paraId="06E66BA5" w14:textId="510D7E71" w:rsidR="007762AC" w:rsidRDefault="00663C23" w:rsidP="00D729D5">
      <w:r w:rsidRPr="00FB4934">
        <w:rPr>
          <w:rFonts w:ascii="Arial" w:hAnsi="Arial" w:cs="Arial"/>
          <w:b/>
          <w:bCs/>
          <w:szCs w:val="24"/>
        </w:rPr>
        <w:br/>
      </w:r>
      <w:bookmarkStart w:id="15" w:name="_Toc213457833"/>
    </w:p>
    <w:p w14:paraId="65660AD6" w14:textId="01A7369A" w:rsidR="00A84074" w:rsidRPr="00A84074" w:rsidRDefault="00A84074" w:rsidP="00512E27">
      <w:pPr>
        <w:pStyle w:val="Heading2"/>
      </w:pPr>
      <w:r w:rsidRPr="00A84074">
        <w:t>Conclusion</w:t>
      </w:r>
      <w:bookmarkEnd w:id="15"/>
    </w:p>
    <w:p w14:paraId="0F3ACEC5" w14:textId="7983BE1A" w:rsidR="00A84074" w:rsidRPr="009A3B18" w:rsidRDefault="00EB0D96" w:rsidP="00BB1A31">
      <w:pPr>
        <w:spacing w:line="360" w:lineRule="auto"/>
        <w:jc w:val="both"/>
        <w:rPr>
          <w:rFonts w:ascii="Arial" w:hAnsi="Arial" w:cs="Arial"/>
          <w:sz w:val="22"/>
        </w:rPr>
      </w:pPr>
      <w:r w:rsidRPr="009A3B18">
        <w:rPr>
          <w:rFonts w:ascii="Arial" w:hAnsi="Arial" w:cs="Arial"/>
          <w:sz w:val="22"/>
        </w:rPr>
        <w:t>Strategic goal-setting and proactive networking are vital for professional advancement in health and social care in the UK. Setting clear and achievable goals helps professionals maintain their focus and motivation. Moreover, building connections with colleagues and mentors can reveal new job opportunities. Networking not only broadens one’s professional network but also grants access to valuable resources and insider information, which may lead to opportunities that are not widely advertised. Additionally, having professional role models provides guidance, inspiration, and practical advice that help individuals navigate the complexities of the field and realise their ambitions. Collectively, these strategies empower individuals to take control of their professional development and adapt to the continuously changing demands of health care.</w:t>
      </w:r>
      <w:r w:rsidR="00B314AC" w:rsidRPr="009A3B18">
        <w:rPr>
          <w:rFonts w:ascii="Arial" w:hAnsi="Arial" w:cs="Arial"/>
          <w:sz w:val="22"/>
        </w:rPr>
        <w:t xml:space="preserve"> </w:t>
      </w:r>
      <w:r w:rsidRPr="009A3B18">
        <w:rPr>
          <w:rFonts w:ascii="Arial" w:hAnsi="Arial" w:cs="Arial"/>
          <w:sz w:val="22"/>
        </w:rPr>
        <w:t>cultivating professional relationships and learning from experienced leaders are essential for personal and professional growth in this sector.</w:t>
      </w:r>
    </w:p>
    <w:p w14:paraId="29332181" w14:textId="2BA5AFF2" w:rsidR="00A377F4" w:rsidRPr="009A3B18" w:rsidRDefault="00006F12" w:rsidP="009A3B18">
      <w:pPr>
        <w:spacing w:line="360" w:lineRule="auto"/>
        <w:jc w:val="both"/>
        <w:rPr>
          <w:rFonts w:ascii="Arial" w:hAnsi="Arial" w:cs="Arial"/>
          <w:sz w:val="22"/>
        </w:rPr>
      </w:pPr>
      <w:r w:rsidRPr="009A3B18">
        <w:rPr>
          <w:rFonts w:ascii="Arial" w:hAnsi="Arial" w:cs="Arial"/>
          <w:sz w:val="22"/>
        </w:rPr>
        <w:t xml:space="preserve">Key actions I have taken </w:t>
      </w:r>
      <w:proofErr w:type="gramStart"/>
      <w:r w:rsidRPr="009A3B18">
        <w:rPr>
          <w:rFonts w:ascii="Arial" w:hAnsi="Arial" w:cs="Arial"/>
          <w:sz w:val="22"/>
        </w:rPr>
        <w:t>as a result of</w:t>
      </w:r>
      <w:proofErr w:type="gramEnd"/>
      <w:r w:rsidRPr="009A3B18">
        <w:rPr>
          <w:rFonts w:ascii="Arial" w:hAnsi="Arial" w:cs="Arial"/>
          <w:sz w:val="22"/>
        </w:rPr>
        <w:t xml:space="preserve"> the course material and unit </w:t>
      </w:r>
      <w:r w:rsidR="00061E48" w:rsidRPr="009A3B18">
        <w:rPr>
          <w:rFonts w:ascii="Arial" w:hAnsi="Arial" w:cs="Arial"/>
          <w:sz w:val="22"/>
        </w:rPr>
        <w:t>learning include engaging in relevant training, broadening my professional network on LinkedIn, and participating in health-sector job fairs</w:t>
      </w:r>
      <w:r w:rsidR="00A377F4" w:rsidRPr="009A3B18">
        <w:rPr>
          <w:rFonts w:ascii="Arial" w:hAnsi="Arial" w:cs="Arial"/>
          <w:sz w:val="22"/>
        </w:rPr>
        <w:t>. I used job search tactics such as customised applications and took inspiration from NHS executives, refining my approach to opportunities in health and social care</w:t>
      </w:r>
      <w:r w:rsidR="00C80BC9" w:rsidRPr="009A3B18">
        <w:rPr>
          <w:rFonts w:ascii="Arial" w:hAnsi="Arial" w:cs="Arial"/>
          <w:sz w:val="22"/>
        </w:rPr>
        <w:t>.</w:t>
      </w:r>
    </w:p>
    <w:p w14:paraId="353906EA" w14:textId="299914A0" w:rsidR="00B87603" w:rsidRPr="009A3B18" w:rsidRDefault="00B87603" w:rsidP="00EB0D96">
      <w:pPr>
        <w:rPr>
          <w:rFonts w:ascii="Arial" w:hAnsi="Arial" w:cs="Arial"/>
          <w:sz w:val="22"/>
        </w:rPr>
      </w:pPr>
    </w:p>
    <w:p w14:paraId="4D3440A7" w14:textId="77777777" w:rsidR="00A84074" w:rsidRDefault="00A84074" w:rsidP="00EB0D96">
      <w:pPr>
        <w:rPr>
          <w:rFonts w:ascii="Arial" w:hAnsi="Arial" w:cs="Arial"/>
          <w:szCs w:val="24"/>
        </w:rPr>
      </w:pPr>
    </w:p>
    <w:p w14:paraId="09D8DC59" w14:textId="77777777" w:rsidR="00A84074" w:rsidRDefault="00A84074" w:rsidP="00EB0D96">
      <w:pPr>
        <w:rPr>
          <w:rFonts w:ascii="Arial" w:hAnsi="Arial" w:cs="Arial"/>
          <w:szCs w:val="24"/>
        </w:rPr>
      </w:pPr>
    </w:p>
    <w:p w14:paraId="4C068818" w14:textId="77777777" w:rsidR="00A84074" w:rsidRDefault="00A84074" w:rsidP="00EB0D96">
      <w:pPr>
        <w:rPr>
          <w:rFonts w:ascii="Arial" w:hAnsi="Arial" w:cs="Arial"/>
          <w:szCs w:val="24"/>
        </w:rPr>
      </w:pPr>
    </w:p>
    <w:p w14:paraId="5BE3F961" w14:textId="77777777" w:rsidR="00A84074" w:rsidRDefault="00A84074" w:rsidP="00EB0D96">
      <w:pPr>
        <w:rPr>
          <w:rFonts w:ascii="Arial" w:hAnsi="Arial" w:cs="Arial"/>
          <w:szCs w:val="24"/>
        </w:rPr>
      </w:pPr>
    </w:p>
    <w:p w14:paraId="43066C3A" w14:textId="77777777" w:rsidR="00A84074" w:rsidRDefault="00A84074" w:rsidP="00EB0D96">
      <w:pPr>
        <w:rPr>
          <w:rFonts w:ascii="Arial" w:hAnsi="Arial" w:cs="Arial"/>
          <w:szCs w:val="24"/>
        </w:rPr>
      </w:pPr>
    </w:p>
    <w:p w14:paraId="1714A102" w14:textId="77777777" w:rsidR="00A84074" w:rsidRDefault="00A84074" w:rsidP="00EB0D96">
      <w:pPr>
        <w:rPr>
          <w:rFonts w:ascii="Arial" w:hAnsi="Arial" w:cs="Arial"/>
          <w:szCs w:val="24"/>
        </w:rPr>
      </w:pPr>
    </w:p>
    <w:p w14:paraId="5752B4C0" w14:textId="77777777" w:rsidR="00A84074" w:rsidRDefault="00A84074" w:rsidP="00EB0D96">
      <w:pPr>
        <w:rPr>
          <w:rFonts w:ascii="Arial" w:hAnsi="Arial" w:cs="Arial"/>
          <w:szCs w:val="24"/>
        </w:rPr>
      </w:pPr>
    </w:p>
    <w:p w14:paraId="11D207FB" w14:textId="77777777" w:rsidR="00A84074" w:rsidRDefault="00A84074" w:rsidP="00EB0D96">
      <w:pPr>
        <w:rPr>
          <w:rFonts w:ascii="Arial" w:hAnsi="Arial" w:cs="Arial"/>
          <w:szCs w:val="24"/>
        </w:rPr>
      </w:pPr>
    </w:p>
    <w:p w14:paraId="38A507FC" w14:textId="77777777" w:rsidR="00A84074" w:rsidRDefault="00A84074" w:rsidP="00EB0D96">
      <w:pPr>
        <w:rPr>
          <w:rFonts w:ascii="Arial" w:hAnsi="Arial" w:cs="Arial"/>
          <w:szCs w:val="24"/>
        </w:rPr>
      </w:pPr>
    </w:p>
    <w:p w14:paraId="06BCF2FA" w14:textId="3BED4CFC" w:rsidR="00EB0D96" w:rsidRDefault="00512E27" w:rsidP="00C611B4">
      <w:pPr>
        <w:pStyle w:val="Heading2"/>
      </w:pPr>
      <w:bookmarkStart w:id="16" w:name="_Toc213457834"/>
      <w:r w:rsidRPr="00512E27">
        <w:t>Reference</w:t>
      </w:r>
      <w:bookmarkEnd w:id="16"/>
      <w:r w:rsidR="00EB0D96" w:rsidRPr="00EB0D96">
        <w:t xml:space="preserve"> </w:t>
      </w:r>
    </w:p>
    <w:p w14:paraId="7876118C" w14:textId="77777777" w:rsidR="006E67F5" w:rsidRDefault="006E67F5" w:rsidP="00C913A8"/>
    <w:p w14:paraId="6D715C02" w14:textId="5687F54E" w:rsidR="006E67F5" w:rsidRPr="00550A67" w:rsidRDefault="007635CE" w:rsidP="00BB57EB">
      <w:pPr>
        <w:spacing w:line="360" w:lineRule="auto"/>
        <w:jc w:val="both"/>
        <w:rPr>
          <w:rFonts w:ascii="Arial" w:hAnsi="Arial" w:cs="Arial"/>
          <w:sz w:val="22"/>
        </w:rPr>
      </w:pPr>
      <w:r w:rsidRPr="00550A67">
        <w:rPr>
          <w:rFonts w:ascii="Arial" w:hAnsi="Arial" w:cs="Arial"/>
          <w:color w:val="222222"/>
          <w:sz w:val="22"/>
          <w:shd w:val="clear" w:color="auto" w:fill="FFFFFF"/>
        </w:rPr>
        <w:t>Bandura, A. and Walters, R.H., 1977. </w:t>
      </w:r>
      <w:r w:rsidRPr="00550A67">
        <w:rPr>
          <w:rFonts w:ascii="Arial" w:hAnsi="Arial" w:cs="Arial"/>
          <w:i/>
          <w:iCs/>
          <w:color w:val="222222"/>
          <w:sz w:val="22"/>
          <w:shd w:val="clear" w:color="auto" w:fill="FFFFFF"/>
        </w:rPr>
        <w:t>Social learning theory</w:t>
      </w:r>
      <w:r w:rsidRPr="00550A67">
        <w:rPr>
          <w:rFonts w:ascii="Arial" w:hAnsi="Arial" w:cs="Arial"/>
          <w:color w:val="222222"/>
          <w:sz w:val="22"/>
          <w:shd w:val="clear" w:color="auto" w:fill="FFFFFF"/>
        </w:rPr>
        <w:t xml:space="preserve"> (Vol. 1, pp. 141-154). Englewood Cliffs, NJ: Prentice Hall. Available at: </w:t>
      </w:r>
      <w:hyperlink r:id="rId18" w:history="1">
        <w:r w:rsidR="00FF5BC9" w:rsidRPr="00550A67">
          <w:rPr>
            <w:rFonts w:ascii="Arial" w:hAnsi="Arial" w:cs="Arial"/>
            <w:color w:val="0000FF"/>
            <w:sz w:val="22"/>
            <w:u w:val="single"/>
          </w:rPr>
          <w:t>Bandura’s Social Learning Theory (1977) - Google Scholar</w:t>
        </w:r>
      </w:hyperlink>
      <w:r w:rsidR="00FF5BC9" w:rsidRPr="00550A67">
        <w:rPr>
          <w:rFonts w:ascii="Arial" w:hAnsi="Arial" w:cs="Arial"/>
          <w:sz w:val="22"/>
        </w:rPr>
        <w:t xml:space="preserve"> </w:t>
      </w:r>
      <w:r w:rsidR="00783F5A" w:rsidRPr="00550A67">
        <w:rPr>
          <w:rFonts w:ascii="Arial" w:hAnsi="Arial" w:cs="Arial"/>
          <w:sz w:val="22"/>
        </w:rPr>
        <w:t>(Accessed: 24 November 2025).</w:t>
      </w:r>
      <w:r w:rsidRPr="00550A67">
        <w:rPr>
          <w:rFonts w:ascii="Arial" w:hAnsi="Arial" w:cs="Arial"/>
          <w:color w:val="222222"/>
          <w:sz w:val="22"/>
          <w:shd w:val="clear" w:color="auto" w:fill="FFFFFF"/>
        </w:rPr>
        <w:t xml:space="preserve"> </w:t>
      </w:r>
    </w:p>
    <w:p w14:paraId="38163909" w14:textId="51F02915" w:rsidR="00096F47" w:rsidRPr="00550A67" w:rsidRDefault="00096F47" w:rsidP="00BB57EB">
      <w:pPr>
        <w:spacing w:after="0" w:line="360" w:lineRule="auto"/>
        <w:jc w:val="both"/>
        <w:rPr>
          <w:rFonts w:ascii="Arial" w:eastAsia="Times New Roman" w:hAnsi="Arial" w:cs="Arial"/>
          <w:sz w:val="22"/>
          <w:lang w:eastAsia="en-GB"/>
        </w:rPr>
      </w:pPr>
      <w:r w:rsidRPr="00550A67">
        <w:rPr>
          <w:rFonts w:ascii="Arial" w:eastAsia="Times New Roman" w:hAnsi="Arial" w:cs="Arial"/>
          <w:sz w:val="22"/>
          <w:lang w:eastAsia="en-GB"/>
        </w:rPr>
        <w:t xml:space="preserve">Bjerke, M.B. and Renger, R. (2017) ‘Being smart about writing SMART objectives’, </w:t>
      </w:r>
      <w:r w:rsidRPr="00550A67">
        <w:rPr>
          <w:rFonts w:ascii="Arial" w:eastAsia="Times New Roman" w:hAnsi="Arial" w:cs="Arial"/>
          <w:i/>
          <w:iCs/>
          <w:sz w:val="22"/>
          <w:lang w:eastAsia="en-GB"/>
        </w:rPr>
        <w:t>Evaluation and program planning</w:t>
      </w:r>
      <w:r w:rsidRPr="00550A67">
        <w:rPr>
          <w:rFonts w:ascii="Arial" w:eastAsia="Times New Roman" w:hAnsi="Arial" w:cs="Arial"/>
          <w:sz w:val="22"/>
          <w:lang w:eastAsia="en-GB"/>
        </w:rPr>
        <w:t xml:space="preserve">, 61, pp. 125–127. Available at: </w:t>
      </w:r>
      <w:hyperlink r:id="rId19" w:history="1">
        <w:r w:rsidRPr="00550A67">
          <w:rPr>
            <w:rStyle w:val="Hyperlink"/>
            <w:rFonts w:ascii="Arial" w:eastAsia="Times New Roman" w:hAnsi="Arial" w:cs="Arial"/>
            <w:sz w:val="22"/>
            <w:lang w:eastAsia="en-GB"/>
          </w:rPr>
          <w:t>https://doi.org/10.1016/j.evalprogplan.2016.12.009</w:t>
        </w:r>
      </w:hyperlink>
      <w:r w:rsidRPr="00550A67">
        <w:rPr>
          <w:rFonts w:ascii="Arial" w:eastAsia="Times New Roman" w:hAnsi="Arial" w:cs="Arial"/>
          <w:sz w:val="22"/>
          <w:lang w:eastAsia="en-GB"/>
        </w:rPr>
        <w:t xml:space="preserve">. </w:t>
      </w:r>
      <w:r w:rsidR="00090916" w:rsidRPr="00550A67">
        <w:rPr>
          <w:rFonts w:ascii="Arial" w:eastAsia="Times New Roman" w:hAnsi="Arial" w:cs="Arial"/>
          <w:sz w:val="22"/>
          <w:lang w:eastAsia="en-GB"/>
        </w:rPr>
        <w:t>(Accessed: 13 November 2025</w:t>
      </w:r>
      <w:r w:rsidR="00B154A7" w:rsidRPr="00550A67">
        <w:rPr>
          <w:rFonts w:ascii="Arial" w:eastAsia="Times New Roman" w:hAnsi="Arial" w:cs="Arial"/>
          <w:sz w:val="22"/>
          <w:lang w:eastAsia="en-GB"/>
        </w:rPr>
        <w:t>).</w:t>
      </w:r>
    </w:p>
    <w:p w14:paraId="5E6A11DB" w14:textId="77777777" w:rsidR="00096F47" w:rsidRPr="00550A67" w:rsidRDefault="00096F47" w:rsidP="00BB57EB">
      <w:pPr>
        <w:spacing w:after="0" w:line="360" w:lineRule="auto"/>
        <w:jc w:val="both"/>
        <w:rPr>
          <w:rFonts w:ascii="Arial" w:eastAsia="Times New Roman" w:hAnsi="Arial" w:cs="Arial"/>
          <w:sz w:val="22"/>
          <w:lang w:eastAsia="en-GB"/>
        </w:rPr>
      </w:pPr>
    </w:p>
    <w:p w14:paraId="7987A87B" w14:textId="36A476B0" w:rsidR="00733581" w:rsidRPr="00550A67" w:rsidRDefault="00733581" w:rsidP="00BB57EB">
      <w:pPr>
        <w:spacing w:after="0" w:line="360" w:lineRule="auto"/>
        <w:jc w:val="both"/>
        <w:rPr>
          <w:rFonts w:ascii="Arial" w:eastAsia="Times New Roman" w:hAnsi="Arial" w:cs="Arial"/>
          <w:sz w:val="22"/>
          <w:lang w:eastAsia="en-GB"/>
        </w:rPr>
      </w:pPr>
      <w:proofErr w:type="spellStart"/>
      <w:r w:rsidRPr="00550A67">
        <w:rPr>
          <w:rFonts w:ascii="Arial" w:eastAsia="Times New Roman" w:hAnsi="Arial" w:cs="Arial"/>
          <w:sz w:val="22"/>
          <w:lang w:eastAsia="en-GB"/>
        </w:rPr>
        <w:t>Bovend’Eerdt</w:t>
      </w:r>
      <w:proofErr w:type="spellEnd"/>
      <w:r w:rsidRPr="00550A67">
        <w:rPr>
          <w:rFonts w:ascii="Arial" w:eastAsia="Times New Roman" w:hAnsi="Arial" w:cs="Arial"/>
          <w:sz w:val="22"/>
          <w:lang w:eastAsia="en-GB"/>
        </w:rPr>
        <w:t xml:space="preserve">, T.J., </w:t>
      </w:r>
      <w:proofErr w:type="spellStart"/>
      <w:r w:rsidRPr="00550A67">
        <w:rPr>
          <w:rFonts w:ascii="Arial" w:eastAsia="Times New Roman" w:hAnsi="Arial" w:cs="Arial"/>
          <w:sz w:val="22"/>
          <w:lang w:eastAsia="en-GB"/>
        </w:rPr>
        <w:t>Botell</w:t>
      </w:r>
      <w:proofErr w:type="spellEnd"/>
      <w:r w:rsidRPr="00550A67">
        <w:rPr>
          <w:rFonts w:ascii="Arial" w:eastAsia="Times New Roman" w:hAnsi="Arial" w:cs="Arial"/>
          <w:sz w:val="22"/>
          <w:lang w:eastAsia="en-GB"/>
        </w:rPr>
        <w:t xml:space="preserve">, R.E. and Wade, D.T. (2009) ‘Writing SMART rehabilitation goals and achieving goal attainment scaling: a practical guide’, </w:t>
      </w:r>
      <w:r w:rsidRPr="00550A67">
        <w:rPr>
          <w:rFonts w:ascii="Arial" w:eastAsia="Times New Roman" w:hAnsi="Arial" w:cs="Arial"/>
          <w:i/>
          <w:iCs/>
          <w:sz w:val="22"/>
          <w:lang w:eastAsia="en-GB"/>
        </w:rPr>
        <w:t>Clinical rehabilitation</w:t>
      </w:r>
      <w:r w:rsidRPr="00550A67">
        <w:rPr>
          <w:rFonts w:ascii="Arial" w:eastAsia="Times New Roman" w:hAnsi="Arial" w:cs="Arial"/>
          <w:sz w:val="22"/>
          <w:lang w:eastAsia="en-GB"/>
        </w:rPr>
        <w:t xml:space="preserve">, 23(4), pp. 352–361. Available at: </w:t>
      </w:r>
      <w:hyperlink r:id="rId20" w:history="1">
        <w:r w:rsidRPr="00550A67">
          <w:rPr>
            <w:rStyle w:val="Hyperlink"/>
            <w:rFonts w:ascii="Arial" w:eastAsia="Times New Roman" w:hAnsi="Arial" w:cs="Arial"/>
            <w:sz w:val="22"/>
            <w:lang w:eastAsia="en-GB"/>
          </w:rPr>
          <w:t>https://doi.org/10.1177/0269215508101741</w:t>
        </w:r>
      </w:hyperlink>
      <w:r w:rsidRPr="00550A67">
        <w:rPr>
          <w:rFonts w:ascii="Arial" w:eastAsia="Times New Roman" w:hAnsi="Arial" w:cs="Arial"/>
          <w:sz w:val="22"/>
          <w:lang w:eastAsia="en-GB"/>
        </w:rPr>
        <w:t xml:space="preserve">. </w:t>
      </w:r>
      <w:r w:rsidR="004E20A1" w:rsidRPr="00550A67">
        <w:rPr>
          <w:rFonts w:ascii="Arial" w:eastAsia="Times New Roman" w:hAnsi="Arial" w:cs="Arial"/>
          <w:sz w:val="22"/>
          <w:lang w:eastAsia="en-GB"/>
        </w:rPr>
        <w:t xml:space="preserve">(Accessed: </w:t>
      </w:r>
      <w:r w:rsidR="00375038" w:rsidRPr="00550A67">
        <w:rPr>
          <w:rFonts w:ascii="Arial" w:eastAsia="Times New Roman" w:hAnsi="Arial" w:cs="Arial"/>
          <w:sz w:val="22"/>
          <w:lang w:eastAsia="en-GB"/>
        </w:rPr>
        <w:t>13 N</w:t>
      </w:r>
      <w:r w:rsidR="00BE40D7" w:rsidRPr="00550A67">
        <w:rPr>
          <w:rFonts w:ascii="Arial" w:eastAsia="Times New Roman" w:hAnsi="Arial" w:cs="Arial"/>
          <w:sz w:val="22"/>
          <w:lang w:eastAsia="en-GB"/>
        </w:rPr>
        <w:t>o</w:t>
      </w:r>
      <w:r w:rsidR="00375038" w:rsidRPr="00550A67">
        <w:rPr>
          <w:rFonts w:ascii="Arial" w:eastAsia="Times New Roman" w:hAnsi="Arial" w:cs="Arial"/>
          <w:sz w:val="22"/>
          <w:lang w:eastAsia="en-GB"/>
        </w:rPr>
        <w:t>vember</w:t>
      </w:r>
      <w:r w:rsidR="00BE40D7" w:rsidRPr="00550A67">
        <w:rPr>
          <w:rFonts w:ascii="Arial" w:eastAsia="Times New Roman" w:hAnsi="Arial" w:cs="Arial"/>
          <w:sz w:val="22"/>
          <w:lang w:eastAsia="en-GB"/>
        </w:rPr>
        <w:t xml:space="preserve"> 2025).</w:t>
      </w:r>
      <w:r w:rsidR="00375038" w:rsidRPr="00550A67">
        <w:rPr>
          <w:rFonts w:ascii="Arial" w:eastAsia="Times New Roman" w:hAnsi="Arial" w:cs="Arial"/>
          <w:sz w:val="22"/>
          <w:lang w:eastAsia="en-GB"/>
        </w:rPr>
        <w:t xml:space="preserve"> </w:t>
      </w:r>
    </w:p>
    <w:p w14:paraId="33EFF45B" w14:textId="77777777" w:rsidR="002867AF" w:rsidRPr="00550A67" w:rsidRDefault="002867AF" w:rsidP="00550A67">
      <w:pPr>
        <w:spacing w:after="0" w:line="360" w:lineRule="auto"/>
        <w:jc w:val="both"/>
        <w:rPr>
          <w:rFonts w:ascii="Arial" w:eastAsia="Times New Roman" w:hAnsi="Arial" w:cs="Arial"/>
          <w:sz w:val="22"/>
          <w:lang w:eastAsia="en-GB"/>
        </w:rPr>
      </w:pPr>
    </w:p>
    <w:p w14:paraId="1E0B45AD" w14:textId="3E050344" w:rsidR="00353C5C" w:rsidRPr="00550A67" w:rsidRDefault="00353C5C" w:rsidP="00BB57EB">
      <w:pPr>
        <w:spacing w:line="360" w:lineRule="auto"/>
        <w:jc w:val="both"/>
        <w:rPr>
          <w:rFonts w:ascii="Arial" w:hAnsi="Arial" w:cs="Arial"/>
          <w:sz w:val="22"/>
        </w:rPr>
      </w:pPr>
      <w:r w:rsidRPr="00550A67">
        <w:rPr>
          <w:rFonts w:ascii="Arial" w:hAnsi="Arial" w:cs="Arial"/>
          <w:sz w:val="22"/>
        </w:rPr>
        <w:t xml:space="preserve">Carey, G., Crammond, B. &amp; De Leeuw, E. (2018) ‘System science and systems thinking for public health: a systematic review of the field’, </w:t>
      </w:r>
      <w:r w:rsidRPr="00550A67">
        <w:rPr>
          <w:rStyle w:val="Emphasis"/>
          <w:rFonts w:ascii="Arial" w:hAnsi="Arial" w:cs="Arial"/>
          <w:sz w:val="22"/>
        </w:rPr>
        <w:t>BMJ Open</w:t>
      </w:r>
      <w:r w:rsidRPr="00550A67">
        <w:rPr>
          <w:rFonts w:ascii="Arial" w:hAnsi="Arial" w:cs="Arial"/>
          <w:sz w:val="22"/>
        </w:rPr>
        <w:t xml:space="preserve">, 8(3), pp. 1–8. </w:t>
      </w:r>
      <w:r w:rsidR="0016373D" w:rsidRPr="00550A67">
        <w:rPr>
          <w:rFonts w:ascii="Arial" w:hAnsi="Arial" w:cs="Arial"/>
          <w:sz w:val="22"/>
        </w:rPr>
        <w:t>Available at</w:t>
      </w:r>
      <w:r w:rsidRPr="00550A67">
        <w:rPr>
          <w:rFonts w:ascii="Arial" w:hAnsi="Arial" w:cs="Arial"/>
          <w:sz w:val="22"/>
        </w:rPr>
        <w:t xml:space="preserve">: </w:t>
      </w:r>
      <w:hyperlink r:id="rId21" w:history="1">
        <w:r w:rsidR="00B55512" w:rsidRPr="00550A67">
          <w:rPr>
            <w:rFonts w:ascii="Arial" w:hAnsi="Arial" w:cs="Arial"/>
            <w:color w:val="0000FF"/>
            <w:sz w:val="22"/>
            <w:u w:val="single"/>
          </w:rPr>
          <w:t>Systems science and systems thinking for public health: a systematic review of the field | BMJ Open</w:t>
        </w:r>
      </w:hyperlink>
      <w:r w:rsidR="00B154A7" w:rsidRPr="00550A67">
        <w:rPr>
          <w:rFonts w:ascii="Arial" w:hAnsi="Arial" w:cs="Arial"/>
          <w:sz w:val="22"/>
        </w:rPr>
        <w:t xml:space="preserve">. </w:t>
      </w:r>
      <w:r w:rsidR="00970915" w:rsidRPr="00550A67">
        <w:rPr>
          <w:rFonts w:ascii="Arial" w:hAnsi="Arial" w:cs="Arial"/>
          <w:sz w:val="22"/>
        </w:rPr>
        <w:t>(Accessed: 8 November 2025</w:t>
      </w:r>
      <w:r w:rsidR="001E18A5" w:rsidRPr="00550A67">
        <w:rPr>
          <w:rFonts w:ascii="Arial" w:hAnsi="Arial" w:cs="Arial"/>
          <w:sz w:val="22"/>
        </w:rPr>
        <w:t>).</w:t>
      </w:r>
    </w:p>
    <w:p w14:paraId="24EB009B" w14:textId="5401F346" w:rsidR="00677FB0" w:rsidRPr="00550A67" w:rsidRDefault="00677FB0" w:rsidP="00BB57EB">
      <w:pPr>
        <w:spacing w:after="0" w:line="360" w:lineRule="auto"/>
        <w:jc w:val="both"/>
        <w:rPr>
          <w:rFonts w:ascii="Arial" w:eastAsia="Times New Roman" w:hAnsi="Arial" w:cs="Arial"/>
          <w:sz w:val="22"/>
          <w:lang w:eastAsia="en-GB"/>
        </w:rPr>
      </w:pPr>
    </w:p>
    <w:p w14:paraId="3A13CE17" w14:textId="77777777" w:rsidR="00221B2E" w:rsidRPr="00550A67" w:rsidRDefault="00221B2E" w:rsidP="00BB57EB">
      <w:pPr>
        <w:spacing w:after="0" w:line="360" w:lineRule="auto"/>
        <w:jc w:val="both"/>
        <w:rPr>
          <w:rFonts w:ascii="Arial" w:eastAsia="Times New Roman" w:hAnsi="Arial" w:cs="Arial"/>
          <w:sz w:val="22"/>
          <w:lang w:eastAsia="en-GB"/>
        </w:rPr>
      </w:pPr>
    </w:p>
    <w:p w14:paraId="43DF8160" w14:textId="07A0D4EA" w:rsidR="00221B2E" w:rsidRPr="00550A67" w:rsidRDefault="00017F23" w:rsidP="00BB57EB">
      <w:pPr>
        <w:spacing w:after="0" w:line="360" w:lineRule="auto"/>
        <w:jc w:val="both"/>
        <w:rPr>
          <w:rFonts w:ascii="Arial" w:hAnsi="Arial" w:cs="Arial"/>
          <w:sz w:val="22"/>
          <w:shd w:val="clear" w:color="auto" w:fill="FFFFFF"/>
        </w:rPr>
      </w:pPr>
      <w:r w:rsidRPr="00550A67">
        <w:rPr>
          <w:rFonts w:ascii="Arial" w:hAnsi="Arial" w:cs="Arial"/>
          <w:sz w:val="22"/>
          <w:shd w:val="clear" w:color="auto" w:fill="FFFFFF"/>
        </w:rPr>
        <w:t xml:space="preserve">COLOMBO, I., PHD., FOLAYAN, O., PHD., FOLAYAN, N., PHD and MCKENZIE-SCHOETZ, R., </w:t>
      </w:r>
      <w:r w:rsidR="00521A8A" w:rsidRPr="00550A67">
        <w:rPr>
          <w:rFonts w:ascii="Arial" w:hAnsi="Arial" w:cs="Arial"/>
          <w:sz w:val="22"/>
          <w:shd w:val="clear" w:color="auto" w:fill="FFFFFF"/>
        </w:rPr>
        <w:t>(</w:t>
      </w:r>
      <w:r w:rsidRPr="00550A67">
        <w:rPr>
          <w:rFonts w:ascii="Arial" w:hAnsi="Arial" w:cs="Arial"/>
          <w:sz w:val="22"/>
          <w:shd w:val="clear" w:color="auto" w:fill="FFFFFF"/>
        </w:rPr>
        <w:t>2019</w:t>
      </w:r>
      <w:r w:rsidR="00521A8A" w:rsidRPr="00550A67">
        <w:rPr>
          <w:rFonts w:ascii="Arial" w:hAnsi="Arial" w:cs="Arial"/>
          <w:sz w:val="22"/>
          <w:shd w:val="clear" w:color="auto" w:fill="FFFFFF"/>
        </w:rPr>
        <w:t>)</w:t>
      </w:r>
      <w:r w:rsidRPr="00550A67">
        <w:rPr>
          <w:rFonts w:ascii="Arial" w:hAnsi="Arial" w:cs="Arial"/>
          <w:sz w:val="22"/>
          <w:shd w:val="clear" w:color="auto" w:fill="FFFFFF"/>
        </w:rPr>
        <w:t>. The Influence of Role Models on the Sustainability of the Engineering Profession in the UK: A Case Study. </w:t>
      </w:r>
      <w:r w:rsidRPr="00550A67">
        <w:rPr>
          <w:rFonts w:ascii="Arial" w:hAnsi="Arial" w:cs="Arial"/>
          <w:i/>
          <w:iCs/>
          <w:sz w:val="22"/>
          <w:shd w:val="clear" w:color="auto" w:fill="FFFFFF"/>
        </w:rPr>
        <w:t>ASHRAE Transactions, </w:t>
      </w:r>
      <w:r w:rsidRPr="00550A67">
        <w:rPr>
          <w:rFonts w:ascii="Arial" w:hAnsi="Arial" w:cs="Arial"/>
          <w:b/>
          <w:bCs/>
          <w:sz w:val="22"/>
          <w:shd w:val="clear" w:color="auto" w:fill="FFFFFF"/>
        </w:rPr>
        <w:t>125</w:t>
      </w:r>
      <w:r w:rsidRPr="00550A67">
        <w:rPr>
          <w:rFonts w:ascii="Arial" w:hAnsi="Arial" w:cs="Arial"/>
          <w:sz w:val="22"/>
          <w:shd w:val="clear" w:color="auto" w:fill="FFFFFF"/>
        </w:rPr>
        <w:t>, pp. 257-263.</w:t>
      </w:r>
      <w:r w:rsidR="002B7A8C" w:rsidRPr="00550A67">
        <w:rPr>
          <w:rFonts w:ascii="Arial" w:hAnsi="Arial" w:cs="Arial"/>
          <w:sz w:val="22"/>
          <w:shd w:val="clear" w:color="auto" w:fill="FFFFFF"/>
        </w:rPr>
        <w:t xml:space="preserve">Available at: </w:t>
      </w:r>
      <w:hyperlink r:id="rId22" w:history="1">
        <w:r w:rsidR="0016608F" w:rsidRPr="00550A67">
          <w:rPr>
            <w:rFonts w:ascii="Arial" w:hAnsi="Arial" w:cs="Arial"/>
            <w:color w:val="0000FF"/>
            <w:sz w:val="22"/>
            <w:u w:val="single"/>
          </w:rPr>
          <w:t>Role Models: Helping Ethnic Minority Engineering Students Become Practicing Engineers | ashrae.org</w:t>
        </w:r>
      </w:hyperlink>
      <w:r w:rsidR="00F503B4" w:rsidRPr="00550A67">
        <w:rPr>
          <w:rFonts w:ascii="Arial" w:hAnsi="Arial" w:cs="Arial"/>
          <w:sz w:val="22"/>
          <w:shd w:val="clear" w:color="auto" w:fill="FFFFFF"/>
        </w:rPr>
        <w:t xml:space="preserve"> </w:t>
      </w:r>
      <w:r w:rsidR="006025E8" w:rsidRPr="00550A67">
        <w:rPr>
          <w:rFonts w:ascii="Arial" w:hAnsi="Arial" w:cs="Arial"/>
          <w:sz w:val="22"/>
          <w:shd w:val="clear" w:color="auto" w:fill="FFFFFF"/>
        </w:rPr>
        <w:t>(24</w:t>
      </w:r>
      <w:r w:rsidR="00433DE1" w:rsidRPr="00550A67">
        <w:rPr>
          <w:rFonts w:ascii="Arial" w:hAnsi="Arial" w:cs="Arial"/>
          <w:sz w:val="22"/>
          <w:shd w:val="clear" w:color="auto" w:fill="FFFFFF"/>
        </w:rPr>
        <w:t xml:space="preserve"> November 2025)</w:t>
      </w:r>
      <w:r w:rsidR="000F5E0A" w:rsidRPr="00550A67">
        <w:rPr>
          <w:rFonts w:ascii="Arial" w:hAnsi="Arial" w:cs="Arial"/>
          <w:sz w:val="22"/>
          <w:shd w:val="clear" w:color="auto" w:fill="FFFFFF"/>
        </w:rPr>
        <w:t>.</w:t>
      </w:r>
    </w:p>
    <w:p w14:paraId="5F9AFC83" w14:textId="77777777" w:rsidR="000F5E0A" w:rsidRPr="00550A67" w:rsidRDefault="000F5E0A" w:rsidP="00BB57EB">
      <w:pPr>
        <w:spacing w:after="0" w:line="360" w:lineRule="auto"/>
        <w:jc w:val="both"/>
        <w:rPr>
          <w:rFonts w:ascii="Arial" w:hAnsi="Arial" w:cs="Arial"/>
          <w:sz w:val="22"/>
          <w:shd w:val="clear" w:color="auto" w:fill="FFFFFF"/>
        </w:rPr>
      </w:pPr>
    </w:p>
    <w:p w14:paraId="4921560C" w14:textId="327A361A" w:rsidR="000F5E0A" w:rsidRPr="00550A67" w:rsidRDefault="000F5E0A" w:rsidP="00BB57EB">
      <w:pPr>
        <w:spacing w:after="0" w:line="360" w:lineRule="auto"/>
        <w:jc w:val="both"/>
        <w:rPr>
          <w:rFonts w:ascii="Arial" w:eastAsia="Times New Roman" w:hAnsi="Arial" w:cs="Arial"/>
          <w:sz w:val="22"/>
          <w:lang w:eastAsia="en-GB"/>
        </w:rPr>
      </w:pPr>
      <w:r w:rsidRPr="00550A67">
        <w:rPr>
          <w:rFonts w:ascii="Arial" w:eastAsia="Times New Roman" w:hAnsi="Arial" w:cs="Arial"/>
          <w:sz w:val="22"/>
          <w:lang w:eastAsia="en-GB"/>
        </w:rPr>
        <w:t xml:space="preserve">Crocker, H., Kelly, L., Harlock, J. et al. (2020) ‘Available at: </w:t>
      </w:r>
      <w:hyperlink r:id="rId23" w:history="1">
        <w:r w:rsidR="00A807DF" w:rsidRPr="00550A67">
          <w:rPr>
            <w:rFonts w:ascii="Arial" w:hAnsi="Arial" w:cs="Arial"/>
            <w:color w:val="0000FF"/>
            <w:sz w:val="22"/>
            <w:u w:val="single"/>
          </w:rPr>
          <w:t>Measuring the benefits of the integration of health and social care: qualitative interviews with professional stakeholders and patient representatives | BMC Health Services Research | Full Text</w:t>
        </w:r>
      </w:hyperlink>
      <w:r w:rsidR="00174305" w:rsidRPr="00550A67">
        <w:rPr>
          <w:rFonts w:ascii="Arial" w:hAnsi="Arial" w:cs="Arial"/>
          <w:sz w:val="22"/>
        </w:rPr>
        <w:t xml:space="preserve"> </w:t>
      </w:r>
      <w:r w:rsidR="005C70AF" w:rsidRPr="00550A67">
        <w:rPr>
          <w:rFonts w:ascii="Arial" w:hAnsi="Arial" w:cs="Arial"/>
          <w:sz w:val="22"/>
        </w:rPr>
        <w:t>(</w:t>
      </w:r>
      <w:r w:rsidR="00177B10" w:rsidRPr="00550A67">
        <w:rPr>
          <w:rFonts w:ascii="Arial" w:hAnsi="Arial" w:cs="Arial"/>
          <w:sz w:val="22"/>
        </w:rPr>
        <w:t>Accessed: 24 November 2025).</w:t>
      </w:r>
    </w:p>
    <w:p w14:paraId="67FEB2AA" w14:textId="77777777" w:rsidR="009511E2" w:rsidRPr="00550A67" w:rsidRDefault="009511E2" w:rsidP="00550A67">
      <w:pPr>
        <w:spacing w:after="0" w:line="360" w:lineRule="auto"/>
        <w:jc w:val="both"/>
        <w:rPr>
          <w:rFonts w:ascii="Arial" w:eastAsia="Times New Roman" w:hAnsi="Arial" w:cs="Arial"/>
          <w:sz w:val="22"/>
          <w:lang w:eastAsia="en-GB"/>
        </w:rPr>
      </w:pPr>
    </w:p>
    <w:p w14:paraId="64710598" w14:textId="77777777" w:rsidR="00C02CFD" w:rsidRPr="00550A67" w:rsidRDefault="00C02CFD" w:rsidP="00550A67">
      <w:pPr>
        <w:spacing w:after="0" w:line="360" w:lineRule="auto"/>
        <w:jc w:val="both"/>
        <w:rPr>
          <w:rFonts w:ascii="Arial" w:hAnsi="Arial" w:cs="Arial"/>
          <w:sz w:val="22"/>
          <w:shd w:val="clear" w:color="auto" w:fill="FFFFFF"/>
        </w:rPr>
      </w:pPr>
    </w:p>
    <w:p w14:paraId="1EC08871" w14:textId="77777777" w:rsidR="003C1EC2" w:rsidRPr="00D955F9" w:rsidRDefault="003C1EC2" w:rsidP="00D955F9">
      <w:pPr>
        <w:spacing w:after="0" w:line="360" w:lineRule="auto"/>
        <w:jc w:val="both"/>
        <w:rPr>
          <w:rFonts w:ascii="Arial" w:eastAsia="Times New Roman" w:hAnsi="Arial" w:cs="Arial"/>
          <w:sz w:val="22"/>
          <w:lang w:eastAsia="en-GB"/>
        </w:rPr>
      </w:pPr>
      <w:r w:rsidRPr="00D955F9">
        <w:rPr>
          <w:rFonts w:ascii="Arial" w:eastAsia="Times New Roman" w:hAnsi="Arial" w:cs="Arial"/>
          <w:sz w:val="22"/>
          <w:lang w:eastAsia="en-GB"/>
        </w:rPr>
        <w:t xml:space="preserve">Davidson, A.R. </w:t>
      </w:r>
      <w:r w:rsidRPr="00D955F9">
        <w:rPr>
          <w:rFonts w:ascii="Arial" w:eastAsia="Times New Roman" w:hAnsi="Arial" w:cs="Arial"/>
          <w:i/>
          <w:iCs/>
          <w:sz w:val="22"/>
          <w:lang w:eastAsia="en-GB"/>
        </w:rPr>
        <w:t>et al.</w:t>
      </w:r>
      <w:r w:rsidRPr="00D955F9">
        <w:rPr>
          <w:rFonts w:ascii="Arial" w:eastAsia="Times New Roman" w:hAnsi="Arial" w:cs="Arial"/>
          <w:sz w:val="22"/>
          <w:lang w:eastAsia="en-GB"/>
        </w:rPr>
        <w:t xml:space="preserve"> (2024) ‘Patients’ experiences of and roles in interprofessional collaborative practice in primary care: a constructivist grounded theory study’, </w:t>
      </w:r>
      <w:r w:rsidRPr="00D955F9">
        <w:rPr>
          <w:rFonts w:ascii="Arial" w:eastAsia="Times New Roman" w:hAnsi="Arial" w:cs="Arial"/>
          <w:i/>
          <w:iCs/>
          <w:sz w:val="22"/>
          <w:lang w:eastAsia="en-GB"/>
        </w:rPr>
        <w:t>Primary health care research &amp; development</w:t>
      </w:r>
      <w:r w:rsidRPr="00D955F9">
        <w:rPr>
          <w:rFonts w:ascii="Arial" w:eastAsia="Times New Roman" w:hAnsi="Arial" w:cs="Arial"/>
          <w:sz w:val="22"/>
          <w:lang w:eastAsia="en-GB"/>
        </w:rPr>
        <w:t xml:space="preserve">, 25. Available at: </w:t>
      </w:r>
      <w:hyperlink r:id="rId24" w:history="1">
        <w:r w:rsidRPr="00D955F9">
          <w:rPr>
            <w:rStyle w:val="Hyperlink"/>
            <w:rFonts w:ascii="Arial" w:eastAsia="Times New Roman" w:hAnsi="Arial" w:cs="Arial"/>
            <w:sz w:val="22"/>
            <w:lang w:eastAsia="en-GB"/>
          </w:rPr>
          <w:t>https://doi.org/10.1017/S1463423624000148</w:t>
        </w:r>
      </w:hyperlink>
      <w:r w:rsidRPr="00D955F9">
        <w:rPr>
          <w:rFonts w:ascii="Arial" w:eastAsia="Times New Roman" w:hAnsi="Arial" w:cs="Arial"/>
          <w:sz w:val="22"/>
          <w:lang w:eastAsia="en-GB"/>
        </w:rPr>
        <w:t>. (13 November 2025).</w:t>
      </w:r>
    </w:p>
    <w:p w14:paraId="34DDCC2D" w14:textId="403F690F" w:rsidR="001E7132" w:rsidRPr="00D955F9" w:rsidRDefault="001E7132" w:rsidP="00D955F9">
      <w:pPr>
        <w:spacing w:after="0" w:line="360" w:lineRule="auto"/>
        <w:jc w:val="both"/>
        <w:rPr>
          <w:rFonts w:ascii="Arial" w:eastAsia="Times New Roman" w:hAnsi="Arial" w:cs="Arial"/>
          <w:sz w:val="22"/>
          <w:lang w:eastAsia="en-GB"/>
        </w:rPr>
      </w:pPr>
    </w:p>
    <w:p w14:paraId="11BE0717" w14:textId="77777777" w:rsidR="00FD71D4" w:rsidRPr="00D955F9" w:rsidRDefault="00FD71D4" w:rsidP="00D955F9">
      <w:pPr>
        <w:spacing w:after="0" w:line="360" w:lineRule="auto"/>
        <w:jc w:val="both"/>
        <w:rPr>
          <w:rFonts w:ascii="Arial" w:eastAsia="Times New Roman" w:hAnsi="Arial" w:cs="Arial"/>
          <w:sz w:val="22"/>
          <w:lang w:eastAsia="en-GB"/>
        </w:rPr>
      </w:pPr>
    </w:p>
    <w:p w14:paraId="58731135" w14:textId="2E6AD21E" w:rsidR="00636460" w:rsidRPr="00D955F9" w:rsidRDefault="00636460" w:rsidP="00D955F9">
      <w:pPr>
        <w:spacing w:after="0" w:line="360" w:lineRule="auto"/>
        <w:jc w:val="both"/>
        <w:rPr>
          <w:rFonts w:ascii="Arial" w:eastAsia="Times New Roman" w:hAnsi="Arial" w:cs="Arial"/>
          <w:sz w:val="22"/>
          <w:lang w:eastAsia="en-GB"/>
        </w:rPr>
      </w:pPr>
      <w:r w:rsidRPr="00D955F9">
        <w:rPr>
          <w:rFonts w:ascii="Arial" w:hAnsi="Arial" w:cs="Arial"/>
          <w:color w:val="333333"/>
          <w:sz w:val="22"/>
        </w:rPr>
        <w:t xml:space="preserve">Deniz Dirik &amp; </w:t>
      </w:r>
      <w:proofErr w:type="spellStart"/>
      <w:r w:rsidRPr="00D955F9">
        <w:rPr>
          <w:rFonts w:ascii="Arial" w:hAnsi="Arial" w:cs="Arial"/>
          <w:color w:val="333333"/>
          <w:sz w:val="22"/>
        </w:rPr>
        <w:t>İnan</w:t>
      </w:r>
      <w:proofErr w:type="spellEnd"/>
      <w:r w:rsidRPr="00D955F9">
        <w:rPr>
          <w:rFonts w:ascii="Arial" w:hAnsi="Arial" w:cs="Arial"/>
          <w:color w:val="333333"/>
          <w:sz w:val="22"/>
        </w:rPr>
        <w:t xml:space="preserve"> Eryılmaz </w:t>
      </w:r>
      <w:r w:rsidR="001A0D53" w:rsidRPr="00D955F9">
        <w:rPr>
          <w:rFonts w:ascii="Arial" w:hAnsi="Arial" w:cs="Arial"/>
          <w:color w:val="333333"/>
          <w:sz w:val="22"/>
        </w:rPr>
        <w:t xml:space="preserve">(2024).  </w:t>
      </w:r>
      <w:hyperlink r:id="rId25" w:history="1">
        <w:r w:rsidRPr="00D955F9">
          <w:rPr>
            <w:rFonts w:ascii="Arial" w:hAnsi="Arial" w:cs="Arial"/>
            <w:color w:val="10147E"/>
            <w:sz w:val="22"/>
            <w:u w:val="single"/>
          </w:rPr>
          <w:t>Exploring the career expectations of domestic and international students in an emerging country context</w:t>
        </w:r>
      </w:hyperlink>
      <w:r w:rsidRPr="00D955F9">
        <w:rPr>
          <w:rFonts w:ascii="Arial" w:hAnsi="Arial" w:cs="Arial"/>
          <w:color w:val="333333"/>
          <w:sz w:val="22"/>
        </w:rPr>
        <w:t>. </w:t>
      </w:r>
      <w:r w:rsidRPr="00D955F9">
        <w:rPr>
          <w:rFonts w:ascii="Arial" w:hAnsi="Arial" w:cs="Arial"/>
          <w:i/>
          <w:iCs/>
          <w:color w:val="333333"/>
          <w:sz w:val="22"/>
        </w:rPr>
        <w:t>Higher Education Research &amp; Development</w:t>
      </w:r>
      <w:r w:rsidRPr="00D955F9">
        <w:rPr>
          <w:rFonts w:ascii="Arial" w:hAnsi="Arial" w:cs="Arial"/>
          <w:color w:val="333333"/>
          <w:sz w:val="22"/>
        </w:rPr>
        <w:t> 43:5, pages 1089-1106. (Accessed: 24 November 2025)</w:t>
      </w:r>
      <w:r w:rsidR="00F77C5D" w:rsidRPr="00D955F9">
        <w:rPr>
          <w:rFonts w:ascii="Arial" w:hAnsi="Arial" w:cs="Arial"/>
          <w:color w:val="333333"/>
          <w:sz w:val="22"/>
        </w:rPr>
        <w:t>.</w:t>
      </w:r>
    </w:p>
    <w:p w14:paraId="0E649169" w14:textId="77777777" w:rsidR="00C92430" w:rsidRPr="00D955F9" w:rsidRDefault="00C92430" w:rsidP="00D955F9">
      <w:pPr>
        <w:spacing w:line="360" w:lineRule="auto"/>
        <w:jc w:val="both"/>
        <w:rPr>
          <w:rFonts w:ascii="Arial" w:hAnsi="Arial" w:cs="Arial"/>
          <w:sz w:val="22"/>
        </w:rPr>
      </w:pPr>
    </w:p>
    <w:p w14:paraId="055709CF" w14:textId="46557A79" w:rsidR="00507BBC" w:rsidRPr="00D955F9" w:rsidRDefault="00507BBC" w:rsidP="00D955F9">
      <w:pPr>
        <w:spacing w:line="360" w:lineRule="auto"/>
        <w:jc w:val="both"/>
        <w:rPr>
          <w:rFonts w:ascii="Arial" w:hAnsi="Arial" w:cs="Arial"/>
          <w:sz w:val="22"/>
        </w:rPr>
      </w:pPr>
      <w:proofErr w:type="gramStart"/>
      <w:r w:rsidRPr="00D955F9">
        <w:rPr>
          <w:rFonts w:ascii="Arial" w:hAnsi="Arial" w:cs="Arial"/>
          <w:sz w:val="22"/>
        </w:rPr>
        <w:t>Indeed</w:t>
      </w:r>
      <w:proofErr w:type="gramEnd"/>
      <w:r w:rsidRPr="00D955F9">
        <w:rPr>
          <w:rFonts w:ascii="Arial" w:hAnsi="Arial" w:cs="Arial"/>
          <w:sz w:val="22"/>
        </w:rPr>
        <w:t xml:space="preserve"> Editorial Team (2023) ‘Professional networking: what it is and how to do it’, Indeed Career Guide. Available at</w:t>
      </w:r>
      <w:r w:rsidR="00F44DD7" w:rsidRPr="00D955F9">
        <w:rPr>
          <w:rFonts w:ascii="Arial" w:hAnsi="Arial" w:cs="Arial"/>
          <w:sz w:val="22"/>
        </w:rPr>
        <w:t xml:space="preserve">: </w:t>
      </w:r>
      <w:hyperlink r:id="rId26" w:history="1">
        <w:r w:rsidR="003800DD" w:rsidRPr="00D955F9">
          <w:rPr>
            <w:rFonts w:ascii="Arial" w:hAnsi="Arial" w:cs="Arial"/>
            <w:color w:val="0000FF"/>
            <w:sz w:val="22"/>
            <w:u w:val="single"/>
          </w:rPr>
          <w:t>What is professional networking? | Indeed.com UK</w:t>
        </w:r>
      </w:hyperlink>
      <w:r w:rsidR="00914419" w:rsidRPr="00D955F9">
        <w:rPr>
          <w:rFonts w:ascii="Arial" w:hAnsi="Arial" w:cs="Arial"/>
          <w:sz w:val="22"/>
        </w:rPr>
        <w:t xml:space="preserve"> </w:t>
      </w:r>
      <w:r w:rsidR="00F44DD7" w:rsidRPr="00D955F9">
        <w:rPr>
          <w:rFonts w:ascii="Arial" w:hAnsi="Arial" w:cs="Arial"/>
          <w:sz w:val="22"/>
        </w:rPr>
        <w:t>(</w:t>
      </w:r>
      <w:r w:rsidRPr="00D955F9">
        <w:rPr>
          <w:rFonts w:ascii="Arial" w:hAnsi="Arial" w:cs="Arial"/>
          <w:sz w:val="22"/>
        </w:rPr>
        <w:t>Accessed: 25 November 2025).</w:t>
      </w:r>
    </w:p>
    <w:p w14:paraId="79054A15" w14:textId="72874CD3" w:rsidR="00F73AD0" w:rsidRPr="00D955F9" w:rsidRDefault="00F73AD0" w:rsidP="00D955F9">
      <w:pPr>
        <w:spacing w:after="0" w:line="360" w:lineRule="auto"/>
        <w:jc w:val="both"/>
        <w:rPr>
          <w:rFonts w:ascii="Arial" w:eastAsia="Times New Roman" w:hAnsi="Arial" w:cs="Arial"/>
          <w:sz w:val="22"/>
          <w:lang w:eastAsia="en-GB"/>
        </w:rPr>
      </w:pPr>
      <w:r w:rsidRPr="00D955F9">
        <w:rPr>
          <w:rFonts w:ascii="Arial" w:eastAsia="Times New Roman" w:hAnsi="Arial" w:cs="Arial"/>
          <w:sz w:val="22"/>
          <w:lang w:eastAsia="en-GB"/>
        </w:rPr>
        <w:t xml:space="preserve">Koteyko, N., Hunt, D. and Gunter, B. (2015) ‘Expectations in the field of the Internet and health: an analysis of claims about social networking sites in clinical literature’, </w:t>
      </w:r>
      <w:r w:rsidRPr="00D955F9">
        <w:rPr>
          <w:rFonts w:ascii="Arial" w:eastAsia="Times New Roman" w:hAnsi="Arial" w:cs="Arial"/>
          <w:i/>
          <w:iCs/>
          <w:sz w:val="22"/>
          <w:lang w:eastAsia="en-GB"/>
        </w:rPr>
        <w:t>Sociology of health &amp; illness</w:t>
      </w:r>
      <w:r w:rsidRPr="00D955F9">
        <w:rPr>
          <w:rFonts w:ascii="Arial" w:eastAsia="Times New Roman" w:hAnsi="Arial" w:cs="Arial"/>
          <w:sz w:val="22"/>
          <w:lang w:eastAsia="en-GB"/>
        </w:rPr>
        <w:t xml:space="preserve">, 37(3), pp. 468–484. Available at: </w:t>
      </w:r>
      <w:hyperlink r:id="rId27" w:history="1">
        <w:r w:rsidRPr="00D955F9">
          <w:rPr>
            <w:rStyle w:val="Hyperlink"/>
            <w:rFonts w:ascii="Arial" w:eastAsia="Times New Roman" w:hAnsi="Arial" w:cs="Arial"/>
            <w:sz w:val="22"/>
            <w:lang w:eastAsia="en-GB"/>
          </w:rPr>
          <w:t>https://doi.org/10.1111/1467-9566.12203</w:t>
        </w:r>
      </w:hyperlink>
      <w:r w:rsidRPr="00D955F9">
        <w:rPr>
          <w:rFonts w:ascii="Arial" w:eastAsia="Times New Roman" w:hAnsi="Arial" w:cs="Arial"/>
          <w:sz w:val="22"/>
          <w:lang w:eastAsia="en-GB"/>
        </w:rPr>
        <w:t>. (</w:t>
      </w:r>
      <w:r w:rsidR="00D22595" w:rsidRPr="00D955F9">
        <w:rPr>
          <w:rFonts w:ascii="Arial" w:eastAsia="Times New Roman" w:hAnsi="Arial" w:cs="Arial"/>
          <w:sz w:val="22"/>
          <w:lang w:eastAsia="en-GB"/>
        </w:rPr>
        <w:t>21 November 2025)</w:t>
      </w:r>
    </w:p>
    <w:p w14:paraId="42B573F2" w14:textId="77777777" w:rsidR="00D955F9" w:rsidRPr="00D955F9" w:rsidRDefault="00D955F9" w:rsidP="00D955F9">
      <w:pPr>
        <w:spacing w:line="360" w:lineRule="auto"/>
        <w:jc w:val="both"/>
        <w:rPr>
          <w:rFonts w:ascii="Arial" w:hAnsi="Arial" w:cs="Arial"/>
          <w:sz w:val="22"/>
        </w:rPr>
      </w:pPr>
    </w:p>
    <w:p w14:paraId="2041AB12" w14:textId="7A2D9B8D" w:rsidR="00A667C7" w:rsidRPr="00D955F9" w:rsidRDefault="003353AB" w:rsidP="00D955F9">
      <w:pPr>
        <w:spacing w:line="360" w:lineRule="auto"/>
        <w:jc w:val="both"/>
        <w:rPr>
          <w:rFonts w:ascii="Arial" w:hAnsi="Arial" w:cs="Arial"/>
          <w:sz w:val="22"/>
        </w:rPr>
      </w:pPr>
      <w:r w:rsidRPr="00D955F9">
        <w:rPr>
          <w:rFonts w:ascii="Arial" w:hAnsi="Arial" w:cs="Arial"/>
          <w:sz w:val="22"/>
        </w:rPr>
        <w:t>Levack, W.M.M., Weatherall, M., Hay</w:t>
      </w:r>
      <w:r w:rsidRPr="00D955F9">
        <w:rPr>
          <w:rFonts w:ascii="Cambria Math" w:hAnsi="Cambria Math" w:cs="Cambria Math"/>
          <w:sz w:val="22"/>
        </w:rPr>
        <w:t>‑</w:t>
      </w:r>
      <w:r w:rsidRPr="00D955F9">
        <w:rPr>
          <w:rFonts w:ascii="Arial" w:hAnsi="Arial" w:cs="Arial"/>
          <w:sz w:val="22"/>
        </w:rPr>
        <w:t>Smith, E.J.C., Dean, S.G., McPherson, K. &amp; Siegert, R.J. (2015). Available at:</w:t>
      </w:r>
      <w:r w:rsidR="002D7EFF" w:rsidRPr="00D955F9">
        <w:rPr>
          <w:rFonts w:ascii="Arial" w:hAnsi="Arial" w:cs="Arial"/>
          <w:sz w:val="22"/>
        </w:rPr>
        <w:t xml:space="preserve"> </w:t>
      </w:r>
      <w:hyperlink r:id="rId28" w:history="1">
        <w:r w:rsidR="002D7EFF" w:rsidRPr="00D955F9">
          <w:rPr>
            <w:rFonts w:ascii="Arial" w:hAnsi="Arial" w:cs="Arial"/>
            <w:color w:val="0000FF"/>
            <w:sz w:val="22"/>
            <w:u w:val="single"/>
          </w:rPr>
          <w:t>Goal setting and strategies to enhance goal pursuit for adults with acquired disability participating in rehabilitation - PubMed</w:t>
        </w:r>
      </w:hyperlink>
      <w:r w:rsidRPr="00D955F9">
        <w:rPr>
          <w:rFonts w:ascii="Arial" w:hAnsi="Arial" w:cs="Arial"/>
          <w:sz w:val="22"/>
        </w:rPr>
        <w:t>(Accessed: 8 November 2025).</w:t>
      </w:r>
    </w:p>
    <w:p w14:paraId="39119CC0" w14:textId="74D1E1A2" w:rsidR="00D97E5B" w:rsidRPr="00550A67" w:rsidRDefault="00F16587" w:rsidP="009D3D38">
      <w:pPr>
        <w:spacing w:line="360" w:lineRule="auto"/>
        <w:jc w:val="both"/>
        <w:rPr>
          <w:rFonts w:ascii="Arial" w:hAnsi="Arial" w:cs="Arial"/>
          <w:sz w:val="22"/>
        </w:rPr>
      </w:pPr>
      <w:r w:rsidRPr="00550A67">
        <w:rPr>
          <w:rFonts w:ascii="Arial" w:hAnsi="Arial" w:cs="Arial"/>
          <w:sz w:val="22"/>
        </w:rPr>
        <w:t>McCarthy, J., O’Donnell, H. &amp; Lloyd, K., 2022. Developing Self-Awareness in Health and Social Care: The Johari Window Framework. Journal of Health &amp; Social Care, 15(2), pp. 45-58.</w:t>
      </w:r>
      <w:r w:rsidR="00361A25" w:rsidRPr="00550A67">
        <w:rPr>
          <w:rFonts w:ascii="Arial" w:hAnsi="Arial" w:cs="Arial"/>
          <w:sz w:val="22"/>
        </w:rPr>
        <w:t xml:space="preserve"> </w:t>
      </w:r>
      <w:r w:rsidR="002A2AB2" w:rsidRPr="00550A67">
        <w:rPr>
          <w:rFonts w:ascii="Arial" w:hAnsi="Arial" w:cs="Arial"/>
          <w:sz w:val="22"/>
        </w:rPr>
        <w:t>(Accessed</w:t>
      </w:r>
      <w:r w:rsidR="00361A25" w:rsidRPr="00550A67">
        <w:rPr>
          <w:rFonts w:ascii="Arial" w:hAnsi="Arial" w:cs="Arial"/>
          <w:sz w:val="22"/>
        </w:rPr>
        <w:t xml:space="preserve">: </w:t>
      </w:r>
      <w:r w:rsidR="00FB3FD8" w:rsidRPr="00550A67">
        <w:rPr>
          <w:rFonts w:ascii="Arial" w:hAnsi="Arial" w:cs="Arial"/>
          <w:sz w:val="22"/>
        </w:rPr>
        <w:t xml:space="preserve">13 November </w:t>
      </w:r>
      <w:r w:rsidR="0049530E" w:rsidRPr="00550A67">
        <w:rPr>
          <w:rFonts w:ascii="Arial" w:hAnsi="Arial" w:cs="Arial"/>
          <w:sz w:val="22"/>
        </w:rPr>
        <w:t>2025).</w:t>
      </w:r>
    </w:p>
    <w:p w14:paraId="35A4602D" w14:textId="03094317" w:rsidR="00293630" w:rsidRPr="00550A67" w:rsidRDefault="00E07AF1" w:rsidP="009D3D38">
      <w:pPr>
        <w:spacing w:line="360" w:lineRule="auto"/>
        <w:jc w:val="both"/>
        <w:rPr>
          <w:rFonts w:ascii="Arial" w:hAnsi="Arial" w:cs="Arial"/>
          <w:sz w:val="22"/>
        </w:rPr>
      </w:pPr>
      <w:r w:rsidRPr="00550A67">
        <w:rPr>
          <w:rFonts w:ascii="Arial" w:hAnsi="Arial" w:cs="Arial"/>
          <w:color w:val="1C1D1E"/>
          <w:sz w:val="22"/>
          <w:shd w:val="clear" w:color="auto" w:fill="FFFFFF"/>
        </w:rPr>
        <w:t xml:space="preserve">Mitchell, K.E., Al Levin, S. and Krumboltz, J.D. (1999), Planned Happenstance: Constructing Unexpected Career Opportunities. Journal of </w:t>
      </w:r>
      <w:r w:rsidR="008C1DB4" w:rsidRPr="00550A67">
        <w:rPr>
          <w:rFonts w:ascii="Arial" w:hAnsi="Arial" w:cs="Arial"/>
          <w:color w:val="1C1D1E"/>
          <w:sz w:val="22"/>
          <w:shd w:val="clear" w:color="auto" w:fill="FFFFFF"/>
        </w:rPr>
        <w:t>Counselling</w:t>
      </w:r>
      <w:r w:rsidRPr="00550A67">
        <w:rPr>
          <w:rFonts w:ascii="Arial" w:hAnsi="Arial" w:cs="Arial"/>
          <w:color w:val="1C1D1E"/>
          <w:sz w:val="22"/>
          <w:shd w:val="clear" w:color="auto" w:fill="FFFFFF"/>
        </w:rPr>
        <w:t xml:space="preserve"> &amp; Development, 77: 115-124. </w:t>
      </w:r>
      <w:hyperlink r:id="rId29" w:history="1">
        <w:r w:rsidRPr="00550A67">
          <w:rPr>
            <w:rFonts w:ascii="Arial" w:hAnsi="Arial" w:cs="Arial"/>
            <w:color w:val="123D80"/>
            <w:sz w:val="22"/>
            <w:u w:val="single"/>
            <w:shd w:val="clear" w:color="auto" w:fill="FFFFFF"/>
          </w:rPr>
          <w:t>https://doi.org/10.1002/j.1556-6676.1999.tb02431.x</w:t>
        </w:r>
      </w:hyperlink>
      <w:r w:rsidRPr="00550A67">
        <w:rPr>
          <w:rFonts w:ascii="Arial" w:hAnsi="Arial" w:cs="Arial"/>
          <w:sz w:val="22"/>
        </w:rPr>
        <w:t xml:space="preserve"> (Accessed: </w:t>
      </w:r>
      <w:r w:rsidR="00E02D9E" w:rsidRPr="00550A67">
        <w:rPr>
          <w:rFonts w:ascii="Arial" w:hAnsi="Arial" w:cs="Arial"/>
          <w:sz w:val="22"/>
        </w:rPr>
        <w:t>24 November 2025).</w:t>
      </w:r>
    </w:p>
    <w:p w14:paraId="5FD91378" w14:textId="499BE72C" w:rsidR="001F3E4E" w:rsidRPr="00550A67" w:rsidRDefault="009A7227" w:rsidP="009D3D38">
      <w:pPr>
        <w:spacing w:line="360" w:lineRule="auto"/>
        <w:jc w:val="both"/>
        <w:rPr>
          <w:rFonts w:ascii="Arial" w:hAnsi="Arial" w:cs="Arial"/>
          <w:sz w:val="22"/>
        </w:rPr>
      </w:pPr>
      <w:r w:rsidRPr="00550A67">
        <w:rPr>
          <w:rFonts w:ascii="Arial" w:hAnsi="Arial" w:cs="Arial"/>
          <w:sz w:val="22"/>
        </w:rPr>
        <w:t>NHS Leadership Academy (202</w:t>
      </w:r>
      <w:r w:rsidR="00FE04CB" w:rsidRPr="00550A67">
        <w:rPr>
          <w:rFonts w:ascii="Arial" w:hAnsi="Arial" w:cs="Arial"/>
          <w:sz w:val="22"/>
        </w:rPr>
        <w:t>5</w:t>
      </w:r>
      <w:r w:rsidRPr="00550A67">
        <w:rPr>
          <w:rFonts w:ascii="Arial" w:hAnsi="Arial" w:cs="Arial"/>
          <w:sz w:val="22"/>
        </w:rPr>
        <w:t>)</w:t>
      </w:r>
      <w:r w:rsidR="004A5E65" w:rsidRPr="00550A67">
        <w:rPr>
          <w:rFonts w:ascii="Arial" w:hAnsi="Arial" w:cs="Arial"/>
          <w:sz w:val="22"/>
        </w:rPr>
        <w:t>.</w:t>
      </w:r>
      <w:r w:rsidRPr="00550A67">
        <w:rPr>
          <w:rFonts w:ascii="Arial" w:hAnsi="Arial" w:cs="Arial"/>
          <w:sz w:val="22"/>
        </w:rPr>
        <w:t xml:space="preserve"> </w:t>
      </w:r>
      <w:r w:rsidRPr="00550A67">
        <w:rPr>
          <w:rStyle w:val="Emphasis"/>
          <w:rFonts w:ascii="Arial" w:hAnsi="Arial" w:cs="Arial"/>
          <w:sz w:val="22"/>
        </w:rPr>
        <w:t>The importance of networking in health and care</w:t>
      </w:r>
      <w:r w:rsidRPr="00550A67">
        <w:rPr>
          <w:rFonts w:ascii="Arial" w:hAnsi="Arial" w:cs="Arial"/>
          <w:sz w:val="22"/>
        </w:rPr>
        <w:t>. Available at: https://www</w:t>
      </w:r>
      <w:hyperlink r:id="rId30" w:history="1">
        <w:r w:rsidR="0074294C" w:rsidRPr="00550A67">
          <w:rPr>
            <w:rFonts w:ascii="Arial" w:hAnsi="Arial" w:cs="Arial"/>
            <w:color w:val="0000FF"/>
            <w:sz w:val="22"/>
            <w:u w:val="single"/>
          </w:rPr>
          <w:t>Networks and Networking – East of England</w:t>
        </w:r>
      </w:hyperlink>
      <w:r w:rsidRPr="00550A67">
        <w:rPr>
          <w:rFonts w:ascii="Arial" w:hAnsi="Arial" w:cs="Arial"/>
          <w:sz w:val="22"/>
        </w:rPr>
        <w:t xml:space="preserve"> (Accessed: </w:t>
      </w:r>
      <w:r w:rsidR="00BA0B6B" w:rsidRPr="00550A67">
        <w:rPr>
          <w:rFonts w:ascii="Arial" w:hAnsi="Arial" w:cs="Arial"/>
          <w:sz w:val="22"/>
        </w:rPr>
        <w:t>7</w:t>
      </w:r>
      <w:r w:rsidRPr="00550A67">
        <w:rPr>
          <w:rFonts w:ascii="Arial" w:hAnsi="Arial" w:cs="Arial"/>
          <w:sz w:val="22"/>
        </w:rPr>
        <w:t xml:space="preserve"> </w:t>
      </w:r>
      <w:r w:rsidR="00CE35DE" w:rsidRPr="00550A67">
        <w:rPr>
          <w:rFonts w:ascii="Arial" w:hAnsi="Arial" w:cs="Arial"/>
          <w:sz w:val="22"/>
        </w:rPr>
        <w:t>November</w:t>
      </w:r>
      <w:r w:rsidRPr="00550A67">
        <w:rPr>
          <w:rFonts w:ascii="Arial" w:hAnsi="Arial" w:cs="Arial"/>
          <w:sz w:val="22"/>
        </w:rPr>
        <w:t xml:space="preserve"> 202</w:t>
      </w:r>
      <w:r w:rsidR="00444649" w:rsidRPr="00550A67">
        <w:rPr>
          <w:rFonts w:ascii="Arial" w:hAnsi="Arial" w:cs="Arial"/>
          <w:sz w:val="22"/>
        </w:rPr>
        <w:t>5</w:t>
      </w:r>
      <w:r w:rsidRPr="00550A67">
        <w:rPr>
          <w:rFonts w:ascii="Arial" w:hAnsi="Arial" w:cs="Arial"/>
          <w:sz w:val="22"/>
        </w:rPr>
        <w:t>).</w:t>
      </w:r>
    </w:p>
    <w:p w14:paraId="1D89CA48" w14:textId="19FA8BFC" w:rsidR="00040212" w:rsidRPr="00550A67" w:rsidRDefault="00040212" w:rsidP="009D3D38">
      <w:pPr>
        <w:spacing w:line="360" w:lineRule="auto"/>
        <w:jc w:val="both"/>
        <w:rPr>
          <w:rFonts w:ascii="Arial" w:hAnsi="Arial" w:cs="Arial"/>
          <w:sz w:val="22"/>
        </w:rPr>
      </w:pPr>
      <w:r w:rsidRPr="00550A67">
        <w:rPr>
          <w:rFonts w:ascii="Arial" w:hAnsi="Arial" w:cs="Arial"/>
          <w:sz w:val="22"/>
          <w:shd w:val="clear" w:color="auto" w:fill="FFFFFF"/>
        </w:rPr>
        <w:t>NHS National School of Healthcare Science (</w:t>
      </w:r>
      <w:r w:rsidR="00764D0A" w:rsidRPr="00550A67">
        <w:rPr>
          <w:rFonts w:ascii="Arial" w:hAnsi="Arial" w:cs="Arial"/>
          <w:sz w:val="22"/>
          <w:shd w:val="clear" w:color="auto" w:fill="FFFFFF"/>
        </w:rPr>
        <w:t>2023</w:t>
      </w:r>
      <w:r w:rsidRPr="00550A67">
        <w:rPr>
          <w:rFonts w:ascii="Arial" w:hAnsi="Arial" w:cs="Arial"/>
          <w:sz w:val="22"/>
          <w:shd w:val="clear" w:color="auto" w:fill="FFFFFF"/>
        </w:rPr>
        <w:t>)</w:t>
      </w:r>
      <w:r w:rsidR="00566B11" w:rsidRPr="00550A67">
        <w:rPr>
          <w:rFonts w:ascii="Arial" w:hAnsi="Arial" w:cs="Arial"/>
          <w:sz w:val="22"/>
          <w:shd w:val="clear" w:color="auto" w:fill="FFFFFF"/>
        </w:rPr>
        <w:t xml:space="preserve">. </w:t>
      </w:r>
      <w:r w:rsidRPr="00550A67">
        <w:rPr>
          <w:rStyle w:val="Emphasis"/>
          <w:rFonts w:ascii="Arial" w:hAnsi="Arial" w:cs="Arial"/>
          <w:sz w:val="22"/>
          <w:shd w:val="clear" w:color="auto" w:fill="FFFFFF"/>
        </w:rPr>
        <w:t>Example SMART (Specific, Measurable, Achievable, Realistic, Time-based) objectives</w:t>
      </w:r>
      <w:r w:rsidR="00566B11" w:rsidRPr="00550A67">
        <w:rPr>
          <w:rStyle w:val="Emphasis"/>
          <w:rFonts w:ascii="Arial" w:hAnsi="Arial" w:cs="Arial"/>
          <w:sz w:val="22"/>
          <w:shd w:val="clear" w:color="auto" w:fill="FFFFFF"/>
        </w:rPr>
        <w:t xml:space="preserve">. </w:t>
      </w:r>
      <w:r w:rsidRPr="00550A67">
        <w:rPr>
          <w:rFonts w:ascii="Arial" w:hAnsi="Arial" w:cs="Arial"/>
          <w:sz w:val="22"/>
          <w:shd w:val="clear" w:color="auto" w:fill="FFFFFF"/>
        </w:rPr>
        <w:t xml:space="preserve"> Available at: </w:t>
      </w:r>
      <w:hyperlink r:id="rId31" w:history="1">
        <w:r w:rsidR="00764D0A" w:rsidRPr="00550A67">
          <w:rPr>
            <w:rStyle w:val="Hyperlink"/>
            <w:rFonts w:ascii="Arial" w:hAnsi="Arial" w:cs="Arial"/>
            <w:sz w:val="22"/>
            <w:shd w:val="clear" w:color="auto" w:fill="FFFFFF"/>
          </w:rPr>
          <w:t>https://nshcs.hee.nhs.uk/publications/example-smart-specific-measurable-achievable-realistic-time-based-objectives-log/ (Accessed</w:t>
        </w:r>
      </w:hyperlink>
      <w:r w:rsidR="00591D08" w:rsidRPr="00550A67">
        <w:rPr>
          <w:rFonts w:ascii="Arial" w:hAnsi="Arial" w:cs="Arial"/>
          <w:color w:val="172B4D"/>
          <w:sz w:val="22"/>
          <w:shd w:val="clear" w:color="auto" w:fill="FFFFFF"/>
        </w:rPr>
        <w:t>: 21 November 2025</w:t>
      </w:r>
      <w:r w:rsidR="002713FC" w:rsidRPr="00550A67">
        <w:rPr>
          <w:rFonts w:ascii="Arial" w:hAnsi="Arial" w:cs="Arial"/>
          <w:color w:val="172B4D"/>
          <w:sz w:val="22"/>
          <w:shd w:val="clear" w:color="auto" w:fill="FFFFFF"/>
        </w:rPr>
        <w:t>)</w:t>
      </w:r>
    </w:p>
    <w:p w14:paraId="45E225A6" w14:textId="285B20FF" w:rsidR="00A47C0B" w:rsidRPr="00550A67" w:rsidRDefault="00A47C0B" w:rsidP="00550A67">
      <w:pPr>
        <w:spacing w:line="360" w:lineRule="auto"/>
        <w:jc w:val="both"/>
        <w:rPr>
          <w:rFonts w:ascii="Arial" w:hAnsi="Arial" w:cs="Arial"/>
          <w:sz w:val="22"/>
        </w:rPr>
      </w:pPr>
      <w:r w:rsidRPr="00550A67">
        <w:rPr>
          <w:rFonts w:ascii="Arial" w:hAnsi="Arial" w:cs="Arial"/>
          <w:sz w:val="22"/>
        </w:rPr>
        <w:t xml:space="preserve">Pakkanen, P., Häggman-Laitila, A., Pasanen, M. &amp; Kangasniemi, M. (2024) ‘Health and social care workers’ professional values: a cross-sectional study’, </w:t>
      </w:r>
      <w:r w:rsidRPr="00550A67">
        <w:rPr>
          <w:rStyle w:val="Emphasis"/>
          <w:rFonts w:ascii="Arial" w:hAnsi="Arial" w:cs="Arial"/>
          <w:sz w:val="22"/>
        </w:rPr>
        <w:t>Nursing Ethics</w:t>
      </w:r>
      <w:r w:rsidRPr="00550A67">
        <w:rPr>
          <w:rFonts w:ascii="Arial" w:hAnsi="Arial" w:cs="Arial"/>
          <w:sz w:val="22"/>
        </w:rPr>
        <w:t xml:space="preserve">, 31(5), pp. 681–698. </w:t>
      </w:r>
      <w:hyperlink r:id="rId32" w:history="1">
        <w:r w:rsidR="00483DA0" w:rsidRPr="00550A67">
          <w:rPr>
            <w:rFonts w:ascii="Arial" w:hAnsi="Arial" w:cs="Arial"/>
            <w:color w:val="0000FF"/>
            <w:sz w:val="22"/>
            <w:u w:val="single"/>
          </w:rPr>
          <w:t xml:space="preserve">Health and social care workers’ professional values: A cross-sectional study - </w:t>
        </w:r>
        <w:proofErr w:type="spellStart"/>
        <w:r w:rsidR="00483DA0" w:rsidRPr="00550A67">
          <w:rPr>
            <w:rFonts w:ascii="Arial" w:hAnsi="Arial" w:cs="Arial"/>
            <w:color w:val="0000FF"/>
            <w:sz w:val="22"/>
            <w:u w:val="single"/>
          </w:rPr>
          <w:t>Piiku</w:t>
        </w:r>
        <w:proofErr w:type="spellEnd"/>
        <w:r w:rsidR="00483DA0" w:rsidRPr="00550A67">
          <w:rPr>
            <w:rFonts w:ascii="Arial" w:hAnsi="Arial" w:cs="Arial"/>
            <w:color w:val="0000FF"/>
            <w:sz w:val="22"/>
            <w:u w:val="single"/>
          </w:rPr>
          <w:t xml:space="preserve"> Pakkanen, Arja Häggman-Laitila, Miko Pasanen, Mari Kangasniemi, 2024</w:t>
        </w:r>
      </w:hyperlink>
      <w:r w:rsidR="002E24E2" w:rsidRPr="00550A67">
        <w:rPr>
          <w:rFonts w:ascii="Arial" w:hAnsi="Arial" w:cs="Arial"/>
          <w:sz w:val="22"/>
        </w:rPr>
        <w:t>(Accessed: 13 November 2025</w:t>
      </w:r>
      <w:r w:rsidR="00535EFC" w:rsidRPr="00550A67">
        <w:rPr>
          <w:rFonts w:ascii="Arial" w:hAnsi="Arial" w:cs="Arial"/>
          <w:sz w:val="22"/>
        </w:rPr>
        <w:t>)</w:t>
      </w:r>
      <w:r w:rsidR="00E941A1" w:rsidRPr="00550A67">
        <w:rPr>
          <w:rFonts w:ascii="Arial" w:hAnsi="Arial" w:cs="Arial"/>
          <w:sz w:val="22"/>
        </w:rPr>
        <w:t>.</w:t>
      </w:r>
    </w:p>
    <w:p w14:paraId="3B8ACEAA" w14:textId="7C731C47" w:rsidR="00E941A1" w:rsidRPr="00550A67" w:rsidRDefault="00E941A1" w:rsidP="00550A67">
      <w:pPr>
        <w:spacing w:line="360" w:lineRule="auto"/>
        <w:jc w:val="both"/>
        <w:rPr>
          <w:rFonts w:ascii="Arial" w:hAnsi="Arial" w:cs="Arial"/>
          <w:sz w:val="22"/>
        </w:rPr>
      </w:pPr>
      <w:r w:rsidRPr="00550A67">
        <w:rPr>
          <w:rFonts w:ascii="Arial" w:hAnsi="Arial" w:cs="Arial"/>
          <w:sz w:val="22"/>
          <w:shd w:val="clear" w:color="auto" w:fill="FFFFFF"/>
        </w:rPr>
        <w:t>Rochat, S. and Borgen, W. A. (2021)</w:t>
      </w:r>
      <w:r w:rsidR="000E615C" w:rsidRPr="00550A67">
        <w:rPr>
          <w:rFonts w:ascii="Arial" w:hAnsi="Arial" w:cs="Arial"/>
          <w:sz w:val="22"/>
          <w:shd w:val="clear" w:color="auto" w:fill="FFFFFF"/>
        </w:rPr>
        <w:t>.</w:t>
      </w:r>
      <w:r w:rsidRPr="00550A67">
        <w:rPr>
          <w:rFonts w:ascii="Arial" w:hAnsi="Arial" w:cs="Arial"/>
          <w:sz w:val="22"/>
          <w:shd w:val="clear" w:color="auto" w:fill="FFFFFF"/>
        </w:rPr>
        <w:t> </w:t>
      </w:r>
      <w:r w:rsidRPr="00550A67">
        <w:rPr>
          <w:rFonts w:ascii="Arial" w:hAnsi="Arial" w:cs="Arial"/>
          <w:i/>
          <w:iCs/>
          <w:sz w:val="22"/>
          <w:shd w:val="clear" w:color="auto" w:fill="FFFFFF"/>
        </w:rPr>
        <w:t>British Journal of Guidance &amp; Counselling</w:t>
      </w:r>
      <w:r w:rsidRPr="00550A67">
        <w:rPr>
          <w:rFonts w:ascii="Arial" w:hAnsi="Arial" w:cs="Arial"/>
          <w:sz w:val="22"/>
          <w:shd w:val="clear" w:color="auto" w:fill="FFFFFF"/>
        </w:rPr>
        <w:t xml:space="preserve">, 51(2), pp. 298–309. </w:t>
      </w:r>
      <w:r w:rsidR="009B6B21" w:rsidRPr="00550A67">
        <w:rPr>
          <w:rFonts w:ascii="Arial" w:hAnsi="Arial" w:cs="Arial"/>
          <w:sz w:val="22"/>
          <w:shd w:val="clear" w:color="auto" w:fill="FFFFFF"/>
        </w:rPr>
        <w:t>Available at</w:t>
      </w:r>
      <w:r w:rsidRPr="00550A67">
        <w:rPr>
          <w:rFonts w:ascii="Arial" w:hAnsi="Arial" w:cs="Arial"/>
          <w:sz w:val="22"/>
          <w:shd w:val="clear" w:color="auto" w:fill="FFFFFF"/>
        </w:rPr>
        <w:t xml:space="preserve">: </w:t>
      </w:r>
      <w:hyperlink r:id="rId33" w:anchor="abstract" w:history="1">
        <w:r w:rsidR="006A60F5" w:rsidRPr="00550A67">
          <w:rPr>
            <w:rFonts w:ascii="Arial" w:hAnsi="Arial" w:cs="Arial"/>
            <w:color w:val="0000FF"/>
            <w:sz w:val="22"/>
            <w:u w:val="single"/>
          </w:rPr>
          <w:t>Full article: Career life as a game: an overlooked metaphor for successful career transitions</w:t>
        </w:r>
      </w:hyperlink>
      <w:r w:rsidR="00BC0006" w:rsidRPr="00550A67">
        <w:rPr>
          <w:rFonts w:ascii="Arial" w:hAnsi="Arial" w:cs="Arial"/>
          <w:sz w:val="22"/>
        </w:rPr>
        <w:t xml:space="preserve"> (Accessed: </w:t>
      </w:r>
      <w:r w:rsidR="0058539F" w:rsidRPr="00550A67">
        <w:rPr>
          <w:rFonts w:ascii="Arial" w:hAnsi="Arial" w:cs="Arial"/>
          <w:sz w:val="22"/>
        </w:rPr>
        <w:t>24 November 2025).</w:t>
      </w:r>
    </w:p>
    <w:p w14:paraId="21194997" w14:textId="2ECB38AD" w:rsidR="00CE35DE" w:rsidRPr="00550A67" w:rsidRDefault="00CE35DE" w:rsidP="00550A67">
      <w:pPr>
        <w:spacing w:before="100" w:beforeAutospacing="1" w:after="100" w:afterAutospacing="1" w:line="360" w:lineRule="auto"/>
        <w:jc w:val="both"/>
        <w:rPr>
          <w:rFonts w:ascii="Arial" w:eastAsia="Times New Roman" w:hAnsi="Arial" w:cs="Arial"/>
          <w:sz w:val="22"/>
          <w:lang w:eastAsia="en-GB"/>
        </w:rPr>
      </w:pPr>
      <w:r w:rsidRPr="00550A67">
        <w:rPr>
          <w:rFonts w:ascii="Arial" w:eastAsia="Times New Roman" w:hAnsi="Arial" w:cs="Arial"/>
          <w:sz w:val="22"/>
          <w:lang w:eastAsia="en-GB"/>
        </w:rPr>
        <w:t xml:space="preserve">Tomlinson, M. (2017) ‘Forms of graduate capital and their relationship to graduate employability’, </w:t>
      </w:r>
      <w:r w:rsidRPr="00550A67">
        <w:rPr>
          <w:rFonts w:ascii="Arial" w:eastAsia="Times New Roman" w:hAnsi="Arial" w:cs="Arial"/>
          <w:i/>
          <w:iCs/>
          <w:sz w:val="22"/>
          <w:lang w:eastAsia="en-GB"/>
        </w:rPr>
        <w:t>Education + Training</w:t>
      </w:r>
      <w:r w:rsidRPr="00550A67">
        <w:rPr>
          <w:rFonts w:ascii="Arial" w:eastAsia="Times New Roman" w:hAnsi="Arial" w:cs="Arial"/>
          <w:sz w:val="22"/>
          <w:lang w:eastAsia="en-GB"/>
        </w:rPr>
        <w:t xml:space="preserve">, 59(4), pp. 338–352. </w:t>
      </w:r>
      <w:r w:rsidR="00C8655B" w:rsidRPr="00550A67">
        <w:rPr>
          <w:rFonts w:ascii="Arial" w:eastAsia="Times New Roman" w:hAnsi="Arial" w:cs="Arial"/>
          <w:sz w:val="22"/>
          <w:lang w:eastAsia="en-GB"/>
        </w:rPr>
        <w:t xml:space="preserve">Available at: </w:t>
      </w:r>
      <w:hyperlink r:id="rId34" w:history="1">
        <w:r w:rsidR="008D4E02" w:rsidRPr="00550A67">
          <w:rPr>
            <w:rFonts w:ascii="Arial" w:hAnsi="Arial" w:cs="Arial"/>
            <w:color w:val="0000FF"/>
            <w:sz w:val="22"/>
            <w:u w:val="single"/>
          </w:rPr>
          <w:t>Forms of graduate capital and their relationship to graduate employability | Education + Training | Emerald Publishing</w:t>
        </w:r>
      </w:hyperlink>
      <w:r w:rsidR="002E3379" w:rsidRPr="00550A67">
        <w:rPr>
          <w:rFonts w:ascii="Arial" w:eastAsia="Times New Roman" w:hAnsi="Arial" w:cs="Arial"/>
          <w:sz w:val="22"/>
          <w:lang w:eastAsia="en-GB"/>
        </w:rPr>
        <w:t xml:space="preserve"> (Accessed: 7 November 2025)</w:t>
      </w:r>
      <w:r w:rsidR="003762A4" w:rsidRPr="00550A67">
        <w:rPr>
          <w:rFonts w:ascii="Arial" w:eastAsia="Times New Roman" w:hAnsi="Arial" w:cs="Arial"/>
          <w:sz w:val="22"/>
          <w:lang w:eastAsia="en-GB"/>
        </w:rPr>
        <w:t>.</w:t>
      </w:r>
    </w:p>
    <w:p w14:paraId="2EE35637" w14:textId="2BE5239B" w:rsidR="007D6AAC" w:rsidRPr="00550A67" w:rsidRDefault="00981688" w:rsidP="00550A67">
      <w:pPr>
        <w:spacing w:before="100" w:beforeAutospacing="1" w:after="100" w:afterAutospacing="1" w:line="360" w:lineRule="auto"/>
        <w:jc w:val="both"/>
        <w:rPr>
          <w:rFonts w:ascii="Arial" w:eastAsia="Times New Roman" w:hAnsi="Arial" w:cs="Arial"/>
          <w:sz w:val="22"/>
          <w:lang w:eastAsia="en-GB"/>
        </w:rPr>
      </w:pPr>
      <w:proofErr w:type="spellStart"/>
      <w:r w:rsidRPr="00550A67">
        <w:rPr>
          <w:rFonts w:ascii="Arial" w:hAnsi="Arial" w:cs="Arial"/>
          <w:sz w:val="22"/>
        </w:rPr>
        <w:t>Xyrichis</w:t>
      </w:r>
      <w:proofErr w:type="spellEnd"/>
      <w:r w:rsidRPr="00550A67">
        <w:rPr>
          <w:rFonts w:ascii="Arial" w:hAnsi="Arial" w:cs="Arial"/>
          <w:sz w:val="22"/>
        </w:rPr>
        <w:t xml:space="preserve">, A., Low, L., Reeves, S., </w:t>
      </w:r>
      <w:proofErr w:type="spellStart"/>
      <w:r w:rsidRPr="00550A67">
        <w:rPr>
          <w:rFonts w:ascii="Arial" w:hAnsi="Arial" w:cs="Arial"/>
          <w:sz w:val="22"/>
        </w:rPr>
        <w:t>Zwarenstein</w:t>
      </w:r>
      <w:proofErr w:type="spellEnd"/>
      <w:r w:rsidRPr="00550A67">
        <w:rPr>
          <w:rFonts w:ascii="Arial" w:hAnsi="Arial" w:cs="Arial"/>
          <w:sz w:val="22"/>
        </w:rPr>
        <w:t xml:space="preserve">, M. &amp; Fulop, N.J. (2024) ‘Revisiting the definition of interprofessional practice: an international Delphi study’, </w:t>
      </w:r>
      <w:r w:rsidRPr="00550A67">
        <w:rPr>
          <w:rStyle w:val="Emphasis"/>
          <w:rFonts w:ascii="Arial" w:hAnsi="Arial" w:cs="Arial"/>
          <w:sz w:val="22"/>
        </w:rPr>
        <w:t>Journal of Interprofessional Care</w:t>
      </w:r>
      <w:r w:rsidRPr="00550A67">
        <w:rPr>
          <w:rFonts w:ascii="Arial" w:hAnsi="Arial" w:cs="Arial"/>
          <w:sz w:val="22"/>
        </w:rPr>
        <w:t>, 38(6), pp. 771–779.</w:t>
      </w:r>
      <w:r w:rsidR="008B3E53" w:rsidRPr="00550A67">
        <w:rPr>
          <w:rFonts w:ascii="Arial" w:hAnsi="Arial" w:cs="Arial"/>
          <w:sz w:val="22"/>
        </w:rPr>
        <w:t xml:space="preserve"> </w:t>
      </w:r>
      <w:r w:rsidRPr="00550A67">
        <w:rPr>
          <w:rFonts w:ascii="Arial" w:hAnsi="Arial" w:cs="Arial"/>
          <w:sz w:val="22"/>
        </w:rPr>
        <w:t xml:space="preserve">Available at: </w:t>
      </w:r>
      <w:hyperlink r:id="rId35" w:history="1">
        <w:r w:rsidR="008B3E53" w:rsidRPr="00550A67">
          <w:rPr>
            <w:rFonts w:ascii="Arial" w:hAnsi="Arial" w:cs="Arial"/>
            <w:color w:val="0000FF"/>
            <w:sz w:val="22"/>
            <w:u w:val="single"/>
          </w:rPr>
          <w:t>Understanding integrated care</w:t>
        </w:r>
      </w:hyperlink>
      <w:r w:rsidR="008B3E53" w:rsidRPr="00550A67">
        <w:rPr>
          <w:rFonts w:ascii="Arial" w:hAnsi="Arial" w:cs="Arial"/>
          <w:sz w:val="22"/>
        </w:rPr>
        <w:t xml:space="preserve"> </w:t>
      </w:r>
      <w:r w:rsidRPr="00550A67">
        <w:rPr>
          <w:rFonts w:ascii="Arial" w:hAnsi="Arial" w:cs="Arial"/>
          <w:sz w:val="22"/>
        </w:rPr>
        <w:t>(Accessed: 13 November 2025).</w:t>
      </w:r>
    </w:p>
    <w:p w14:paraId="7AE50AAA" w14:textId="7C77025E" w:rsidR="004A3097" w:rsidRPr="00550A67" w:rsidRDefault="004A3097" w:rsidP="00550A67">
      <w:pPr>
        <w:spacing w:before="100" w:beforeAutospacing="1" w:after="100" w:afterAutospacing="1" w:line="360" w:lineRule="auto"/>
        <w:jc w:val="both"/>
        <w:rPr>
          <w:rFonts w:ascii="Arial" w:eastAsia="Times New Roman" w:hAnsi="Arial" w:cs="Arial"/>
          <w:sz w:val="22"/>
          <w:lang w:eastAsia="en-GB"/>
        </w:rPr>
      </w:pPr>
      <w:r w:rsidRPr="00550A67">
        <w:rPr>
          <w:rFonts w:ascii="Arial" w:hAnsi="Arial" w:cs="Arial"/>
          <w:sz w:val="22"/>
        </w:rPr>
        <w:t xml:space="preserve">Van de Velde, D., </w:t>
      </w:r>
      <w:proofErr w:type="spellStart"/>
      <w:r w:rsidRPr="00550A67">
        <w:rPr>
          <w:rFonts w:ascii="Arial" w:hAnsi="Arial" w:cs="Arial"/>
          <w:sz w:val="22"/>
        </w:rPr>
        <w:t>Boeykens</w:t>
      </w:r>
      <w:proofErr w:type="spellEnd"/>
      <w:r w:rsidRPr="00550A67">
        <w:rPr>
          <w:rFonts w:ascii="Arial" w:hAnsi="Arial" w:cs="Arial"/>
          <w:sz w:val="22"/>
        </w:rPr>
        <w:t xml:space="preserve">, D., </w:t>
      </w:r>
      <w:proofErr w:type="spellStart"/>
      <w:r w:rsidRPr="00550A67">
        <w:rPr>
          <w:rFonts w:ascii="Arial" w:hAnsi="Arial" w:cs="Arial"/>
          <w:sz w:val="22"/>
        </w:rPr>
        <w:t>Gauwe</w:t>
      </w:r>
      <w:proofErr w:type="spellEnd"/>
      <w:r w:rsidRPr="00550A67">
        <w:rPr>
          <w:rFonts w:ascii="Arial" w:hAnsi="Arial" w:cs="Arial"/>
          <w:sz w:val="22"/>
        </w:rPr>
        <w:t xml:space="preserve">, V. </w:t>
      </w:r>
      <w:r w:rsidRPr="00550A67">
        <w:rPr>
          <w:rStyle w:val="Emphasis"/>
          <w:rFonts w:ascii="Arial" w:hAnsi="Arial" w:cs="Arial"/>
          <w:sz w:val="22"/>
        </w:rPr>
        <w:t>et al.</w:t>
      </w:r>
      <w:r w:rsidRPr="00550A67">
        <w:rPr>
          <w:rFonts w:ascii="Arial" w:hAnsi="Arial" w:cs="Arial"/>
          <w:sz w:val="22"/>
        </w:rPr>
        <w:t xml:space="preserve"> (2025). </w:t>
      </w:r>
      <w:hyperlink r:id="rId36" w:history="1">
        <w:r w:rsidR="00035034" w:rsidRPr="00550A67">
          <w:rPr>
            <w:rFonts w:ascii="Arial" w:hAnsi="Arial" w:cs="Arial"/>
            <w:color w:val="0000FF"/>
            <w:sz w:val="22"/>
            <w:u w:val="single"/>
          </w:rPr>
          <w:t xml:space="preserve">Goals should be defined as CLEVER before specifying them into SMART goals: A phenomenological hermeneutical study to facilitate the implementation of goal-oriented care in primary care - Dominique Van de Velde, </w:t>
        </w:r>
        <w:proofErr w:type="spellStart"/>
        <w:r w:rsidR="00035034" w:rsidRPr="00550A67">
          <w:rPr>
            <w:rFonts w:ascii="Arial" w:hAnsi="Arial" w:cs="Arial"/>
            <w:color w:val="0000FF"/>
            <w:sz w:val="22"/>
            <w:u w:val="single"/>
          </w:rPr>
          <w:t>Dagje</w:t>
        </w:r>
        <w:proofErr w:type="spellEnd"/>
        <w:r w:rsidR="00035034" w:rsidRPr="00550A67">
          <w:rPr>
            <w:rFonts w:ascii="Arial" w:hAnsi="Arial" w:cs="Arial"/>
            <w:color w:val="0000FF"/>
            <w:sz w:val="22"/>
            <w:u w:val="single"/>
          </w:rPr>
          <w:t xml:space="preserve"> </w:t>
        </w:r>
        <w:proofErr w:type="spellStart"/>
        <w:r w:rsidR="00035034" w:rsidRPr="00550A67">
          <w:rPr>
            <w:rFonts w:ascii="Arial" w:hAnsi="Arial" w:cs="Arial"/>
            <w:color w:val="0000FF"/>
            <w:sz w:val="22"/>
            <w:u w:val="single"/>
          </w:rPr>
          <w:t>Boeykens</w:t>
        </w:r>
        <w:proofErr w:type="spellEnd"/>
        <w:r w:rsidR="00035034" w:rsidRPr="00550A67">
          <w:rPr>
            <w:rFonts w:ascii="Arial" w:hAnsi="Arial" w:cs="Arial"/>
            <w:color w:val="0000FF"/>
            <w:sz w:val="22"/>
            <w:u w:val="single"/>
          </w:rPr>
          <w:t>, Vanessa Gauwe, Greet Steyaert, Liesbeth Ryssen, Mike Jarrey, Pauline Boeckxstaens, Peter Pype, Patricia De Vriendt, 2025</w:t>
        </w:r>
      </w:hyperlink>
      <w:r w:rsidRPr="00550A67">
        <w:rPr>
          <w:rFonts w:ascii="Arial" w:hAnsi="Arial" w:cs="Arial"/>
          <w:sz w:val="22"/>
        </w:rPr>
        <w:t>.</w:t>
      </w:r>
      <w:r w:rsidR="00C02A05" w:rsidRPr="00550A67">
        <w:rPr>
          <w:rFonts w:ascii="Arial" w:hAnsi="Arial" w:cs="Arial"/>
          <w:sz w:val="22"/>
        </w:rPr>
        <w:t xml:space="preserve"> </w:t>
      </w:r>
      <w:r w:rsidRPr="00550A67">
        <w:rPr>
          <w:rFonts w:ascii="Arial" w:hAnsi="Arial" w:cs="Arial"/>
          <w:sz w:val="22"/>
        </w:rPr>
        <w:t>(</w:t>
      </w:r>
      <w:r w:rsidR="00D369D5" w:rsidRPr="00550A67">
        <w:rPr>
          <w:rFonts w:ascii="Arial" w:hAnsi="Arial" w:cs="Arial"/>
          <w:sz w:val="22"/>
        </w:rPr>
        <w:t>Accessed: 13 November 2025)</w:t>
      </w:r>
      <w:r w:rsidR="00C02A05" w:rsidRPr="00550A67">
        <w:rPr>
          <w:rFonts w:ascii="Arial" w:hAnsi="Arial" w:cs="Arial"/>
          <w:sz w:val="22"/>
        </w:rPr>
        <w:t>.</w:t>
      </w:r>
    </w:p>
    <w:p w14:paraId="120D5991" w14:textId="77777777" w:rsidR="00CE35DE" w:rsidRPr="00550A67" w:rsidRDefault="00CE35DE" w:rsidP="00550A67">
      <w:pPr>
        <w:spacing w:line="360" w:lineRule="auto"/>
        <w:jc w:val="both"/>
        <w:rPr>
          <w:rFonts w:ascii="Arial" w:hAnsi="Arial" w:cs="Arial"/>
          <w:sz w:val="22"/>
        </w:rPr>
      </w:pPr>
    </w:p>
    <w:p w14:paraId="0C8DF322" w14:textId="77777777" w:rsidR="00663C23" w:rsidRPr="00550A67" w:rsidRDefault="00663C23" w:rsidP="00550A67">
      <w:pPr>
        <w:spacing w:line="360" w:lineRule="auto"/>
        <w:jc w:val="both"/>
        <w:rPr>
          <w:rFonts w:ascii="Arial" w:hAnsi="Arial" w:cs="Arial"/>
          <w:sz w:val="22"/>
        </w:rPr>
      </w:pPr>
    </w:p>
    <w:p w14:paraId="25F6A697" w14:textId="77777777" w:rsidR="005A2BC0" w:rsidRPr="00550A67" w:rsidRDefault="005A2BC0" w:rsidP="00550A67">
      <w:pPr>
        <w:spacing w:line="360" w:lineRule="auto"/>
        <w:jc w:val="both"/>
        <w:rPr>
          <w:rFonts w:ascii="Arial" w:hAnsi="Arial" w:cs="Arial"/>
          <w:sz w:val="22"/>
        </w:rPr>
      </w:pPr>
    </w:p>
    <w:p w14:paraId="496AB27D" w14:textId="77777777" w:rsidR="002A474C" w:rsidRPr="00550A67" w:rsidRDefault="002A474C" w:rsidP="00550A67">
      <w:pPr>
        <w:spacing w:line="360" w:lineRule="auto"/>
        <w:jc w:val="both"/>
        <w:rPr>
          <w:rFonts w:ascii="Arial" w:hAnsi="Arial" w:cs="Arial"/>
          <w:sz w:val="22"/>
        </w:rPr>
      </w:pPr>
    </w:p>
    <w:sectPr w:rsidR="002A474C" w:rsidRPr="00550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7E"/>
    <w:rsid w:val="00004132"/>
    <w:rsid w:val="00006F12"/>
    <w:rsid w:val="000132F1"/>
    <w:rsid w:val="00017F23"/>
    <w:rsid w:val="00027274"/>
    <w:rsid w:val="00030F70"/>
    <w:rsid w:val="00035034"/>
    <w:rsid w:val="000356F7"/>
    <w:rsid w:val="00040212"/>
    <w:rsid w:val="000562E8"/>
    <w:rsid w:val="00061E48"/>
    <w:rsid w:val="00062873"/>
    <w:rsid w:val="00074CBB"/>
    <w:rsid w:val="00081E85"/>
    <w:rsid w:val="0008528F"/>
    <w:rsid w:val="00090916"/>
    <w:rsid w:val="00092A43"/>
    <w:rsid w:val="00092E1E"/>
    <w:rsid w:val="00096F47"/>
    <w:rsid w:val="000A6EB7"/>
    <w:rsid w:val="000C2A9C"/>
    <w:rsid w:val="000C47F1"/>
    <w:rsid w:val="000D312D"/>
    <w:rsid w:val="000D792F"/>
    <w:rsid w:val="000E013D"/>
    <w:rsid w:val="000E1B79"/>
    <w:rsid w:val="000E5CB2"/>
    <w:rsid w:val="000E615C"/>
    <w:rsid w:val="000F5E0A"/>
    <w:rsid w:val="00102334"/>
    <w:rsid w:val="00106051"/>
    <w:rsid w:val="001131AA"/>
    <w:rsid w:val="00117374"/>
    <w:rsid w:val="0013223E"/>
    <w:rsid w:val="00133E99"/>
    <w:rsid w:val="00145171"/>
    <w:rsid w:val="0015742B"/>
    <w:rsid w:val="001611B0"/>
    <w:rsid w:val="0016373D"/>
    <w:rsid w:val="0016608F"/>
    <w:rsid w:val="001679C1"/>
    <w:rsid w:val="00170AFB"/>
    <w:rsid w:val="00174305"/>
    <w:rsid w:val="00177B10"/>
    <w:rsid w:val="001826E0"/>
    <w:rsid w:val="0018284E"/>
    <w:rsid w:val="00195242"/>
    <w:rsid w:val="001A0D53"/>
    <w:rsid w:val="001C51C1"/>
    <w:rsid w:val="001C541C"/>
    <w:rsid w:val="001C5C44"/>
    <w:rsid w:val="001E0C92"/>
    <w:rsid w:val="001E18A5"/>
    <w:rsid w:val="001E7132"/>
    <w:rsid w:val="001F3E4E"/>
    <w:rsid w:val="002076B2"/>
    <w:rsid w:val="00213B9E"/>
    <w:rsid w:val="00221A35"/>
    <w:rsid w:val="00221B2E"/>
    <w:rsid w:val="0022223F"/>
    <w:rsid w:val="00242335"/>
    <w:rsid w:val="00247627"/>
    <w:rsid w:val="002530A3"/>
    <w:rsid w:val="002615EA"/>
    <w:rsid w:val="002713FC"/>
    <w:rsid w:val="00273692"/>
    <w:rsid w:val="00273DF5"/>
    <w:rsid w:val="002807C1"/>
    <w:rsid w:val="002867AF"/>
    <w:rsid w:val="002875C4"/>
    <w:rsid w:val="00292914"/>
    <w:rsid w:val="00293630"/>
    <w:rsid w:val="002945EB"/>
    <w:rsid w:val="00295414"/>
    <w:rsid w:val="002A2AB2"/>
    <w:rsid w:val="002A474C"/>
    <w:rsid w:val="002A5E53"/>
    <w:rsid w:val="002B7A8C"/>
    <w:rsid w:val="002C02D7"/>
    <w:rsid w:val="002C6A4F"/>
    <w:rsid w:val="002D055A"/>
    <w:rsid w:val="002D7EFF"/>
    <w:rsid w:val="002E24E2"/>
    <w:rsid w:val="002E3379"/>
    <w:rsid w:val="002F0943"/>
    <w:rsid w:val="00304A3F"/>
    <w:rsid w:val="003131E5"/>
    <w:rsid w:val="003137F3"/>
    <w:rsid w:val="003161AF"/>
    <w:rsid w:val="00327B39"/>
    <w:rsid w:val="003353AB"/>
    <w:rsid w:val="00341275"/>
    <w:rsid w:val="00351D5B"/>
    <w:rsid w:val="00351DE1"/>
    <w:rsid w:val="00351F2C"/>
    <w:rsid w:val="003535A8"/>
    <w:rsid w:val="00353C5C"/>
    <w:rsid w:val="00357E5E"/>
    <w:rsid w:val="00361A25"/>
    <w:rsid w:val="003622FD"/>
    <w:rsid w:val="00363CB3"/>
    <w:rsid w:val="00365B31"/>
    <w:rsid w:val="00367268"/>
    <w:rsid w:val="003736DD"/>
    <w:rsid w:val="00375038"/>
    <w:rsid w:val="003762A4"/>
    <w:rsid w:val="003800DD"/>
    <w:rsid w:val="00380FEC"/>
    <w:rsid w:val="00383C03"/>
    <w:rsid w:val="00391D41"/>
    <w:rsid w:val="003A0711"/>
    <w:rsid w:val="003A09B4"/>
    <w:rsid w:val="003A3BE3"/>
    <w:rsid w:val="003A4414"/>
    <w:rsid w:val="003A54C1"/>
    <w:rsid w:val="003B3760"/>
    <w:rsid w:val="003C0058"/>
    <w:rsid w:val="003C081A"/>
    <w:rsid w:val="003C1EC2"/>
    <w:rsid w:val="003D5DB1"/>
    <w:rsid w:val="003D67DD"/>
    <w:rsid w:val="003E3CA5"/>
    <w:rsid w:val="003E3F22"/>
    <w:rsid w:val="003F0057"/>
    <w:rsid w:val="003F51D9"/>
    <w:rsid w:val="003F5331"/>
    <w:rsid w:val="003F5546"/>
    <w:rsid w:val="00407AAE"/>
    <w:rsid w:val="00433DE1"/>
    <w:rsid w:val="0043493D"/>
    <w:rsid w:val="004370FE"/>
    <w:rsid w:val="00441E0D"/>
    <w:rsid w:val="00442757"/>
    <w:rsid w:val="00444649"/>
    <w:rsid w:val="00447A6E"/>
    <w:rsid w:val="0045141B"/>
    <w:rsid w:val="00460B95"/>
    <w:rsid w:val="00467F6F"/>
    <w:rsid w:val="00483DA0"/>
    <w:rsid w:val="0049530E"/>
    <w:rsid w:val="00496EFE"/>
    <w:rsid w:val="004A3097"/>
    <w:rsid w:val="004A4534"/>
    <w:rsid w:val="004A5E65"/>
    <w:rsid w:val="004B3938"/>
    <w:rsid w:val="004C589D"/>
    <w:rsid w:val="004C5CE5"/>
    <w:rsid w:val="004D1AFF"/>
    <w:rsid w:val="004D1E75"/>
    <w:rsid w:val="004D761C"/>
    <w:rsid w:val="004E20A1"/>
    <w:rsid w:val="004E2B41"/>
    <w:rsid w:val="004E7240"/>
    <w:rsid w:val="004F4B48"/>
    <w:rsid w:val="004F571F"/>
    <w:rsid w:val="004F748F"/>
    <w:rsid w:val="00501838"/>
    <w:rsid w:val="00507BBC"/>
    <w:rsid w:val="005113D5"/>
    <w:rsid w:val="00512E27"/>
    <w:rsid w:val="005209F2"/>
    <w:rsid w:val="00521A8A"/>
    <w:rsid w:val="00521C3F"/>
    <w:rsid w:val="005244A9"/>
    <w:rsid w:val="00525B5E"/>
    <w:rsid w:val="005333BA"/>
    <w:rsid w:val="00535EFC"/>
    <w:rsid w:val="00543261"/>
    <w:rsid w:val="005435FE"/>
    <w:rsid w:val="0054375E"/>
    <w:rsid w:val="00546960"/>
    <w:rsid w:val="00550A67"/>
    <w:rsid w:val="0056132D"/>
    <w:rsid w:val="00563921"/>
    <w:rsid w:val="00566B11"/>
    <w:rsid w:val="005706DE"/>
    <w:rsid w:val="005730B5"/>
    <w:rsid w:val="005851E4"/>
    <w:rsid w:val="0058539F"/>
    <w:rsid w:val="00591D08"/>
    <w:rsid w:val="005929F1"/>
    <w:rsid w:val="00595C2E"/>
    <w:rsid w:val="005968FC"/>
    <w:rsid w:val="005A2BC0"/>
    <w:rsid w:val="005A7016"/>
    <w:rsid w:val="005C52A4"/>
    <w:rsid w:val="005C70AF"/>
    <w:rsid w:val="005D60D2"/>
    <w:rsid w:val="005F546C"/>
    <w:rsid w:val="005F61B5"/>
    <w:rsid w:val="006025E8"/>
    <w:rsid w:val="00603F47"/>
    <w:rsid w:val="00613BED"/>
    <w:rsid w:val="0062074D"/>
    <w:rsid w:val="00624598"/>
    <w:rsid w:val="00626A9C"/>
    <w:rsid w:val="00630086"/>
    <w:rsid w:val="00636460"/>
    <w:rsid w:val="00640D5E"/>
    <w:rsid w:val="006421FB"/>
    <w:rsid w:val="00643016"/>
    <w:rsid w:val="00645664"/>
    <w:rsid w:val="00652F6A"/>
    <w:rsid w:val="00657004"/>
    <w:rsid w:val="00657D95"/>
    <w:rsid w:val="00663C23"/>
    <w:rsid w:val="00670138"/>
    <w:rsid w:val="006722E0"/>
    <w:rsid w:val="00677FB0"/>
    <w:rsid w:val="00680CC6"/>
    <w:rsid w:val="00683152"/>
    <w:rsid w:val="00684274"/>
    <w:rsid w:val="00686DD9"/>
    <w:rsid w:val="00690AD9"/>
    <w:rsid w:val="00692831"/>
    <w:rsid w:val="006A2469"/>
    <w:rsid w:val="006A24F7"/>
    <w:rsid w:val="006A60F5"/>
    <w:rsid w:val="006B2D81"/>
    <w:rsid w:val="006B5A54"/>
    <w:rsid w:val="006C17E9"/>
    <w:rsid w:val="006C622B"/>
    <w:rsid w:val="006C6A52"/>
    <w:rsid w:val="006D0D1F"/>
    <w:rsid w:val="006D74BA"/>
    <w:rsid w:val="006E67F5"/>
    <w:rsid w:val="007052DE"/>
    <w:rsid w:val="00722234"/>
    <w:rsid w:val="00733581"/>
    <w:rsid w:val="007347AB"/>
    <w:rsid w:val="0073775A"/>
    <w:rsid w:val="00740003"/>
    <w:rsid w:val="0074294C"/>
    <w:rsid w:val="0075582F"/>
    <w:rsid w:val="007566A8"/>
    <w:rsid w:val="007635CE"/>
    <w:rsid w:val="00764D0A"/>
    <w:rsid w:val="00766043"/>
    <w:rsid w:val="0077520C"/>
    <w:rsid w:val="007762AC"/>
    <w:rsid w:val="00783F5A"/>
    <w:rsid w:val="00786F26"/>
    <w:rsid w:val="00790750"/>
    <w:rsid w:val="0079476B"/>
    <w:rsid w:val="007953CE"/>
    <w:rsid w:val="007A2DE9"/>
    <w:rsid w:val="007B0399"/>
    <w:rsid w:val="007B24D8"/>
    <w:rsid w:val="007C7403"/>
    <w:rsid w:val="007D33EB"/>
    <w:rsid w:val="007D6AAC"/>
    <w:rsid w:val="007E4C67"/>
    <w:rsid w:val="007E5750"/>
    <w:rsid w:val="007F1BDC"/>
    <w:rsid w:val="00801105"/>
    <w:rsid w:val="008200EB"/>
    <w:rsid w:val="00820879"/>
    <w:rsid w:val="00840EE0"/>
    <w:rsid w:val="00870DF7"/>
    <w:rsid w:val="00875BB7"/>
    <w:rsid w:val="00883505"/>
    <w:rsid w:val="00886E2E"/>
    <w:rsid w:val="00887362"/>
    <w:rsid w:val="008918A4"/>
    <w:rsid w:val="008A0073"/>
    <w:rsid w:val="008A0C82"/>
    <w:rsid w:val="008A1A20"/>
    <w:rsid w:val="008B3E53"/>
    <w:rsid w:val="008B59E8"/>
    <w:rsid w:val="008B6834"/>
    <w:rsid w:val="008C1DB4"/>
    <w:rsid w:val="008C3B01"/>
    <w:rsid w:val="008C6C65"/>
    <w:rsid w:val="008D1155"/>
    <w:rsid w:val="008D38DB"/>
    <w:rsid w:val="008D433D"/>
    <w:rsid w:val="008D4E02"/>
    <w:rsid w:val="008E048B"/>
    <w:rsid w:val="008F42A3"/>
    <w:rsid w:val="00904BD9"/>
    <w:rsid w:val="00913016"/>
    <w:rsid w:val="00914419"/>
    <w:rsid w:val="009238F3"/>
    <w:rsid w:val="00927115"/>
    <w:rsid w:val="009276AF"/>
    <w:rsid w:val="009277C9"/>
    <w:rsid w:val="00941D80"/>
    <w:rsid w:val="009457BF"/>
    <w:rsid w:val="00950216"/>
    <w:rsid w:val="009511E2"/>
    <w:rsid w:val="00964BB1"/>
    <w:rsid w:val="009668BC"/>
    <w:rsid w:val="00966EF3"/>
    <w:rsid w:val="00970915"/>
    <w:rsid w:val="00974D7D"/>
    <w:rsid w:val="009776E3"/>
    <w:rsid w:val="00981688"/>
    <w:rsid w:val="0098699E"/>
    <w:rsid w:val="00987309"/>
    <w:rsid w:val="009A39AE"/>
    <w:rsid w:val="009A3B18"/>
    <w:rsid w:val="009A7227"/>
    <w:rsid w:val="009A798C"/>
    <w:rsid w:val="009B09E4"/>
    <w:rsid w:val="009B1177"/>
    <w:rsid w:val="009B3AFC"/>
    <w:rsid w:val="009B6B21"/>
    <w:rsid w:val="009B7FE0"/>
    <w:rsid w:val="009C0768"/>
    <w:rsid w:val="009C710E"/>
    <w:rsid w:val="009D3D38"/>
    <w:rsid w:val="009D76E4"/>
    <w:rsid w:val="009F3629"/>
    <w:rsid w:val="00A16D84"/>
    <w:rsid w:val="00A22223"/>
    <w:rsid w:val="00A24F98"/>
    <w:rsid w:val="00A36890"/>
    <w:rsid w:val="00A377F4"/>
    <w:rsid w:val="00A408BE"/>
    <w:rsid w:val="00A41958"/>
    <w:rsid w:val="00A47C0B"/>
    <w:rsid w:val="00A667C7"/>
    <w:rsid w:val="00A66D88"/>
    <w:rsid w:val="00A676C9"/>
    <w:rsid w:val="00A73D54"/>
    <w:rsid w:val="00A807DF"/>
    <w:rsid w:val="00A81AC1"/>
    <w:rsid w:val="00A82A3E"/>
    <w:rsid w:val="00A82D7E"/>
    <w:rsid w:val="00A84074"/>
    <w:rsid w:val="00AA2D30"/>
    <w:rsid w:val="00AA57E7"/>
    <w:rsid w:val="00AB30BD"/>
    <w:rsid w:val="00AB6D36"/>
    <w:rsid w:val="00AD3DCB"/>
    <w:rsid w:val="00AE4722"/>
    <w:rsid w:val="00AE5752"/>
    <w:rsid w:val="00AE6282"/>
    <w:rsid w:val="00AE6CD4"/>
    <w:rsid w:val="00B078A5"/>
    <w:rsid w:val="00B154A7"/>
    <w:rsid w:val="00B250C1"/>
    <w:rsid w:val="00B25613"/>
    <w:rsid w:val="00B314AC"/>
    <w:rsid w:val="00B32CAF"/>
    <w:rsid w:val="00B347F3"/>
    <w:rsid w:val="00B5508E"/>
    <w:rsid w:val="00B55512"/>
    <w:rsid w:val="00B60379"/>
    <w:rsid w:val="00B66AE5"/>
    <w:rsid w:val="00B67FE7"/>
    <w:rsid w:val="00B70B51"/>
    <w:rsid w:val="00B77768"/>
    <w:rsid w:val="00B84382"/>
    <w:rsid w:val="00B87603"/>
    <w:rsid w:val="00B9607C"/>
    <w:rsid w:val="00BA0B6B"/>
    <w:rsid w:val="00BA5685"/>
    <w:rsid w:val="00BA7692"/>
    <w:rsid w:val="00BB1A31"/>
    <w:rsid w:val="00BB3DAC"/>
    <w:rsid w:val="00BB516F"/>
    <w:rsid w:val="00BB57EB"/>
    <w:rsid w:val="00BB6B6B"/>
    <w:rsid w:val="00BC0006"/>
    <w:rsid w:val="00BC0F5B"/>
    <w:rsid w:val="00BD6056"/>
    <w:rsid w:val="00BE40D7"/>
    <w:rsid w:val="00BF6ABD"/>
    <w:rsid w:val="00BF7210"/>
    <w:rsid w:val="00C0034F"/>
    <w:rsid w:val="00C02A05"/>
    <w:rsid w:val="00C02CFD"/>
    <w:rsid w:val="00C10942"/>
    <w:rsid w:val="00C11998"/>
    <w:rsid w:val="00C272A6"/>
    <w:rsid w:val="00C32D9A"/>
    <w:rsid w:val="00C3498E"/>
    <w:rsid w:val="00C36DD7"/>
    <w:rsid w:val="00C418E5"/>
    <w:rsid w:val="00C46D99"/>
    <w:rsid w:val="00C550B3"/>
    <w:rsid w:val="00C611B4"/>
    <w:rsid w:val="00C65099"/>
    <w:rsid w:val="00C663E6"/>
    <w:rsid w:val="00C70036"/>
    <w:rsid w:val="00C74B40"/>
    <w:rsid w:val="00C80BC9"/>
    <w:rsid w:val="00C83791"/>
    <w:rsid w:val="00C845BB"/>
    <w:rsid w:val="00C86043"/>
    <w:rsid w:val="00C8655B"/>
    <w:rsid w:val="00C913A8"/>
    <w:rsid w:val="00C92430"/>
    <w:rsid w:val="00C92E85"/>
    <w:rsid w:val="00C95390"/>
    <w:rsid w:val="00CA0C21"/>
    <w:rsid w:val="00CA17EB"/>
    <w:rsid w:val="00CA26CF"/>
    <w:rsid w:val="00CA56E5"/>
    <w:rsid w:val="00CB2EFF"/>
    <w:rsid w:val="00CC6224"/>
    <w:rsid w:val="00CD1258"/>
    <w:rsid w:val="00CE0245"/>
    <w:rsid w:val="00CE18D0"/>
    <w:rsid w:val="00CE2BFE"/>
    <w:rsid w:val="00CE35DE"/>
    <w:rsid w:val="00CF3D9B"/>
    <w:rsid w:val="00D031CD"/>
    <w:rsid w:val="00D079E8"/>
    <w:rsid w:val="00D20893"/>
    <w:rsid w:val="00D22595"/>
    <w:rsid w:val="00D351A6"/>
    <w:rsid w:val="00D369D5"/>
    <w:rsid w:val="00D44CC2"/>
    <w:rsid w:val="00D729D5"/>
    <w:rsid w:val="00D73AE5"/>
    <w:rsid w:val="00D82A7B"/>
    <w:rsid w:val="00D90076"/>
    <w:rsid w:val="00D91932"/>
    <w:rsid w:val="00D93281"/>
    <w:rsid w:val="00D93BA6"/>
    <w:rsid w:val="00D9523F"/>
    <w:rsid w:val="00D955F9"/>
    <w:rsid w:val="00D96768"/>
    <w:rsid w:val="00D97E5B"/>
    <w:rsid w:val="00DA27AA"/>
    <w:rsid w:val="00DA3DA6"/>
    <w:rsid w:val="00DA511D"/>
    <w:rsid w:val="00DD219F"/>
    <w:rsid w:val="00DD45E3"/>
    <w:rsid w:val="00DE4278"/>
    <w:rsid w:val="00DF1459"/>
    <w:rsid w:val="00DF62EF"/>
    <w:rsid w:val="00DF7D81"/>
    <w:rsid w:val="00E0112D"/>
    <w:rsid w:val="00E02D9E"/>
    <w:rsid w:val="00E039ED"/>
    <w:rsid w:val="00E0569C"/>
    <w:rsid w:val="00E073E7"/>
    <w:rsid w:val="00E07AF1"/>
    <w:rsid w:val="00E2417E"/>
    <w:rsid w:val="00E27815"/>
    <w:rsid w:val="00E411A3"/>
    <w:rsid w:val="00E51525"/>
    <w:rsid w:val="00E55C64"/>
    <w:rsid w:val="00E678FD"/>
    <w:rsid w:val="00E712A2"/>
    <w:rsid w:val="00E73636"/>
    <w:rsid w:val="00E900CF"/>
    <w:rsid w:val="00E9281E"/>
    <w:rsid w:val="00E93CCD"/>
    <w:rsid w:val="00E941A1"/>
    <w:rsid w:val="00EA5CA9"/>
    <w:rsid w:val="00EB0D96"/>
    <w:rsid w:val="00EB154B"/>
    <w:rsid w:val="00EB35BE"/>
    <w:rsid w:val="00EC63DF"/>
    <w:rsid w:val="00ED0848"/>
    <w:rsid w:val="00ED40DA"/>
    <w:rsid w:val="00ED63F3"/>
    <w:rsid w:val="00EE7ACB"/>
    <w:rsid w:val="00EF393E"/>
    <w:rsid w:val="00F04647"/>
    <w:rsid w:val="00F16587"/>
    <w:rsid w:val="00F23B90"/>
    <w:rsid w:val="00F243D6"/>
    <w:rsid w:val="00F31314"/>
    <w:rsid w:val="00F36184"/>
    <w:rsid w:val="00F44DD7"/>
    <w:rsid w:val="00F46F45"/>
    <w:rsid w:val="00F503B4"/>
    <w:rsid w:val="00F568EF"/>
    <w:rsid w:val="00F73AD0"/>
    <w:rsid w:val="00F75126"/>
    <w:rsid w:val="00F75B85"/>
    <w:rsid w:val="00F77C5D"/>
    <w:rsid w:val="00F90874"/>
    <w:rsid w:val="00F90A97"/>
    <w:rsid w:val="00FA6879"/>
    <w:rsid w:val="00FB3FD8"/>
    <w:rsid w:val="00FB4934"/>
    <w:rsid w:val="00FB79FC"/>
    <w:rsid w:val="00FD71D4"/>
    <w:rsid w:val="00FE04CB"/>
    <w:rsid w:val="00FE6FD4"/>
    <w:rsid w:val="00FF5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AEF44"/>
  <w15:chartTrackingRefBased/>
  <w15:docId w15:val="{9F0F065C-C872-4CFD-B79E-C55C88304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D7E"/>
    <w:rPr>
      <w:rFonts w:ascii="Times New Roman" w:hAnsi="Times New Roman"/>
      <w:kern w:val="0"/>
      <w:sz w:val="24"/>
      <w14:ligatures w14:val="none"/>
    </w:rPr>
  </w:style>
  <w:style w:type="paragraph" w:styleId="Heading1">
    <w:name w:val="heading 1"/>
    <w:basedOn w:val="Normal"/>
    <w:next w:val="Normal"/>
    <w:link w:val="Heading1Char"/>
    <w:uiPriority w:val="9"/>
    <w:qFormat/>
    <w:rsid w:val="00A82D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82D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2D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2D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2D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2D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D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D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D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D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82D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2D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2D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2D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2D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D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D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D7E"/>
    <w:rPr>
      <w:rFonts w:eastAsiaTheme="majorEastAsia" w:cstheme="majorBidi"/>
      <w:color w:val="272727" w:themeColor="text1" w:themeTint="D8"/>
    </w:rPr>
  </w:style>
  <w:style w:type="paragraph" w:styleId="Title">
    <w:name w:val="Title"/>
    <w:basedOn w:val="Normal"/>
    <w:next w:val="Normal"/>
    <w:link w:val="TitleChar"/>
    <w:uiPriority w:val="10"/>
    <w:qFormat/>
    <w:rsid w:val="00A82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D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D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D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D7E"/>
    <w:pPr>
      <w:spacing w:before="160"/>
      <w:jc w:val="center"/>
    </w:pPr>
    <w:rPr>
      <w:i/>
      <w:iCs/>
      <w:color w:val="404040" w:themeColor="text1" w:themeTint="BF"/>
    </w:rPr>
  </w:style>
  <w:style w:type="character" w:customStyle="1" w:styleId="QuoteChar">
    <w:name w:val="Quote Char"/>
    <w:basedOn w:val="DefaultParagraphFont"/>
    <w:link w:val="Quote"/>
    <w:uiPriority w:val="29"/>
    <w:rsid w:val="00A82D7E"/>
    <w:rPr>
      <w:i/>
      <w:iCs/>
      <w:color w:val="404040" w:themeColor="text1" w:themeTint="BF"/>
    </w:rPr>
  </w:style>
  <w:style w:type="paragraph" w:styleId="ListParagraph">
    <w:name w:val="List Paragraph"/>
    <w:basedOn w:val="Normal"/>
    <w:uiPriority w:val="34"/>
    <w:qFormat/>
    <w:rsid w:val="00A82D7E"/>
    <w:pPr>
      <w:ind w:left="720"/>
      <w:contextualSpacing/>
    </w:pPr>
  </w:style>
  <w:style w:type="character" w:styleId="IntenseEmphasis">
    <w:name w:val="Intense Emphasis"/>
    <w:basedOn w:val="DefaultParagraphFont"/>
    <w:uiPriority w:val="21"/>
    <w:qFormat/>
    <w:rsid w:val="00A82D7E"/>
    <w:rPr>
      <w:i/>
      <w:iCs/>
      <w:color w:val="2F5496" w:themeColor="accent1" w:themeShade="BF"/>
    </w:rPr>
  </w:style>
  <w:style w:type="paragraph" w:styleId="IntenseQuote">
    <w:name w:val="Intense Quote"/>
    <w:basedOn w:val="Normal"/>
    <w:next w:val="Normal"/>
    <w:link w:val="IntenseQuoteChar"/>
    <w:uiPriority w:val="30"/>
    <w:qFormat/>
    <w:rsid w:val="00A82D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2D7E"/>
    <w:rPr>
      <w:i/>
      <w:iCs/>
      <w:color w:val="2F5496" w:themeColor="accent1" w:themeShade="BF"/>
    </w:rPr>
  </w:style>
  <w:style w:type="character" w:styleId="IntenseReference">
    <w:name w:val="Intense Reference"/>
    <w:basedOn w:val="DefaultParagraphFont"/>
    <w:uiPriority w:val="32"/>
    <w:qFormat/>
    <w:rsid w:val="00A82D7E"/>
    <w:rPr>
      <w:b/>
      <w:bCs/>
      <w:smallCaps/>
      <w:color w:val="2F5496" w:themeColor="accent1" w:themeShade="BF"/>
      <w:spacing w:val="5"/>
    </w:rPr>
  </w:style>
  <w:style w:type="paragraph" w:styleId="NormalWeb">
    <w:name w:val="Normal (Web)"/>
    <w:basedOn w:val="Normal"/>
    <w:uiPriority w:val="99"/>
    <w:semiHidden/>
    <w:unhideWhenUsed/>
    <w:rsid w:val="001C541C"/>
    <w:rPr>
      <w:rFonts w:cs="Times New Roman"/>
      <w:szCs w:val="24"/>
    </w:rPr>
  </w:style>
  <w:style w:type="paragraph" w:styleId="TOCHeading">
    <w:name w:val="TOC Heading"/>
    <w:basedOn w:val="Heading1"/>
    <w:next w:val="Normal"/>
    <w:uiPriority w:val="39"/>
    <w:unhideWhenUsed/>
    <w:qFormat/>
    <w:rsid w:val="00D93281"/>
    <w:pPr>
      <w:spacing w:before="240" w:after="0"/>
      <w:outlineLvl w:val="9"/>
    </w:pPr>
    <w:rPr>
      <w:sz w:val="32"/>
      <w:szCs w:val="32"/>
      <w:lang w:eastAsia="en-GB"/>
    </w:rPr>
  </w:style>
  <w:style w:type="paragraph" w:styleId="TOC1">
    <w:name w:val="toc 1"/>
    <w:basedOn w:val="Normal"/>
    <w:next w:val="Normal"/>
    <w:autoRedefine/>
    <w:uiPriority w:val="39"/>
    <w:unhideWhenUsed/>
    <w:rsid w:val="00D93281"/>
    <w:pPr>
      <w:spacing w:after="100"/>
    </w:pPr>
  </w:style>
  <w:style w:type="paragraph" w:styleId="TOC2">
    <w:name w:val="toc 2"/>
    <w:basedOn w:val="Normal"/>
    <w:next w:val="Normal"/>
    <w:autoRedefine/>
    <w:uiPriority w:val="39"/>
    <w:unhideWhenUsed/>
    <w:rsid w:val="00D93281"/>
    <w:pPr>
      <w:spacing w:after="100"/>
      <w:ind w:left="240"/>
    </w:pPr>
  </w:style>
  <w:style w:type="character" w:styleId="Hyperlink">
    <w:name w:val="Hyperlink"/>
    <w:basedOn w:val="DefaultParagraphFont"/>
    <w:uiPriority w:val="99"/>
    <w:unhideWhenUsed/>
    <w:rsid w:val="00D93281"/>
    <w:rPr>
      <w:color w:val="0563C1" w:themeColor="hyperlink"/>
      <w:u w:val="single"/>
    </w:rPr>
  </w:style>
  <w:style w:type="character" w:styleId="Emphasis">
    <w:name w:val="Emphasis"/>
    <w:basedOn w:val="DefaultParagraphFont"/>
    <w:uiPriority w:val="20"/>
    <w:qFormat/>
    <w:rsid w:val="00353C5C"/>
    <w:rPr>
      <w:i/>
      <w:iCs/>
    </w:rPr>
  </w:style>
  <w:style w:type="character" w:styleId="UnresolvedMention">
    <w:name w:val="Unresolved Mention"/>
    <w:basedOn w:val="DefaultParagraphFont"/>
    <w:uiPriority w:val="99"/>
    <w:semiHidden/>
    <w:unhideWhenUsed/>
    <w:rsid w:val="00733581"/>
    <w:rPr>
      <w:color w:val="605E5C"/>
      <w:shd w:val="clear" w:color="auto" w:fill="E1DFDD"/>
    </w:rPr>
  </w:style>
  <w:style w:type="paragraph" w:styleId="Revision">
    <w:name w:val="Revision"/>
    <w:hidden/>
    <w:uiPriority w:val="99"/>
    <w:semiHidden/>
    <w:rsid w:val="006A2469"/>
    <w:pPr>
      <w:spacing w:after="0" w:line="240" w:lineRule="auto"/>
    </w:pPr>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scholar.google.co.uk/scholar?q=Bandura%E2%80%99s+Social+Learning+Theory+(1977)&amp;hl=en&amp;as_sdt=0&amp;as_vis=1&amp;oi=scholart" TargetMode="External"/><Relationship Id="rId26" Type="http://schemas.openxmlformats.org/officeDocument/2006/relationships/hyperlink" Target="https://uk.indeed.com/career-advice/career-development/professional-networking" TargetMode="External"/><Relationship Id="rId21" Type="http://schemas.openxmlformats.org/officeDocument/2006/relationships/hyperlink" Target="https://bmjopen.bmj.com/content/5/12/e009002" TargetMode="External"/><Relationship Id="rId34" Type="http://schemas.openxmlformats.org/officeDocument/2006/relationships/hyperlink" Target="https://www.emerald.com/et/article-abstract/59/4/338/102567/Forms-of-graduate-capital-and-their-relationship?redirectedFrom=fulltext"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tandfonline-com.ezproxy.uwtsd.ac.uk/doi/full/10.1080/07294360.2024.2307937" TargetMode="External"/><Relationship Id="rId33" Type="http://schemas.openxmlformats.org/officeDocument/2006/relationships/hyperlink" Target="https://www.tandfonline.com/doi/full/10.1080/03069885.2021.1940844"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doi.org/10.1177/0269215508101741" TargetMode="External"/><Relationship Id="rId29" Type="http://schemas.openxmlformats.org/officeDocument/2006/relationships/hyperlink" Target="https://doi.org/10.1002/j.1556-6676.1999.tb02431.x"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doi.org/10.1017/S1463423624000148" TargetMode="External"/><Relationship Id="rId32" Type="http://schemas.openxmlformats.org/officeDocument/2006/relationships/hyperlink" Target="https://journals.sagepub.com/doi/10.1177/09697330231200569" TargetMode="External"/><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bmchealthservres.biomedcentral.com/articles/10.1186/s12913-020-05374-4" TargetMode="External"/><Relationship Id="rId28" Type="http://schemas.openxmlformats.org/officeDocument/2006/relationships/hyperlink" Target="https://pubmed.ncbi.nlm.nih.gov/26189709/" TargetMode="External"/><Relationship Id="rId36" Type="http://schemas.openxmlformats.org/officeDocument/2006/relationships/hyperlink" Target="https://journals.sagepub.com/doi/10.1177/03080226241311683" TargetMode="External"/><Relationship Id="rId10" Type="http://schemas.openxmlformats.org/officeDocument/2006/relationships/image" Target="media/image6.png"/><Relationship Id="rId19" Type="http://schemas.openxmlformats.org/officeDocument/2006/relationships/hyperlink" Target="https://doi.org/10.1016/j.evalprogplan.2016.12.009" TargetMode="External"/><Relationship Id="rId31" Type="http://schemas.openxmlformats.org/officeDocument/2006/relationships/hyperlink" Target="https://nshcs.hee.nhs.uk/publications/example-smart-specific-measurable-achievable-realistic-time-based-objectives-log/%20(Accessed"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ashrae.org/news/esociety/role-models-helping-ethnic-minority-engineering-students-become-practicing-engineers" TargetMode="External"/><Relationship Id="rId27" Type="http://schemas.openxmlformats.org/officeDocument/2006/relationships/hyperlink" Target="https://doi.org/10.1111/1467-9566.12203" TargetMode="External"/><Relationship Id="rId30" Type="http://schemas.openxmlformats.org/officeDocument/2006/relationships/hyperlink" Target="https://eoe.leadershipacademy.nhs.uk/development-support/networks-and-networking/" TargetMode="External"/><Relationship Id="rId35" Type="http://schemas.openxmlformats.org/officeDocument/2006/relationships/hyperlink" Target="https://www.tandfonline.com/doi/epdf/10.1080/13561820.2024.2405550"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190E9-7C24-43DA-B33E-6ED43E754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13439</TotalTime>
  <Pages>16</Pages>
  <Words>3438</Words>
  <Characters>19597</Characters>
  <Application>Microsoft Office Word</Application>
  <DocSecurity>0</DocSecurity>
  <Lines>163</Lines>
  <Paragraphs>45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 </vt:lpstr>
      <vt:lpstr>Task 1- Unit 1: Goal Setting</vt:lpstr>
      <vt:lpstr>    Task 2- Unit 2: Networking in Health and Social Care in the UK: Essential Aspect</vt:lpstr>
      <vt:lpstr>    </vt:lpstr>
      <vt:lpstr>    Task 4- Unit 4: Career Role Models</vt:lpstr>
      <vt:lpstr>    Conclusion</vt:lpstr>
      <vt:lpstr>    Reference </vt:lpstr>
    </vt:vector>
  </TitlesOfParts>
  <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abosede dehinbo</dc:creator>
  <cp:keywords/>
  <dc:description/>
  <cp:lastModifiedBy>abosede dehinbo</cp:lastModifiedBy>
  <cp:revision>467</cp:revision>
  <dcterms:created xsi:type="dcterms:W3CDTF">2025-11-07T20:37:00Z</dcterms:created>
  <dcterms:modified xsi:type="dcterms:W3CDTF">2025-12-04T17:38:00Z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43ae0c93-65a2-4e18-b198-735d5f28d6b3</vt:lpwstr>
  </property>
</Properties>
</file>