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Arial" w:hAnsi="Arial" w:cs="Arial" w:eastAsiaTheme="minorHAnsi"/>
          <w:color w:val="5B9BD5" w:themeColor="accent1"/>
          <w:sz w:val="20"/>
          <w:szCs w:val="20"/>
          <w:lang w:val="en-GB"/>
          <w14:textFill>
            <w14:solidFill>
              <w14:schemeClr w14:val="accent1"/>
            </w14:solidFill>
          </w14:textFill>
        </w:rPr>
        <w:id w:val="-1522475554"/>
      </w:sdtPr>
      <w:sdtEndPr>
        <w:rPr>
          <w:rFonts w:ascii="Arial" w:hAnsi="Arial" w:cs="Arial" w:eastAsiaTheme="minorHAnsi"/>
          <w:color w:val="5B9BD5" w:themeColor="accent1"/>
          <w:sz w:val="20"/>
          <w:szCs w:val="20"/>
          <w:lang w:val="en-GB" w:eastAsia="zh-CN"/>
          <w14:textFill>
            <w14:solidFill>
              <w14:schemeClr w14:val="accent1"/>
            </w14:solidFill>
          </w14:textFill>
        </w:rPr>
      </w:sdtEndPr>
      <w:sdtContent>
        <w:p>
          <w:pPr>
            <w:pStyle w:val="18"/>
            <w:spacing w:before="1540" w:after="240"/>
            <w:jc w:val="center"/>
            <w:rPr>
              <w:rFonts w:ascii="Arial" w:hAnsi="Arial" w:cs="Arial"/>
              <w:color w:val="5B9BD5" w:themeColor="accent1"/>
              <w:sz w:val="20"/>
              <w:szCs w:val="20"/>
              <w:lang w:val="en-GB"/>
              <w14:textFill>
                <w14:solidFill>
                  <w14:schemeClr w14:val="accent1"/>
                </w14:solidFill>
              </w14:textFill>
            </w:rPr>
          </w:pPr>
          <w:bookmarkStart w:id="0" w:name="_Hlk2751069"/>
          <w:r>
            <w:rPr>
              <w:rFonts w:ascii="Arial" w:hAnsi="Arial" w:cs="Arial"/>
              <w:color w:val="5B9BD5" w:themeColor="accent1"/>
              <w:sz w:val="20"/>
              <w:szCs w:val="20"/>
              <w:lang w:val="en-GB" w:eastAsia="zh-CN"/>
              <w14:textFill>
                <w14:solidFill>
                  <w14:schemeClr w14:val="accent1"/>
                </w14:solidFill>
              </w14:textFill>
            </w:rPr>
            <w:drawing>
              <wp:inline distT="0" distB="0" distL="0" distR="0">
                <wp:extent cx="1417320" cy="7505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pPr>
            <w:pStyle w:val="18"/>
            <w:pBdr>
              <w:top w:val="single" w:color="5B9BD5" w:themeColor="accent1" w:sz="6" w:space="6"/>
              <w:bottom w:val="single" w:color="5B9BD5" w:themeColor="accent1" w:sz="6" w:space="6"/>
            </w:pBdr>
            <w:spacing w:after="240" w:line="360" w:lineRule="auto"/>
            <w:jc w:val="center"/>
            <w:rPr>
              <w:rFonts w:ascii="Times New Roman" w:hAnsi="Times New Roman" w:cs="Times New Roman" w:eastAsiaTheme="majorEastAsia"/>
              <w:b/>
              <w:bCs/>
              <w:caps/>
              <w:color w:val="5B9BD5" w:themeColor="accent1"/>
              <w:sz w:val="24"/>
              <w:szCs w:val="24"/>
              <w:lang w:val="en-GB"/>
              <w14:textFill>
                <w14:solidFill>
                  <w14:schemeClr w14:val="accent1"/>
                </w14:solidFill>
              </w14:textFill>
            </w:rPr>
          </w:pPr>
          <w:r>
            <w:rPr>
              <w:rFonts w:ascii="Times New Roman" w:hAnsi="Times New Roman" w:cs="Times New Roman" w:eastAsiaTheme="majorEastAsia"/>
              <w:b/>
              <w:bCs/>
              <w:caps/>
              <w:color w:val="5B9BD5" w:themeColor="accent1"/>
              <w:sz w:val="24"/>
              <w:szCs w:val="24"/>
              <w:lang w:val="en-GB"/>
              <w14:textFill>
                <w14:solidFill>
                  <w14:schemeClr w14:val="accent1"/>
                </w14:solidFill>
              </w14:textFill>
            </w:rPr>
            <w:t>Managing Strategic Change of THE Liaoning Salt Industry Group Co.</w:t>
          </w:r>
        </w:p>
        <w:p>
          <w:pPr>
            <w:pStyle w:val="18"/>
            <w:spacing w:line="360" w:lineRule="auto"/>
            <w:jc w:val="center"/>
            <w:rPr>
              <w:rFonts w:ascii="Times New Roman" w:hAnsi="Times New Roman" w:cs="Times New Roman"/>
              <w:sz w:val="24"/>
              <w:szCs w:val="24"/>
              <w:lang w:val="en-GB" w:eastAsia="zh-CN"/>
            </w:rPr>
          </w:pPr>
        </w:p>
        <w:p>
          <w:pPr>
            <w:pStyle w:val="18"/>
            <w:spacing w:line="360" w:lineRule="auto"/>
            <w:jc w:val="center"/>
            <w:rPr>
              <w:rFonts w:ascii="Times New Roman" w:hAnsi="Times New Roman" w:cs="Times New Roman"/>
              <w:sz w:val="24"/>
              <w:szCs w:val="24"/>
              <w:lang w:val="en-GB" w:eastAsia="zh-CN"/>
            </w:rPr>
          </w:pPr>
        </w:p>
        <w:p>
          <w:pPr>
            <w:pStyle w:val="18"/>
            <w:spacing w:line="360" w:lineRule="auto"/>
            <w:jc w:val="center"/>
            <w:rPr>
              <w:rFonts w:ascii="Times New Roman" w:hAnsi="Times New Roman" w:cs="Times New Roman"/>
              <w:sz w:val="24"/>
              <w:szCs w:val="24"/>
              <w:lang w:val="en-GB" w:eastAsia="zh-CN"/>
            </w:rPr>
          </w:pPr>
        </w:p>
        <w:p>
          <w:pPr>
            <w:pStyle w:val="18"/>
            <w:spacing w:line="360" w:lineRule="auto"/>
            <w:jc w:val="center"/>
            <w:rPr>
              <w:rFonts w:ascii="Times New Roman" w:hAnsi="Times New Roman" w:cs="Times New Roman"/>
              <w:sz w:val="24"/>
              <w:szCs w:val="24"/>
              <w:lang w:val="en-GB" w:eastAsia="zh-CN"/>
            </w:rPr>
          </w:pPr>
        </w:p>
        <w:p>
          <w:pPr>
            <w:pStyle w:val="18"/>
            <w:spacing w:line="360" w:lineRule="auto"/>
            <w:jc w:val="center"/>
            <w:rPr>
              <w:rFonts w:ascii="Times New Roman" w:hAnsi="Times New Roman" w:cs="Times New Roman"/>
              <w:color w:val="5B9BD5" w:themeColor="accent1"/>
              <w:sz w:val="24"/>
              <w:szCs w:val="24"/>
              <w:lang w:val="en-GB" w:eastAsia="zh-CN"/>
              <w14:textFill>
                <w14:solidFill>
                  <w14:schemeClr w14:val="accent1"/>
                </w14:solidFill>
              </w14:textFill>
            </w:rPr>
          </w:pPr>
        </w:p>
        <w:p>
          <w:pPr>
            <w:pStyle w:val="18"/>
            <w:spacing w:line="360" w:lineRule="auto"/>
            <w:jc w:val="center"/>
            <w:rPr>
              <w:rFonts w:ascii="Times New Roman" w:hAnsi="Times New Roman" w:cs="Times New Roman"/>
              <w:color w:val="5B9BD5" w:themeColor="accent1"/>
              <w:sz w:val="24"/>
              <w:szCs w:val="24"/>
              <w:lang w:val="en-GB" w:eastAsia="zh-CN"/>
              <w14:textFill>
                <w14:solidFill>
                  <w14:schemeClr w14:val="accent1"/>
                </w14:solidFill>
              </w14:textFill>
            </w:rPr>
          </w:pPr>
        </w:p>
        <w:p>
          <w:pPr>
            <w:pStyle w:val="18"/>
            <w:spacing w:line="360" w:lineRule="auto"/>
            <w:jc w:val="center"/>
            <w:rPr>
              <w:rFonts w:ascii="Times New Roman" w:hAnsi="Times New Roman" w:cs="Times New Roman"/>
              <w:color w:val="5B9BD5" w:themeColor="accent1"/>
              <w:sz w:val="24"/>
              <w:szCs w:val="24"/>
              <w:lang w:val="en-GB" w:eastAsia="zh-CN"/>
              <w14:textFill>
                <w14:solidFill>
                  <w14:schemeClr w14:val="accent1"/>
                </w14:solidFill>
              </w14:textFill>
            </w:rPr>
          </w:pPr>
        </w:p>
        <w:p>
          <w:pPr>
            <w:pStyle w:val="18"/>
            <w:spacing w:line="360" w:lineRule="auto"/>
            <w:jc w:val="center"/>
            <w:rPr>
              <w:rFonts w:ascii="Times New Roman" w:hAnsi="Times New Roman" w:cs="Times New Roman"/>
              <w:color w:val="5B9BD5" w:themeColor="accent1"/>
              <w:sz w:val="24"/>
              <w:szCs w:val="24"/>
              <w:lang w:val="en-GB" w:eastAsia="zh-CN"/>
              <w14:textFill>
                <w14:solidFill>
                  <w14:schemeClr w14:val="accent1"/>
                </w14:solidFill>
              </w14:textFill>
            </w:rPr>
          </w:pPr>
        </w:p>
        <w:p>
          <w:pPr>
            <w:pStyle w:val="18"/>
            <w:spacing w:line="360" w:lineRule="auto"/>
            <w:jc w:val="center"/>
            <w:rPr>
              <w:rFonts w:ascii="Times New Roman" w:hAnsi="Times New Roman" w:cs="Times New Roman"/>
              <w:color w:val="5B9BD5" w:themeColor="accent1"/>
              <w:sz w:val="24"/>
              <w:szCs w:val="24"/>
              <w:lang w:val="en-GB" w:eastAsia="zh-CN"/>
              <w14:textFill>
                <w14:solidFill>
                  <w14:schemeClr w14:val="accent1"/>
                </w14:solidFill>
              </w14:textFill>
            </w:rPr>
          </w:pPr>
        </w:p>
        <w:p>
          <w:pPr>
            <w:pStyle w:val="18"/>
            <w:spacing w:line="360" w:lineRule="auto"/>
            <w:jc w:val="center"/>
            <w:rPr>
              <w:rFonts w:ascii="Times New Roman" w:hAnsi="Times New Roman" w:cs="Times New Roman"/>
              <w:color w:val="5B9BD5" w:themeColor="accent1"/>
              <w:sz w:val="24"/>
              <w:szCs w:val="24"/>
              <w:lang w:val="en-GB" w:eastAsia="zh-CN"/>
              <w14:textFill>
                <w14:solidFill>
                  <w14:schemeClr w14:val="accent1"/>
                </w14:solidFill>
              </w14:textFill>
            </w:rPr>
          </w:pPr>
        </w:p>
        <w:p>
          <w:pPr>
            <w:pStyle w:val="18"/>
            <w:spacing w:line="360" w:lineRule="auto"/>
            <w:jc w:val="center"/>
            <w:rPr>
              <w:rFonts w:ascii="Times New Roman" w:hAnsi="Times New Roman" w:cs="Times New Roman"/>
              <w:color w:val="5B9BD5" w:themeColor="accent1"/>
              <w:sz w:val="24"/>
              <w:szCs w:val="24"/>
              <w:lang w:val="en-GB" w:eastAsia="zh-CN"/>
              <w14:textFill>
                <w14:solidFill>
                  <w14:schemeClr w14:val="accent1"/>
                </w14:solidFill>
              </w14:textFill>
            </w:rPr>
          </w:pPr>
        </w:p>
        <w:p>
          <w:pPr>
            <w:pStyle w:val="18"/>
            <w:spacing w:line="360" w:lineRule="auto"/>
            <w:jc w:val="center"/>
            <w:rPr>
              <w:rFonts w:ascii="Times New Roman" w:hAnsi="Times New Roman" w:cs="Times New Roman"/>
              <w:color w:val="5B9BD5" w:themeColor="accent1"/>
              <w:sz w:val="24"/>
              <w:szCs w:val="24"/>
              <w:lang w:val="en-GB" w:eastAsia="zh-CN"/>
              <w14:textFill>
                <w14:solidFill>
                  <w14:schemeClr w14:val="accent1"/>
                </w14:solidFill>
              </w14:textFill>
            </w:rPr>
          </w:pPr>
          <w:r>
            <w:rPr>
              <w:rFonts w:ascii="Times New Roman" w:hAnsi="Times New Roman" w:cs="Times New Roman"/>
              <w:color w:val="5B9BD5" w:themeColor="accent1"/>
              <w:sz w:val="24"/>
              <w:szCs w:val="24"/>
              <w:lang w:val="en-GB" w:eastAsia="zh-CN"/>
              <w14:textFill>
                <w14:solidFill>
                  <w14:schemeClr w14:val="accent1"/>
                </w14:solidFill>
              </w14:textFill>
            </w:rPr>
            <w:t>NAME: QIZHOU WANG</w:t>
          </w:r>
        </w:p>
        <w:p>
          <w:pPr>
            <w:pStyle w:val="18"/>
            <w:spacing w:line="360" w:lineRule="auto"/>
            <w:jc w:val="center"/>
            <w:rPr>
              <w:rFonts w:ascii="Times New Roman" w:hAnsi="Times New Roman" w:cs="Times New Roman"/>
              <w:color w:val="5B9BD5" w:themeColor="accent1"/>
              <w:sz w:val="24"/>
              <w:szCs w:val="24"/>
              <w:lang w:val="en-GB" w:eastAsia="zh-CN"/>
              <w14:textFill>
                <w14:solidFill>
                  <w14:schemeClr w14:val="accent1"/>
                </w14:solidFill>
              </w14:textFill>
            </w:rPr>
          </w:pPr>
        </w:p>
        <w:p>
          <w:pPr>
            <w:pStyle w:val="18"/>
            <w:spacing w:line="360" w:lineRule="auto"/>
            <w:jc w:val="center"/>
            <w:rPr>
              <w:rFonts w:ascii="Times New Roman" w:hAnsi="Times New Roman" w:cs="Times New Roman"/>
              <w:color w:val="5B9BD5" w:themeColor="accent1"/>
              <w:sz w:val="24"/>
              <w:szCs w:val="24"/>
              <w:lang w:val="en-GB"/>
              <w14:textFill>
                <w14:solidFill>
                  <w14:schemeClr w14:val="accent1"/>
                </w14:solidFill>
              </w14:textFill>
            </w:rPr>
          </w:pPr>
          <w:r>
            <w:rPr>
              <w:rFonts w:ascii="Times New Roman" w:hAnsi="Times New Roman" w:cs="Times New Roman"/>
              <w:color w:val="5B9BD5" w:themeColor="accent1"/>
              <w:sz w:val="24"/>
              <w:szCs w:val="24"/>
              <w:lang w:val="en-GB" w:eastAsia="zh-CN"/>
              <w14:textFill>
                <w14:solidFill>
                  <w14:schemeClr w14:val="accent1"/>
                </w14:solidFill>
              </w14:textFill>
            </w:rPr>
            <w:t xml:space="preserve">     STUDENT NUMBER: 1801429</w:t>
          </w:r>
        </w:p>
        <w:p>
          <w:pPr>
            <w:pStyle w:val="2"/>
            <w:tabs>
              <w:tab w:val="left" w:pos="3709"/>
            </w:tabs>
            <w:rPr>
              <w:rFonts w:cs="Times New Roman"/>
              <w:sz w:val="24"/>
              <w:szCs w:val="24"/>
              <w:lang w:eastAsia="zh-CN"/>
            </w:rPr>
          </w:pPr>
          <w:r>
            <w:rPr>
              <w:rFonts w:cs="Times New Roman"/>
              <w:sz w:val="24"/>
              <w:szCs w:val="24"/>
              <w:lang w:eastAsia="zh-CN"/>
            </w:rPr>
            <w:t xml:space="preserve"> </w:t>
          </w:r>
        </w:p>
        <w:p>
          <w:pPr>
            <w:pStyle w:val="2"/>
            <w:rPr>
              <w:rFonts w:cs="Times New Roman"/>
              <w:sz w:val="24"/>
              <w:szCs w:val="24"/>
            </w:rPr>
          </w:pPr>
        </w:p>
        <w:p>
          <w:pPr>
            <w:pStyle w:val="2"/>
            <w:rPr>
              <w:rFonts w:cs="Times New Roman"/>
              <w:sz w:val="24"/>
              <w:szCs w:val="24"/>
            </w:rPr>
          </w:pPr>
        </w:p>
        <w:p>
          <w:pPr>
            <w:pStyle w:val="2"/>
            <w:rPr>
              <w:rFonts w:cs="Times New Roman"/>
              <w:sz w:val="24"/>
              <w:szCs w:val="24"/>
            </w:rPr>
          </w:pPr>
          <w:bookmarkStart w:id="1" w:name="_Toc2751221"/>
          <w:bookmarkStart w:id="2" w:name="_Toc2751279"/>
          <w:r>
            <w:rPr>
              <w:rFonts w:cs="Times New Roman"/>
              <w:color w:val="5B9BD5" w:themeColor="accent1"/>
              <w:sz w:val="24"/>
              <w:szCs w:val="24"/>
              <w:lang w:eastAsia="zh-CN"/>
              <w14:textFill>
                <w14:solidFill>
                  <w14:schemeClr w14:val="accent1"/>
                </w14:solidFill>
              </w14:textFill>
            </w:rPr>
            <mc:AlternateContent>
              <mc:Choice Requires="wps">
                <w:drawing>
                  <wp:anchor distT="0" distB="0" distL="114300" distR="114300" simplePos="0" relativeHeight="251659264" behindDoc="0" locked="0" layoutInCell="1" allowOverlap="1">
                    <wp:simplePos x="0" y="0"/>
                    <wp:positionH relativeFrom="margin">
                      <wp:posOffset>-28575</wp:posOffset>
                    </wp:positionH>
                    <wp:positionV relativeFrom="page">
                      <wp:posOffset>8445500</wp:posOffset>
                    </wp:positionV>
                    <wp:extent cx="6553200" cy="557530"/>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14:textFill>
                                      <w14:solidFill>
                                        <w14:schemeClr w14:val="accent1"/>
                                      </w14:solidFill>
                                    </w14:textFill>
                                  </w:rPr>
                                  <w:alias w:val="Date"/>
                                  <w:id w:val="197127006"/>
                                  <w:showingPlcHdr/>
                                  <w15:dataBinding w:prefixMappings="xmlns:ns0='http://schemas.microsoft.com/office/2006/coverPageProps' " w:xpath="/ns0:CoverPageProperties[1]/ns0:PublishDate[1]" w:storeItemID="{55AF091B-3C7A-41E3-B477-F2FDAA23CFDA}"/>
                                  <w:date w:fullDate="2019-01-05T00:00:00Z">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18"/>
                                      <w:spacing w:after="40"/>
                                      <w:jc w:val="center"/>
                                      <w:rPr>
                                        <w:caps/>
                                        <w:color w:val="5B9BD5" w:themeColor="accent1"/>
                                        <w:sz w:val="28"/>
                                        <w:szCs w:val="28"/>
                                        <w14:textFill>
                                          <w14:solidFill>
                                            <w14:schemeClr w14:val="accent1"/>
                                          </w14:solidFill>
                                        </w14:textFill>
                                      </w:rPr>
                                    </w:pPr>
                                    <w:r>
                                      <w:rPr>
                                        <w:caps/>
                                        <w:color w:val="5B9BD5" w:themeColor="accent1"/>
                                        <w:sz w:val="28"/>
                                        <w:szCs w:val="28"/>
                                        <w14:textFill>
                                          <w14:solidFill>
                                            <w14:schemeClr w14:val="accent1"/>
                                          </w14:solidFill>
                                        </w14:textFill>
                                      </w:rPr>
                                      <w:t xml:space="preserve">     </w:t>
                                    </w:r>
                                  </w:p>
                                </w:sdtContent>
                              </w:sdt>
                              <w:p>
                                <w:pPr>
                                  <w:pStyle w:val="18"/>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15:dataBinding w:prefixMappings="xmlns:ns0='http://schemas.openxmlformats.org/officeDocument/2006/extended-properties' " w:xpath="/ns0:Properties[1]/ns0:Company[1]" w:storeItemID="{6668398D-A668-4E3E-A5EB-62B293D839F1}"/>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18"/>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15:dataBinding w:prefixMappings="xmlns:ns0='http://schemas.microsoft.com/office/2006/coverPageProps' " w:xpath="/ns0:CoverPageProperties[1]/ns0:CompanyAddress[1]" w:storeItemID="{55AF091B-3C7A-41E3-B477-F2FDAA23CFDA}"/>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margin">
                      <wp14:pctWidth>100000</wp14:pctWidth>
                    </wp14:sizeRelH>
                    <wp14:sizeRelV relativeFrom="page">
                      <wp14:pctHeight>0</wp14:pctHeight>
                    </wp14:sizeRelV>
                  </wp:anchor>
                </w:drawing>
              </mc:Choice>
              <mc:Fallback>
                <w:pict>
                  <v:shape id="Text Box 142" o:spid="_x0000_s1026" o:spt="202" type="#_x0000_t202" style="position:absolute;left:0pt;margin-left:-2.25pt;margin-top:665pt;height:43.9pt;width:516pt;mso-position-horizontal-relative:margin;mso-position-vertical-relative:page;z-index:251659264;v-text-anchor:bottom;mso-width-relative:margin;mso-height-relative:page;mso-width-percent:1000;" filled="f" stroked="f" coordsize="21600,21600" o:gfxdata="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Fm5WyN0AAAANAQAADwAAAAAA&#10;AAABACAAAAAiAAAAZHJzL2Rvd25yZXYueG1sUEsBAhQAFAAAAAgAh07iQNc0aYcOAgAAGQQAAA4A&#10;AAAAAAAAAQAgAAAALAEAAGRycy9lMm9Eb2MueG1sUEsFBgAAAAAGAAYAWQEAAKwFAAAAAA==&#10;">
                    <v:fill on="f" focussize="0,0"/>
                    <v:stroke on="f" weight="0.5pt"/>
                    <v:imagedata o:title=""/>
                    <o:lock v:ext="edit" aspectratio="f"/>
                    <v:textbox inset="0mm,0mm,0mm,0mm" style="mso-fit-shape-to-text:t;">
                      <w:txbxContent>
                        <w:sdt>
                          <w:sdtPr>
                            <w:rPr>
                              <w:caps/>
                              <w:color w:val="5B9BD5" w:themeColor="accent1"/>
                              <w:sz w:val="28"/>
                              <w:szCs w:val="28"/>
                              <w14:textFill>
                                <w14:solidFill>
                                  <w14:schemeClr w14:val="accent1"/>
                                </w14:solidFill>
                              </w14:textFill>
                            </w:rPr>
                            <w:alias w:val="Date"/>
                            <w:id w:val="197127006"/>
                            <w:showingPlcHdr/>
                            <w15:dataBinding w:prefixMappings="xmlns:ns0='http://schemas.microsoft.com/office/2006/coverPageProps' " w:xpath="/ns0:CoverPageProperties[1]/ns0:PublishDate[1]" w:storeItemID="{55AF091B-3C7A-41E3-B477-F2FDAA23CFDA}"/>
                            <w:date w:fullDate="2019-01-05T00:00:00Z">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18"/>
                                <w:spacing w:after="40"/>
                                <w:jc w:val="center"/>
                                <w:rPr>
                                  <w:caps/>
                                  <w:color w:val="5B9BD5" w:themeColor="accent1"/>
                                  <w:sz w:val="28"/>
                                  <w:szCs w:val="28"/>
                                  <w14:textFill>
                                    <w14:solidFill>
                                      <w14:schemeClr w14:val="accent1"/>
                                    </w14:solidFill>
                                  </w14:textFill>
                                </w:rPr>
                              </w:pPr>
                              <w:r>
                                <w:rPr>
                                  <w:caps/>
                                  <w:color w:val="5B9BD5" w:themeColor="accent1"/>
                                  <w:sz w:val="28"/>
                                  <w:szCs w:val="28"/>
                                  <w14:textFill>
                                    <w14:solidFill>
                                      <w14:schemeClr w14:val="accent1"/>
                                    </w14:solidFill>
                                  </w14:textFill>
                                </w:rPr>
                                <w:t xml:space="preserve">     </w:t>
                              </w:r>
                            </w:p>
                          </w:sdtContent>
                        </w:sdt>
                        <w:p>
                          <w:pPr>
                            <w:pStyle w:val="18"/>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15:dataBinding w:prefixMappings="xmlns:ns0='http://schemas.openxmlformats.org/officeDocument/2006/extended-properties' " w:xpath="/ns0:Properties[1]/ns0:Company[1]" w:storeItemID="{6668398D-A668-4E3E-A5EB-62B293D839F1}"/>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18"/>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15:dataBinding w:prefixMappings="xmlns:ns0='http://schemas.microsoft.com/office/2006/coverPageProps' " w:xpath="/ns0:CoverPageProperties[1]/ns0:CompanyAddress[1]" w:storeItemID="{55AF091B-3C7A-41E3-B477-F2FDAA23CFDA}"/>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v:textbox>
                  </v:shape>
                </w:pict>
              </mc:Fallback>
            </mc:AlternateContent>
          </w:r>
          <w:bookmarkEnd w:id="1"/>
          <w:bookmarkEnd w:id="2"/>
        </w:p>
        <w:p>
          <w:pPr>
            <w:rPr>
              <w:rFonts w:cs="Times New Roman"/>
              <w:szCs w:val="24"/>
            </w:rPr>
          </w:pPr>
        </w:p>
        <w:p>
          <w:pPr>
            <w:rPr>
              <w:rFonts w:cs="Times New Roman"/>
              <w:szCs w:val="24"/>
            </w:rPr>
          </w:pPr>
        </w:p>
        <w:p>
          <w:pPr>
            <w:tabs>
              <w:tab w:val="center" w:pos="4513"/>
            </w:tabs>
            <w:rPr>
              <w:rFonts w:eastAsia="宋体" w:cs="Times New Roman"/>
              <w:szCs w:val="24"/>
              <w:lang w:eastAsia="zh-CN"/>
            </w:rPr>
            <w:sectPr>
              <w:pgSz w:w="11906" w:h="16838"/>
              <w:pgMar w:top="1440" w:right="1440" w:bottom="1440" w:left="1440" w:header="708" w:footer="708" w:gutter="0"/>
              <w:pgNumType w:start="0"/>
              <w:cols w:space="708" w:num="1"/>
              <w:titlePg/>
              <w:docGrid w:linePitch="360" w:charSpace="0"/>
            </w:sectPr>
          </w:pPr>
        </w:p>
        <w:sdt>
          <w:sdtPr>
            <w:rPr>
              <w:rFonts w:cs="Times New Roman"/>
              <w:szCs w:val="24"/>
            </w:rPr>
            <w:id w:val="-1297214018"/>
            <w:docPartObj>
              <w:docPartGallery w:val="Table of Contents"/>
              <w:docPartUnique/>
            </w:docPartObj>
          </w:sdtPr>
          <w:sdtEndPr>
            <w:rPr>
              <w:rFonts w:cs="Times New Roman"/>
              <w:b/>
              <w:bCs/>
              <w:color w:val="5B9BD5" w:themeColor="accent1"/>
              <w:szCs w:val="24"/>
              <w14:textFill>
                <w14:solidFill>
                  <w14:schemeClr w14:val="accent1"/>
                </w14:solidFill>
              </w14:textFill>
            </w:rPr>
          </w:sdtEndPr>
          <w:sdtContent>
            <w:p>
              <w:pPr>
                <w:spacing w:after="0" w:line="240" w:lineRule="auto"/>
                <w:jc w:val="center"/>
                <w:rPr>
                  <w:rFonts w:eastAsia="宋体" w:cs="Times New Roman"/>
                  <w:b/>
                  <w:color w:val="2E75B6" w:themeColor="accent1" w:themeShade="BF"/>
                  <w:sz w:val="36"/>
                  <w:szCs w:val="36"/>
                  <w:lang w:eastAsia="zh-CN"/>
                </w:rPr>
              </w:pPr>
              <w:r>
                <w:rPr>
                  <w:rFonts w:eastAsia="宋体" w:cs="Times New Roman"/>
                  <w:b/>
                  <w:color w:val="2E75B6" w:themeColor="accent1" w:themeShade="BF"/>
                  <w:sz w:val="36"/>
                  <w:szCs w:val="36"/>
                  <w:lang w:eastAsia="zh-CN"/>
                </w:rPr>
                <w:t>Content</w:t>
              </w:r>
            </w:p>
            <w:p>
              <w:pPr>
                <w:spacing w:after="0" w:line="240" w:lineRule="auto"/>
                <w:jc w:val="center"/>
                <w:rPr>
                  <w:rFonts w:eastAsia="宋体" w:cs="Times New Roman"/>
                  <w:b/>
                  <w:color w:val="2E75B6" w:themeColor="accent1" w:themeShade="BF"/>
                  <w:sz w:val="36"/>
                  <w:szCs w:val="36"/>
                  <w:lang w:eastAsia="zh-CN"/>
                </w:rPr>
              </w:pPr>
            </w:p>
            <w:p>
              <w:pPr>
                <w:pStyle w:val="10"/>
                <w:tabs>
                  <w:tab w:val="right" w:leader="dot" w:pos="9016"/>
                </w:tabs>
                <w:rPr>
                  <w:rFonts w:asciiTheme="minorHAnsi" w:hAnsiTheme="minorHAnsi" w:eastAsiaTheme="minorEastAsia"/>
                  <w:color w:val="auto"/>
                  <w:sz w:val="22"/>
                  <w:lang w:val="en-AU" w:eastAsia="en-AU"/>
                </w:rPr>
              </w:pPr>
              <w:r>
                <w:rPr>
                  <w:rFonts w:cs="Times New Roman"/>
                  <w:color w:val="2E75B6" w:themeColor="accent1" w:themeShade="BF"/>
                </w:rPr>
                <w:fldChar w:fldCharType="begin"/>
              </w:r>
              <w:r>
                <w:rPr>
                  <w:rFonts w:cs="Times New Roman"/>
                  <w:color w:val="2E75B6" w:themeColor="accent1" w:themeShade="BF"/>
                </w:rPr>
                <w:instrText xml:space="preserve"> TOC \o "1-3" \h \z \u </w:instrText>
              </w:r>
              <w:r>
                <w:rPr>
                  <w:rFonts w:cs="Times New Roman"/>
                  <w:color w:val="2E75B6" w:themeColor="accent1" w:themeShade="BF"/>
                </w:rPr>
                <w:fldChar w:fldCharType="separate"/>
              </w:r>
              <w:r>
                <w:fldChar w:fldCharType="begin"/>
              </w:r>
              <w:r>
                <w:instrText xml:space="preserve"> HYPERLINK \l "_Toc2751280" </w:instrText>
              </w:r>
              <w:r>
                <w:fldChar w:fldCharType="separate"/>
              </w:r>
              <w:r>
                <w:rPr>
                  <w:rStyle w:val="15"/>
                  <w:lang w:eastAsia="zh-CN"/>
                </w:rPr>
                <w:t>1. Background and current situation of the company</w:t>
              </w:r>
              <w:r>
                <w:tab/>
              </w:r>
              <w:r>
                <w:fldChar w:fldCharType="begin"/>
              </w:r>
              <w:r>
                <w:instrText xml:space="preserve"> PAGEREF _Toc2751280 \h </w:instrText>
              </w:r>
              <w:r>
                <w:fldChar w:fldCharType="separate"/>
              </w:r>
              <w:r>
                <w:t>2</w:t>
              </w:r>
              <w:r>
                <w:fldChar w:fldCharType="end"/>
              </w:r>
              <w:r>
                <w:fldChar w:fldCharType="end"/>
              </w:r>
            </w:p>
            <w:p>
              <w:pPr>
                <w:pStyle w:val="10"/>
                <w:tabs>
                  <w:tab w:val="right" w:leader="dot" w:pos="9016"/>
                </w:tabs>
                <w:rPr>
                  <w:rFonts w:asciiTheme="minorHAnsi" w:hAnsiTheme="minorHAnsi" w:eastAsiaTheme="minorEastAsia"/>
                  <w:color w:val="auto"/>
                  <w:sz w:val="22"/>
                  <w:lang w:val="en-AU" w:eastAsia="en-AU"/>
                </w:rPr>
              </w:pPr>
              <w:r>
                <w:fldChar w:fldCharType="begin"/>
              </w:r>
              <w:r>
                <w:instrText xml:space="preserve"> HYPERLINK \l "_Toc2751281" </w:instrText>
              </w:r>
              <w:r>
                <w:fldChar w:fldCharType="separate"/>
              </w:r>
              <w:r>
                <w:rPr>
                  <w:rStyle w:val="15"/>
                  <w:lang w:eastAsia="zh-CN"/>
                </w:rPr>
                <w:t>2. Rationale</w:t>
              </w:r>
              <w:r>
                <w:tab/>
              </w:r>
              <w:r>
                <w:fldChar w:fldCharType="begin"/>
              </w:r>
              <w:r>
                <w:instrText xml:space="preserve"> PAGEREF _Toc2751281 \h </w:instrText>
              </w:r>
              <w:r>
                <w:fldChar w:fldCharType="separate"/>
              </w:r>
              <w:r>
                <w:t>2</w:t>
              </w:r>
              <w:r>
                <w:fldChar w:fldCharType="end"/>
              </w:r>
              <w:r>
                <w:fldChar w:fldCharType="end"/>
              </w:r>
            </w:p>
            <w:p>
              <w:pPr>
                <w:pStyle w:val="10"/>
                <w:tabs>
                  <w:tab w:val="right" w:leader="dot" w:pos="9016"/>
                </w:tabs>
                <w:rPr>
                  <w:rFonts w:asciiTheme="minorHAnsi" w:hAnsiTheme="minorHAnsi" w:eastAsiaTheme="minorEastAsia"/>
                  <w:color w:val="auto"/>
                  <w:sz w:val="22"/>
                  <w:lang w:val="en-AU" w:eastAsia="en-AU"/>
                </w:rPr>
              </w:pPr>
              <w:r>
                <w:fldChar w:fldCharType="begin"/>
              </w:r>
              <w:r>
                <w:instrText xml:space="preserve"> HYPERLINK \l "_Toc2751282" </w:instrText>
              </w:r>
              <w:r>
                <w:fldChar w:fldCharType="separate"/>
              </w:r>
              <w:r>
                <w:rPr>
                  <w:rStyle w:val="15"/>
                  <w:lang w:eastAsia="zh-CN"/>
                </w:rPr>
                <w:t>3. Project aim and objectives</w:t>
              </w:r>
              <w:r>
                <w:tab/>
              </w:r>
              <w:r>
                <w:fldChar w:fldCharType="begin"/>
              </w:r>
              <w:r>
                <w:instrText xml:space="preserve"> PAGEREF _Toc2751282 \h </w:instrText>
              </w:r>
              <w:r>
                <w:fldChar w:fldCharType="separate"/>
              </w:r>
              <w:r>
                <w:t>4</w:t>
              </w:r>
              <w:r>
                <w:fldChar w:fldCharType="end"/>
              </w:r>
              <w:r>
                <w:fldChar w:fldCharType="end"/>
              </w:r>
            </w:p>
            <w:p>
              <w:pPr>
                <w:pStyle w:val="10"/>
                <w:tabs>
                  <w:tab w:val="right" w:leader="dot" w:pos="9016"/>
                </w:tabs>
                <w:rPr>
                  <w:rFonts w:asciiTheme="minorHAnsi" w:hAnsiTheme="minorHAnsi" w:eastAsiaTheme="minorEastAsia"/>
                  <w:color w:val="auto"/>
                  <w:sz w:val="22"/>
                  <w:lang w:val="en-AU" w:eastAsia="en-AU"/>
                </w:rPr>
              </w:pPr>
              <w:r>
                <w:fldChar w:fldCharType="begin"/>
              </w:r>
              <w:r>
                <w:instrText xml:space="preserve"> HYPERLINK \l "_Toc2751283" </w:instrText>
              </w:r>
              <w:r>
                <w:fldChar w:fldCharType="separate"/>
              </w:r>
              <w:r>
                <w:rPr>
                  <w:rStyle w:val="15"/>
                  <w:lang w:eastAsia="zh-CN"/>
                </w:rPr>
                <w:t>4. Benefit</w:t>
              </w:r>
              <w:r>
                <w:tab/>
              </w:r>
              <w:r>
                <w:fldChar w:fldCharType="begin"/>
              </w:r>
              <w:r>
                <w:instrText xml:space="preserve"> PAGEREF _Toc2751283 \h </w:instrText>
              </w:r>
              <w:r>
                <w:fldChar w:fldCharType="separate"/>
              </w:r>
              <w:r>
                <w:t>4</w:t>
              </w:r>
              <w:r>
                <w:fldChar w:fldCharType="end"/>
              </w:r>
              <w:r>
                <w:fldChar w:fldCharType="end"/>
              </w:r>
            </w:p>
            <w:p>
              <w:pPr>
                <w:pStyle w:val="10"/>
                <w:tabs>
                  <w:tab w:val="right" w:leader="dot" w:pos="9016"/>
                </w:tabs>
                <w:rPr>
                  <w:rFonts w:asciiTheme="minorHAnsi" w:hAnsiTheme="minorHAnsi" w:eastAsiaTheme="minorEastAsia"/>
                  <w:color w:val="auto"/>
                  <w:sz w:val="22"/>
                  <w:lang w:val="en-AU" w:eastAsia="en-AU"/>
                </w:rPr>
              </w:pPr>
              <w:r>
                <w:fldChar w:fldCharType="begin"/>
              </w:r>
              <w:r>
                <w:instrText xml:space="preserve"> HYPERLINK \l "_Toc2751284" </w:instrText>
              </w:r>
              <w:r>
                <w:fldChar w:fldCharType="separate"/>
              </w:r>
              <w:r>
                <w:rPr>
                  <w:rStyle w:val="15"/>
                  <w:lang w:eastAsia="zh-CN"/>
                </w:rPr>
                <w:t>5. Literature review</w:t>
              </w:r>
              <w:r>
                <w:tab/>
              </w:r>
              <w:r>
                <w:fldChar w:fldCharType="begin"/>
              </w:r>
              <w:r>
                <w:instrText xml:space="preserve"> PAGEREF _Toc2751284 \h </w:instrText>
              </w:r>
              <w:r>
                <w:fldChar w:fldCharType="separate"/>
              </w:r>
              <w:r>
                <w:t>5</w:t>
              </w:r>
              <w:r>
                <w:fldChar w:fldCharType="end"/>
              </w:r>
              <w:r>
                <w:fldChar w:fldCharType="end"/>
              </w:r>
            </w:p>
            <w:p>
              <w:pPr>
                <w:pStyle w:val="10"/>
                <w:tabs>
                  <w:tab w:val="right" w:leader="dot" w:pos="9016"/>
                </w:tabs>
                <w:rPr>
                  <w:rFonts w:asciiTheme="minorHAnsi" w:hAnsiTheme="minorHAnsi" w:eastAsiaTheme="minorEastAsia"/>
                  <w:color w:val="auto"/>
                  <w:sz w:val="22"/>
                  <w:lang w:val="en-AU" w:eastAsia="en-AU"/>
                </w:rPr>
              </w:pPr>
              <w:r>
                <w:fldChar w:fldCharType="begin"/>
              </w:r>
              <w:r>
                <w:instrText xml:space="preserve"> HYPERLINK \l "_Toc2751285" </w:instrText>
              </w:r>
              <w:r>
                <w:fldChar w:fldCharType="separate"/>
              </w:r>
              <w:r>
                <w:rPr>
                  <w:rStyle w:val="15"/>
                  <w:lang w:eastAsia="zh-CN"/>
                </w:rPr>
                <w:t>6. Research method</w:t>
              </w:r>
              <w:r>
                <w:tab/>
              </w:r>
              <w:r>
                <w:fldChar w:fldCharType="begin"/>
              </w:r>
              <w:r>
                <w:instrText xml:space="preserve"> PAGEREF _Toc2751285 \h </w:instrText>
              </w:r>
              <w:r>
                <w:fldChar w:fldCharType="separate"/>
              </w:r>
              <w:r>
                <w:t>6</w:t>
              </w:r>
              <w:r>
                <w:fldChar w:fldCharType="end"/>
              </w:r>
              <w:r>
                <w:fldChar w:fldCharType="end"/>
              </w:r>
            </w:p>
            <w:p>
              <w:pPr>
                <w:pStyle w:val="10"/>
                <w:tabs>
                  <w:tab w:val="right" w:leader="dot" w:pos="9016"/>
                </w:tabs>
                <w:rPr>
                  <w:rFonts w:asciiTheme="minorHAnsi" w:hAnsiTheme="minorHAnsi" w:eastAsiaTheme="minorEastAsia"/>
                  <w:color w:val="auto"/>
                  <w:sz w:val="22"/>
                  <w:lang w:val="en-AU" w:eastAsia="en-AU"/>
                </w:rPr>
              </w:pPr>
              <w:r>
                <w:fldChar w:fldCharType="begin"/>
              </w:r>
              <w:r>
                <w:instrText xml:space="preserve"> HYPERLINK \l "_Toc2751286" </w:instrText>
              </w:r>
              <w:r>
                <w:fldChar w:fldCharType="separate"/>
              </w:r>
              <w:r>
                <w:rPr>
                  <w:rStyle w:val="15"/>
                  <w:lang w:eastAsia="zh-CN"/>
                </w:rPr>
                <w:t>7. Project plan and control and time management</w:t>
              </w:r>
              <w:r>
                <w:tab/>
              </w:r>
              <w:r>
                <w:fldChar w:fldCharType="begin"/>
              </w:r>
              <w:r>
                <w:instrText xml:space="preserve"> PAGEREF _Toc2751286 \h </w:instrText>
              </w:r>
              <w:r>
                <w:fldChar w:fldCharType="separate"/>
              </w:r>
              <w:r>
                <w:t>6</w:t>
              </w:r>
              <w:r>
                <w:fldChar w:fldCharType="end"/>
              </w:r>
              <w:r>
                <w:fldChar w:fldCharType="end"/>
              </w:r>
            </w:p>
            <w:p>
              <w:pPr>
                <w:pStyle w:val="10"/>
                <w:tabs>
                  <w:tab w:val="right" w:leader="dot" w:pos="9016"/>
                </w:tabs>
                <w:rPr>
                  <w:rFonts w:asciiTheme="minorHAnsi" w:hAnsiTheme="minorHAnsi" w:eastAsiaTheme="minorEastAsia"/>
                  <w:color w:val="auto"/>
                  <w:sz w:val="22"/>
                  <w:lang w:val="en-AU" w:eastAsia="en-AU"/>
                </w:rPr>
              </w:pPr>
              <w:r>
                <w:fldChar w:fldCharType="begin"/>
              </w:r>
              <w:r>
                <w:instrText xml:space="preserve"> HYPERLINK \l "_Toc2751287" </w:instrText>
              </w:r>
              <w:r>
                <w:fldChar w:fldCharType="separate"/>
              </w:r>
              <w:r>
                <w:rPr>
                  <w:rStyle w:val="15"/>
                </w:rPr>
                <w:t>Bibliography</w:t>
              </w:r>
              <w:r>
                <w:tab/>
              </w:r>
              <w:r>
                <w:fldChar w:fldCharType="begin"/>
              </w:r>
              <w:r>
                <w:instrText xml:space="preserve"> PAGEREF _Toc2751287 \h </w:instrText>
              </w:r>
              <w:r>
                <w:fldChar w:fldCharType="separate"/>
              </w:r>
              <w:r>
                <w:t>9</w:t>
              </w:r>
              <w:r>
                <w:fldChar w:fldCharType="end"/>
              </w:r>
              <w:r>
                <w:fldChar w:fldCharType="end"/>
              </w:r>
            </w:p>
            <w:p>
              <w:pPr>
                <w:rPr>
                  <w:rFonts w:cs="Times New Roman"/>
                  <w:color w:val="2E75B6" w:themeColor="accent1" w:themeShade="BF"/>
                </w:rPr>
              </w:pPr>
              <w:r>
                <w:rPr>
                  <w:rFonts w:cs="Times New Roman"/>
                  <w:color w:val="2E75B6" w:themeColor="accent1" w:themeShade="BF"/>
                </w:rPr>
                <w:fldChar w:fldCharType="end"/>
              </w:r>
            </w:p>
            <w:p>
              <w:pPr>
                <w:rPr>
                  <w:rFonts w:cs="Times New Roman"/>
                  <w:color w:val="2E75B6" w:themeColor="accent1" w:themeShade="BF"/>
                </w:rPr>
              </w:pPr>
            </w:p>
            <w:p>
              <w:pPr>
                <w:rPr>
                  <w:rFonts w:cs="Times New Roman"/>
                  <w:color w:val="2E75B6" w:themeColor="accent1" w:themeShade="BF"/>
                </w:rPr>
              </w:pPr>
            </w:p>
            <w:p>
              <w:pPr>
                <w:rPr>
                  <w:rFonts w:cs="Times New Roman"/>
                  <w:color w:val="2E75B6" w:themeColor="accent1" w:themeShade="BF"/>
                </w:rPr>
              </w:pPr>
            </w:p>
            <w:p>
              <w:pPr>
                <w:rPr>
                  <w:rFonts w:cs="Times New Roman"/>
                  <w:color w:val="2E75B6" w:themeColor="accent1" w:themeShade="BF"/>
                </w:rPr>
              </w:pPr>
            </w:p>
            <w:p>
              <w:pPr>
                <w:rPr>
                  <w:rFonts w:cs="Times New Roman"/>
                  <w:color w:val="2E75B6" w:themeColor="accent1" w:themeShade="BF"/>
                </w:rPr>
              </w:pPr>
            </w:p>
            <w:p>
              <w:pPr>
                <w:rPr>
                  <w:rFonts w:cs="Times New Roman"/>
                  <w:color w:val="2E75B6" w:themeColor="accent1" w:themeShade="BF"/>
                </w:rPr>
              </w:pPr>
            </w:p>
            <w:p>
              <w:pPr>
                <w:rPr>
                  <w:rFonts w:cs="Times New Roman"/>
                  <w:color w:val="2E75B6" w:themeColor="accent1" w:themeShade="BF"/>
                </w:rPr>
              </w:pPr>
            </w:p>
            <w:p>
              <w:pPr>
                <w:rPr>
                  <w:rFonts w:cs="Times New Roman"/>
                  <w:color w:val="2E75B6" w:themeColor="accent1" w:themeShade="BF"/>
                </w:rPr>
              </w:pPr>
            </w:p>
            <w:p>
              <w:pPr>
                <w:rPr>
                  <w:rFonts w:cs="Times New Roman"/>
                  <w:color w:val="2E75B6" w:themeColor="accent1" w:themeShade="BF"/>
                </w:rPr>
              </w:pPr>
            </w:p>
            <w:p>
              <w:pPr>
                <w:rPr>
                  <w:rFonts w:cs="Times New Roman"/>
                  <w:color w:val="2E75B6" w:themeColor="accent1" w:themeShade="BF"/>
                </w:rPr>
              </w:pPr>
            </w:p>
            <w:p>
              <w:pPr>
                <w:rPr>
                  <w:rFonts w:cs="Times New Roman"/>
                  <w:color w:val="2E75B6" w:themeColor="accent1" w:themeShade="BF"/>
                </w:rPr>
              </w:pPr>
            </w:p>
            <w:p>
              <w:pPr>
                <w:rPr>
                  <w:rFonts w:cs="Times New Roman"/>
                  <w:color w:val="2E75B6" w:themeColor="accent1" w:themeShade="BF"/>
                </w:rPr>
              </w:pPr>
            </w:p>
            <w:p>
              <w:pPr>
                <w:rPr>
                  <w:rFonts w:cs="Times New Roman"/>
                  <w:color w:val="2E75B6" w:themeColor="accent1" w:themeShade="BF"/>
                </w:rPr>
              </w:pPr>
            </w:p>
            <w:p>
              <w:pPr>
                <w:rPr>
                  <w:rFonts w:cs="Times New Roman"/>
                  <w:color w:val="2E75B6" w:themeColor="accent1" w:themeShade="BF"/>
                </w:rPr>
              </w:pPr>
            </w:p>
            <w:p>
              <w:pPr>
                <w:rPr>
                  <w:rFonts w:cs="Times New Roman"/>
                  <w:szCs w:val="24"/>
                </w:rPr>
              </w:pPr>
            </w:p>
          </w:sdtContent>
        </w:sdt>
        <w:p>
          <w:pPr>
            <w:pStyle w:val="2"/>
            <w:rPr>
              <w:lang w:eastAsia="zh-CN"/>
            </w:rPr>
          </w:pPr>
          <w:bookmarkStart w:id="3" w:name="_Toc2751280"/>
          <w:bookmarkStart w:id="4" w:name="_Toc2751222"/>
          <w:bookmarkStart w:id="5" w:name="_Toc2751223"/>
          <w:bookmarkStart w:id="6" w:name="_Toc2751281"/>
          <w:r>
            <w:rPr>
              <w:lang w:eastAsia="zh-CN"/>
            </w:rPr>
            <w:t>1. Background and current situation of the company</w:t>
          </w:r>
          <w:bookmarkEnd w:id="3"/>
          <w:bookmarkEnd w:id="4"/>
          <w:r>
            <w:rPr>
              <w:lang w:eastAsia="zh-CN"/>
            </w:rPr>
            <w:t xml:space="preserve"> </w:t>
          </w:r>
        </w:p>
        <w:p>
          <w:pPr>
            <w:rPr>
              <w:rFonts w:cs="Times New Roman"/>
              <w:szCs w:val="24"/>
            </w:rPr>
          </w:pPr>
          <w:r>
            <w:rPr>
              <w:rFonts w:cs="Times New Roman"/>
              <w:szCs w:val="24"/>
            </w:rPr>
            <w:t xml:space="preserve">The Liaoning Salt Industry Group Co., Ltd. was established in June 1992 and is a state-owned enterprise. The registered capital is 20 million yuan. The business scope is the wholesale of raw materials for salt and salt chemical products for the salt industry </w:t>
          </w:r>
          <w:r>
            <w:rPr>
              <w:rFonts w:eastAsia="宋体" w:cs="Times New Roman"/>
              <w:szCs w:val="24"/>
              <w:lang w:eastAsia="zh-CN"/>
            </w:rPr>
            <w:t>(Chinasalt, 2019)</w:t>
          </w:r>
          <w:r>
            <w:rPr>
              <w:rFonts w:cs="Times New Roman"/>
              <w:szCs w:val="24"/>
            </w:rPr>
            <w:t>. The company has 22 employees and the total assets of the company are 83.91 million yuan. According to the functions and responsibilities, the company has six functional departments: office, financial audit department, asset management department, plan settlement department, enterprise management department and human resources department. The main function is supervision and agency sales,</w:t>
          </w:r>
          <w:r>
            <w:rPr>
              <w:rFonts w:eastAsia="宋体" w:cs="Times New Roman"/>
              <w:szCs w:val="24"/>
              <w:lang w:eastAsia="zh-CN"/>
            </w:rPr>
            <w:t xml:space="preserve"> so the</w:t>
          </w:r>
          <w:r>
            <w:rPr>
              <w:rFonts w:cs="Times New Roman"/>
              <w:szCs w:val="24"/>
            </w:rPr>
            <w:t xml:space="preserve"> company's main income is based on the wholesale sales of salt in the participating companies; the company has not had a salt production plant of its own for many years </w:t>
          </w:r>
          <w:r>
            <w:rPr>
              <w:rFonts w:eastAsia="宋体" w:cs="Times New Roman"/>
              <w:szCs w:val="24"/>
              <w:lang w:eastAsia="zh-CN"/>
            </w:rPr>
            <w:t>(</w:t>
          </w:r>
          <w:r>
            <w:rPr>
              <w:rFonts w:cs="Times New Roman"/>
              <w:szCs w:val="24"/>
            </w:rPr>
            <w:t>Liaoning Salt Industry Group</w:t>
          </w:r>
          <w:r>
            <w:rPr>
              <w:rFonts w:hint="eastAsia" w:eastAsia="宋体" w:cs="Times New Roman"/>
              <w:szCs w:val="24"/>
              <w:lang w:eastAsia="zh-CN"/>
            </w:rPr>
            <w:t>,</w:t>
          </w:r>
          <w:r>
            <w:rPr>
              <w:rFonts w:eastAsia="宋体" w:cs="Times New Roman"/>
              <w:szCs w:val="24"/>
              <w:lang w:eastAsia="zh-CN"/>
            </w:rPr>
            <w:t xml:space="preserve"> 2019)</w:t>
          </w:r>
          <w:r>
            <w:rPr>
              <w:rFonts w:cs="Times New Roman"/>
              <w:szCs w:val="24"/>
            </w:rPr>
            <w:t>.</w:t>
          </w:r>
        </w:p>
        <w:p>
          <w:pPr>
            <w:rPr>
              <w:rFonts w:cs="Times New Roman"/>
              <w:szCs w:val="24"/>
            </w:rPr>
          </w:pPr>
          <w:r>
            <w:rPr>
              <w:rFonts w:cs="Times New Roman"/>
              <w:szCs w:val="24"/>
            </w:rPr>
            <w:t>The company is located in Shenyang, the capital of Liaoning Province. It is located in the centre of the Northeast and the eastern part of Inner Mongolia. Historically, Liaoning was a large province producing sea salt in northern China. In addition to supplying its own province, Liaoning's salt products are also exported to Jilin Province, Heilongjiang Province and Inner Mongolia. In recent years, Liaoning Province has developed a coastal economy</w:t>
          </w:r>
          <w:r>
            <w:rPr>
              <w:rFonts w:eastAsia="宋体" w:cs="Times New Roman"/>
              <w:szCs w:val="24"/>
              <w:lang w:eastAsia="zh-CN"/>
            </w:rPr>
            <w:t xml:space="preserve">, </w:t>
          </w:r>
          <w:r>
            <w:rPr>
              <w:rFonts w:cs="Times New Roman"/>
              <w:szCs w:val="24"/>
            </w:rPr>
            <w:t>and</w:t>
          </w:r>
          <w:r>
            <w:rPr>
              <w:rFonts w:eastAsia="宋体" w:cs="Times New Roman"/>
              <w:szCs w:val="24"/>
              <w:lang w:eastAsia="zh-CN"/>
            </w:rPr>
            <w:t xml:space="preserve"> it</w:t>
          </w:r>
          <w:r>
            <w:rPr>
              <w:rFonts w:cs="Times New Roman"/>
              <w:szCs w:val="24"/>
            </w:rPr>
            <w:t xml:space="preserve"> has acquired a large number of salt flats </w:t>
          </w:r>
          <w:r>
            <w:rPr>
              <w:rFonts w:eastAsia="宋体" w:cs="Times New Roman"/>
              <w:szCs w:val="24"/>
              <w:lang w:eastAsia="zh-CN"/>
            </w:rPr>
            <w:t>(Chinasalt, 2019)</w:t>
          </w:r>
          <w:r>
            <w:rPr>
              <w:rFonts w:cs="Times New Roman"/>
              <w:szCs w:val="24"/>
            </w:rPr>
            <w:t>. This has led to a sharp decline in salt production</w:t>
          </w:r>
          <w:r>
            <w:rPr>
              <w:rFonts w:eastAsia="宋体" w:cs="Times New Roman"/>
              <w:szCs w:val="24"/>
              <w:lang w:eastAsia="zh-CN"/>
            </w:rPr>
            <w:t xml:space="preserve">, </w:t>
          </w:r>
          <w:r>
            <w:rPr>
              <w:rFonts w:cs="Times New Roman"/>
              <w:szCs w:val="24"/>
            </w:rPr>
            <w:t>and</w:t>
          </w:r>
          <w:r>
            <w:rPr>
              <w:rFonts w:eastAsia="宋体" w:cs="Times New Roman"/>
              <w:szCs w:val="24"/>
              <w:lang w:eastAsia="zh-CN"/>
            </w:rPr>
            <w:t xml:space="preserve"> it</w:t>
          </w:r>
          <w:r>
            <w:rPr>
              <w:rFonts w:cs="Times New Roman"/>
              <w:szCs w:val="24"/>
            </w:rPr>
            <w:t xml:space="preserve"> is declining year by year. Although the production of salt has declined, the demand for salt has not declined. The salt and livestock salt in Northeast China and Inner Mongolia have reached more than 800,000 tons. In the face of such a large salt market, even if the company supplies a part of it, it is not enough to meet the market demand. Therefore, the company needs to build a salt distribution system with strategic reserve capacity </w:t>
          </w:r>
          <w:r>
            <w:rPr>
              <w:rFonts w:eastAsia="宋体" w:cs="Times New Roman"/>
              <w:szCs w:val="24"/>
              <w:lang w:eastAsia="zh-CN"/>
            </w:rPr>
            <w:t>(</w:t>
          </w:r>
          <w:r>
            <w:rPr>
              <w:rFonts w:cs="Times New Roman"/>
              <w:szCs w:val="24"/>
            </w:rPr>
            <w:t>Liaoning Salt Industry Group</w:t>
          </w:r>
          <w:r>
            <w:rPr>
              <w:rFonts w:hint="eastAsia" w:eastAsia="宋体" w:cs="Times New Roman"/>
              <w:szCs w:val="24"/>
              <w:lang w:eastAsia="zh-CN"/>
            </w:rPr>
            <w:t>,</w:t>
          </w:r>
          <w:r>
            <w:rPr>
              <w:rFonts w:eastAsia="宋体" w:cs="Times New Roman"/>
              <w:szCs w:val="24"/>
              <w:lang w:eastAsia="zh-CN"/>
            </w:rPr>
            <w:t xml:space="preserve"> 2019)</w:t>
          </w:r>
          <w:r>
            <w:rPr>
              <w:rFonts w:cs="Times New Roman"/>
              <w:szCs w:val="24"/>
            </w:rPr>
            <w:t>.</w:t>
          </w:r>
        </w:p>
        <w:p>
          <w:pPr>
            <w:pStyle w:val="2"/>
          </w:pPr>
          <w:r>
            <w:rPr>
              <w:lang w:eastAsia="zh-CN"/>
            </w:rPr>
            <w:t>2. Rationale</w:t>
          </w:r>
          <w:bookmarkEnd w:id="5"/>
          <w:bookmarkEnd w:id="6"/>
        </w:p>
        <w:p>
          <w:bookmarkStart w:id="7" w:name="_Toc2751224"/>
          <w:bookmarkStart w:id="8" w:name="_Toc2751282"/>
          <w:r>
            <w:t>The Liaoning Salt Industry Group belong</w:t>
          </w:r>
          <w:r>
            <w:rPr>
              <w:rFonts w:eastAsia="宋体"/>
              <w:lang w:eastAsia="zh-CN"/>
            </w:rPr>
            <w:t>s</w:t>
          </w:r>
          <w:r>
            <w:t xml:space="preserve"> to the monitoring </w:t>
          </w:r>
          <w:r>
            <w:rPr>
              <w:lang w:eastAsia="zh-CN"/>
            </w:rPr>
            <w:t>institution and</w:t>
          </w:r>
          <w:r>
            <w:t xml:space="preserve"> agency</w:t>
          </w:r>
          <w:r>
            <w:rPr>
              <w:rFonts w:eastAsia="宋体"/>
              <w:lang w:eastAsia="zh-CN"/>
            </w:rPr>
            <w:t xml:space="preserve"> </w:t>
          </w:r>
          <w:r>
            <w:rPr>
              <w:lang w:eastAsia="zh-CN"/>
            </w:rPr>
            <w:t>sales</w:t>
          </w:r>
          <w:r>
            <w:t>. But they are not responsible for production</w:t>
          </w:r>
          <w:r>
            <w:rPr>
              <w:rFonts w:eastAsia="宋体"/>
              <w:lang w:eastAsia="zh-CN"/>
            </w:rPr>
            <w:t>; they</w:t>
          </w:r>
          <w:r>
            <w:t xml:space="preserve"> are only responsible for agency sales and supervision</w:t>
          </w:r>
          <w:r>
            <w:rPr>
              <w:rFonts w:eastAsia="宋体"/>
              <w:lang w:eastAsia="zh-CN"/>
            </w:rPr>
            <w:t xml:space="preserve"> in the province (Chinasalt, 2019)</w:t>
          </w:r>
          <w:r>
            <w:t xml:space="preserve">. Other private salt companies and product </w:t>
          </w:r>
          <w:r>
            <w:rPr>
              <w:lang w:eastAsia="zh-CN"/>
            </w:rPr>
            <w:t>suppliers</w:t>
          </w:r>
          <w:r>
            <w:t xml:space="preserve"> in the province do not have direct sales rights, and all sales need to pass through </w:t>
          </w:r>
          <w:r>
            <w:rPr>
              <w:rFonts w:eastAsia="宋体"/>
              <w:lang w:eastAsia="zh-CN"/>
            </w:rPr>
            <w:t>salt</w:t>
          </w:r>
          <w:r>
            <w:t xml:space="preserve"> state-owned companies. Because the salt companies in China's state-owned enterprises sell expensive salt in the market and the purchasing power of ordinary people is insufficient, the country adopted a salt policy reform in </w:t>
          </w:r>
          <w:r>
            <w:rPr>
              <w:rFonts w:eastAsia="宋体"/>
              <w:lang w:eastAsia="zh-CN"/>
            </w:rPr>
            <w:t>2017</w:t>
          </w:r>
          <w:r>
            <w:t xml:space="preserve">. </w:t>
          </w:r>
          <w:r>
            <w:rPr>
              <w:rFonts w:eastAsia="宋体"/>
              <w:lang w:eastAsia="zh-CN"/>
            </w:rPr>
            <w:t>The main content policy reform change shows that p</w:t>
          </w:r>
          <w:r>
            <w:t>rivate salt companies and production institutions do not need to sell through state-owned companies. Now</w:t>
          </w:r>
          <w:r>
            <w:rPr>
              <w:rFonts w:eastAsia="宋体"/>
              <w:lang w:eastAsia="zh-CN"/>
            </w:rPr>
            <w:t>adays</w:t>
          </w:r>
          <w:r>
            <w:t xml:space="preserve">, </w:t>
          </w:r>
          <w:r>
            <w:rPr>
              <w:lang w:eastAsia="zh-CN"/>
            </w:rPr>
            <w:t>they</w:t>
          </w:r>
          <w:r>
            <w:t xml:space="preserve"> can directly</w:t>
          </w:r>
          <w:r>
            <w:rPr>
              <w:rFonts w:eastAsia="宋体"/>
              <w:lang w:eastAsia="zh-CN"/>
            </w:rPr>
            <w:t xml:space="preserve"> </w:t>
          </w:r>
          <w:r>
            <w:t>go</w:t>
          </w:r>
          <w:r>
            <w:rPr>
              <w:rFonts w:eastAsia="宋体"/>
              <w:lang w:eastAsia="zh-CN"/>
            </w:rPr>
            <w:t xml:space="preserve"> </w:t>
          </w:r>
          <w:r>
            <w:t>to the market for sales</w:t>
          </w:r>
          <w:r>
            <w:rPr>
              <w:rFonts w:eastAsia="宋体"/>
              <w:lang w:eastAsia="zh-CN"/>
            </w:rPr>
            <w:t xml:space="preserve"> with cheaper priced salt</w:t>
          </w:r>
          <w:r>
            <w:t>. After the reform of China's salt policy, the market</w:t>
          </w:r>
          <w:r>
            <w:rPr>
              <w:rFonts w:eastAsia="宋体"/>
              <w:lang w:eastAsia="zh-CN"/>
            </w:rPr>
            <w:t xml:space="preserve"> share</w:t>
          </w:r>
          <w:r>
            <w:t xml:space="preserve"> of state-owned salt companies that specialise in salt may be largely lost, and the current operating model is not adapting to future competition requirements </w:t>
          </w:r>
          <w:r>
            <w:rPr>
              <w:rFonts w:eastAsia="宋体"/>
              <w:lang w:eastAsia="zh-CN"/>
            </w:rPr>
            <w:t>(</w:t>
          </w:r>
          <w:r>
            <w:t>Liaoning Salt Industry Group</w:t>
          </w:r>
          <w:r>
            <w:rPr>
              <w:rFonts w:hint="eastAsia" w:eastAsia="宋体"/>
              <w:lang w:eastAsia="zh-CN"/>
            </w:rPr>
            <w:t>,</w:t>
          </w:r>
          <w:r>
            <w:rPr>
              <w:rFonts w:eastAsia="宋体"/>
              <w:lang w:eastAsia="zh-CN"/>
            </w:rPr>
            <w:t xml:space="preserve"> 2019)</w:t>
          </w:r>
          <w:r>
            <w:t xml:space="preserve">. </w:t>
          </w:r>
        </w:p>
        <w:p>
          <w:pPr>
            <w:rPr>
              <w:rFonts w:eastAsia="宋体"/>
              <w:lang w:eastAsia="zh-CN"/>
            </w:rPr>
          </w:pPr>
          <w:r>
            <w:t>The main</w:t>
          </w:r>
          <w:r>
            <w:rPr>
              <w:rFonts w:eastAsia="宋体"/>
              <w:lang w:eastAsia="zh-CN"/>
            </w:rPr>
            <w:t xml:space="preserve"> </w:t>
          </w:r>
          <w:r>
            <w:t>specific problems faced by the company are as follows</w:t>
          </w:r>
          <w:r>
            <w:rPr>
              <w:rFonts w:eastAsia="宋体"/>
              <w:lang w:eastAsia="zh-CN"/>
            </w:rPr>
            <w:t>:</w:t>
          </w:r>
        </w:p>
        <w:p>
          <w:pPr>
            <w:rPr>
              <w:rFonts w:eastAsia="宋体"/>
              <w:lang w:eastAsia="zh-CN"/>
            </w:rPr>
          </w:pPr>
          <w:r>
            <w:t>First</w:t>
          </w:r>
          <w:r>
            <w:rPr>
              <w:rFonts w:eastAsia="宋体"/>
              <w:lang w:eastAsia="zh-CN"/>
            </w:rPr>
            <w:t>ly</w:t>
          </w:r>
          <w:r>
            <w:t>, the state-owned enterprises that specialise in salt lose their dominance in the entire supply chain, and the company will return to ordinary distributors.</w:t>
          </w:r>
          <w:r>
            <w:rPr>
              <w:rFonts w:eastAsia="宋体"/>
              <w:lang w:eastAsia="zh-CN"/>
            </w:rPr>
            <w:t xml:space="preserve"> </w:t>
          </w:r>
          <w:r>
            <w:t>After the salt policy reform, more than a dozen salt production companies have set up branches in Shenyang and other cities to carry out salt sales in Liaoning Province. Under this circumstance, the Liaoning Salt Industry Group Co</w:t>
          </w:r>
          <w:r>
            <w:rPr>
              <w:rFonts w:eastAsia="宋体"/>
              <w:lang w:eastAsia="zh-CN"/>
            </w:rPr>
            <w:t>mpany</w:t>
          </w:r>
          <w:r>
            <w:t xml:space="preserve"> and other state-owned salt companies and these newly established subsidiaries have become equal competition relations from past partnerships, and state-owned salt companies will face enormous survival. pressure.</w:t>
          </w:r>
          <w:r>
            <w:rPr>
              <w:rFonts w:eastAsia="宋体"/>
              <w:lang w:eastAsia="zh-CN"/>
            </w:rPr>
            <w:t xml:space="preserve"> </w:t>
          </w:r>
          <w:r>
            <w:t>Second</w:t>
          </w:r>
          <w:r>
            <w:rPr>
              <w:rFonts w:eastAsia="宋体"/>
              <w:lang w:eastAsia="zh-CN"/>
            </w:rPr>
            <w:t>ly</w:t>
          </w:r>
          <w:r>
            <w:t>, the company will face two pressures from</w:t>
          </w:r>
          <w:r>
            <w:rPr>
              <w:rFonts w:eastAsia="宋体"/>
              <w:lang w:eastAsia="zh-CN"/>
            </w:rPr>
            <w:t xml:space="preserve"> private salt</w:t>
          </w:r>
          <w:r>
            <w:t xml:space="preserve"> producers and retailers.</w:t>
          </w:r>
          <w:r>
            <w:rPr>
              <w:rFonts w:eastAsia="宋体"/>
              <w:lang w:eastAsia="zh-CN"/>
            </w:rPr>
            <w:t xml:space="preserve"> </w:t>
          </w:r>
          <w:r>
            <w:t>Due to the disorderly competition and malignant price of private salt companies in the market, the Liaoning Salt Industry Group Co</w:t>
          </w:r>
          <w:r>
            <w:rPr>
              <w:rFonts w:eastAsia="宋体"/>
              <w:lang w:eastAsia="zh-CN"/>
            </w:rPr>
            <w:t xml:space="preserve">mpany’s </w:t>
          </w:r>
          <w:r>
            <w:t>and other state-owned salt companies’ sales volume of salt plummeted, and profits fell sharply.</w:t>
          </w:r>
          <w:r>
            <w:rPr>
              <w:rFonts w:eastAsia="宋体"/>
              <w:lang w:eastAsia="zh-CN"/>
            </w:rPr>
            <w:t xml:space="preserve"> Finally</w:t>
          </w:r>
          <w:r>
            <w:t xml:space="preserve">, the pricing power of salt has shifted from the government to the producers. In the past, private salt production enterprises and wholesale enterprises could not set prices at will, and the government price department firmly controlled the pricing power of salt. But after the salt policy reform, all salt production companies could freely price according to market demand and competition. The Liaoning Salt Industry Group and other state-owned salt companies also freely price products. However, it must purchase salt from the production company. Due to the gradual loss of market share and the significant decline in sales volume, it loses the advantage of bargaining with salt producers </w:t>
          </w:r>
          <w:r>
            <w:rPr>
              <w:rFonts w:eastAsia="宋体"/>
              <w:lang w:eastAsia="zh-CN"/>
            </w:rPr>
            <w:t>(</w:t>
          </w:r>
          <w:r>
            <w:t>Liaoning Salt Industry Group</w:t>
          </w:r>
          <w:r>
            <w:rPr>
              <w:rFonts w:hint="eastAsia" w:eastAsia="宋体"/>
              <w:lang w:eastAsia="zh-CN"/>
            </w:rPr>
            <w:t>,</w:t>
          </w:r>
          <w:r>
            <w:rPr>
              <w:rFonts w:eastAsia="宋体"/>
              <w:lang w:eastAsia="zh-CN"/>
            </w:rPr>
            <w:t xml:space="preserve"> 2019).</w:t>
          </w:r>
        </w:p>
        <w:p>
          <w:r>
            <w:rPr>
              <w:rFonts w:eastAsia="宋体"/>
              <w:lang w:eastAsia="zh-CN"/>
            </w:rPr>
            <w:t>Driven by these issues, this project will offer consultancy for the Liaoning Salt Industry Group Company in terms of managing strategic change.</w:t>
          </w:r>
        </w:p>
        <w:p>
          <w:pPr>
            <w:pStyle w:val="2"/>
            <w:rPr>
              <w:lang w:eastAsia="zh-CN"/>
            </w:rPr>
          </w:pPr>
          <w:r>
            <w:rPr>
              <w:lang w:eastAsia="zh-CN"/>
            </w:rPr>
            <w:t>3. Project aim and objectives</w:t>
          </w:r>
          <w:bookmarkEnd w:id="7"/>
          <w:bookmarkEnd w:id="8"/>
          <w:r>
            <w:rPr>
              <w:lang w:eastAsia="zh-CN"/>
            </w:rPr>
            <w:t xml:space="preserve"> </w:t>
          </w:r>
        </w:p>
        <w:p>
          <w:pPr>
            <w:rPr>
              <w:lang w:eastAsia="zh-CN"/>
            </w:rPr>
          </w:pPr>
          <w:r>
            <w:rPr>
              <w:lang w:eastAsia="zh-CN"/>
            </w:rPr>
            <w:t xml:space="preserve">The aim of this objective is to help the company rediscover a quality salt producer as its own salt resource and improve its competitiveness in the province. The objective consists of three parts. First is understanding the main issues facing the company today following the 2017 salt industry policy reform. This has led to a productivity shortage due to the lack of salt suppliers and the ability of private salt companies to directly enter the market, which has caused a decline in the competitiveness of the company's products. Second is finding a suitable strategy to help the company to solve issues. A more appropriate strategy for the </w:t>
          </w:r>
          <w:r>
            <w:rPr>
              <w:rFonts w:eastAsia="宋体"/>
              <w:lang w:eastAsia="zh-CN"/>
            </w:rPr>
            <w:t>Liaoning Salt Industry Group Company’s current situation</w:t>
          </w:r>
          <w:r>
            <w:rPr>
              <w:lang w:eastAsia="zh-CN"/>
            </w:rPr>
            <w:t xml:space="preserve"> is to manage strategic changes. The contents of the managing strategic change model are as follows: diagnosis, change agent, lever for change, and managing change programme (Exploring corporate strategy, 2010). Third, using the managing strategy change model to analyse the specific problems faced by the company and making relevant recommendations for the company.</w:t>
          </w:r>
        </w:p>
        <w:p>
          <w:pPr>
            <w:rPr>
              <w:rFonts w:eastAsia="宋体"/>
              <w:lang w:eastAsia="zh-CN"/>
            </w:rPr>
          </w:pPr>
          <w:r>
            <w:rPr>
              <w:rFonts w:eastAsia="宋体"/>
              <w:lang w:eastAsia="zh-CN"/>
            </w:rPr>
            <w:t>Due to the 2017 salt industry policy reform, the company must look for their own salt producer and increase its competitiveness, otherwise, the company will find it difficult to survive in the market.</w:t>
          </w:r>
        </w:p>
        <w:p>
          <w:pPr>
            <w:pStyle w:val="2"/>
            <w:rPr>
              <w:lang w:eastAsia="zh-CN"/>
            </w:rPr>
          </w:pPr>
          <w:bookmarkStart w:id="9" w:name="_Toc2751225"/>
          <w:bookmarkStart w:id="10" w:name="_Toc2751283"/>
          <w:r>
            <w:rPr>
              <w:lang w:eastAsia="zh-CN"/>
            </w:rPr>
            <w:t>4. Benefit</w:t>
          </w:r>
          <w:bookmarkEnd w:id="9"/>
          <w:bookmarkEnd w:id="10"/>
          <w:r>
            <w:rPr>
              <w:lang w:eastAsia="zh-CN"/>
            </w:rPr>
            <w:t xml:space="preserve"> </w:t>
          </w:r>
        </w:p>
        <w:p>
          <w:pPr>
            <w:rPr>
              <w:lang w:eastAsia="zh-CN"/>
            </w:rPr>
          </w:pPr>
          <w:bookmarkStart w:id="11" w:name="_Toc2751226"/>
          <w:bookmarkStart w:id="12" w:name="_Toc2751284"/>
          <w:r>
            <w:rPr>
              <w:lang w:eastAsia="zh-CN"/>
            </w:rPr>
            <w:t>If the Liaoning Salt Group Corporation enhances its competitiveness in the province and can find a suitable salt supplier, it will bring the following advantages to the company:</w:t>
          </w:r>
        </w:p>
        <w:p>
          <w:pPr>
            <w:rPr>
              <w:lang w:eastAsia="zh-CN"/>
            </w:rPr>
          </w:pPr>
          <w:r>
            <w:rPr>
              <w:lang w:eastAsia="zh-CN"/>
            </w:rPr>
            <w:t>Firstly, the advantages of sales channels. If the sales channels of other salt companies and the sales channels of the Liaoning Salt Industry Group are combined, a new sales network will be formed, covering a wide range and with low operating costs. Compared with other production companies in the province, there will be a great competitive advantage because the Liaoning Salt Group has a good reputation. When the two salt companies were integrated, their production share and scale of operations exceeded those of any competitor in the province.</w:t>
          </w:r>
        </w:p>
        <w:p>
          <w:pPr>
            <w:rPr>
              <w:color w:val="2E75B6" w:themeColor="accent1" w:themeShade="BF"/>
              <w:lang w:eastAsia="zh-CN"/>
            </w:rPr>
          </w:pPr>
          <w:r>
            <w:rPr>
              <w:lang w:eastAsia="zh-CN"/>
            </w:rPr>
            <w:t>Secondly, the advantages of the production base. If the company can find a salt field with geographical advantages in the province, the Liaoning Salt Industry Group can carry out salt sales to various provinces in North China. Due to the short transportation distance and low freight rate, the cost savings also make the enterprise have a huge advantage. This will greatly enhance the market competitiveness of the Liaoning Salt Industry Group Co.</w:t>
          </w:r>
        </w:p>
        <w:p>
          <w:pPr>
            <w:pStyle w:val="2"/>
            <w:rPr>
              <w:lang w:eastAsia="zh-CN"/>
            </w:rPr>
          </w:pPr>
          <w:r>
            <w:rPr>
              <w:lang w:eastAsia="zh-CN"/>
            </w:rPr>
            <w:t>5. Literature review</w:t>
          </w:r>
          <w:bookmarkEnd w:id="11"/>
          <w:bookmarkEnd w:id="12"/>
        </w:p>
        <w:p>
          <w:pPr>
            <w:rPr>
              <w:shd w:val="clear" w:color="auto" w:fill="FFFFFF"/>
              <w:lang w:eastAsia="zh-CN"/>
            </w:rPr>
          </w:pPr>
          <w:r>
            <w:rPr>
              <w:shd w:val="clear" w:color="auto" w:fill="FFFFFF"/>
              <w:lang w:eastAsia="zh-CN"/>
            </w:rPr>
            <w:t>The following two theories have been chosen:</w:t>
          </w:r>
        </w:p>
        <w:p>
          <w:pPr>
            <w:rPr>
              <w:rFonts w:eastAsia="Helvetica"/>
              <w:shd w:val="clear" w:color="auto" w:fill="FFFFFF"/>
            </w:rPr>
          </w:pPr>
          <w:r>
            <w:rPr>
              <w:rFonts w:eastAsia="Helvetica"/>
              <w:b/>
              <w:shd w:val="clear" w:color="auto" w:fill="FFFFFF"/>
            </w:rPr>
            <w:t>Strategic change management</w:t>
          </w:r>
          <w:r>
            <w:rPr>
              <w:rFonts w:eastAsia="Helvetica"/>
              <w:shd w:val="clear" w:color="auto" w:fill="FFFFFF"/>
            </w:rPr>
            <w:t xml:space="preserve"> is the process of managing change in a structured, thoughtful way in order to meet organisational goals, objectives, and missions </w:t>
          </w:r>
          <w:r>
            <w:rPr>
              <w:shd w:val="clear" w:color="auto" w:fill="FFFFFF"/>
              <w:lang w:eastAsia="zh-CN"/>
            </w:rPr>
            <w:t>(</w:t>
          </w:r>
          <w:r>
            <w:rPr>
              <w:rFonts w:eastAsia="Helvetica"/>
              <w:shd w:val="clear" w:color="auto" w:fill="FFFFFF"/>
            </w:rPr>
            <w:t>Balogun, 2008</w:t>
          </w:r>
          <w:r>
            <w:rPr>
              <w:shd w:val="clear" w:color="auto" w:fill="FFFFFF"/>
              <w:lang w:eastAsia="zh-CN"/>
            </w:rPr>
            <w:t>)</w:t>
          </w:r>
          <w:r>
            <w:rPr>
              <w:rFonts w:eastAsia="Helvetica"/>
              <w:shd w:val="clear" w:color="auto" w:fill="FFFFFF"/>
            </w:rPr>
            <w:t xml:space="preserve">. Exploring strategic change 3rd ed., Harlow, England; New York: FT Prentice Hall Financial Times. Change is necessary for organisations to continue to thrive and meet and exceed the competition of industry competitors </w:t>
          </w:r>
          <w:r>
            <w:rPr>
              <w:shd w:val="clear" w:color="auto" w:fill="FFFFFF"/>
              <w:lang w:eastAsia="zh-CN"/>
            </w:rPr>
            <w:t>(</w:t>
          </w:r>
          <w:r>
            <w:rPr>
              <w:rFonts w:eastAsia="Helvetica"/>
              <w:shd w:val="clear" w:color="auto" w:fill="FFFFFF"/>
            </w:rPr>
            <w:t xml:space="preserve">Whipp, </w:t>
          </w:r>
          <w:r>
            <w:rPr>
              <w:shd w:val="clear" w:color="auto" w:fill="FFFFFF"/>
              <w:lang w:eastAsia="zh-CN"/>
            </w:rPr>
            <w:t>2</w:t>
          </w:r>
          <w:r>
            <w:rPr>
              <w:rFonts w:eastAsia="Helvetica"/>
              <w:shd w:val="clear" w:color="auto" w:fill="FFFFFF"/>
            </w:rPr>
            <w:t>006</w:t>
          </w:r>
          <w:r>
            <w:rPr>
              <w:shd w:val="clear" w:color="auto" w:fill="FFFFFF"/>
              <w:lang w:eastAsia="zh-CN"/>
            </w:rPr>
            <w:t>)</w:t>
          </w:r>
          <w:r>
            <w:rPr>
              <w:rFonts w:eastAsia="Helvetica"/>
              <w:shd w:val="clear" w:color="auto" w:fill="FFFFFF"/>
            </w:rPr>
            <w:t xml:space="preserve">. </w:t>
          </w:r>
        </w:p>
        <w:p>
          <w:pPr>
            <w:rPr>
              <w:shd w:val="clear" w:color="auto" w:fill="FFFFFF"/>
              <w:lang w:eastAsia="zh-CN"/>
            </w:rPr>
          </w:pPr>
          <w:r>
            <w:rPr>
              <w:shd w:val="clear" w:color="auto" w:fill="FFFFFF"/>
              <w:lang w:eastAsia="zh-CN"/>
            </w:rPr>
            <w:t>The benefits of enterprise change management are as follows:</w:t>
          </w:r>
        </w:p>
        <w:p>
          <w:pPr>
            <w:rPr>
              <w:shd w:val="clear" w:color="auto" w:fill="FFFFFF"/>
              <w:lang w:eastAsia="zh-CN"/>
            </w:rPr>
          </w:pPr>
          <w:r>
            <w:rPr>
              <w:shd w:val="clear" w:color="auto" w:fill="FFFFFF"/>
              <w:lang w:eastAsia="zh-CN"/>
            </w:rPr>
            <w:t>Organisations can respond more quickly to customer needs and help adjust existing resources within the organisation (Turner, 2009). Change management provides a way to anticipate challenges and effectively address them (Quinn, 1980). Effective change management processes reduce risk associated with change and increase return on the investment rate (Burnes, 2009). It can also bring other benefits to the business, such as a deeper understanding of external threats and competitor strategies, improved employee productivity, reduced resistance to change, and a clearer understanding of performance-reward relationships. It can also improve a company's problem prevention capabilities and help improve products or services (12reads, 2019).</w:t>
          </w:r>
        </w:p>
        <w:p>
          <w:pPr>
            <w:rPr>
              <w:shd w:val="clear" w:color="auto" w:fill="FFFFFF"/>
              <w:lang w:eastAsia="zh-CN"/>
            </w:rPr>
          </w:pPr>
          <w:r>
            <w:rPr>
              <w:b/>
              <w:shd w:val="clear" w:color="auto" w:fill="FFFFFF"/>
              <w:lang w:eastAsia="zh-CN"/>
            </w:rPr>
            <w:t>SWOT</w:t>
          </w:r>
          <w:r>
            <w:rPr>
              <w:shd w:val="clear" w:color="auto" w:fill="FFFFFF"/>
              <w:lang w:eastAsia="zh-CN"/>
            </w:rPr>
            <w:t xml:space="preserve"> analysis includes the analysis of the strengths, weaknesses, opportunities and threats of the company. Therefore, SWOT analysis is actually a way to synthesise and summarise all aspects of internal and external conditions of the enterprise, and then analyse the advantages and disadvantages of the organisation, the opportunities and the threats (Doyle, 2011). Through SWOT analysis, companies can focus on resources and actions on their strengths and where they have the most opportunities; this makes the company's strategy clear (Summitasia, 2019).</w:t>
          </w:r>
        </w:p>
        <w:p>
          <w:pPr>
            <w:rPr>
              <w:rFonts w:eastAsia="Helvetica"/>
              <w:shd w:val="clear" w:color="auto" w:fill="FFFFFF"/>
            </w:rPr>
          </w:pPr>
          <w:r>
            <w:rPr>
              <w:rFonts w:eastAsia="Helvetica"/>
              <w:shd w:val="clear" w:color="auto" w:fill="FFFFFF"/>
            </w:rPr>
            <w:t>The advantages of SWOT analysis are as follows:</w:t>
          </w:r>
        </w:p>
        <w:p>
          <w:pPr>
            <w:rPr>
              <w:rFonts w:eastAsia="Helvetica"/>
              <w:shd w:val="clear" w:color="auto" w:fill="FFFFFF"/>
            </w:rPr>
          </w:pPr>
          <w:r>
            <w:rPr>
              <w:rFonts w:eastAsia="Helvetica"/>
              <w:shd w:val="clear" w:color="auto" w:fill="FFFFFF"/>
            </w:rPr>
            <w:t xml:space="preserve">Zero cost: One of the biggest advantages of SWOT analysis is that it has no associated costs. This is an analysis that anyone can do in business, so no expert or consultant involvement is required. It is an effective way to analyse projects and recommendations in any function or industry within the company </w:t>
          </w:r>
          <w:r>
            <w:rPr>
              <w:shd w:val="clear" w:color="auto" w:fill="FFFFFF"/>
              <w:lang w:eastAsia="zh-CN"/>
            </w:rPr>
            <w:t>(</w:t>
          </w:r>
          <w:r>
            <w:rPr>
              <w:lang w:eastAsia="zh-CN"/>
            </w:rPr>
            <w:t>Valentin, 2001)</w:t>
          </w:r>
          <w:r>
            <w:rPr>
              <w:rFonts w:eastAsia="Helvetica"/>
              <w:shd w:val="clear" w:color="auto" w:fill="FFFFFF"/>
            </w:rPr>
            <w:t>.</w:t>
          </w:r>
        </w:p>
        <w:p>
          <w:pPr>
            <w:rPr>
              <w:rFonts w:eastAsia="Helvetica"/>
              <w:shd w:val="clear" w:color="auto" w:fill="FFFFFF"/>
            </w:rPr>
          </w:pPr>
          <w:r>
            <w:rPr>
              <w:rFonts w:eastAsia="Helvetica"/>
              <w:shd w:val="clear" w:color="auto" w:fill="FFFFFF"/>
            </w:rPr>
            <w:t xml:space="preserve">Important Results: The premise of SWOT analysis is to identify strengths, weaknesses, opportunities, and threats in the concept of analysis </w:t>
          </w:r>
          <w:r>
            <w:rPr>
              <w:shd w:val="clear" w:color="auto" w:fill="FFFFFF"/>
              <w:lang w:eastAsia="zh-CN"/>
            </w:rPr>
            <w:t>(</w:t>
          </w:r>
          <w:r>
            <w:rPr>
              <w:lang w:eastAsia="zh-CN"/>
            </w:rPr>
            <w:t xml:space="preserve">Sabbaghi, 2004). </w:t>
          </w:r>
          <w:r>
            <w:rPr>
              <w:rFonts w:eastAsia="Helvetica"/>
              <w:shd w:val="clear" w:color="auto" w:fill="FFFFFF"/>
            </w:rPr>
            <w:t xml:space="preserve">The ideal result is very important for the company to maximise its advantages and minimise weaknesses so that the company can take advantage of the external opportunities listed above to overcome identified threats. In this sense, there is great value in the results that can lead to a SWOT analysis of the firm </w:t>
          </w:r>
          <w:r>
            <w:rPr>
              <w:shd w:val="clear" w:color="auto" w:fill="FFFFFF"/>
              <w:lang w:eastAsia="zh-CN"/>
            </w:rPr>
            <w:t>(</w:t>
          </w:r>
          <w:r>
            <w:t>Jackson,</w:t>
          </w:r>
          <w:r>
            <w:rPr>
              <w:lang w:eastAsia="zh-CN"/>
            </w:rPr>
            <w:t xml:space="preserve"> </w:t>
          </w:r>
          <w:r>
            <w:t>2003)</w:t>
          </w:r>
          <w:r>
            <w:rPr>
              <w:rFonts w:eastAsia="Helvetica"/>
              <w:shd w:val="clear" w:color="auto" w:fill="FFFFFF"/>
            </w:rPr>
            <w:t>.</w:t>
          </w:r>
        </w:p>
        <w:p>
          <w:pPr>
            <w:rPr>
              <w:lang w:eastAsia="zh-Hans"/>
            </w:rPr>
          </w:pPr>
          <w:bookmarkStart w:id="13" w:name="_Toc2751227"/>
          <w:bookmarkStart w:id="14" w:name="_Toc2751285"/>
          <w:r>
            <w:rPr>
              <w:rFonts w:eastAsia="Helvetica"/>
              <w:shd w:val="clear" w:color="auto" w:fill="FFFFFF"/>
            </w:rPr>
            <w:t xml:space="preserve">New Ideas: Another benefit of SWOT analysis is that it can help create new ideas for the business </w:t>
          </w:r>
          <w:r>
            <w:rPr>
              <w:shd w:val="clear" w:color="auto" w:fill="FFFFFF"/>
              <w:lang w:eastAsia="zh-CN"/>
            </w:rPr>
            <w:t>(</w:t>
          </w:r>
          <w:r>
            <w:rPr>
              <w:lang w:eastAsia="zh-CN"/>
            </w:rPr>
            <w:t>Helms, 2010)</w:t>
          </w:r>
          <w:r>
            <w:rPr>
              <w:rFonts w:eastAsia="Helvetica"/>
              <w:shd w:val="clear" w:color="auto" w:fill="FFFFFF"/>
            </w:rPr>
            <w:t>. By studying the problems that arise in the columns and rows following a SWOT analysis, as a society, it not only raises awareness of potential advantages (or disadvantages) and threats but also helps us to react more effectively and p</w:t>
          </w:r>
          <w:r>
            <w:rPr>
              <w:lang w:eastAsia="zh-Hans"/>
            </w:rPr>
            <w:t xml:space="preserve">lan for the future </w:t>
          </w:r>
          <w:r>
            <w:rPr>
              <w:lang w:eastAsia="zh-CN"/>
            </w:rPr>
            <w:t>(</w:t>
          </w:r>
          <w:r>
            <w:rPr>
              <w:lang w:eastAsia="zh-Hans"/>
            </w:rPr>
            <w:t>Piercy,</w:t>
          </w:r>
          <w:r>
            <w:rPr>
              <w:lang w:eastAsia="zh-CN"/>
            </w:rPr>
            <w:t xml:space="preserve"> </w:t>
          </w:r>
          <w:r>
            <w:rPr>
              <w:lang w:eastAsia="zh-Hans"/>
            </w:rPr>
            <w:t xml:space="preserve">1989). </w:t>
          </w:r>
        </w:p>
        <w:p>
          <w:pPr>
            <w:pStyle w:val="2"/>
            <w:rPr>
              <w:lang w:eastAsia="zh-CN"/>
            </w:rPr>
          </w:pPr>
          <w:r>
            <w:rPr>
              <w:lang w:eastAsia="zh-CN"/>
            </w:rPr>
            <w:t>6. Research method</w:t>
          </w:r>
          <w:bookmarkEnd w:id="13"/>
          <w:bookmarkEnd w:id="14"/>
        </w:p>
        <w:p>
          <w:pPr>
            <w:rPr>
              <w:rFonts w:cs="Times New Roman"/>
              <w:szCs w:val="24"/>
              <w:lang w:eastAsia="zh-Hans"/>
            </w:rPr>
          </w:pPr>
          <w:r>
            <w:rPr>
              <w:rFonts w:cs="Times New Roman"/>
              <w:szCs w:val="24"/>
              <w:lang w:eastAsia="zh-Hans"/>
            </w:rPr>
            <w:t>Primary Research</w:t>
          </w:r>
        </w:p>
        <w:tbl>
          <w:tblPr>
            <w:tblStyle w:val="23"/>
            <w:tblW w:w="91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47"/>
            <w:gridCol w:w="2551"/>
            <w:gridCol w:w="40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47" w:type="dxa"/>
              </w:tcPr>
              <w:p>
                <w:pPr>
                  <w:rPr>
                    <w:rFonts w:cs="Times New Roman"/>
                    <w:szCs w:val="24"/>
                    <w:lang w:eastAsia="zh-Hans"/>
                  </w:rPr>
                </w:pPr>
                <w:r>
                  <w:rPr>
                    <w:rFonts w:cs="Times New Roman"/>
                    <w:szCs w:val="24"/>
                    <w:lang w:eastAsia="zh-Hans"/>
                  </w:rPr>
                  <w:t>Sources</w:t>
                </w:r>
              </w:p>
            </w:tc>
            <w:tc>
              <w:tcPr>
                <w:tcW w:w="2551" w:type="dxa"/>
              </w:tcPr>
              <w:p>
                <w:pPr>
                  <w:rPr>
                    <w:rFonts w:cs="Times New Roman"/>
                    <w:szCs w:val="24"/>
                    <w:lang w:eastAsia="zh-Hans"/>
                  </w:rPr>
                </w:pPr>
                <w:r>
                  <w:rPr>
                    <w:rFonts w:cs="Times New Roman"/>
                    <w:szCs w:val="24"/>
                    <w:lang w:eastAsia="zh-Hans"/>
                  </w:rPr>
                  <w:t>Methods</w:t>
                </w:r>
              </w:p>
            </w:tc>
            <w:tc>
              <w:tcPr>
                <w:tcW w:w="4083" w:type="dxa"/>
              </w:tcPr>
              <w:p>
                <w:pPr>
                  <w:rPr>
                    <w:rFonts w:cs="Times New Roman"/>
                    <w:szCs w:val="24"/>
                    <w:lang w:eastAsia="zh-Hans"/>
                  </w:rPr>
                </w:pPr>
                <w:r>
                  <w:rPr>
                    <w:rFonts w:cs="Times New Roman"/>
                    <w:szCs w:val="24"/>
                    <w:lang w:eastAsia="zh-Hans"/>
                  </w:rPr>
                  <w:t>Information needed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47" w:type="dxa"/>
              </w:tcPr>
              <w:p>
                <w:pPr>
                  <w:rPr>
                    <w:rFonts w:cs="Times New Roman"/>
                    <w:szCs w:val="24"/>
                    <w:lang w:eastAsia="zh-CN"/>
                  </w:rPr>
                </w:pPr>
                <w:r>
                  <w:rPr>
                    <w:rFonts w:cs="Times New Roman"/>
                    <w:szCs w:val="24"/>
                    <w:lang w:eastAsia="zh-Hans"/>
                  </w:rPr>
                  <w:t xml:space="preserve">The </w:t>
                </w:r>
                <w:r>
                  <w:rPr>
                    <w:rFonts w:cs="Times New Roman"/>
                    <w:szCs w:val="24"/>
                    <w:lang w:eastAsia="zh-CN"/>
                  </w:rPr>
                  <w:t>manager of the Liaoning Salt Industry Group company</w:t>
                </w:r>
              </w:p>
            </w:tc>
            <w:tc>
              <w:tcPr>
                <w:tcW w:w="2551" w:type="dxa"/>
              </w:tcPr>
              <w:p>
                <w:pPr>
                  <w:rPr>
                    <w:rFonts w:cs="Times New Roman"/>
                    <w:szCs w:val="24"/>
                    <w:lang w:eastAsia="zh-Hans"/>
                  </w:rPr>
                </w:pPr>
                <w:r>
                  <w:rPr>
                    <w:rFonts w:eastAsia="宋体" w:cs="Times New Roman"/>
                    <w:szCs w:val="24"/>
                    <w:lang w:eastAsia="zh-CN"/>
                  </w:rPr>
                  <w:t xml:space="preserve">Phone </w:t>
                </w:r>
                <w:r>
                  <w:rPr>
                    <w:rFonts w:cs="Times New Roman"/>
                    <w:szCs w:val="24"/>
                    <w:lang w:eastAsia="zh-Hans"/>
                  </w:rPr>
                  <w:t>Interview</w:t>
                </w:r>
              </w:p>
            </w:tc>
            <w:tc>
              <w:tcPr>
                <w:tcW w:w="4083" w:type="dxa"/>
              </w:tcPr>
              <w:p>
                <w:pPr>
                  <w:rPr>
                    <w:rFonts w:cs="Times New Roman"/>
                    <w:szCs w:val="24"/>
                    <w:lang w:eastAsia="zh-Hans"/>
                  </w:rPr>
                </w:pPr>
                <w:r>
                  <w:rPr>
                    <w:rFonts w:cs="Times New Roman"/>
                    <w:szCs w:val="24"/>
                    <w:lang w:eastAsia="zh-Hans"/>
                  </w:rPr>
                  <w:t xml:space="preserve">Recent company sales </w:t>
                </w:r>
              </w:p>
              <w:p>
                <w:pPr>
                  <w:rPr>
                    <w:rFonts w:cs="Times New Roman"/>
                    <w:szCs w:val="24"/>
                    <w:lang w:eastAsia="zh-Hans"/>
                  </w:rPr>
                </w:pPr>
                <w:r>
                  <w:rPr>
                    <w:rFonts w:cs="Times New Roman"/>
                    <w:szCs w:val="24"/>
                    <w:lang w:eastAsia="zh-Hans"/>
                  </w:rPr>
                  <w:t>The positioning of the target market</w:t>
                </w:r>
              </w:p>
              <w:p>
                <w:pPr>
                  <w:rPr>
                    <w:rFonts w:eastAsia="宋体" w:cs="Times New Roman"/>
                    <w:szCs w:val="24"/>
                    <w:lang w:eastAsia="zh-CN"/>
                  </w:rPr>
                </w:pPr>
                <w:r>
                  <w:rPr>
                    <w:rFonts w:eastAsia="宋体" w:cs="Times New Roman"/>
                    <w:szCs w:val="24"/>
                    <w:lang w:eastAsia="zh-CN"/>
                  </w:rPr>
                  <w:t>How many suppliers the company can choose in the province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547" w:type="dxa"/>
              </w:tcPr>
              <w:p>
                <w:pPr>
                  <w:rPr>
                    <w:rFonts w:eastAsia="宋体" w:cs="Times New Roman"/>
                    <w:szCs w:val="24"/>
                    <w:lang w:eastAsia="zh-CN"/>
                  </w:rPr>
                </w:pPr>
                <w:r>
                  <w:rPr>
                    <w:rFonts w:eastAsia="宋体" w:cs="Times New Roman"/>
                    <w:szCs w:val="24"/>
                    <w:lang w:eastAsia="zh-CN"/>
                  </w:rPr>
                  <w:t xml:space="preserve">The CEO of the </w:t>
                </w:r>
                <w:r>
                  <w:rPr>
                    <w:rFonts w:cs="Times New Roman"/>
                    <w:szCs w:val="24"/>
                    <w:lang w:eastAsia="zh-CN"/>
                  </w:rPr>
                  <w:t>Liaoning Salt Industry Group company</w:t>
                </w:r>
              </w:p>
              <w:p>
                <w:pPr>
                  <w:rPr>
                    <w:rFonts w:eastAsia="宋体" w:cs="Times New Roman"/>
                    <w:szCs w:val="24"/>
                    <w:lang w:eastAsia="zh-CN"/>
                  </w:rPr>
                </w:pPr>
              </w:p>
            </w:tc>
            <w:tc>
              <w:tcPr>
                <w:tcW w:w="2551" w:type="dxa"/>
              </w:tcPr>
              <w:p>
                <w:pPr>
                  <w:rPr>
                    <w:rFonts w:eastAsia="宋体" w:cs="Times New Roman"/>
                    <w:szCs w:val="24"/>
                    <w:lang w:eastAsia="zh-CN"/>
                  </w:rPr>
                </w:pPr>
                <w:r>
                  <w:rPr>
                    <w:rFonts w:eastAsia="宋体" w:cs="Times New Roman"/>
                    <w:szCs w:val="24"/>
                    <w:lang w:eastAsia="zh-CN"/>
                  </w:rPr>
                  <w:t xml:space="preserve">Phone </w:t>
                </w:r>
                <w:r>
                  <w:rPr>
                    <w:rFonts w:cs="Times New Roman"/>
                    <w:szCs w:val="24"/>
                    <w:lang w:eastAsia="zh-Hans"/>
                  </w:rPr>
                  <w:t>Interview</w:t>
                </w:r>
              </w:p>
            </w:tc>
            <w:tc>
              <w:tcPr>
                <w:tcW w:w="4083" w:type="dxa"/>
              </w:tcPr>
              <w:p>
                <w:pPr>
                  <w:rPr>
                    <w:rFonts w:eastAsia="宋体" w:cs="Times New Roman"/>
                    <w:szCs w:val="24"/>
                    <w:lang w:eastAsia="zh-CN"/>
                  </w:rPr>
                </w:pPr>
                <w:r>
                  <w:rPr>
                    <w:rFonts w:eastAsia="宋体" w:cs="Times New Roman"/>
                    <w:szCs w:val="24"/>
                    <w:lang w:eastAsia="zh-CN"/>
                  </w:rPr>
                  <w:t>The problem faced by the company</w:t>
                </w:r>
              </w:p>
              <w:p>
                <w:pPr>
                  <w:rPr>
                    <w:rFonts w:eastAsia="宋体" w:cs="Times New Roman"/>
                    <w:szCs w:val="24"/>
                    <w:lang w:eastAsia="zh-CN"/>
                  </w:rPr>
                </w:pPr>
              </w:p>
            </w:tc>
          </w:tr>
        </w:tbl>
        <w:p>
          <w:pPr>
            <w:rPr>
              <w:rFonts w:cs="Times New Roman"/>
              <w:szCs w:val="24"/>
              <w:lang w:eastAsia="zh-Hans"/>
            </w:rPr>
          </w:pPr>
        </w:p>
        <w:p>
          <w:pPr>
            <w:rPr>
              <w:lang w:eastAsia="zh-Hans"/>
            </w:rPr>
          </w:pPr>
          <w:r>
            <w:rPr>
              <w:lang w:eastAsia="zh-Hans"/>
            </w:rPr>
            <w:t>Secondary research</w:t>
          </w:r>
        </w:p>
        <w:p>
          <w:pPr>
            <w:rPr>
              <w:rFonts w:ascii="Arial" w:hAnsi="Arial" w:eastAsia="宋体" w:cs="Arial"/>
              <w:color w:val="2E75B6" w:themeColor="accent1" w:themeShade="BF"/>
              <w:sz w:val="20"/>
              <w:szCs w:val="20"/>
              <w:lang w:eastAsia="zh-CN"/>
            </w:rPr>
          </w:pPr>
          <w:r>
            <w:rPr>
              <w:lang w:eastAsia="zh-Hans"/>
            </w:rPr>
            <w:t xml:space="preserve">By the secondary research of </w:t>
          </w:r>
          <w:r>
            <w:rPr>
              <w:rFonts w:eastAsia="宋体"/>
              <w:lang w:eastAsia="zh-CN"/>
            </w:rPr>
            <w:t>official</w:t>
          </w:r>
          <w:r>
            <w:rPr>
              <w:lang w:eastAsia="zh-Hans"/>
            </w:rPr>
            <w:t xml:space="preserve"> websites and a library, some possible reasons of status quo are discussed and the successful experience in other </w:t>
          </w:r>
          <w:r>
            <w:rPr>
              <w:rFonts w:eastAsia="宋体"/>
              <w:lang w:eastAsia="zh-CN"/>
            </w:rPr>
            <w:t>salt companies</w:t>
          </w:r>
          <w:r>
            <w:rPr>
              <w:lang w:eastAsia="zh-Hans"/>
            </w:rPr>
            <w:t xml:space="preserve"> can be used as a reference; moreover, </w:t>
          </w:r>
          <w:r>
            <w:rPr>
              <w:rFonts w:eastAsia="宋体"/>
              <w:lang w:eastAsia="zh-CN"/>
            </w:rPr>
            <w:t>journals and books which relate to managing strategic change will also be helpful.</w:t>
          </w:r>
        </w:p>
        <w:p>
          <w:pPr>
            <w:rPr>
              <w:rFonts w:ascii="Arial" w:hAnsi="Arial" w:eastAsia="宋体" w:cs="Arial"/>
              <w:color w:val="2E75B6" w:themeColor="accent1" w:themeShade="BF"/>
              <w:sz w:val="20"/>
              <w:szCs w:val="20"/>
              <w:lang w:eastAsia="zh-CN"/>
            </w:rPr>
          </w:pPr>
        </w:p>
        <w:p>
          <w:pPr>
            <w:pStyle w:val="2"/>
            <w:rPr>
              <w:lang w:eastAsia="zh-CN"/>
            </w:rPr>
          </w:pPr>
          <w:bookmarkStart w:id="15" w:name="_Toc2751228"/>
          <w:bookmarkStart w:id="16" w:name="_Toc2751286"/>
          <w:r>
            <w:rPr>
              <w:lang w:eastAsia="zh-CN"/>
            </w:rPr>
            <w:t>7. Project plan and control and time management</w:t>
          </w:r>
          <w:bookmarkEnd w:id="15"/>
          <w:bookmarkEnd w:id="16"/>
        </w:p>
        <w:tbl>
          <w:tblPr>
            <w:tblStyle w:val="24"/>
            <w:tblW w:w="8136" w:type="dxa"/>
            <w:tblInd w:w="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2650"/>
            <w:gridCol w:w="2743"/>
            <w:gridCol w:w="274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Ex>
            <w:trPr>
              <w:trHeight w:val="300" w:hRule="atLeast"/>
            </w:trPr>
            <w:tc>
              <w:tcPr>
                <w:tcW w:w="26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rPr>
                    <w:rFonts w:eastAsia="Arial Unicode MS" w:cs="Times New Roman"/>
                    <w:szCs w:val="24"/>
                    <w:lang w:eastAsia="zh-CN"/>
                  </w:rPr>
                </w:pPr>
                <w:r>
                  <w:rPr>
                    <w:rFonts w:cs="Times New Roman"/>
                    <w:szCs w:val="24"/>
                    <w:lang w:eastAsia="zh-CN"/>
                  </w:rPr>
                  <w:t xml:space="preserve">Task </w:t>
                </w:r>
              </w:p>
            </w:tc>
            <w:tc>
              <w:tcPr>
                <w:tcW w:w="2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rPr>
                    <w:rFonts w:eastAsia="Arial Unicode MS" w:cs="Times New Roman"/>
                    <w:szCs w:val="24"/>
                    <w:lang w:eastAsia="zh-CN"/>
                  </w:rPr>
                </w:pPr>
                <w:r>
                  <w:rPr>
                    <w:rFonts w:cs="Times New Roman"/>
                    <w:szCs w:val="24"/>
                    <w:lang w:eastAsia="zh-CN"/>
                  </w:rPr>
                  <w:t>Duration</w:t>
                </w:r>
              </w:p>
            </w:tc>
            <w:tc>
              <w:tcPr>
                <w:tcW w:w="2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rPr>
                    <w:rFonts w:cs="Times New Roman"/>
                    <w:szCs w:val="24"/>
                    <w:lang w:eastAsia="zh-CN"/>
                  </w:rPr>
                </w:pPr>
                <w:r>
                  <w:rPr>
                    <w:rFonts w:cs="Times New Roman"/>
                    <w:szCs w:val="24"/>
                    <w:lang w:eastAsia="zh-CN"/>
                  </w:rPr>
                  <w:t>Activities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0" w:type="dxa"/>
                <w:bottom w:w="0" w:type="dxa"/>
                <w:right w:w="0" w:type="dxa"/>
              </w:tblCellMar>
            </w:tblPrEx>
            <w:trPr>
              <w:trHeight w:val="90" w:hRule="atLeast"/>
            </w:trPr>
            <w:tc>
              <w:tcPr>
                <w:tcW w:w="26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rPr>
                    <w:rFonts w:cs="Times New Roman"/>
                    <w:szCs w:val="24"/>
                  </w:rPr>
                </w:pPr>
                <w:r>
                  <w:rPr>
                    <w:rFonts w:cs="Times New Roman"/>
                    <w:szCs w:val="24"/>
                    <w:lang w:eastAsia="zh-CN"/>
                  </w:rPr>
                  <w:t xml:space="preserve">Research </w:t>
                </w:r>
                <w:r>
                  <w:rPr>
                    <w:rFonts w:eastAsia="宋体" w:cs="Times New Roman"/>
                    <w:szCs w:val="24"/>
                    <w:lang w:eastAsia="zh-CN"/>
                  </w:rPr>
                  <w:t>the company background and issues</w:t>
                </w:r>
              </w:p>
            </w:tc>
            <w:tc>
              <w:tcPr>
                <w:tcW w:w="2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rPr>
                    <w:rFonts w:eastAsia="Arial Unicode MS" w:cs="Times New Roman"/>
                    <w:szCs w:val="24"/>
                    <w:lang w:eastAsia="zh-CN"/>
                  </w:rPr>
                </w:pPr>
                <w:r>
                  <w:rPr>
                    <w:rFonts w:cs="Times New Roman"/>
                    <w:szCs w:val="24"/>
                    <w:lang w:eastAsia="zh-CN"/>
                  </w:rPr>
                  <w:t>1 month</w:t>
                </w:r>
              </w:p>
            </w:tc>
            <w:tc>
              <w:tcPr>
                <w:tcW w:w="2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rPr>
                    <w:rFonts w:cs="Times New Roman"/>
                    <w:szCs w:val="24"/>
                    <w:lang w:eastAsia="zh-CN"/>
                  </w:rPr>
                </w:pPr>
                <w:r>
                  <w:rPr>
                    <w:rFonts w:cs="Times New Roman"/>
                    <w:szCs w:val="24"/>
                    <w:lang w:eastAsia="zh-CN"/>
                  </w:rPr>
                  <w:t>To clearly understand the company's background and the problems faced by the company, consult the corresponding data to understand how the problem is generated</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0" w:type="dxa"/>
                <w:bottom w:w="0" w:type="dxa"/>
                <w:right w:w="0" w:type="dxa"/>
              </w:tblCellMar>
            </w:tblPrEx>
            <w:trPr>
              <w:trHeight w:val="590" w:hRule="atLeast"/>
            </w:trPr>
            <w:tc>
              <w:tcPr>
                <w:tcW w:w="26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rPr>
                    <w:rFonts w:eastAsia="Arial Unicode MS" w:cs="Times New Roman"/>
                    <w:szCs w:val="24"/>
                    <w:lang w:eastAsia="zh-CN"/>
                  </w:rPr>
                </w:pPr>
                <w:r>
                  <w:rPr>
                    <w:rFonts w:cs="Times New Roman"/>
                    <w:szCs w:val="24"/>
                    <w:lang w:eastAsia="zh-CN"/>
                  </w:rPr>
                  <w:t>Phone interview</w:t>
                </w:r>
              </w:p>
            </w:tc>
            <w:tc>
              <w:tcPr>
                <w:tcW w:w="2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rPr>
                    <w:rFonts w:eastAsia="Arial Unicode MS" w:cs="Times New Roman"/>
                    <w:szCs w:val="24"/>
                    <w:lang w:eastAsia="zh-CN"/>
                  </w:rPr>
                </w:pPr>
                <w:r>
                  <w:rPr>
                    <w:rFonts w:cs="Times New Roman"/>
                    <w:szCs w:val="24"/>
                    <w:lang w:eastAsia="zh-CN"/>
                  </w:rPr>
                  <w:t>7 days</w:t>
                </w:r>
              </w:p>
            </w:tc>
            <w:tc>
              <w:tcPr>
                <w:tcW w:w="2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rPr>
                    <w:rFonts w:cs="Times New Roman"/>
                    <w:szCs w:val="24"/>
                    <w:lang w:eastAsia="zh-CN"/>
                  </w:rPr>
                </w:pPr>
                <w:r>
                  <w:rPr>
                    <w:rFonts w:cs="Times New Roman"/>
                    <w:szCs w:val="24"/>
                    <w:lang w:eastAsia="zh-CN"/>
                  </w:rPr>
                  <w:t>Conduct a telephone interview with the internal manager and chairman to understand the current business situation and the competitiveness of the company in the province.</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0" w:type="dxa"/>
                <w:bottom w:w="0" w:type="dxa"/>
                <w:right w:w="0" w:type="dxa"/>
              </w:tblCellMar>
            </w:tblPrEx>
            <w:trPr>
              <w:trHeight w:val="870" w:hRule="atLeast"/>
            </w:trPr>
            <w:tc>
              <w:tcPr>
                <w:tcW w:w="26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rPr>
                    <w:rFonts w:eastAsia="Arial Unicode MS" w:cs="Times New Roman"/>
                    <w:szCs w:val="24"/>
                    <w:lang w:eastAsia="zh-CN"/>
                  </w:rPr>
                </w:pPr>
                <w:r>
                  <w:rPr>
                    <w:rFonts w:cs="Times New Roman"/>
                    <w:szCs w:val="24"/>
                    <w:lang w:eastAsia="zh-CN"/>
                  </w:rPr>
                  <w:t>Design project aim and objectives</w:t>
                </w:r>
              </w:p>
            </w:tc>
            <w:tc>
              <w:tcPr>
                <w:tcW w:w="2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rPr>
                    <w:rFonts w:eastAsia="Arial Unicode MS" w:cs="Times New Roman"/>
                    <w:szCs w:val="24"/>
                    <w:lang w:eastAsia="zh-CN"/>
                  </w:rPr>
                </w:pPr>
                <w:r>
                  <w:rPr>
                    <w:rFonts w:cs="Times New Roman"/>
                    <w:szCs w:val="24"/>
                    <w:lang w:eastAsia="zh-CN"/>
                  </w:rPr>
                  <w:t>15 days</w:t>
                </w:r>
              </w:p>
            </w:tc>
            <w:tc>
              <w:tcPr>
                <w:tcW w:w="2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rPr>
                    <w:rFonts w:cs="Times New Roman"/>
                    <w:szCs w:val="24"/>
                    <w:lang w:eastAsia="zh-CN"/>
                  </w:rPr>
                </w:pPr>
                <w:r>
                  <w:rPr>
                    <w:rFonts w:cs="Times New Roman"/>
                    <w:szCs w:val="24"/>
                    <w:lang w:eastAsia="zh-CN"/>
                  </w:rPr>
                  <w:t>Design a reasonable project goal to help companies solve the current difficulties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0" w:type="dxa"/>
                <w:bottom w:w="0" w:type="dxa"/>
                <w:right w:w="0" w:type="dxa"/>
              </w:tblCellMar>
            </w:tblPrEx>
            <w:trPr>
              <w:trHeight w:val="1060" w:hRule="atLeast"/>
            </w:trPr>
            <w:tc>
              <w:tcPr>
                <w:tcW w:w="26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rPr>
                    <w:rFonts w:eastAsia="Arial Unicode MS" w:cs="Times New Roman"/>
                    <w:szCs w:val="24"/>
                    <w:lang w:eastAsia="zh-CN"/>
                  </w:rPr>
                </w:pPr>
                <w:r>
                  <w:rPr>
                    <w:rFonts w:cs="Times New Roman"/>
                    <w:szCs w:val="24"/>
                    <w:lang w:eastAsia="zh-CN"/>
                  </w:rPr>
                  <w:t>Research the benefit for the company</w:t>
                </w:r>
              </w:p>
            </w:tc>
            <w:tc>
              <w:tcPr>
                <w:tcW w:w="2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rPr>
                    <w:rFonts w:eastAsia="Arial Unicode MS" w:cs="Times New Roman"/>
                    <w:szCs w:val="24"/>
                    <w:lang w:eastAsia="zh-CN"/>
                  </w:rPr>
                </w:pPr>
                <w:r>
                  <w:rPr>
                    <w:rFonts w:cs="Times New Roman"/>
                    <w:szCs w:val="24"/>
                    <w:lang w:eastAsia="zh-CN"/>
                  </w:rPr>
                  <w:t>10 days</w:t>
                </w:r>
              </w:p>
            </w:tc>
            <w:tc>
              <w:tcPr>
                <w:tcW w:w="2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rPr>
                    <w:rFonts w:cs="Times New Roman"/>
                    <w:szCs w:val="24"/>
                    <w:lang w:eastAsia="zh-CN"/>
                  </w:rPr>
                </w:pPr>
                <w:r>
                  <w:rPr>
                    <w:rFonts w:cs="Times New Roman"/>
                    <w:szCs w:val="24"/>
                    <w:lang w:eastAsia="zh-CN"/>
                  </w:rPr>
                  <w:t>Explain the benefits of the company’s measures to address these issues</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0" w:type="dxa"/>
                <w:bottom w:w="0" w:type="dxa"/>
                <w:right w:w="0" w:type="dxa"/>
              </w:tblCellMar>
            </w:tblPrEx>
            <w:trPr>
              <w:trHeight w:val="1060" w:hRule="atLeast"/>
            </w:trPr>
            <w:tc>
              <w:tcPr>
                <w:tcW w:w="26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rPr>
                    <w:rFonts w:cs="Times New Roman"/>
                    <w:szCs w:val="24"/>
                    <w:lang w:eastAsia="zh-CN"/>
                  </w:rPr>
                </w:pPr>
                <w:r>
                  <w:rPr>
                    <w:rFonts w:cs="Times New Roman"/>
                    <w:szCs w:val="24"/>
                    <w:lang w:eastAsia="zh-CN"/>
                  </w:rPr>
                  <w:t>T</w:t>
                </w:r>
                <w:r>
                  <w:rPr>
                    <w:rFonts w:cs="Times New Roman"/>
                    <w:szCs w:val="24"/>
                  </w:rPr>
                  <w:t>ime schedules</w:t>
                </w:r>
              </w:p>
            </w:tc>
            <w:tc>
              <w:tcPr>
                <w:tcW w:w="2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rPr>
                    <w:rFonts w:cs="Times New Roman"/>
                    <w:szCs w:val="24"/>
                    <w:lang w:eastAsia="zh-CN"/>
                  </w:rPr>
                </w:pPr>
                <w:r>
                  <w:rPr>
                    <w:rFonts w:cs="Times New Roman"/>
                    <w:szCs w:val="24"/>
                    <w:lang w:eastAsia="zh-CN"/>
                  </w:rPr>
                  <w:t>7 days</w:t>
                </w:r>
              </w:p>
            </w:tc>
            <w:tc>
              <w:tcPr>
                <w:tcW w:w="2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rPr>
                    <w:rFonts w:cs="Times New Roman"/>
                    <w:szCs w:val="24"/>
                    <w:lang w:eastAsia="zh-CN"/>
                  </w:rPr>
                </w:pPr>
                <w:r>
                  <w:rPr>
                    <w:rFonts w:cs="Times New Roman"/>
                    <w:szCs w:val="24"/>
                    <w:lang w:eastAsia="zh-CN"/>
                  </w:rPr>
                  <w:t>Find out the key points of each part. Introduce the main content of the report and the structure of the report and create a schedule for the plan.</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0" w:type="dxa"/>
                <w:bottom w:w="0" w:type="dxa"/>
                <w:right w:w="0" w:type="dxa"/>
              </w:tblCellMar>
            </w:tblPrEx>
            <w:trPr>
              <w:trHeight w:val="90" w:hRule="atLeast"/>
            </w:trPr>
            <w:tc>
              <w:tcPr>
                <w:tcW w:w="265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rPr>
                    <w:rFonts w:eastAsia="Arial Unicode MS" w:cs="Times New Roman"/>
                    <w:szCs w:val="24"/>
                    <w:lang w:eastAsia="zh-CN"/>
                  </w:rPr>
                </w:pPr>
                <w:r>
                  <w:rPr>
                    <w:rFonts w:cs="Times New Roman"/>
                    <w:szCs w:val="24"/>
                    <w:lang w:eastAsia="zh-CN"/>
                  </w:rPr>
                  <w:t>Recommendation</w:t>
                </w:r>
              </w:p>
            </w:tc>
            <w:tc>
              <w:tcPr>
                <w:tcW w:w="2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rPr>
                    <w:rFonts w:eastAsia="Arial Unicode MS" w:cs="Times New Roman"/>
                    <w:szCs w:val="24"/>
                    <w:lang w:eastAsia="zh-CN"/>
                  </w:rPr>
                </w:pPr>
                <w:r>
                  <w:rPr>
                    <w:rFonts w:cs="Times New Roman"/>
                    <w:szCs w:val="24"/>
                    <w:lang w:eastAsia="zh-CN"/>
                  </w:rPr>
                  <w:t>1 month</w:t>
                </w:r>
              </w:p>
            </w:tc>
            <w:tc>
              <w:tcPr>
                <w:tcW w:w="27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rPr>
                    <w:rFonts w:cs="Times New Roman"/>
                    <w:szCs w:val="24"/>
                    <w:lang w:eastAsia="zh-CN"/>
                  </w:rPr>
                </w:pPr>
                <w:r>
                  <w:rPr>
                    <w:rFonts w:cs="Times New Roman"/>
                    <w:szCs w:val="24"/>
                    <w:lang w:eastAsia="zh-CN"/>
                  </w:rPr>
                  <w:t>Propose effective solutions and recommendations for the company</w:t>
                </w:r>
              </w:p>
            </w:tc>
          </w:tr>
        </w:tbl>
        <w:p>
          <w:pPr>
            <w:rPr>
              <w:rFonts w:ascii="Arial" w:hAnsi="Arial" w:eastAsia="宋体" w:cs="Arial"/>
              <w:sz w:val="20"/>
              <w:szCs w:val="20"/>
              <w:lang w:eastAsia="zh-CN"/>
            </w:rPr>
          </w:pPr>
          <w:r>
            <w:rPr>
              <w:rFonts w:ascii="Arial" w:hAnsi="Arial" w:eastAsia="宋体" w:cs="Arial"/>
              <w:sz w:val="20"/>
              <w:szCs w:val="20"/>
              <w:lang w:eastAsia="zh-CN"/>
            </w:rPr>
            <w:br w:type="page"/>
          </w:r>
        </w:p>
        <w:p>
          <w:pPr>
            <w:pStyle w:val="2"/>
          </w:pPr>
          <w:bookmarkStart w:id="17" w:name="_Toc13557"/>
          <w:bookmarkStart w:id="18" w:name="_Toc5546"/>
          <w:bookmarkStart w:id="19" w:name="_Toc2751229"/>
          <w:bookmarkStart w:id="20" w:name="_Toc2751287"/>
          <w:r>
            <w:t>Bibliography</w:t>
          </w:r>
          <w:bookmarkEnd w:id="17"/>
          <w:bookmarkEnd w:id="18"/>
          <w:bookmarkEnd w:id="19"/>
          <w:bookmarkEnd w:id="20"/>
        </w:p>
        <w:p>
          <w:r>
            <w:t>Balogun &amp; Hope Hailey, 2008. Exploring strategic change 3rd ed., Harlow, England; New York: FT Prentice Hall Financial Times.</w:t>
          </w:r>
        </w:p>
        <w:p/>
        <w:p>
          <w:r>
            <w:t>Burnes, B., 2009. Managing change: a strategic approach to organizational dynamics, 5th ed. [ebook] Harlow: Financial Times Prentice Hall.</w:t>
          </w:r>
        </w:p>
        <w:p>
          <w:pPr>
            <w:rPr>
              <w:lang w:eastAsia="zh-CN"/>
            </w:rPr>
          </w:pPr>
        </w:p>
        <w:p>
          <w:pPr>
            <w:rPr>
              <w:rFonts w:eastAsia="宋体"/>
              <w:lang w:eastAsia="zh-CN"/>
            </w:rPr>
          </w:pPr>
          <w:r>
            <w:rPr>
              <w:lang w:eastAsia="zh-CN"/>
            </w:rPr>
            <w:t xml:space="preserve">Chinasalt. 2019 [Online] Available at: </w:t>
          </w:r>
          <w:r>
            <w:fldChar w:fldCharType="begin"/>
          </w:r>
          <w:r>
            <w:instrText xml:space="preserve"> HYPERLINK "http://www.chinasalt.com.cn/xwzx/" </w:instrText>
          </w:r>
          <w:r>
            <w:fldChar w:fldCharType="separate"/>
          </w:r>
          <w:r>
            <w:rPr>
              <w:rStyle w:val="15"/>
              <w:rFonts w:cs="Times New Roman"/>
              <w:szCs w:val="24"/>
            </w:rPr>
            <w:t>http://www.chinasalt.com.cn/xwzx/</w:t>
          </w:r>
          <w:r>
            <w:rPr>
              <w:rStyle w:val="15"/>
              <w:rFonts w:cs="Times New Roman"/>
              <w:szCs w:val="24"/>
            </w:rPr>
            <w:fldChar w:fldCharType="end"/>
          </w:r>
          <w:r>
            <w:rPr>
              <w:rFonts w:eastAsia="宋体"/>
              <w:lang w:eastAsia="zh-CN"/>
            </w:rPr>
            <w:t xml:space="preserve"> </w:t>
          </w:r>
        </w:p>
        <w:p>
          <w:pPr>
            <w:rPr>
              <w:lang w:eastAsia="zh-CN"/>
            </w:rPr>
          </w:pPr>
          <w:r>
            <w:rPr>
              <w:lang w:eastAsia="zh-CN"/>
            </w:rPr>
            <w:t>[Accessed on 23rd Feb. 2019]</w:t>
          </w:r>
        </w:p>
        <w:p>
          <w:pPr>
            <w:rPr>
              <w:lang w:eastAsia="zh-CN"/>
            </w:rPr>
          </w:pPr>
        </w:p>
        <w:p>
          <w:pPr>
            <w:rPr>
              <w:lang w:eastAsia="zh-CN"/>
            </w:rPr>
          </w:pPr>
          <w:r>
            <w:rPr>
              <w:lang w:eastAsia="zh-CN"/>
            </w:rPr>
            <w:t>Doyle, C., 2011. SWOT analysis. A Dictionary of Marketing, pp.A Dictionary of Marketing.</w:t>
          </w:r>
        </w:p>
        <w:p>
          <w:pPr>
            <w:rPr>
              <w:lang w:eastAsia="zh-CN"/>
            </w:rPr>
          </w:pPr>
        </w:p>
        <w:p>
          <w:pPr>
            <w:rPr>
              <w:lang w:eastAsia="zh-CN"/>
            </w:rPr>
          </w:pPr>
          <w:r>
            <w:rPr>
              <w:lang w:eastAsia="zh-CN"/>
            </w:rPr>
            <w:t>Helms, M. M., &amp; Nixon, J. (2010). Exploring SWOT analysis–where are we now? A review of academic research from the last decade. </w:t>
          </w:r>
          <w:r>
            <w:rPr>
              <w:i/>
              <w:lang w:eastAsia="zh-CN"/>
            </w:rPr>
            <w:t>Journal of Strategy and Management</w:t>
          </w:r>
          <w:r>
            <w:rPr>
              <w:lang w:eastAsia="zh-CN"/>
            </w:rPr>
            <w:t>, 3(3), 215-251.</w:t>
          </w:r>
        </w:p>
        <w:p>
          <w:pPr>
            <w:rPr>
              <w:lang w:eastAsia="zh-CN"/>
            </w:rPr>
          </w:pPr>
        </w:p>
        <w:p>
          <w:pPr>
            <w:rPr>
              <w:lang w:eastAsia="zh-CN"/>
            </w:rPr>
          </w:pPr>
          <w:r>
            <w:rPr>
              <w:lang w:eastAsia="zh-CN"/>
            </w:rPr>
            <w:t>Jackson, S. E., Joshi, A., &amp; Erhardt, N. L. (2003). Recent research on team and organizational diversity: SWOT analysis and implications</w:t>
          </w:r>
          <w:r>
            <w:rPr>
              <w:i/>
              <w:lang w:eastAsia="zh-CN"/>
            </w:rPr>
            <w:t xml:space="preserve"> Journal of Strategy and Management</w:t>
          </w:r>
          <w:r>
            <w:rPr>
              <w:lang w:eastAsia="zh-CN"/>
            </w:rPr>
            <w:t>, 29(6), 801-830.</w:t>
          </w:r>
        </w:p>
        <w:p>
          <w:pPr>
            <w:rPr>
              <w:lang w:eastAsia="zh-CN"/>
            </w:rPr>
          </w:pPr>
        </w:p>
        <w:p>
          <w:pPr>
            <w:rPr>
              <w:lang w:eastAsia="zh-CN"/>
            </w:rPr>
          </w:pPr>
          <w:r>
            <w:rPr>
              <w:lang w:eastAsia="zh-CN"/>
            </w:rPr>
            <w:t>Piercy, N., &amp; Giles, W. (1989). Making SWOT analysis work. </w:t>
          </w:r>
          <w:r>
            <w:rPr>
              <w:i/>
              <w:lang w:eastAsia="zh-CN"/>
            </w:rPr>
            <w:t>Marketing Intelligence &amp; Planning</w:t>
          </w:r>
          <w:r>
            <w:rPr>
              <w:lang w:eastAsia="zh-CN"/>
            </w:rPr>
            <w:t>, 7(5/6), 5-7.</w:t>
          </w:r>
        </w:p>
        <w:p/>
        <w:p>
          <w:r>
            <w:t>Quinn, J., 1980. Managing Strategic Change. Sloan Management Review, 21(4), 3.</w:t>
          </w:r>
        </w:p>
        <w:p>
          <w:pPr>
            <w:rPr>
              <w:rFonts w:eastAsia="宋体"/>
              <w:shd w:val="clear" w:color="auto" w:fill="FFFFFF"/>
              <w:lang w:eastAsia="zh-CN"/>
            </w:rPr>
          </w:pPr>
        </w:p>
        <w:p>
          <w:pPr>
            <w:rPr>
              <w:lang w:eastAsia="zh-CN"/>
            </w:rPr>
          </w:pPr>
          <w:r>
            <w:rPr>
              <w:rFonts w:eastAsia="宋体"/>
              <w:color w:val="auto"/>
              <w:shd w:val="clear" w:color="auto" w:fill="FFFFFF"/>
              <w:lang w:eastAsia="zh-CN"/>
            </w:rPr>
            <w:t xml:space="preserve">Summitasia, 2019 </w:t>
          </w:r>
          <w:r>
            <w:rPr>
              <w:lang w:eastAsia="zh-CN"/>
            </w:rPr>
            <w:t xml:space="preserve">[Online] Available at: </w:t>
          </w:r>
          <w:r>
            <w:fldChar w:fldCharType="begin"/>
          </w:r>
          <w:r>
            <w:instrText xml:space="preserve"> HYPERLINK "http://summitasia.com/cn/the-pros-and-cons-of-swot-analysis/" </w:instrText>
          </w:r>
          <w:r>
            <w:fldChar w:fldCharType="separate"/>
          </w:r>
          <w:r>
            <w:rPr>
              <w:rStyle w:val="15"/>
              <w:rFonts w:cs="Times New Roman"/>
              <w:szCs w:val="24"/>
              <w:lang w:eastAsia="zh-CN"/>
            </w:rPr>
            <w:t>http://summitasia.com/cn/the-pros-and-cons-of-swot-analysis/</w:t>
          </w:r>
          <w:r>
            <w:rPr>
              <w:rStyle w:val="15"/>
              <w:rFonts w:cs="Times New Roman"/>
              <w:szCs w:val="24"/>
              <w:lang w:eastAsia="zh-CN"/>
            </w:rPr>
            <w:fldChar w:fldCharType="end"/>
          </w:r>
          <w:r>
            <w:rPr>
              <w:lang w:eastAsia="zh-CN"/>
            </w:rPr>
            <w:t xml:space="preserve"> [Accessed on 22nd Feb. 2019]</w:t>
          </w:r>
        </w:p>
        <w:p>
          <w:pPr>
            <w:rPr>
              <w:lang w:eastAsia="zh-CN"/>
            </w:rPr>
          </w:pPr>
        </w:p>
        <w:p>
          <w:pPr>
            <w:rPr>
              <w:lang w:eastAsia="zh-CN"/>
            </w:rPr>
          </w:pPr>
          <w:r>
            <w:rPr>
              <w:lang w:eastAsia="zh-CN"/>
            </w:rPr>
            <w:t>Sabbaghi, A., &amp; Vaidyanathan, G. (2004). SWOT analysis and theory of constraint in information technology projects. </w:t>
          </w:r>
          <w:r>
            <w:rPr>
              <w:i/>
              <w:lang w:eastAsia="zh-CN"/>
            </w:rPr>
            <w:t>Information Systems Education Journal</w:t>
          </w:r>
          <w:r>
            <w:rPr>
              <w:lang w:eastAsia="zh-CN"/>
            </w:rPr>
            <w:t>, 2(23), 3-19.</w:t>
          </w:r>
        </w:p>
        <w:p>
          <w:pPr>
            <w:rPr>
              <w:lang w:eastAsia="zh-CN"/>
            </w:rPr>
          </w:pPr>
        </w:p>
        <w:p>
          <w:pPr>
            <w:rPr>
              <w:lang w:eastAsia="zh-CN"/>
            </w:rPr>
          </w:pPr>
          <w:r>
            <w:rPr>
              <w:lang w:eastAsia="zh-CN"/>
            </w:rPr>
            <w:t>Turner, J.R., 2009. The handbook of project-based management: leading strategic change in organizations 3rd ed., New York; London: McGraw-Hill.</w:t>
          </w:r>
        </w:p>
        <w:p>
          <w:pPr>
            <w:rPr>
              <w:lang w:eastAsia="zh-CN"/>
            </w:rPr>
          </w:pPr>
        </w:p>
        <w:p>
          <w:pPr>
            <w:rPr>
              <w:lang w:eastAsia="zh-CN"/>
            </w:rPr>
          </w:pPr>
          <w:r>
            <w:rPr>
              <w:lang w:eastAsia="zh-CN"/>
            </w:rPr>
            <w:t>Valentin, E. K. (2001). SWOT analysis from a resource-based view. </w:t>
          </w:r>
          <w:r>
            <w:rPr>
              <w:i/>
              <w:lang w:eastAsia="zh-CN"/>
            </w:rPr>
            <w:t>Journal of Marketing Theory and Practice</w:t>
          </w:r>
          <w:r>
            <w:rPr>
              <w:lang w:eastAsia="zh-CN"/>
            </w:rPr>
            <w:t>, 9(2), 54-69.</w:t>
          </w:r>
        </w:p>
        <w:p>
          <w:pPr>
            <w:rPr>
              <w:lang w:eastAsia="zh-CN"/>
            </w:rPr>
          </w:pPr>
        </w:p>
        <w:p>
          <w:r>
            <w:t>Whipp, R., 2006. Managing Strategic Change. The Oxford Handbook of Strategy, A Strategy Overview and Competitive Strategy, pp.The Oxford Handbook of Strategy, A Strategy Overview and Competitive Strategy.</w:t>
          </w:r>
          <w:bookmarkStart w:id="21" w:name="_GoBack"/>
          <w:bookmarkEnd w:id="21"/>
        </w:p>
        <w:p/>
        <w:p>
          <w:pPr>
            <w:rPr>
              <w:lang w:eastAsia="zh-CN"/>
            </w:rPr>
          </w:pPr>
          <w:r>
            <w:rPr>
              <w:lang w:eastAsia="zh-CN"/>
            </w:rPr>
            <w:t xml:space="preserve">12reads. 2019 [Online] Available at: </w:t>
          </w:r>
          <w:r>
            <w:fldChar w:fldCharType="begin"/>
          </w:r>
          <w:r>
            <w:instrText xml:space="preserve"> HYPERLINK "http://www.12reads.cn/30689.html" </w:instrText>
          </w:r>
          <w:r>
            <w:fldChar w:fldCharType="separate"/>
          </w:r>
          <w:r>
            <w:rPr>
              <w:rStyle w:val="15"/>
              <w:rFonts w:cs="Times New Roman"/>
              <w:szCs w:val="24"/>
              <w:lang w:eastAsia="zh-CN"/>
            </w:rPr>
            <w:t>http://www.12reads.cn/30689.html</w:t>
          </w:r>
          <w:r>
            <w:rPr>
              <w:rStyle w:val="15"/>
              <w:rFonts w:cs="Times New Roman"/>
              <w:szCs w:val="24"/>
              <w:lang w:eastAsia="zh-CN"/>
            </w:rPr>
            <w:fldChar w:fldCharType="end"/>
          </w:r>
          <w:r>
            <w:rPr>
              <w:lang w:eastAsia="zh-CN"/>
            </w:rPr>
            <w:t xml:space="preserve"> [Accessed on 27th Feb. 2019]</w:t>
          </w:r>
        </w:p>
        <w:p>
          <w:pPr>
            <w:rPr>
              <w:rFonts w:cs="Times New Roman"/>
              <w:szCs w:val="24"/>
              <w:lang w:eastAsia="zh-CN"/>
            </w:rPr>
          </w:pPr>
        </w:p>
        <w:p>
          <w:pPr>
            <w:rPr>
              <w:rFonts w:ascii="Arial" w:hAnsi="Arial" w:eastAsia="宋体" w:cs="Arial"/>
              <w:color w:val="222222"/>
              <w:sz w:val="19"/>
              <w:szCs w:val="19"/>
              <w:lang w:eastAsia="zh-CN"/>
            </w:rPr>
          </w:pPr>
        </w:p>
      </w:sdtContent>
    </w:sdt>
    <w:bookmarkEnd w:id="0"/>
    <w:p>
      <w:pPr>
        <w:rPr>
          <w:rFonts w:ascii="Arial" w:hAnsi="Arial" w:eastAsia="宋体" w:cs="Arial"/>
          <w:color w:val="222222"/>
          <w:sz w:val="19"/>
          <w:szCs w:val="19"/>
          <w:lang w:eastAsia="zh-CN"/>
        </w:rPr>
      </w:pPr>
    </w:p>
    <w:sectPr>
      <w:footerReference r:id="rId4" w:type="first"/>
      <w:footerReference r:id="rId3" w:type="default"/>
      <w:pgSz w:w="11906" w:h="16838"/>
      <w:pgMar w:top="1077" w:right="1418" w:bottom="1077" w:left="2268" w:header="708" w:footer="708"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Arial Unicode MS">
    <w:panose1 w:val="020B0604020202020204"/>
    <w:charset w:val="86"/>
    <w:family w:val="auto"/>
    <w:pitch w:val="default"/>
    <w:sig w:usb0="FFFFFFFF" w:usb1="E9FFFFFF" w:usb2="0000003F" w:usb3="00000000" w:csb0="603F01FF" w:csb1="FFFF0000"/>
  </w:font>
  <w:font w:name="Calibri Light">
    <w:panose1 w:val="020F0302020204030204"/>
    <w:charset w:val="00"/>
    <w:family w:val="swiss"/>
    <w:pitch w:val="default"/>
    <w:sig w:usb0="E0002AFF" w:usb1="C000247B" w:usb2="00000009" w:usb3="00000000" w:csb0="200001FF" w:csb1="00000000"/>
  </w:font>
  <w:font w:name="Arial Unicode MS">
    <w:panose1 w:val="020B0604020202020204"/>
    <w:charset w:val="80"/>
    <w:family w:val="swiss"/>
    <w:pitch w:val="default"/>
    <w:sig w:usb0="FFFFFFFF" w:usb1="E9FFFFFF" w:usb2="0000003F" w:usb3="00000000" w:csb0="603F01FF" w:csb1="FFFF0000"/>
  </w:font>
  <w:font w:name="Segoe UI">
    <w:panose1 w:val="020B0502040204020203"/>
    <w:charset w:val="00"/>
    <w:family w:val="swiss"/>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6</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UEyylQ4CAAAHBAAADgAAAAAAAAABACAAAAAf&#10;AQAAZHJzL2Uyb0RvYy54bWxQSwUGAAAAAAYABgBZAQAAnwUAAAAA&#10;">
              <v:fill on="f" focussize="0,0"/>
              <v:stroke on="f" weight="0.5pt"/>
              <v:imagedata o:title=""/>
              <o:lock v:ext="edit" aspectratio="f"/>
              <v:textbox inset="0mm,0mm,0mm,0mm" style="mso-fit-shape-to-text:t;">
                <w:txbxContent>
                  <w:p>
                    <w:pPr>
                      <w:pStyle w:val="8"/>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6</w:t>
                    </w:r>
                    <w:r>
                      <w:rPr>
                        <w:rFonts w:hint="eastAsia" w:eastAsia="宋体"/>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lang w:eastAsia="zh-CN"/>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0</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DoI+MdEAIAAAcEAAAOAAAAAAAAAAEAIAAA&#10;AB8BAABkcnMvZTJvRG9jLnhtbFBLBQYAAAAABgAGAFkBAAChBQAAAAA=&#10;">
              <v:fill on="f" focussize="0,0"/>
              <v:stroke on="f" weight="0.5pt"/>
              <v:imagedata o:title=""/>
              <o:lock v:ext="edit" aspectratio="f"/>
              <v:textbox inset="0mm,0mm,0mm,0mm" style="mso-fit-shape-to-text:t;">
                <w:txbxContent>
                  <w:p>
                    <w:pPr>
                      <w:pStyle w:val="8"/>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0</w:t>
                    </w:r>
                    <w:r>
                      <w:rPr>
                        <w:rFonts w:hint="eastAsia" w:eastAsia="宋体"/>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nforcement="0"/>
  <w:defaultTabStop w:val="720"/>
  <w:noPunctuationKerning w:val="1"/>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OyNDIxMzMyNDMCkko6SsGpxcWZ+XkgBYa1AI0PaJUsAAAA"/>
    <w:docVar w:name="dgnword-docGUID" w:val="{9E749A5E-7F6C-441B-B4D1-20E18262D1AE}"/>
    <w:docVar w:name="dgnword-eventsink" w:val="1335589496"/>
  </w:docVars>
  <w:rsids>
    <w:rsidRoot w:val="007D1947"/>
    <w:rsid w:val="00031868"/>
    <w:rsid w:val="00034F45"/>
    <w:rsid w:val="000666ED"/>
    <w:rsid w:val="000971E2"/>
    <w:rsid w:val="000A6DF2"/>
    <w:rsid w:val="000C4D5F"/>
    <w:rsid w:val="000C6B6F"/>
    <w:rsid w:val="000E0E4C"/>
    <w:rsid w:val="00100C65"/>
    <w:rsid w:val="0010564D"/>
    <w:rsid w:val="00115B96"/>
    <w:rsid w:val="0016151E"/>
    <w:rsid w:val="00165EF5"/>
    <w:rsid w:val="001808C5"/>
    <w:rsid w:val="00183771"/>
    <w:rsid w:val="00192E5A"/>
    <w:rsid w:val="001E4F44"/>
    <w:rsid w:val="00260AEE"/>
    <w:rsid w:val="0028149C"/>
    <w:rsid w:val="00286ED3"/>
    <w:rsid w:val="002B0081"/>
    <w:rsid w:val="002D6DA3"/>
    <w:rsid w:val="00323421"/>
    <w:rsid w:val="00324CCD"/>
    <w:rsid w:val="00345F1D"/>
    <w:rsid w:val="00372609"/>
    <w:rsid w:val="003758C4"/>
    <w:rsid w:val="0038491A"/>
    <w:rsid w:val="003A29AC"/>
    <w:rsid w:val="003B0684"/>
    <w:rsid w:val="003B458A"/>
    <w:rsid w:val="003C701F"/>
    <w:rsid w:val="00400311"/>
    <w:rsid w:val="00411AED"/>
    <w:rsid w:val="00430A86"/>
    <w:rsid w:val="0043578B"/>
    <w:rsid w:val="004756D1"/>
    <w:rsid w:val="00491DD8"/>
    <w:rsid w:val="004A11F6"/>
    <w:rsid w:val="004D519C"/>
    <w:rsid w:val="004F0B37"/>
    <w:rsid w:val="004F5A11"/>
    <w:rsid w:val="0059366E"/>
    <w:rsid w:val="00594D71"/>
    <w:rsid w:val="005C2534"/>
    <w:rsid w:val="005C3DB7"/>
    <w:rsid w:val="005D2BD6"/>
    <w:rsid w:val="005F06F6"/>
    <w:rsid w:val="006039CD"/>
    <w:rsid w:val="00622372"/>
    <w:rsid w:val="00631007"/>
    <w:rsid w:val="00636BBE"/>
    <w:rsid w:val="00653D75"/>
    <w:rsid w:val="00671ED0"/>
    <w:rsid w:val="006A7A01"/>
    <w:rsid w:val="006B1B10"/>
    <w:rsid w:val="006D7D01"/>
    <w:rsid w:val="00755BCF"/>
    <w:rsid w:val="00780B13"/>
    <w:rsid w:val="00797B32"/>
    <w:rsid w:val="007A643F"/>
    <w:rsid w:val="007A796A"/>
    <w:rsid w:val="007D1947"/>
    <w:rsid w:val="007E1C15"/>
    <w:rsid w:val="00835011"/>
    <w:rsid w:val="00842628"/>
    <w:rsid w:val="00856B7A"/>
    <w:rsid w:val="00870B6D"/>
    <w:rsid w:val="00877F77"/>
    <w:rsid w:val="008901D2"/>
    <w:rsid w:val="00897974"/>
    <w:rsid w:val="008D0220"/>
    <w:rsid w:val="009373D1"/>
    <w:rsid w:val="00947F40"/>
    <w:rsid w:val="00976E99"/>
    <w:rsid w:val="00A12B58"/>
    <w:rsid w:val="00AA2A91"/>
    <w:rsid w:val="00AD4BF1"/>
    <w:rsid w:val="00AF42C6"/>
    <w:rsid w:val="00B2225B"/>
    <w:rsid w:val="00B344DA"/>
    <w:rsid w:val="00B3570D"/>
    <w:rsid w:val="00B40960"/>
    <w:rsid w:val="00B66B3C"/>
    <w:rsid w:val="00B853EF"/>
    <w:rsid w:val="00BC33DA"/>
    <w:rsid w:val="00BF7E35"/>
    <w:rsid w:val="00C037B2"/>
    <w:rsid w:val="00C25C3B"/>
    <w:rsid w:val="00CA09F3"/>
    <w:rsid w:val="00CD0189"/>
    <w:rsid w:val="00CD67A2"/>
    <w:rsid w:val="00CF22E5"/>
    <w:rsid w:val="00CF620E"/>
    <w:rsid w:val="00D13C93"/>
    <w:rsid w:val="00D43398"/>
    <w:rsid w:val="00D675D8"/>
    <w:rsid w:val="00D73F36"/>
    <w:rsid w:val="00D854A5"/>
    <w:rsid w:val="00DB38D7"/>
    <w:rsid w:val="00DE0873"/>
    <w:rsid w:val="00E434CD"/>
    <w:rsid w:val="00F840DC"/>
    <w:rsid w:val="00F90424"/>
    <w:rsid w:val="00F93492"/>
    <w:rsid w:val="00FC1D54"/>
    <w:rsid w:val="020E063A"/>
    <w:rsid w:val="03604E8D"/>
    <w:rsid w:val="0A7910E0"/>
    <w:rsid w:val="153A6E7A"/>
    <w:rsid w:val="1961033A"/>
    <w:rsid w:val="19EB0EB1"/>
    <w:rsid w:val="20F007A9"/>
    <w:rsid w:val="270B1758"/>
    <w:rsid w:val="2FB9683E"/>
    <w:rsid w:val="35C8445B"/>
    <w:rsid w:val="3ED71C02"/>
    <w:rsid w:val="42E17963"/>
    <w:rsid w:val="4B4F7E0E"/>
    <w:rsid w:val="50167A72"/>
    <w:rsid w:val="5220666E"/>
    <w:rsid w:val="62DC4648"/>
    <w:rsid w:val="6552349F"/>
    <w:rsid w:val="6624098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20" w:line="360" w:lineRule="auto"/>
      <w:jc w:val="both"/>
    </w:pPr>
    <w:rPr>
      <w:rFonts w:ascii="Times New Roman" w:hAnsi="Times New Roman" w:eastAsiaTheme="minorHAnsi" w:cstheme="minorBidi"/>
      <w:color w:val="000000" w:themeColor="text1"/>
      <w:sz w:val="24"/>
      <w:szCs w:val="22"/>
      <w:lang w:val="en-GB" w:eastAsia="en-US" w:bidi="ar-SA"/>
      <w14:textFill>
        <w14:solidFill>
          <w14:schemeClr w14:val="tx1"/>
        </w14:solidFill>
      </w14:textFill>
    </w:rPr>
  </w:style>
  <w:style w:type="paragraph" w:styleId="2">
    <w:name w:val="heading 1"/>
    <w:basedOn w:val="1"/>
    <w:next w:val="1"/>
    <w:link w:val="20"/>
    <w:qFormat/>
    <w:uiPriority w:val="9"/>
    <w:pPr>
      <w:keepNext/>
      <w:keepLines/>
      <w:spacing w:before="240" w:after="0"/>
      <w:outlineLvl w:val="0"/>
    </w:pPr>
    <w:rPr>
      <w:rFonts w:eastAsiaTheme="majorEastAsia" w:cstheme="majorBidi"/>
      <w:b/>
      <w:color w:val="2E75B6" w:themeColor="accent1" w:themeShade="BF"/>
      <w:sz w:val="36"/>
      <w:szCs w:val="32"/>
    </w:rPr>
  </w:style>
  <w:style w:type="paragraph" w:styleId="3">
    <w:name w:val="heading 2"/>
    <w:basedOn w:val="1"/>
    <w:next w:val="1"/>
    <w:link w:val="22"/>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paragraph" w:styleId="4">
    <w:name w:val="heading 3"/>
    <w:basedOn w:val="1"/>
    <w:next w:val="1"/>
    <w:unhideWhenUsed/>
    <w:qFormat/>
    <w:uiPriority w:val="9"/>
    <w:pPr>
      <w:keepNext/>
      <w:keepLines/>
      <w:spacing w:before="260" w:after="260" w:line="413" w:lineRule="auto"/>
      <w:outlineLvl w:val="2"/>
    </w:pPr>
    <w:rPr>
      <w:b/>
      <w:sz w:val="32"/>
    </w:rPr>
  </w:style>
  <w:style w:type="character" w:default="1" w:styleId="13">
    <w:name w:val="Default Paragraph Font"/>
    <w:semiHidden/>
    <w:unhideWhenUsed/>
    <w:uiPriority w:val="1"/>
  </w:style>
  <w:style w:type="table" w:default="1" w:styleId="17">
    <w:name w:val="Normal Table"/>
    <w:semiHidden/>
    <w:unhideWhenUsed/>
    <w:uiPriority w:val="99"/>
    <w:tblPr>
      <w:tblLayout w:type="fixed"/>
      <w:tblCellMar>
        <w:top w:w="0" w:type="dxa"/>
        <w:left w:w="108" w:type="dxa"/>
        <w:bottom w:w="0" w:type="dxa"/>
        <w:right w:w="108" w:type="dxa"/>
      </w:tblCellMar>
    </w:tblPr>
  </w:style>
  <w:style w:type="paragraph" w:styleId="5">
    <w:name w:val="annotation subject"/>
    <w:basedOn w:val="6"/>
    <w:next w:val="6"/>
    <w:link w:val="26"/>
    <w:semiHidden/>
    <w:unhideWhenUsed/>
    <w:uiPriority w:val="99"/>
    <w:rPr>
      <w:b/>
      <w:bCs/>
    </w:rPr>
  </w:style>
  <w:style w:type="paragraph" w:styleId="6">
    <w:name w:val="annotation text"/>
    <w:basedOn w:val="1"/>
    <w:link w:val="25"/>
    <w:unhideWhenUsed/>
    <w:qFormat/>
    <w:uiPriority w:val="0"/>
    <w:pPr>
      <w:spacing w:line="240" w:lineRule="auto"/>
    </w:pPr>
    <w:rPr>
      <w:sz w:val="20"/>
      <w:szCs w:val="20"/>
    </w:rPr>
  </w:style>
  <w:style w:type="paragraph" w:styleId="7">
    <w:name w:val="Balloon Text"/>
    <w:basedOn w:val="1"/>
    <w:link w:val="27"/>
    <w:semiHidden/>
    <w:unhideWhenUsed/>
    <w:uiPriority w:val="99"/>
    <w:pPr>
      <w:spacing w:after="0" w:line="240" w:lineRule="auto"/>
    </w:pPr>
    <w:rPr>
      <w:rFonts w:ascii="Segoe UI" w:hAnsi="Segoe UI" w:cs="Segoe UI"/>
      <w:sz w:val="18"/>
      <w:szCs w:val="18"/>
    </w:rPr>
  </w:style>
  <w:style w:type="paragraph" w:styleId="8">
    <w:name w:val="footer"/>
    <w:basedOn w:val="1"/>
    <w:unhideWhenUsed/>
    <w:qFormat/>
    <w:uiPriority w:val="99"/>
    <w:pPr>
      <w:tabs>
        <w:tab w:val="center" w:pos="4153"/>
        <w:tab w:val="right" w:pos="8306"/>
      </w:tabs>
      <w:snapToGrid w:val="0"/>
    </w:pPr>
    <w:rPr>
      <w:sz w:val="18"/>
    </w:rPr>
  </w:style>
  <w:style w:type="paragraph" w:styleId="9">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10">
    <w:name w:val="toc 1"/>
    <w:basedOn w:val="1"/>
    <w:next w:val="1"/>
    <w:unhideWhenUsed/>
    <w:qFormat/>
    <w:uiPriority w:val="39"/>
  </w:style>
  <w:style w:type="paragraph" w:styleId="11">
    <w:name w:val="toc 2"/>
    <w:basedOn w:val="1"/>
    <w:next w:val="1"/>
    <w:unhideWhenUsed/>
    <w:qFormat/>
    <w:uiPriority w:val="39"/>
    <w:pPr>
      <w:spacing w:after="100"/>
      <w:ind w:left="220"/>
    </w:pPr>
  </w:style>
  <w:style w:type="paragraph" w:styleId="12">
    <w:name w:val="Normal (Web)"/>
    <w:basedOn w:val="1"/>
    <w:unhideWhenUsed/>
    <w:qFormat/>
    <w:uiPriority w:val="99"/>
    <w:pPr>
      <w:spacing w:before="100" w:beforeAutospacing="1" w:after="100" w:afterAutospacing="1"/>
    </w:pPr>
    <w:rPr>
      <w:rFonts w:eastAsia="Times New Roman" w:cs="Times New Roman"/>
      <w:szCs w:val="24"/>
      <w:lang w:eastAsia="en-GB"/>
    </w:rPr>
  </w:style>
  <w:style w:type="character" w:styleId="14">
    <w:name w:val="FollowedHyperlink"/>
    <w:basedOn w:val="13"/>
    <w:semiHidden/>
    <w:unhideWhenUsed/>
    <w:qFormat/>
    <w:uiPriority w:val="99"/>
    <w:rPr>
      <w:color w:val="954F72" w:themeColor="followedHyperlink"/>
      <w:u w:val="single"/>
      <w14:textFill>
        <w14:solidFill>
          <w14:schemeClr w14:val="folHlink"/>
        </w14:solidFill>
      </w14:textFill>
    </w:rPr>
  </w:style>
  <w:style w:type="character" w:styleId="15">
    <w:name w:val="Hyperlink"/>
    <w:basedOn w:val="13"/>
    <w:unhideWhenUsed/>
    <w:qFormat/>
    <w:uiPriority w:val="99"/>
    <w:rPr>
      <w:color w:val="0563C1" w:themeColor="hyperlink"/>
      <w:u w:val="single"/>
      <w14:textFill>
        <w14:solidFill>
          <w14:schemeClr w14:val="hlink"/>
        </w14:solidFill>
      </w14:textFill>
    </w:rPr>
  </w:style>
  <w:style w:type="character" w:styleId="16">
    <w:name w:val="annotation reference"/>
    <w:basedOn w:val="13"/>
    <w:unhideWhenUsed/>
    <w:qFormat/>
    <w:uiPriority w:val="99"/>
    <w:rPr>
      <w:sz w:val="16"/>
      <w:szCs w:val="16"/>
    </w:rPr>
  </w:style>
  <w:style w:type="paragraph" w:styleId="18">
    <w:name w:val="No Spacing"/>
    <w:link w:val="19"/>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9">
    <w:name w:val="No Spacing Char"/>
    <w:basedOn w:val="13"/>
    <w:link w:val="18"/>
    <w:qFormat/>
    <w:uiPriority w:val="1"/>
    <w:rPr>
      <w:rFonts w:eastAsiaTheme="minorEastAsia"/>
      <w:lang w:val="en-US"/>
    </w:rPr>
  </w:style>
  <w:style w:type="character" w:customStyle="1" w:styleId="20">
    <w:name w:val="Heading 1 Char"/>
    <w:basedOn w:val="13"/>
    <w:link w:val="2"/>
    <w:qFormat/>
    <w:uiPriority w:val="9"/>
    <w:rPr>
      <w:rFonts w:eastAsiaTheme="majorEastAsia" w:cstheme="majorBidi"/>
      <w:b/>
      <w:color w:val="2E75B6" w:themeColor="accent1" w:themeShade="BF"/>
      <w:sz w:val="36"/>
      <w:szCs w:val="32"/>
      <w:lang w:val="en-GB" w:eastAsia="en-US"/>
    </w:rPr>
  </w:style>
  <w:style w:type="paragraph" w:customStyle="1" w:styleId="21">
    <w:name w:val="TOC Heading1"/>
    <w:basedOn w:val="2"/>
    <w:next w:val="1"/>
    <w:unhideWhenUsed/>
    <w:qFormat/>
    <w:uiPriority w:val="39"/>
    <w:pPr>
      <w:outlineLvl w:val="9"/>
    </w:pPr>
    <w:rPr>
      <w:lang w:val="en-US"/>
    </w:rPr>
  </w:style>
  <w:style w:type="character" w:customStyle="1" w:styleId="22">
    <w:name w:val="Heading 2 Char"/>
    <w:basedOn w:val="13"/>
    <w:link w:val="3"/>
    <w:uiPriority w:val="9"/>
    <w:rPr>
      <w:rFonts w:asciiTheme="majorHAnsi" w:hAnsiTheme="majorHAnsi" w:eastAsiaTheme="majorEastAsia" w:cstheme="majorBidi"/>
      <w:color w:val="2E75B6" w:themeColor="accent1" w:themeShade="BF"/>
      <w:sz w:val="26"/>
      <w:szCs w:val="26"/>
    </w:rPr>
  </w:style>
  <w:style w:type="table" w:customStyle="1" w:styleId="23">
    <w:name w:val="网格型1"/>
    <w:basedOn w:val="1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customStyle="1" w:styleId="24">
    <w:name w:val="Table Normal1"/>
    <w:qFormat/>
    <w:uiPriority w:val="0"/>
    <w:rPr>
      <w:rFonts w:eastAsia="Arial Unicode MS"/>
    </w:rPr>
    <w:tblPr>
      <w:tblLayout w:type="fixed"/>
      <w:tblCellMar>
        <w:top w:w="0" w:type="dxa"/>
        <w:left w:w="0" w:type="dxa"/>
        <w:bottom w:w="0" w:type="dxa"/>
        <w:right w:w="0" w:type="dxa"/>
      </w:tblCellMar>
    </w:tblPr>
  </w:style>
  <w:style w:type="character" w:customStyle="1" w:styleId="25">
    <w:name w:val="Comment Text Char"/>
    <w:basedOn w:val="13"/>
    <w:link w:val="6"/>
    <w:qFormat/>
    <w:uiPriority w:val="0"/>
    <w:rPr>
      <w:rFonts w:eastAsiaTheme="minorHAnsi" w:cstheme="minorBidi"/>
      <w:color w:val="000000" w:themeColor="text1"/>
      <w:lang w:val="en-GB" w:eastAsia="en-US"/>
      <w14:textFill>
        <w14:solidFill>
          <w14:schemeClr w14:val="tx1"/>
        </w14:solidFill>
      </w14:textFill>
    </w:rPr>
  </w:style>
  <w:style w:type="character" w:customStyle="1" w:styleId="26">
    <w:name w:val="Comment Subject Char"/>
    <w:basedOn w:val="25"/>
    <w:link w:val="5"/>
    <w:semiHidden/>
    <w:uiPriority w:val="99"/>
    <w:rPr>
      <w:rFonts w:eastAsiaTheme="minorHAnsi" w:cstheme="minorBidi"/>
      <w:b/>
      <w:bCs/>
      <w:color w:val="000000" w:themeColor="text1"/>
      <w:lang w:val="en-GB" w:eastAsia="en-US"/>
      <w14:textFill>
        <w14:solidFill>
          <w14:schemeClr w14:val="tx1"/>
        </w14:solidFill>
      </w14:textFill>
    </w:rPr>
  </w:style>
  <w:style w:type="character" w:customStyle="1" w:styleId="27">
    <w:name w:val="Balloon Text Char"/>
    <w:basedOn w:val="13"/>
    <w:link w:val="7"/>
    <w:semiHidden/>
    <w:uiPriority w:val="99"/>
    <w:rPr>
      <w:rFonts w:ascii="Segoe UI" w:hAnsi="Segoe UI" w:cs="Segoe UI" w:eastAsiaTheme="minorHAnsi"/>
      <w:color w:val="000000" w:themeColor="text1"/>
      <w:sz w:val="18"/>
      <w:szCs w:val="18"/>
      <w:lang w:val="en-GB" w:eastAsia="en-US"/>
      <w14:textFill>
        <w14:solidFill>
          <w14:schemeClr w14:val="tx1"/>
        </w14:solidFill>
      </w14:textFill>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1F294C-2CB8-4432-AA00-398FD67DFD39}">
  <ds:schemaRefs/>
</ds:datastoreItem>
</file>

<file path=docProps/app.xml><?xml version="1.0" encoding="utf-8"?>
<Properties xmlns="http://schemas.openxmlformats.org/officeDocument/2006/extended-properties" xmlns:vt="http://schemas.openxmlformats.org/officeDocument/2006/docPropsVTypes">
  <Template>Normal</Template>
  <Company>University of Wales Trinity Saint David</Company>
  <Pages>10</Pages>
  <Words>2284</Words>
  <Characters>12911</Characters>
  <Lines>331</Lines>
  <Paragraphs>117</Paragraphs>
  <TotalTime>29</TotalTime>
  <ScaleCrop>false</ScaleCrop>
  <LinksUpToDate>false</LinksUpToDate>
  <CharactersWithSpaces>15078</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2019-03-05T20:48:00Z</dcterms:created>
  <dc:creator>Marie Pitson</dc:creator>
  <cp:lastModifiedBy>Daniel</cp:lastModifiedBy>
  <dcterms:modified xsi:type="dcterms:W3CDTF">2019-03-06T10:49:03Z</dcterms:modified>
  <dc:subject>UK Vs Canada</dc:subject>
  <dc:title>\</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