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APPENDICES (</w:t>
      </w:r>
      <w:r>
        <w:rPr>
          <w:rFonts w:hint="default" w:ascii="Times New Roman" w:hAnsi="Times New Roman" w:cs="Times New Roman"/>
          <w:b/>
          <w:color w:val="auto"/>
          <w:sz w:val="24"/>
          <w:szCs w:val="24"/>
        </w:rPr>
        <w:t>OBSERVATION / FIELD NOTES)</w:t>
      </w: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Record 1</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 xml:space="preserve">Date and time, year group: 26/09/2022, 10:20 - 11: 20, Year 7 </w:t>
            </w:r>
          </w:p>
          <w:p>
            <w:pPr>
              <w:spacing w:after="0" w:line="240" w:lineRule="auto"/>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b/>
                <w:bCs/>
                <w:color w:val="auto"/>
                <w:sz w:val="24"/>
                <w:szCs w:val="24"/>
              </w:rPr>
              <w:t>Where and When:</w:t>
            </w:r>
            <w:r>
              <w:rPr>
                <w:rFonts w:hint="default" w:ascii="Times New Roman" w:hAnsi="Times New Roman" w:eastAsia="Times New Roman" w:cs="Times New Roman"/>
                <w:color w:val="auto"/>
                <w:sz w:val="24"/>
                <w:szCs w:val="24"/>
              </w:rPr>
              <w:t xml:space="preserve"> Context of the observation – subject/AOLE, general classroom context</w:t>
            </w:r>
          </w:p>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The lesson was a year 7 History lesson in a secondary school, the pupils were a bit excited after break-time.  The teacher immediately got the class’s attention by counting down from 3. He recapped from their last History lesson on dates in the year. The class was learning how Henry the 8</w:t>
            </w:r>
            <w:r>
              <w:rPr>
                <w:rFonts w:hint="default" w:ascii="Times New Roman" w:hAnsi="Times New Roman" w:eastAsia="Times New Roman" w:cs="Times New Roman"/>
                <w:color w:val="auto"/>
                <w:sz w:val="24"/>
                <w:szCs w:val="24"/>
                <w:vertAlign w:val="superscript"/>
              </w:rPr>
              <w:t>th</w:t>
            </w:r>
            <w:r>
              <w:rPr>
                <w:rFonts w:hint="default" w:ascii="Times New Roman" w:hAnsi="Times New Roman" w:eastAsia="Times New Roman" w:cs="Times New Roman"/>
                <w:color w:val="auto"/>
                <w:sz w:val="24"/>
                <w:szCs w:val="24"/>
              </w:rPr>
              <w:t xml:space="preserve"> reformed his kingdom and how that affected Wales at the time.</w:t>
            </w: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b/>
                <w:bCs/>
                <w:color w:val="auto"/>
                <w:sz w:val="24"/>
                <w:szCs w:val="24"/>
              </w:rPr>
            </w:pPr>
            <w:r>
              <w:rPr>
                <w:rFonts w:hint="default" w:ascii="Times New Roman" w:hAnsi="Times New Roman" w:eastAsia="Times New Roman" w:cs="Times New Roman"/>
                <w:b/>
                <w:bCs/>
                <w:color w:val="auto"/>
                <w:sz w:val="24"/>
                <w:szCs w:val="24"/>
              </w:rPr>
              <w:t xml:space="preserve">What happened: </w:t>
            </w:r>
            <w:r>
              <w:rPr>
                <w:rFonts w:hint="default" w:ascii="Times New Roman" w:hAnsi="Times New Roman" w:eastAsia="Times New Roman" w:cs="Times New Roman"/>
                <w:color w:val="auto"/>
                <w:sz w:val="24"/>
                <w:szCs w:val="24"/>
              </w:rPr>
              <w:t>a detailed description of the critical incident (the more detail the better to refer to in your later work)</w:t>
            </w:r>
          </w:p>
          <w:p>
            <w:pPr>
              <w:spacing w:after="0" w:line="240" w:lineRule="auto"/>
              <w:rPr>
                <w:rFonts w:hint="default" w:ascii="Times New Roman" w:hAnsi="Times New Roman" w:eastAsia="Times New Roman" w:cs="Times New Roman"/>
                <w:bCs/>
                <w:color w:val="auto"/>
                <w:sz w:val="24"/>
                <w:szCs w:val="24"/>
              </w:rPr>
            </w:pPr>
          </w:p>
          <w:p>
            <w:pPr>
              <w:spacing w:after="0" w:line="240" w:lineRule="auto"/>
              <w:rPr>
                <w:rFonts w:hint="default" w:ascii="Times New Roman" w:hAnsi="Times New Roman" w:eastAsia="Times New Roman" w:cs="Times New Roman"/>
                <w:bCs/>
                <w:color w:val="auto"/>
                <w:sz w:val="24"/>
                <w:szCs w:val="24"/>
              </w:rPr>
            </w:pPr>
            <w:r>
              <w:rPr>
                <w:rFonts w:hint="default" w:ascii="Times New Roman" w:hAnsi="Times New Roman" w:eastAsia="Times New Roman" w:cs="Times New Roman"/>
                <w:bCs/>
                <w:color w:val="auto"/>
                <w:sz w:val="24"/>
                <w:szCs w:val="24"/>
              </w:rPr>
              <w:t>A few students were distributive during the History lesson when the class was working in pairs for reading text. The teacher was quick at correcting any distributive behaviour. For example, “leave it alone, or turn around in your seat.” It seems the student’s voices got louder when they were working in pairs reading and answering questions together. The teacher was good at getting the class’s attention (countdown from 3,2,1) when finishing the task or stopping to listen to further instructions or go over their answers.</w:t>
            </w:r>
          </w:p>
          <w:p>
            <w:pPr>
              <w:spacing w:after="0" w:line="240" w:lineRule="auto"/>
              <w:rPr>
                <w:rFonts w:hint="default" w:ascii="Times New Roman" w:hAnsi="Times New Roman" w:eastAsia="Times New Roman" w:cs="Times New Roman"/>
                <w:color w:val="auto"/>
                <w:sz w:val="24"/>
                <w:szCs w:val="24"/>
              </w:rPr>
            </w:pPr>
          </w:p>
          <w:p>
            <w:pPr>
              <w:spacing w:after="0" w:line="240" w:lineRule="auto"/>
              <w:ind w:left="720"/>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b/>
                <w:color w:val="auto"/>
                <w:sz w:val="24"/>
                <w:szCs w:val="24"/>
              </w:rPr>
            </w:pPr>
            <w:r>
              <w:rPr>
                <w:rFonts w:hint="default" w:ascii="Times New Roman" w:hAnsi="Times New Roman" w:eastAsia="Times New Roman" w:cs="Times New Roman"/>
                <w:b/>
                <w:color w:val="auto"/>
                <w:sz w:val="24"/>
                <w:szCs w:val="24"/>
              </w:rPr>
              <w:t xml:space="preserve">Areas of possible exploration: </w:t>
            </w:r>
            <w:r>
              <w:rPr>
                <w:rFonts w:hint="default" w:ascii="Times New Roman" w:hAnsi="Times New Roman" w:eastAsia="Times New Roman" w:cs="Times New Roman"/>
                <w:bCs/>
                <w:color w:val="auto"/>
                <w:sz w:val="24"/>
                <w:szCs w:val="24"/>
              </w:rPr>
              <w:t>what do you think could be” under the hood” in these incidents? What avenues of research could you consider?</w:t>
            </w: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This critical incident has got me thinking about looking into different Behaviour Management strategies and how I can effectively use them when I start my placement. The teacher also gave the students choices in which order they wanted to do the reading activity in. It’ll be good to look into Reality Theory (Glasser</w:t>
            </w:r>
            <w:r>
              <w:rPr>
                <w:rFonts w:hint="default" w:ascii="Times New Roman" w:hAnsi="Times New Roman" w:eastAsia="Times New Roman" w:cs="Times New Roman"/>
                <w:color w:val="auto"/>
                <w:sz w:val="24"/>
                <w:szCs w:val="24"/>
                <w:lang w:val="en-US"/>
              </w:rPr>
              <w:t>,</w:t>
            </w:r>
            <w:r>
              <w:rPr>
                <w:rFonts w:hint="default" w:ascii="Times New Roman" w:hAnsi="Times New Roman" w:eastAsia="Times New Roman" w:cs="Times New Roman"/>
                <w:color w:val="auto"/>
                <w:sz w:val="24"/>
                <w:szCs w:val="24"/>
              </w:rPr>
              <w:t xml:space="preserve"> 1965) a bit more and how that affects class dynamics.</w:t>
            </w: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bCs/>
                <w:color w:val="auto"/>
                <w:sz w:val="24"/>
                <w:szCs w:val="24"/>
              </w:rPr>
            </w:pPr>
            <w:r>
              <w:rPr>
                <w:rFonts w:hint="default" w:ascii="Times New Roman" w:hAnsi="Times New Roman" w:eastAsia="Times New Roman" w:cs="Times New Roman"/>
                <w:b/>
                <w:color w:val="auto"/>
                <w:sz w:val="24"/>
                <w:szCs w:val="24"/>
              </w:rPr>
              <w:t xml:space="preserve">Notes: </w:t>
            </w:r>
            <w:r>
              <w:rPr>
                <w:rFonts w:hint="default" w:ascii="Times New Roman" w:hAnsi="Times New Roman" w:eastAsia="Times New Roman" w:cs="Times New Roman"/>
                <w:bCs/>
                <w:color w:val="auto"/>
                <w:sz w:val="24"/>
                <w:szCs w:val="24"/>
              </w:rPr>
              <w:t>any details you can note (is it a busy environment, is it after lunch, are there lots of distractions, are directions made explicit - the more you can refer to the better here)</w:t>
            </w:r>
          </w:p>
          <w:p>
            <w:pPr>
              <w:spacing w:after="0" w:line="240" w:lineRule="auto"/>
              <w:rPr>
                <w:rFonts w:hint="default" w:ascii="Times New Roman" w:hAnsi="Times New Roman" w:eastAsia="Times New Roman" w:cs="Times New Roman"/>
                <w:bCs/>
                <w:color w:val="auto"/>
                <w:sz w:val="24"/>
                <w:szCs w:val="24"/>
              </w:rPr>
            </w:pPr>
          </w:p>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The lesson was after break time, and students were buzzing with excitement after their snacks. The classroom was outside so some students got a bit wet waiting for the teacher. The teacher did the register 10 minutes into the class after they got settled into the lesson. The teacher was a little bit late and apologised to the class for keeping them waiting in the rain.</w:t>
            </w: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tc>
      </w:tr>
    </w:tbl>
    <w:p>
      <w:pPr>
        <w:rPr>
          <w:rFonts w:hint="default" w:ascii="Times New Roman" w:hAnsi="Times New Roman" w:cs="Times New Roman"/>
          <w:b/>
          <w:bCs/>
          <w:color w:val="auto"/>
          <w:sz w:val="24"/>
          <w:szCs w:val="24"/>
        </w:rPr>
      </w:pPr>
    </w:p>
    <w:p>
      <w:pP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Record 2</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Date and time, year group: 27/09/2022 from 9am to 10am, Year 8</w:t>
            </w:r>
          </w:p>
          <w:p>
            <w:pPr>
              <w:spacing w:after="0" w:line="240" w:lineRule="auto"/>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b/>
                <w:bCs/>
                <w:color w:val="auto"/>
                <w:sz w:val="24"/>
                <w:szCs w:val="24"/>
              </w:rPr>
              <w:t>Where and When:</w:t>
            </w:r>
            <w:r>
              <w:rPr>
                <w:rFonts w:hint="default" w:ascii="Times New Roman" w:hAnsi="Times New Roman" w:eastAsia="Times New Roman" w:cs="Times New Roman"/>
                <w:color w:val="auto"/>
                <w:sz w:val="24"/>
                <w:szCs w:val="24"/>
              </w:rPr>
              <w:t xml:space="preserve"> Context of the observation – subject/AOLE, general classroom context</w:t>
            </w: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 xml:space="preserve">The lesson was a Year 8 English, the class was reading and answering questions about the characters in the “Private Peaceful book by Michael Morpurgo. The teacher had the present ready to start and greeted the class in Welsh with “Bore da” and encouraged the class to respond back enthusiastically. </w:t>
            </w:r>
          </w:p>
          <w:p>
            <w:pPr>
              <w:spacing w:after="0" w:line="240" w:lineRule="auto"/>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b/>
                <w:bCs/>
                <w:color w:val="auto"/>
                <w:sz w:val="24"/>
                <w:szCs w:val="24"/>
              </w:rPr>
            </w:pPr>
            <w:r>
              <w:rPr>
                <w:rFonts w:hint="default" w:ascii="Times New Roman" w:hAnsi="Times New Roman" w:eastAsia="Times New Roman" w:cs="Times New Roman"/>
                <w:b/>
                <w:bCs/>
                <w:color w:val="auto"/>
                <w:sz w:val="24"/>
                <w:szCs w:val="24"/>
              </w:rPr>
              <w:t xml:space="preserve">What happened: </w:t>
            </w:r>
            <w:r>
              <w:rPr>
                <w:rFonts w:hint="default" w:ascii="Times New Roman" w:hAnsi="Times New Roman" w:eastAsia="Times New Roman" w:cs="Times New Roman"/>
                <w:color w:val="auto"/>
                <w:sz w:val="24"/>
                <w:szCs w:val="24"/>
              </w:rPr>
              <w:t>a detailed description of the critical incident (the more detail the better to refer to in your later work)</w:t>
            </w:r>
          </w:p>
          <w:p>
            <w:pPr>
              <w:spacing w:after="0" w:line="240" w:lineRule="auto"/>
              <w:rPr>
                <w:rFonts w:hint="default" w:ascii="Times New Roman" w:hAnsi="Times New Roman" w:eastAsia="Times New Roman" w:cs="Times New Roman"/>
                <w:bCs/>
                <w:color w:val="auto"/>
                <w:sz w:val="24"/>
                <w:szCs w:val="24"/>
              </w:rPr>
            </w:pPr>
          </w:p>
          <w:p>
            <w:pPr>
              <w:spacing w:after="0" w:line="240" w:lineRule="auto"/>
              <w:rPr>
                <w:rFonts w:hint="default" w:ascii="Times New Roman" w:hAnsi="Times New Roman" w:eastAsia="Times New Roman" w:cs="Times New Roman"/>
                <w:bCs/>
                <w:color w:val="auto"/>
                <w:sz w:val="24"/>
                <w:szCs w:val="24"/>
              </w:rPr>
            </w:pPr>
            <w:r>
              <w:rPr>
                <w:rFonts w:hint="default" w:ascii="Times New Roman" w:hAnsi="Times New Roman" w:eastAsia="Times New Roman" w:cs="Times New Roman"/>
                <w:bCs/>
                <w:color w:val="auto"/>
                <w:sz w:val="24"/>
                <w:szCs w:val="24"/>
              </w:rPr>
              <w:t>The teacher used Retrieval Practice and asked the students questions about what they read last time and prompted each student about the characters and how they felt. She used positive praise throughout the lesson. For example, “very good point” or “That’s (Pupil’s name) excellent work”. She related how the characters felt to the students from a different perspective. For example, “Tommo is the same age as you, how would you feel about X?”</w:t>
            </w:r>
          </w:p>
          <w:p>
            <w:pPr>
              <w:spacing w:after="0" w:line="240" w:lineRule="auto"/>
              <w:rPr>
                <w:rFonts w:hint="default" w:ascii="Times New Roman" w:hAnsi="Times New Roman" w:eastAsia="Times New Roman" w:cs="Times New Roman"/>
                <w:bCs/>
                <w:color w:val="auto"/>
                <w:sz w:val="24"/>
                <w:szCs w:val="24"/>
              </w:rPr>
            </w:pPr>
          </w:p>
          <w:p>
            <w:pPr>
              <w:spacing w:after="0" w:line="240" w:lineRule="auto"/>
              <w:rPr>
                <w:rFonts w:hint="default" w:ascii="Times New Roman" w:hAnsi="Times New Roman" w:eastAsia="Times New Roman" w:cs="Times New Roman"/>
                <w:bCs/>
                <w:color w:val="auto"/>
                <w:sz w:val="24"/>
                <w:szCs w:val="24"/>
              </w:rPr>
            </w:pPr>
            <w:r>
              <w:rPr>
                <w:rFonts w:hint="default" w:ascii="Times New Roman" w:hAnsi="Times New Roman" w:eastAsia="Times New Roman" w:cs="Times New Roman"/>
                <w:bCs/>
                <w:color w:val="auto"/>
                <w:sz w:val="24"/>
                <w:szCs w:val="24"/>
              </w:rPr>
              <w:t xml:space="preserve">I’ve noticed that the teacher only used Positive Reinforcement and didn’t discipline the whole class, although the teacher’s voice got louder when the class volume got louder or to gain their attention to stop/pause the task. Although, the teacher has a presence in the class when she said “Pens down, eyes front” the class listened and followed instructions. </w:t>
            </w:r>
          </w:p>
          <w:p>
            <w:pPr>
              <w:spacing w:after="0" w:line="240" w:lineRule="auto"/>
              <w:rPr>
                <w:rFonts w:hint="default" w:ascii="Times New Roman" w:hAnsi="Times New Roman" w:eastAsia="Times New Roman" w:cs="Times New Roman"/>
                <w:color w:val="auto"/>
                <w:sz w:val="24"/>
                <w:szCs w:val="24"/>
              </w:rPr>
            </w:pPr>
          </w:p>
          <w:p>
            <w:pPr>
              <w:spacing w:after="0" w:line="240" w:lineRule="auto"/>
              <w:ind w:left="720"/>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b/>
                <w:color w:val="auto"/>
                <w:sz w:val="24"/>
                <w:szCs w:val="24"/>
              </w:rPr>
            </w:pPr>
            <w:r>
              <w:rPr>
                <w:rFonts w:hint="default" w:ascii="Times New Roman" w:hAnsi="Times New Roman" w:eastAsia="Times New Roman" w:cs="Times New Roman"/>
                <w:b/>
                <w:color w:val="auto"/>
                <w:sz w:val="24"/>
                <w:szCs w:val="24"/>
              </w:rPr>
              <w:t xml:space="preserve">Areas of possible exploration: </w:t>
            </w:r>
            <w:r>
              <w:rPr>
                <w:rFonts w:hint="default" w:ascii="Times New Roman" w:hAnsi="Times New Roman" w:eastAsia="Times New Roman" w:cs="Times New Roman"/>
                <w:bCs/>
                <w:color w:val="auto"/>
                <w:sz w:val="24"/>
                <w:szCs w:val="24"/>
              </w:rPr>
              <w:t>what do you think could be” under the hood” in these incidents? What avenues of research could you consider?</w:t>
            </w: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From my observation of this year 8 English lesson, it’s got me thinking about looking into Retrieval Practice in more detail and why it’s effective, etc. On the other hand, it’ll be interesting to look into Positive Reinforcement in more detail and other ways I can incorporate it in my classroom other than through positive praise when students answer a question or read a section from the text in their book. And whether the dynamics of the classroom would have been different with an older age group about the behaviour management used/outcomes of the learning experience.</w:t>
            </w:r>
          </w:p>
          <w:p>
            <w:pPr>
              <w:spacing w:after="0" w:line="240" w:lineRule="auto"/>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bCs/>
                <w:color w:val="auto"/>
                <w:sz w:val="24"/>
                <w:szCs w:val="24"/>
              </w:rPr>
            </w:pPr>
            <w:r>
              <w:rPr>
                <w:rFonts w:hint="default" w:ascii="Times New Roman" w:hAnsi="Times New Roman" w:eastAsia="Times New Roman" w:cs="Times New Roman"/>
                <w:b/>
                <w:color w:val="auto"/>
                <w:sz w:val="24"/>
                <w:szCs w:val="24"/>
              </w:rPr>
              <w:t xml:space="preserve">Notes: </w:t>
            </w:r>
            <w:r>
              <w:rPr>
                <w:rFonts w:hint="default" w:ascii="Times New Roman" w:hAnsi="Times New Roman" w:eastAsia="Times New Roman" w:cs="Times New Roman"/>
                <w:bCs/>
                <w:color w:val="auto"/>
                <w:sz w:val="24"/>
                <w:szCs w:val="24"/>
              </w:rPr>
              <w:t>any details you can note (is it a busy environment, is it after lunch, are there lots of distractions, are directions made explicit - the more you can refer to the better here)</w:t>
            </w:r>
          </w:p>
          <w:p>
            <w:pPr>
              <w:spacing w:after="0" w:line="240" w:lineRule="auto"/>
              <w:rPr>
                <w:rFonts w:hint="default" w:ascii="Times New Roman" w:hAnsi="Times New Roman" w:eastAsia="Times New Roman" w:cs="Times New Roman"/>
                <w:bCs/>
                <w:color w:val="auto"/>
                <w:sz w:val="24"/>
                <w:szCs w:val="24"/>
              </w:rPr>
            </w:pPr>
          </w:p>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 xml:space="preserve">The class was after assembly and some students were late coming from the assembly. The teacher said they had no excuses for being late as she was in assembly as well. She had everything all organized and got the class’s attention by saying Good Morning (Bore Da) in Welsh, followed by answering the register in Welsh. </w:t>
            </w: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tc>
      </w:tr>
    </w:tbl>
    <w:p>
      <w:pPr>
        <w:rPr>
          <w:rFonts w:hint="default" w:ascii="Times New Roman" w:hAnsi="Times New Roman" w:cs="Times New Roman"/>
          <w:color w:val="auto"/>
          <w:sz w:val="24"/>
          <w:szCs w:val="24"/>
        </w:rPr>
      </w:pPr>
    </w:p>
    <w:p>
      <w:pP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Record 3</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 xml:space="preserve">Date and time, year group: 27/09/2022 (10:20- 11:20), Year 8 </w:t>
            </w:r>
          </w:p>
          <w:p>
            <w:pPr>
              <w:spacing w:after="0" w:line="240" w:lineRule="auto"/>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b/>
                <w:bCs/>
                <w:color w:val="auto"/>
                <w:sz w:val="24"/>
                <w:szCs w:val="24"/>
              </w:rPr>
              <w:t>Where and When:</w:t>
            </w:r>
            <w:r>
              <w:rPr>
                <w:rFonts w:hint="default" w:ascii="Times New Roman" w:hAnsi="Times New Roman" w:eastAsia="Times New Roman" w:cs="Times New Roman"/>
                <w:color w:val="auto"/>
                <w:sz w:val="24"/>
                <w:szCs w:val="24"/>
              </w:rPr>
              <w:t xml:space="preserve"> Context of the observation – subject/AOLE, general classroom context</w:t>
            </w: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 xml:space="preserve">The lesson was a year 8 Music lesson, the children were learning how to play the Mii Wii theme tune on their keyboards. The lesson was lively, and students were actively engaged in the lesson. </w:t>
            </w:r>
          </w:p>
          <w:p>
            <w:pPr>
              <w:spacing w:after="0" w:line="240" w:lineRule="auto"/>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b/>
                <w:bCs/>
                <w:color w:val="auto"/>
                <w:sz w:val="24"/>
                <w:szCs w:val="24"/>
              </w:rPr>
            </w:pPr>
            <w:r>
              <w:rPr>
                <w:rFonts w:hint="default" w:ascii="Times New Roman" w:hAnsi="Times New Roman" w:eastAsia="Times New Roman" w:cs="Times New Roman"/>
                <w:b/>
                <w:bCs/>
                <w:color w:val="auto"/>
                <w:sz w:val="24"/>
                <w:szCs w:val="24"/>
              </w:rPr>
              <w:t xml:space="preserve">What happened: </w:t>
            </w:r>
            <w:r>
              <w:rPr>
                <w:rFonts w:hint="default" w:ascii="Times New Roman" w:hAnsi="Times New Roman" w:eastAsia="Times New Roman" w:cs="Times New Roman"/>
                <w:color w:val="auto"/>
                <w:sz w:val="24"/>
                <w:szCs w:val="24"/>
              </w:rPr>
              <w:t>a detailed description of the critical incident (the more detail the better to refer to in your later work)</w:t>
            </w:r>
          </w:p>
          <w:p>
            <w:pPr>
              <w:spacing w:after="0" w:line="240" w:lineRule="auto"/>
              <w:rPr>
                <w:rFonts w:hint="default" w:ascii="Times New Roman" w:hAnsi="Times New Roman" w:eastAsia="Times New Roman" w:cs="Times New Roman"/>
                <w:bCs/>
                <w:color w:val="auto"/>
                <w:sz w:val="24"/>
                <w:szCs w:val="24"/>
              </w:rPr>
            </w:pPr>
          </w:p>
          <w:p>
            <w:pPr>
              <w:spacing w:after="0" w:line="240" w:lineRule="auto"/>
              <w:rPr>
                <w:rFonts w:hint="default" w:ascii="Times New Roman" w:hAnsi="Times New Roman" w:eastAsia="Times New Roman" w:cs="Times New Roman"/>
                <w:bCs/>
                <w:color w:val="auto"/>
                <w:sz w:val="24"/>
                <w:szCs w:val="24"/>
              </w:rPr>
            </w:pPr>
            <w:r>
              <w:rPr>
                <w:rFonts w:hint="default" w:ascii="Times New Roman" w:hAnsi="Times New Roman" w:eastAsia="Times New Roman" w:cs="Times New Roman"/>
                <w:bCs/>
                <w:color w:val="auto"/>
                <w:sz w:val="24"/>
                <w:szCs w:val="24"/>
              </w:rPr>
              <w:t>The teacher used different behavioral management methods, when she told the class to “be quiet” they listened. She clapped to get the class’s attention multiple times in the lesson and the class clapped back, which got the class to be quiet and listen to the teacher. She mentioned that she used this attention grabber, as it works on the student’s rhyme, and mentioned that another Music teacher used it with this class last year. She used an Achievement Board and added students’ names’ when they answered a question or played the Mii Wii tune individually when they were chosen by the “Wheel of Doom/Fortune”, along with positive praise “Well done”, “Good stuff”. Along with pointers on areas to improve when playing the tune next time. At the end of the lesson, I asked the teacher about the use of the Achievement Board. She said it’s a whole school approach to rewarding positive behaviour and she likes to have a visual aid so she remembers to put the points in the Schools system under the register for that particular year group.</w:t>
            </w:r>
          </w:p>
          <w:p>
            <w:pPr>
              <w:spacing w:after="0" w:line="240" w:lineRule="auto"/>
              <w:rPr>
                <w:rFonts w:hint="default" w:ascii="Times New Roman" w:hAnsi="Times New Roman" w:eastAsia="Times New Roman" w:cs="Times New Roman"/>
                <w:color w:val="auto"/>
                <w:sz w:val="24"/>
                <w:szCs w:val="24"/>
              </w:rPr>
            </w:pPr>
          </w:p>
          <w:p>
            <w:pPr>
              <w:spacing w:after="0" w:line="240" w:lineRule="auto"/>
              <w:ind w:left="720"/>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b/>
                <w:color w:val="auto"/>
                <w:sz w:val="24"/>
                <w:szCs w:val="24"/>
              </w:rPr>
            </w:pPr>
            <w:r>
              <w:rPr>
                <w:rFonts w:hint="default" w:ascii="Times New Roman" w:hAnsi="Times New Roman" w:eastAsia="Times New Roman" w:cs="Times New Roman"/>
                <w:b/>
                <w:color w:val="auto"/>
                <w:sz w:val="24"/>
                <w:szCs w:val="24"/>
              </w:rPr>
              <w:t xml:space="preserve">Areas of possible exploration: </w:t>
            </w:r>
            <w:r>
              <w:rPr>
                <w:rFonts w:hint="default" w:ascii="Times New Roman" w:hAnsi="Times New Roman" w:eastAsia="Times New Roman" w:cs="Times New Roman"/>
                <w:bCs/>
                <w:color w:val="auto"/>
                <w:sz w:val="24"/>
                <w:szCs w:val="24"/>
              </w:rPr>
              <w:t>what do you think could be” under the hood” in these incidents? What avenues of research could you consider?</w:t>
            </w: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lang w:val="en-US"/>
              </w:rPr>
            </w:pPr>
            <w:r>
              <w:rPr>
                <w:rFonts w:hint="default" w:ascii="Times New Roman" w:hAnsi="Times New Roman" w:eastAsia="Times New Roman" w:cs="Times New Roman"/>
                <w:color w:val="auto"/>
                <w:sz w:val="24"/>
                <w:szCs w:val="24"/>
              </w:rPr>
              <w:t>After the observation, I thought about what I have observed and about researching in more detail into areas, such as Operant Conditioning, and Positive, Negative Reinforcement with Behavioral Psychologists such as Skinner and E.L. Thorndike. Also, in more detail and ways of getting the class’s attention to get them to concentrate and listen. How teaching style and the four purposes of the New Welsh Curriculum have shaped students’ learning experience.</w:t>
            </w:r>
            <w:r>
              <w:rPr>
                <w:rFonts w:hint="default" w:ascii="Times New Roman" w:hAnsi="Times New Roman" w:eastAsia="Times New Roman" w:cs="Times New Roman"/>
                <w:color w:val="auto"/>
                <w:sz w:val="24"/>
                <w:szCs w:val="24"/>
                <w:lang w:val="en-US"/>
              </w:rPr>
              <w:t xml:space="preserve"> Look into humanist theory, and the work of John Holt(1984) and Sue Cowley(2003).</w:t>
            </w:r>
            <w:bookmarkStart w:id="0" w:name="_GoBack"/>
            <w:bookmarkEnd w:id="0"/>
          </w:p>
          <w:p>
            <w:pPr>
              <w:spacing w:after="0" w:line="240" w:lineRule="auto"/>
              <w:rPr>
                <w:rFonts w:hint="default" w:ascii="Times New Roman" w:hAnsi="Times New Roman" w:eastAsia="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tcBorders>
              <w:top w:val="single" w:color="auto" w:sz="4" w:space="0"/>
              <w:left w:val="single" w:color="auto" w:sz="4" w:space="0"/>
              <w:bottom w:val="single" w:color="auto" w:sz="4" w:space="0"/>
              <w:right w:val="single" w:color="auto" w:sz="4" w:space="0"/>
            </w:tcBorders>
          </w:tcPr>
          <w:p>
            <w:pPr>
              <w:spacing w:after="0" w:line="240" w:lineRule="auto"/>
              <w:rPr>
                <w:rFonts w:hint="default" w:ascii="Times New Roman" w:hAnsi="Times New Roman" w:eastAsia="Times New Roman" w:cs="Times New Roman"/>
                <w:bCs/>
                <w:color w:val="auto"/>
                <w:sz w:val="24"/>
                <w:szCs w:val="24"/>
              </w:rPr>
            </w:pPr>
            <w:r>
              <w:rPr>
                <w:rFonts w:hint="default" w:ascii="Times New Roman" w:hAnsi="Times New Roman" w:eastAsia="Times New Roman" w:cs="Times New Roman"/>
                <w:b/>
                <w:color w:val="auto"/>
                <w:sz w:val="24"/>
                <w:szCs w:val="24"/>
              </w:rPr>
              <w:t xml:space="preserve">Notes: </w:t>
            </w:r>
            <w:r>
              <w:rPr>
                <w:rFonts w:hint="default" w:ascii="Times New Roman" w:hAnsi="Times New Roman" w:eastAsia="Times New Roman" w:cs="Times New Roman"/>
                <w:bCs/>
                <w:color w:val="auto"/>
                <w:sz w:val="24"/>
                <w:szCs w:val="24"/>
              </w:rPr>
              <w:t>any details you can note (is it a busy environment, is it after lunch, are there lots of distractions, are directions made explicit - the more you can refer to the better here)</w:t>
            </w:r>
          </w:p>
          <w:p>
            <w:pPr>
              <w:spacing w:after="0" w:line="240" w:lineRule="auto"/>
              <w:rPr>
                <w:rFonts w:hint="default" w:ascii="Times New Roman" w:hAnsi="Times New Roman" w:eastAsia="Times New Roman" w:cs="Times New Roman"/>
                <w:bCs/>
                <w:color w:val="auto"/>
                <w:sz w:val="24"/>
                <w:szCs w:val="24"/>
              </w:rPr>
            </w:pPr>
          </w:p>
          <w:p>
            <w:pPr>
              <w:spacing w:after="0" w:line="240" w:lineRule="auto"/>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Some students were late, and the teacher mentioned she doesn’t mind if they are late so long as they quickly got their books/pencil cases out and don’t disturb the class too much. The teacher’s instructions were clear, through visual aids on the whiteboard, and then she demonstrated on the keyboard and through a YouTube video what the tune should be like.</w:t>
            </w: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tc>
      </w:tr>
    </w:tbl>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color w:val="auto"/>
          <w:sz w:val="24"/>
          <w:szCs w:val="24"/>
        </w:rPr>
      </w:pPr>
    </w:p>
    <w:p>
      <w:pPr>
        <w:spacing w:after="0" w:line="240" w:lineRule="auto"/>
        <w:rPr>
          <w:rFonts w:hint="default" w:ascii="Times New Roman" w:hAnsi="Times New Roman" w:eastAsia="Times New Roman" w:cs="Times New Roman"/>
          <w:b/>
          <w:bCs/>
          <w:color w:val="auto"/>
          <w:sz w:val="24"/>
          <w:szCs w:val="24"/>
          <w:u w:val="single"/>
        </w:rPr>
      </w:pPr>
      <w:r>
        <w:rPr>
          <w:rFonts w:hint="default" w:ascii="Times New Roman" w:hAnsi="Times New Roman" w:eastAsia="Times New Roman" w:cs="Times New Roman"/>
          <w:b/>
          <w:bCs/>
          <w:color w:val="auto"/>
          <w:sz w:val="24"/>
          <w:szCs w:val="24"/>
          <w:u w:val="single"/>
        </w:rPr>
        <w:t>REFERENCES</w:t>
      </w:r>
    </w:p>
    <w:p>
      <w:pPr>
        <w:keepNext w:val="0"/>
        <w:keepLines w:val="0"/>
        <w:widowControl/>
        <w:suppressLineNumbers w:val="0"/>
        <w:jc w:val="left"/>
        <w:rPr>
          <w:rFonts w:hint="default" w:ascii="Times New Roman" w:hAnsi="Times New Roman" w:eastAsia="Times New Roman" w:cs="Times New Roman"/>
          <w:color w:val="auto"/>
          <w:sz w:val="24"/>
          <w:szCs w:val="24"/>
          <w:lang w:val="en-US"/>
        </w:rPr>
      </w:pPr>
      <w:r>
        <w:rPr>
          <w:rFonts w:hint="default" w:ascii="Times New Roman" w:hAnsi="Times New Roman" w:eastAsia="Times New Roman" w:cs="Times New Roman"/>
          <w:color w:val="auto"/>
          <w:sz w:val="24"/>
          <w:szCs w:val="24"/>
          <w:lang w:val="en-US"/>
        </w:rPr>
        <w:t>British Educational  Research Association[BERA] (2018) Ethical Guidelines for Educational Research, fourth edition, London.</w:t>
      </w:r>
    </w:p>
    <w:p>
      <w:pPr>
        <w:keepNext w:val="0"/>
        <w:keepLines w:val="0"/>
        <w:widowControl/>
        <w:suppressLineNumbers w:val="0"/>
        <w:jc w:val="left"/>
        <w:rPr>
          <w:rFonts w:hint="default" w:ascii="Times New Roman" w:hAnsi="Times New Roman" w:cs="Times New Roman"/>
          <w:sz w:val="24"/>
          <w:szCs w:val="24"/>
          <w:lang w:val="en-US"/>
        </w:rPr>
      </w:pPr>
      <w:r>
        <w:rPr>
          <w:rFonts w:hint="default" w:ascii="Times New Roman" w:hAnsi="Times New Roman" w:eastAsia="AvenirLTStd-Book" w:cs="Times New Roman"/>
          <w:color w:val="1F3267"/>
          <w:kern w:val="0"/>
          <w:sz w:val="24"/>
          <w:szCs w:val="24"/>
          <w:lang w:val="en-US" w:eastAsia="zh-CN" w:bidi="ar"/>
        </w:rPr>
        <w:fldChar w:fldCharType="begin"/>
      </w:r>
      <w:r>
        <w:rPr>
          <w:rFonts w:hint="default" w:ascii="Times New Roman" w:hAnsi="Times New Roman" w:eastAsia="AvenirLTStd-Book" w:cs="Times New Roman"/>
          <w:color w:val="1F3267"/>
          <w:kern w:val="0"/>
          <w:sz w:val="24"/>
          <w:szCs w:val="24"/>
          <w:lang w:val="en-US" w:eastAsia="zh-CN" w:bidi="ar"/>
        </w:rPr>
        <w:instrText xml:space="preserve"> HYPERLINK "https://www.bera.ac.uk/researchersresources/publications/ethicalguidelines-for-educational-research-2018" </w:instrText>
      </w:r>
      <w:r>
        <w:rPr>
          <w:rFonts w:hint="default" w:ascii="Times New Roman" w:hAnsi="Times New Roman" w:eastAsia="AvenirLTStd-Book" w:cs="Times New Roman"/>
          <w:color w:val="1F3267"/>
          <w:kern w:val="0"/>
          <w:sz w:val="24"/>
          <w:szCs w:val="24"/>
          <w:lang w:val="en-US" w:eastAsia="zh-CN" w:bidi="ar"/>
        </w:rPr>
        <w:fldChar w:fldCharType="separate"/>
      </w:r>
      <w:r>
        <w:rPr>
          <w:rStyle w:val="5"/>
          <w:rFonts w:hint="default" w:ascii="Times New Roman" w:hAnsi="Times New Roman" w:eastAsia="AvenirLTStd-Book" w:cs="Times New Roman"/>
          <w:kern w:val="0"/>
          <w:sz w:val="24"/>
          <w:szCs w:val="24"/>
          <w:lang w:val="en-US" w:eastAsia="zh-CN" w:bidi="ar"/>
        </w:rPr>
        <w:t>https://www.bera.ac.uk/researchersresources/publications/ethicalguidelines-for-educational-research-2018</w:t>
      </w:r>
      <w:r>
        <w:rPr>
          <w:rFonts w:hint="default" w:ascii="Times New Roman" w:hAnsi="Times New Roman" w:eastAsia="AvenirLTStd-Book" w:cs="Times New Roman"/>
          <w:color w:val="1F3267"/>
          <w:kern w:val="0"/>
          <w:sz w:val="24"/>
          <w:szCs w:val="24"/>
          <w:lang w:val="en-US" w:eastAsia="zh-CN" w:bidi="ar"/>
        </w:rPr>
        <w:fldChar w:fldCharType="end"/>
      </w:r>
      <w:r>
        <w:rPr>
          <w:rFonts w:hint="default" w:ascii="Times New Roman" w:hAnsi="Times New Roman" w:eastAsia="AvenirLTStd-Book" w:cs="Times New Roman"/>
          <w:color w:val="1F3267"/>
          <w:kern w:val="0"/>
          <w:sz w:val="24"/>
          <w:szCs w:val="24"/>
          <w:lang w:val="en-US" w:eastAsia="zh-CN" w:bidi="ar"/>
        </w:rPr>
        <w:t xml:space="preserve"> </w:t>
      </w:r>
    </w:p>
    <w:p>
      <w:pPr>
        <w:spacing w:after="0" w:line="240" w:lineRule="auto"/>
        <w:rPr>
          <w:rFonts w:hint="default" w:ascii="Times New Roman" w:hAnsi="Times New Roman" w:eastAsia="Helvetica" w:cs="Times New Roman"/>
          <w:i w:val="0"/>
          <w:iCs w:val="0"/>
          <w:caps w:val="0"/>
          <w:color w:val="auto"/>
          <w:spacing w:val="0"/>
          <w:sz w:val="24"/>
          <w:szCs w:val="24"/>
          <w:shd w:val="clear" w:fill="FFFFFF"/>
        </w:rPr>
      </w:pPr>
    </w:p>
    <w:p>
      <w:pPr>
        <w:spacing w:after="0" w:line="240" w:lineRule="auto"/>
        <w:rPr>
          <w:rFonts w:hint="default" w:ascii="Times New Roman" w:hAnsi="Times New Roman" w:eastAsia="Helvetica" w:cs="Times New Roman"/>
          <w:i w:val="0"/>
          <w:iCs w:val="0"/>
          <w:caps w:val="0"/>
          <w:color w:val="auto"/>
          <w:spacing w:val="0"/>
          <w:sz w:val="24"/>
          <w:szCs w:val="24"/>
          <w:shd w:val="clear" w:fill="FFFFFF"/>
        </w:rPr>
      </w:pPr>
      <w:r>
        <w:rPr>
          <w:rFonts w:hint="default" w:ascii="Times New Roman" w:hAnsi="Times New Roman" w:eastAsia="Helvetica" w:cs="Times New Roman"/>
          <w:i w:val="0"/>
          <w:iCs w:val="0"/>
          <w:caps w:val="0"/>
          <w:color w:val="auto"/>
          <w:spacing w:val="0"/>
          <w:sz w:val="24"/>
          <w:szCs w:val="24"/>
          <w:shd w:val="clear" w:fill="FFFFFF"/>
        </w:rPr>
        <w:t>Cowley, &amp; Cowley, S. (2003). </w:t>
      </w:r>
      <w:r>
        <w:rPr>
          <w:rFonts w:hint="default" w:ascii="Times New Roman" w:hAnsi="Times New Roman" w:eastAsia="Helvetica" w:cs="Times New Roman"/>
          <w:i/>
          <w:iCs/>
          <w:caps w:val="0"/>
          <w:color w:val="auto"/>
          <w:spacing w:val="0"/>
          <w:sz w:val="24"/>
          <w:szCs w:val="24"/>
          <w:shd w:val="clear" w:fill="FFFFFF"/>
        </w:rPr>
        <w:t>Getting the buggers to behave 2</w:t>
      </w:r>
      <w:r>
        <w:rPr>
          <w:rFonts w:hint="default" w:ascii="Times New Roman" w:hAnsi="Times New Roman" w:eastAsia="Helvetica" w:cs="Times New Roman"/>
          <w:i w:val="0"/>
          <w:iCs w:val="0"/>
          <w:caps w:val="0"/>
          <w:color w:val="auto"/>
          <w:spacing w:val="0"/>
          <w:sz w:val="24"/>
          <w:szCs w:val="24"/>
          <w:shd w:val="clear" w:fill="FFFFFF"/>
        </w:rPr>
        <w:t> (2nd ed.). Continuum.</w:t>
      </w:r>
    </w:p>
    <w:p>
      <w:pPr>
        <w:pStyle w:val="6"/>
        <w:ind w:left="567" w:hanging="567"/>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Donaldson, G. (2020) </w:t>
      </w:r>
      <w:r>
        <w:rPr>
          <w:rFonts w:hint="default" w:ascii="Times New Roman" w:hAnsi="Times New Roman" w:cs="Times New Roman"/>
          <w:i/>
          <w:iCs/>
          <w:color w:val="auto"/>
          <w:sz w:val="24"/>
          <w:szCs w:val="24"/>
        </w:rPr>
        <w:t>Implementation and practical considerations</w:t>
      </w:r>
      <w:r>
        <w:rPr>
          <w:rFonts w:hint="default" w:ascii="Times New Roman" w:hAnsi="Times New Roman" w:cs="Times New Roman"/>
          <w:color w:val="auto"/>
          <w:sz w:val="24"/>
          <w:szCs w:val="24"/>
        </w:rPr>
        <w:t xml:space="preserve">, </w:t>
      </w:r>
      <w:r>
        <w:rPr>
          <w:rFonts w:hint="default" w:ascii="Times New Roman" w:hAnsi="Times New Roman" w:cs="Times New Roman"/>
          <w:i/>
          <w:iCs/>
          <w:color w:val="auto"/>
          <w:sz w:val="24"/>
          <w:szCs w:val="24"/>
        </w:rPr>
        <w:t>Hwb</w:t>
      </w:r>
      <w:r>
        <w:rPr>
          <w:rFonts w:hint="default" w:ascii="Times New Roman" w:hAnsi="Times New Roman" w:cs="Times New Roman"/>
          <w:color w:val="auto"/>
          <w:sz w:val="24"/>
          <w:szCs w:val="24"/>
        </w:rPr>
        <w:t xml:space="preserve">. Available at: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"https://hwb.gov.wales/curriculum-for-wales/designing-your-curriculum/implementation-and-practical-considerations/#pedagogy" </w:instrText>
      </w:r>
      <w:r>
        <w:rPr>
          <w:rFonts w:hint="default" w:ascii="Times New Roman" w:hAnsi="Times New Roman" w:cs="Times New Roman"/>
          <w:color w:val="auto"/>
          <w:sz w:val="24"/>
          <w:szCs w:val="24"/>
        </w:rPr>
        <w:fldChar w:fldCharType="separate"/>
      </w:r>
      <w:r>
        <w:rPr>
          <w:rStyle w:val="5"/>
          <w:rFonts w:hint="default" w:ascii="Times New Roman" w:hAnsi="Times New Roman" w:cs="Times New Roman"/>
          <w:sz w:val="24"/>
          <w:szCs w:val="24"/>
        </w:rPr>
        <w:t>https://hwb.gov.wales/curriculum-for-wales/designing-your-curriculum/implementation-and-practical-considerations/#pedagogy</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 xml:space="preserve"> (Accessed: October 12, 2022).</w:t>
      </w:r>
    </w:p>
    <w:p>
      <w:pPr>
        <w:pStyle w:val="6"/>
        <w:ind w:left="567" w:hanging="567"/>
        <w:jc w:val="left"/>
        <w:rPr>
          <w:rFonts w:hint="default" w:ascii="Times New Roman" w:hAnsi="Times New Roman" w:cs="Times New Roman"/>
          <w:color w:val="auto"/>
          <w:sz w:val="24"/>
          <w:szCs w:val="24"/>
          <w:lang w:val="en-US"/>
        </w:rPr>
      </w:pPr>
      <w:r>
        <w:rPr>
          <w:rFonts w:hint="default" w:cs="Times New Roman"/>
          <w:color w:val="auto"/>
          <w:sz w:val="24"/>
          <w:szCs w:val="24"/>
          <w:lang w:val="en-US"/>
        </w:rPr>
        <w:t xml:space="preserve">Estyn (2018) A report on </w:t>
      </w:r>
      <w:r>
        <w:rPr>
          <w:rFonts w:hint="default" w:cs="Times New Roman"/>
          <w:color w:val="auto"/>
          <w:sz w:val="24"/>
          <w:szCs w:val="24"/>
          <w:highlight w:val="black"/>
          <w:lang w:val="en-US"/>
        </w:rPr>
        <w:t xml:space="preserve">Olchfa </w:t>
      </w:r>
      <w:r>
        <w:rPr>
          <w:rFonts w:hint="default" w:cs="Times New Roman"/>
          <w:color w:val="auto"/>
          <w:sz w:val="24"/>
          <w:szCs w:val="24"/>
          <w:lang w:val="en-US"/>
        </w:rPr>
        <w:t xml:space="preserve">school report. Available at: </w:t>
      </w:r>
      <w:r>
        <w:rPr>
          <w:rFonts w:hint="default"/>
          <w:color w:val="auto"/>
          <w:sz w:val="24"/>
          <w:szCs w:val="24"/>
          <w:u w:val="none"/>
          <w:lang w:val="en-US"/>
        </w:rPr>
        <w:t>https://www.estyn.gov.wales/system/files/2020-08/</w:t>
      </w:r>
      <w:r>
        <w:rPr>
          <w:rFonts w:hint="default"/>
          <w:color w:val="auto"/>
          <w:sz w:val="24"/>
          <w:szCs w:val="24"/>
          <w:highlight w:val="black"/>
          <w:u w:val="none"/>
          <w:lang w:val="en-US"/>
        </w:rPr>
        <w:t>Olchfa%2520School</w:t>
      </w:r>
      <w:r>
        <w:rPr>
          <w:rFonts w:hint="default"/>
          <w:color w:val="auto"/>
          <w:sz w:val="24"/>
          <w:szCs w:val="24"/>
          <w:highlight w:val="none"/>
          <w:u w:val="none"/>
          <w:lang w:val="en-US"/>
        </w:rPr>
        <w:t>_0.pdf</w:t>
      </w:r>
      <w:r>
        <w:rPr>
          <w:rFonts w:hint="default"/>
          <w:color w:val="auto"/>
          <w:sz w:val="24"/>
          <w:szCs w:val="24"/>
          <w:highlight w:val="none"/>
          <w:lang w:val="en-US"/>
        </w:rPr>
        <w:t xml:space="preserve"> (Accessed  27</w:t>
      </w:r>
      <w:r>
        <w:rPr>
          <w:rFonts w:hint="default"/>
          <w:color w:val="auto"/>
          <w:sz w:val="24"/>
          <w:szCs w:val="24"/>
          <w:highlight w:val="none"/>
          <w:vertAlign w:val="superscript"/>
          <w:lang w:val="en-US"/>
        </w:rPr>
        <w:t>th</w:t>
      </w:r>
      <w:r>
        <w:rPr>
          <w:rFonts w:hint="default"/>
          <w:color w:val="auto"/>
          <w:sz w:val="24"/>
          <w:szCs w:val="24"/>
          <w:highlight w:val="none"/>
          <w:lang w:val="en-US"/>
        </w:rPr>
        <w:t xml:space="preserve"> of October 2022)</w:t>
      </w:r>
    </w:p>
    <w:p>
      <w:pPr>
        <w:spacing w:after="0" w:line="240" w:lineRule="auto"/>
        <w:rPr>
          <w:rFonts w:hint="default" w:ascii="Times New Roman" w:hAnsi="Times New Roman" w:cs="Times New Roman"/>
          <w:color w:val="auto"/>
          <w:sz w:val="24"/>
          <w:szCs w:val="24"/>
        </w:rPr>
      </w:pPr>
      <w:r>
        <w:rPr>
          <w:rFonts w:hint="default" w:ascii="Times New Roman" w:hAnsi="Times New Roman" w:eastAsia="Times New Roman" w:cs="Times New Roman"/>
          <w:color w:val="auto"/>
          <w:sz w:val="24"/>
          <w:szCs w:val="24"/>
        </w:rPr>
        <w:t xml:space="preserve">Farrell. Thomas S.C. (2012):Reflecting on Reflective Practice: (Re)Visiting Dewey and Schon, Invited essay, Brock University  </w:t>
      </w:r>
    </w:p>
    <w:p>
      <w:pPr>
        <w:pStyle w:val="6"/>
        <w:ind w:left="567" w:hanging="567"/>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Fook, J. and Gardner, F. (2013) “Chapter 26: Reflective Practice and Critical Reflection,” in </w:t>
      </w:r>
      <w:r>
        <w:rPr>
          <w:rFonts w:hint="default" w:ascii="Times New Roman" w:hAnsi="Times New Roman" w:cs="Times New Roman"/>
          <w:i/>
          <w:iCs/>
          <w:color w:val="auto"/>
          <w:sz w:val="24"/>
          <w:szCs w:val="24"/>
        </w:rPr>
        <w:t>Critical reflection in context: Applications in health and Social Care</w:t>
      </w:r>
      <w:r>
        <w:rPr>
          <w:rFonts w:hint="default" w:ascii="Times New Roman" w:hAnsi="Times New Roman" w:cs="Times New Roman"/>
          <w:color w:val="auto"/>
          <w:sz w:val="24"/>
          <w:szCs w:val="24"/>
        </w:rPr>
        <w:t xml:space="preserve">. London: Routledge. </w:t>
      </w:r>
    </w:p>
    <w:p>
      <w:pPr>
        <w:spacing w:after="0" w:line="240" w:lineRule="auto"/>
        <w:rPr>
          <w:rFonts w:hint="default" w:ascii="Times New Roman" w:hAnsi="Times New Roman" w:eastAsia="Helvetica" w:cs="Times New Roman"/>
          <w:i w:val="0"/>
          <w:iCs w:val="0"/>
          <w:caps w:val="0"/>
          <w:color w:val="auto"/>
          <w:spacing w:val="0"/>
          <w:sz w:val="24"/>
          <w:szCs w:val="24"/>
          <w:shd w:val="clear" w:fill="FFFFFF"/>
        </w:rPr>
      </w:pPr>
      <w:r>
        <w:rPr>
          <w:rFonts w:hint="default" w:ascii="Times New Roman" w:hAnsi="Times New Roman" w:eastAsia="Times New Roman" w:cs="Times New Roman"/>
          <w:color w:val="auto"/>
          <w:sz w:val="24"/>
          <w:szCs w:val="24"/>
        </w:rPr>
        <w:t xml:space="preserve">Schon.D.A (2016) The reflective practitioner: How professionals think in action, ,eBook, Routledge </w:t>
      </w:r>
    </w:p>
    <w:p>
      <w:pPr>
        <w:spacing w:after="0" w:line="240" w:lineRule="auto"/>
        <w:rPr>
          <w:rFonts w:hint="default" w:ascii="Times New Roman" w:hAnsi="Times New Roman" w:eastAsia="Times New Roman" w:cs="Times New Roman"/>
          <w:color w:val="auto"/>
          <w:sz w:val="24"/>
          <w:szCs w:val="24"/>
        </w:rPr>
      </w:pPr>
    </w:p>
    <w:p>
      <w:pPr>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z w:val="24"/>
          <w:szCs w:val="24"/>
        </w:rPr>
        <w:t>Tripp. D (2012) Critical incidents in teaching: developing professional judgement. Second Edition; Routledge</w:t>
      </w:r>
    </w:p>
    <w:p>
      <w:pPr>
        <w:spacing w:after="0" w:line="240" w:lineRule="auto"/>
        <w:rPr>
          <w:rFonts w:hint="default" w:ascii="Times New Roman" w:hAnsi="Times New Roman" w:eastAsia="Helvetica" w:cs="Times New Roman"/>
          <w:i w:val="0"/>
          <w:iCs w:val="0"/>
          <w:caps w:val="0"/>
          <w:color w:val="auto"/>
          <w:spacing w:val="0"/>
          <w:sz w:val="24"/>
          <w:szCs w:val="24"/>
          <w:shd w:val="clear" w:fill="FFFFFF"/>
        </w:rPr>
      </w:pPr>
      <w:r>
        <w:rPr>
          <w:rFonts w:hint="default" w:ascii="Times New Roman" w:hAnsi="Times New Roman" w:eastAsia="Helvetica" w:cs="Times New Roman"/>
          <w:i w:val="0"/>
          <w:iCs w:val="0"/>
          <w:caps w:val="0"/>
          <w:color w:val="auto"/>
          <w:spacing w:val="0"/>
          <w:sz w:val="24"/>
          <w:szCs w:val="24"/>
          <w:shd w:val="clear" w:fill="FFFFFF"/>
        </w:rPr>
        <w:t>Zwozdiak-Myers. (2012). </w:t>
      </w:r>
      <w:r>
        <w:rPr>
          <w:rFonts w:hint="default" w:ascii="Times New Roman" w:hAnsi="Times New Roman" w:eastAsia="Helvetica" w:cs="Times New Roman"/>
          <w:i/>
          <w:iCs/>
          <w:caps w:val="0"/>
          <w:color w:val="auto"/>
          <w:spacing w:val="0"/>
          <w:sz w:val="24"/>
          <w:szCs w:val="24"/>
          <w:shd w:val="clear" w:fill="FFFFFF"/>
        </w:rPr>
        <w:t>The teacher’s reflective practice handbook : becoming an extended professional through capturing evidence-informed practice</w:t>
      </w:r>
      <w:r>
        <w:rPr>
          <w:rFonts w:hint="default" w:ascii="Times New Roman" w:hAnsi="Times New Roman" w:eastAsia="Helvetica" w:cs="Times New Roman"/>
          <w:i w:val="0"/>
          <w:iCs w:val="0"/>
          <w:caps w:val="0"/>
          <w:color w:val="auto"/>
          <w:spacing w:val="0"/>
          <w:sz w:val="24"/>
          <w:szCs w:val="24"/>
          <w:shd w:val="clear" w:fill="FFFFFF"/>
        </w:rPr>
        <w:t>. Routledge.</w:t>
      </w:r>
    </w:p>
    <w:p>
      <w:pPr>
        <w:spacing w:after="0" w:line="240" w:lineRule="auto"/>
        <w:rPr>
          <w:rFonts w:hint="default" w:ascii="Times New Roman" w:hAnsi="Times New Roman" w:eastAsia="Helvetica" w:cs="Times New Roman"/>
          <w:i w:val="0"/>
          <w:iCs w:val="0"/>
          <w:caps w:val="0"/>
          <w:color w:val="auto"/>
          <w:spacing w:val="0"/>
          <w:sz w:val="24"/>
          <w:szCs w:val="24"/>
          <w:shd w:val="clear" w:fill="FFFFFF"/>
        </w:rPr>
      </w:pPr>
    </w:p>
    <w:p>
      <w:pPr>
        <w:spacing w:after="0" w:line="240" w:lineRule="auto"/>
        <w:rPr>
          <w:rFonts w:hint="default" w:ascii="Times New Roman" w:hAnsi="Times New Roman" w:eastAsia="Times New Roman" w:cs="Times New Roman"/>
          <w:color w:val="auto"/>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venirLTStd-Book">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D17"/>
    <w:rsid w:val="000A5893"/>
    <w:rsid w:val="000F1D57"/>
    <w:rsid w:val="000F3C76"/>
    <w:rsid w:val="0013074E"/>
    <w:rsid w:val="001E39D3"/>
    <w:rsid w:val="00235C8E"/>
    <w:rsid w:val="002B07B6"/>
    <w:rsid w:val="002F2824"/>
    <w:rsid w:val="00306702"/>
    <w:rsid w:val="00365F07"/>
    <w:rsid w:val="00392103"/>
    <w:rsid w:val="003B1BAE"/>
    <w:rsid w:val="003D7E98"/>
    <w:rsid w:val="00412498"/>
    <w:rsid w:val="004214F8"/>
    <w:rsid w:val="005F379C"/>
    <w:rsid w:val="00614A63"/>
    <w:rsid w:val="00655479"/>
    <w:rsid w:val="00676FA0"/>
    <w:rsid w:val="006C51AE"/>
    <w:rsid w:val="00706834"/>
    <w:rsid w:val="00707D36"/>
    <w:rsid w:val="00741A7A"/>
    <w:rsid w:val="00861206"/>
    <w:rsid w:val="008C76FB"/>
    <w:rsid w:val="009F1FEF"/>
    <w:rsid w:val="00A003D4"/>
    <w:rsid w:val="00A40091"/>
    <w:rsid w:val="00A41715"/>
    <w:rsid w:val="00A712CF"/>
    <w:rsid w:val="00AA35FA"/>
    <w:rsid w:val="00B14CFC"/>
    <w:rsid w:val="00B26087"/>
    <w:rsid w:val="00B378EF"/>
    <w:rsid w:val="00B70A88"/>
    <w:rsid w:val="00B83958"/>
    <w:rsid w:val="00B92356"/>
    <w:rsid w:val="00C11B84"/>
    <w:rsid w:val="00C27F83"/>
    <w:rsid w:val="00CA4E28"/>
    <w:rsid w:val="00D6018B"/>
    <w:rsid w:val="00D85D17"/>
    <w:rsid w:val="00DF2119"/>
    <w:rsid w:val="00E34BE3"/>
    <w:rsid w:val="00E66F5E"/>
    <w:rsid w:val="00EA0EEF"/>
    <w:rsid w:val="00F11708"/>
    <w:rsid w:val="00F279EB"/>
    <w:rsid w:val="00F3658D"/>
    <w:rsid w:val="00FE0B58"/>
    <w:rsid w:val="00FF6D09"/>
    <w:rsid w:val="01E2346F"/>
    <w:rsid w:val="0220D263"/>
    <w:rsid w:val="02566916"/>
    <w:rsid w:val="02CD1712"/>
    <w:rsid w:val="034C958F"/>
    <w:rsid w:val="03886137"/>
    <w:rsid w:val="03B95EF5"/>
    <w:rsid w:val="03C0530C"/>
    <w:rsid w:val="03EA7E60"/>
    <w:rsid w:val="042E9B0F"/>
    <w:rsid w:val="05F945B7"/>
    <w:rsid w:val="062A2D53"/>
    <w:rsid w:val="06BC2B8D"/>
    <w:rsid w:val="06DB1FA2"/>
    <w:rsid w:val="06FC310C"/>
    <w:rsid w:val="0956E99A"/>
    <w:rsid w:val="0958D196"/>
    <w:rsid w:val="0A50F919"/>
    <w:rsid w:val="0A898D1D"/>
    <w:rsid w:val="0AF6E847"/>
    <w:rsid w:val="0BDB4E70"/>
    <w:rsid w:val="0BF4B700"/>
    <w:rsid w:val="0C665D9A"/>
    <w:rsid w:val="0C86B140"/>
    <w:rsid w:val="0D1E17D8"/>
    <w:rsid w:val="0D1FB273"/>
    <w:rsid w:val="0D29FB2F"/>
    <w:rsid w:val="0E0D2A49"/>
    <w:rsid w:val="0E45C56E"/>
    <w:rsid w:val="0E91840D"/>
    <w:rsid w:val="0EF0EEC4"/>
    <w:rsid w:val="0F99EA82"/>
    <w:rsid w:val="0FC453F0"/>
    <w:rsid w:val="1016BE61"/>
    <w:rsid w:val="111635B8"/>
    <w:rsid w:val="1244FF3E"/>
    <w:rsid w:val="1281B9EB"/>
    <w:rsid w:val="12CCF3FE"/>
    <w:rsid w:val="12EFA7F5"/>
    <w:rsid w:val="13336FF4"/>
    <w:rsid w:val="13FDEF47"/>
    <w:rsid w:val="1409A0B3"/>
    <w:rsid w:val="14B54EAA"/>
    <w:rsid w:val="14C68DFA"/>
    <w:rsid w:val="156E1379"/>
    <w:rsid w:val="159B9946"/>
    <w:rsid w:val="1723A9D1"/>
    <w:rsid w:val="17A15719"/>
    <w:rsid w:val="17A4FC67"/>
    <w:rsid w:val="18395F38"/>
    <w:rsid w:val="184F1121"/>
    <w:rsid w:val="18E11FF1"/>
    <w:rsid w:val="1A6B6F27"/>
    <w:rsid w:val="1ADB7A02"/>
    <w:rsid w:val="1B24902E"/>
    <w:rsid w:val="1B25597C"/>
    <w:rsid w:val="1BE5C5F9"/>
    <w:rsid w:val="1E1C2B71"/>
    <w:rsid w:val="1E5C30F0"/>
    <w:rsid w:val="1F1F4495"/>
    <w:rsid w:val="1F75F2D5"/>
    <w:rsid w:val="1FA97BC0"/>
    <w:rsid w:val="1FBDAF5D"/>
    <w:rsid w:val="1FD98C39"/>
    <w:rsid w:val="204E75D4"/>
    <w:rsid w:val="20DE4BED"/>
    <w:rsid w:val="2139A7B7"/>
    <w:rsid w:val="2193D1B2"/>
    <w:rsid w:val="21C51B85"/>
    <w:rsid w:val="22568F0D"/>
    <w:rsid w:val="2304AB71"/>
    <w:rsid w:val="23F09D81"/>
    <w:rsid w:val="23F74AB4"/>
    <w:rsid w:val="243DD5AD"/>
    <w:rsid w:val="25AA75AF"/>
    <w:rsid w:val="26680C23"/>
    <w:rsid w:val="26A6D31E"/>
    <w:rsid w:val="2741DD6B"/>
    <w:rsid w:val="27531CBB"/>
    <w:rsid w:val="2803DC84"/>
    <w:rsid w:val="288CBC71"/>
    <w:rsid w:val="28AD0D11"/>
    <w:rsid w:val="28DDADCC"/>
    <w:rsid w:val="295EDE18"/>
    <w:rsid w:val="29E4B2F6"/>
    <w:rsid w:val="2A17AF28"/>
    <w:rsid w:val="2A50E823"/>
    <w:rsid w:val="2A686A94"/>
    <w:rsid w:val="2A719520"/>
    <w:rsid w:val="2A80FB2E"/>
    <w:rsid w:val="2BC01B74"/>
    <w:rsid w:val="2C12E2CF"/>
    <w:rsid w:val="2CE270CD"/>
    <w:rsid w:val="2D7E9640"/>
    <w:rsid w:val="2DA00B56"/>
    <w:rsid w:val="2DE9CDA3"/>
    <w:rsid w:val="2E5319AF"/>
    <w:rsid w:val="2F5E2EA0"/>
    <w:rsid w:val="2F705499"/>
    <w:rsid w:val="2FC72721"/>
    <w:rsid w:val="2FF50137"/>
    <w:rsid w:val="302A0F04"/>
    <w:rsid w:val="3111F055"/>
    <w:rsid w:val="31A9F57C"/>
    <w:rsid w:val="31D9F172"/>
    <w:rsid w:val="32849012"/>
    <w:rsid w:val="32A3D3FA"/>
    <w:rsid w:val="32CE51C2"/>
    <w:rsid w:val="331EE203"/>
    <w:rsid w:val="34AB7CAE"/>
    <w:rsid w:val="34EA4D12"/>
    <w:rsid w:val="353031FB"/>
    <w:rsid w:val="356B7AFD"/>
    <w:rsid w:val="36FD4687"/>
    <w:rsid w:val="372AFA1F"/>
    <w:rsid w:val="382D10FA"/>
    <w:rsid w:val="388A19F5"/>
    <w:rsid w:val="38D1D67D"/>
    <w:rsid w:val="39C8E15B"/>
    <w:rsid w:val="3B5CC436"/>
    <w:rsid w:val="3B5EE0D3"/>
    <w:rsid w:val="3C37B02B"/>
    <w:rsid w:val="3C443580"/>
    <w:rsid w:val="3C9C3CAE"/>
    <w:rsid w:val="3D174C3E"/>
    <w:rsid w:val="3D6EE9BE"/>
    <w:rsid w:val="3D758154"/>
    <w:rsid w:val="3E1D4BD7"/>
    <w:rsid w:val="3E3E41B7"/>
    <w:rsid w:val="3E687C20"/>
    <w:rsid w:val="3EB87974"/>
    <w:rsid w:val="3F08E91F"/>
    <w:rsid w:val="3F230D9B"/>
    <w:rsid w:val="3F63131A"/>
    <w:rsid w:val="3FAE65E9"/>
    <w:rsid w:val="40A1F31F"/>
    <w:rsid w:val="40A7B25E"/>
    <w:rsid w:val="40FEE37B"/>
    <w:rsid w:val="4178A976"/>
    <w:rsid w:val="4203B8A0"/>
    <w:rsid w:val="438BEA97"/>
    <w:rsid w:val="440B3F98"/>
    <w:rsid w:val="451423F0"/>
    <w:rsid w:val="4545992E"/>
    <w:rsid w:val="456E2433"/>
    <w:rsid w:val="45D2549E"/>
    <w:rsid w:val="45FAC36E"/>
    <w:rsid w:val="46A76463"/>
    <w:rsid w:val="46C3267A"/>
    <w:rsid w:val="474CACFC"/>
    <w:rsid w:val="476E24FF"/>
    <w:rsid w:val="4837ABFC"/>
    <w:rsid w:val="4848BF95"/>
    <w:rsid w:val="48732742"/>
    <w:rsid w:val="487F8CD4"/>
    <w:rsid w:val="48E7A6F0"/>
    <w:rsid w:val="492D1DC3"/>
    <w:rsid w:val="49D37C5D"/>
    <w:rsid w:val="4AA693E4"/>
    <w:rsid w:val="4AAE7C95"/>
    <w:rsid w:val="4B15BB36"/>
    <w:rsid w:val="4B3D0A7C"/>
    <w:rsid w:val="4B8F74ED"/>
    <w:rsid w:val="4C5D800B"/>
    <w:rsid w:val="4CDC2B39"/>
    <w:rsid w:val="4D16A5E7"/>
    <w:rsid w:val="4D381F76"/>
    <w:rsid w:val="4D4A861B"/>
    <w:rsid w:val="4DD6E1E0"/>
    <w:rsid w:val="4DDE330D"/>
    <w:rsid w:val="4EA5AEBB"/>
    <w:rsid w:val="4EC94069"/>
    <w:rsid w:val="4ED33740"/>
    <w:rsid w:val="4F4D171A"/>
    <w:rsid w:val="4FB27200"/>
    <w:rsid w:val="500263DC"/>
    <w:rsid w:val="50712C86"/>
    <w:rsid w:val="50D134AE"/>
    <w:rsid w:val="5200E12B"/>
    <w:rsid w:val="5255937C"/>
    <w:rsid w:val="526D050F"/>
    <w:rsid w:val="528B10B2"/>
    <w:rsid w:val="52A9AEE8"/>
    <w:rsid w:val="52B0DC1F"/>
    <w:rsid w:val="52E7082F"/>
    <w:rsid w:val="530CD031"/>
    <w:rsid w:val="5360D29A"/>
    <w:rsid w:val="538B76B5"/>
    <w:rsid w:val="53935FC2"/>
    <w:rsid w:val="53B215C4"/>
    <w:rsid w:val="5414CC7C"/>
    <w:rsid w:val="54210610"/>
    <w:rsid w:val="54978655"/>
    <w:rsid w:val="551E1C8A"/>
    <w:rsid w:val="5545CC48"/>
    <w:rsid w:val="5583447E"/>
    <w:rsid w:val="55963BF3"/>
    <w:rsid w:val="56E19CA9"/>
    <w:rsid w:val="579822C3"/>
    <w:rsid w:val="584CE314"/>
    <w:rsid w:val="58FC71E7"/>
    <w:rsid w:val="5928CFFE"/>
    <w:rsid w:val="597F63E4"/>
    <w:rsid w:val="59BAAE41"/>
    <w:rsid w:val="59FAB839"/>
    <w:rsid w:val="5B3665E9"/>
    <w:rsid w:val="5B65A8C0"/>
    <w:rsid w:val="5B7F1682"/>
    <w:rsid w:val="5B968421"/>
    <w:rsid w:val="5C067996"/>
    <w:rsid w:val="5C4AAFA3"/>
    <w:rsid w:val="5C4ED69B"/>
    <w:rsid w:val="5C65C2FD"/>
    <w:rsid w:val="5C7B915B"/>
    <w:rsid w:val="5CE493AE"/>
    <w:rsid w:val="5D37B5D0"/>
    <w:rsid w:val="5D5AC352"/>
    <w:rsid w:val="5D686964"/>
    <w:rsid w:val="5D88257B"/>
    <w:rsid w:val="5DFBD866"/>
    <w:rsid w:val="5E9907C3"/>
    <w:rsid w:val="5ECE295C"/>
    <w:rsid w:val="5F8A0C4B"/>
    <w:rsid w:val="5FABCD6D"/>
    <w:rsid w:val="5FB3321D"/>
    <w:rsid w:val="5FCBC821"/>
    <w:rsid w:val="60A2D123"/>
    <w:rsid w:val="61200BC3"/>
    <w:rsid w:val="613F0509"/>
    <w:rsid w:val="61B2BF06"/>
    <w:rsid w:val="61B33995"/>
    <w:rsid w:val="61BAF4B5"/>
    <w:rsid w:val="6205CA1E"/>
    <w:rsid w:val="628E4BFF"/>
    <w:rsid w:val="62C66A4E"/>
    <w:rsid w:val="62DAD56A"/>
    <w:rsid w:val="63697E0D"/>
    <w:rsid w:val="6476A5CB"/>
    <w:rsid w:val="649B36E3"/>
    <w:rsid w:val="65DD74AC"/>
    <w:rsid w:val="65EBC297"/>
    <w:rsid w:val="66C0B6A4"/>
    <w:rsid w:val="66E747F6"/>
    <w:rsid w:val="66E87D3B"/>
    <w:rsid w:val="67700DD8"/>
    <w:rsid w:val="68102706"/>
    <w:rsid w:val="688CA18D"/>
    <w:rsid w:val="68E4F564"/>
    <w:rsid w:val="6960E10F"/>
    <w:rsid w:val="6986CCB7"/>
    <w:rsid w:val="69FF9CB3"/>
    <w:rsid w:val="6A1EE09B"/>
    <w:rsid w:val="6A53B965"/>
    <w:rsid w:val="6AB7C800"/>
    <w:rsid w:val="6B42D72A"/>
    <w:rsid w:val="6BA3BA10"/>
    <w:rsid w:val="6BB49571"/>
    <w:rsid w:val="6C19D574"/>
    <w:rsid w:val="6C81B7B0"/>
    <w:rsid w:val="6CA1913A"/>
    <w:rsid w:val="6CF80CD7"/>
    <w:rsid w:val="6DF90CC7"/>
    <w:rsid w:val="6E1D8811"/>
    <w:rsid w:val="6E6868B5"/>
    <w:rsid w:val="6EA07616"/>
    <w:rsid w:val="6ED30DD6"/>
    <w:rsid w:val="6EF822A7"/>
    <w:rsid w:val="6F16C688"/>
    <w:rsid w:val="6F6930F9"/>
    <w:rsid w:val="7088CFE2"/>
    <w:rsid w:val="70C466AB"/>
    <w:rsid w:val="7173E07A"/>
    <w:rsid w:val="71A96D8E"/>
    <w:rsid w:val="7209880D"/>
    <w:rsid w:val="720AB311"/>
    <w:rsid w:val="721F6696"/>
    <w:rsid w:val="72C7274F"/>
    <w:rsid w:val="72ED5DF2"/>
    <w:rsid w:val="730FB0DB"/>
    <w:rsid w:val="735A33AA"/>
    <w:rsid w:val="73C5C2E1"/>
    <w:rsid w:val="73CDE6CE"/>
    <w:rsid w:val="73DB913F"/>
    <w:rsid w:val="74C08611"/>
    <w:rsid w:val="7535A064"/>
    <w:rsid w:val="760F7199"/>
    <w:rsid w:val="7691A6A6"/>
    <w:rsid w:val="76FD63A3"/>
    <w:rsid w:val="773C8ED3"/>
    <w:rsid w:val="77AD5E97"/>
    <w:rsid w:val="77E321FE"/>
    <w:rsid w:val="77FAEDD0"/>
    <w:rsid w:val="794EFFE1"/>
    <w:rsid w:val="795C9F76"/>
    <w:rsid w:val="79E95547"/>
    <w:rsid w:val="79F2C470"/>
    <w:rsid w:val="79F9FEBB"/>
    <w:rsid w:val="7A2CF14B"/>
    <w:rsid w:val="7A85B5F2"/>
    <w:rsid w:val="7B59CF5B"/>
    <w:rsid w:val="7B65D0C1"/>
    <w:rsid w:val="7BE3F350"/>
    <w:rsid w:val="7C0761D7"/>
    <w:rsid w:val="7C86A0A3"/>
    <w:rsid w:val="7C8C2B74"/>
    <w:rsid w:val="7CEAB2CF"/>
    <w:rsid w:val="7CF1344E"/>
    <w:rsid w:val="7CF83D0A"/>
    <w:rsid w:val="7D4D613F"/>
    <w:rsid w:val="7D6F4070"/>
    <w:rsid w:val="7D7A6396"/>
    <w:rsid w:val="7DDD5212"/>
    <w:rsid w:val="7DEF5ECE"/>
    <w:rsid w:val="7E27FBD5"/>
    <w:rsid w:val="7F0B10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3"/>
    <w:basedOn w:val="1"/>
    <w:next w:val="1"/>
    <w:link w:val="8"/>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7">
    <w:name w:val="Table Grid"/>
    <w:basedOn w:val="4"/>
    <w:qFormat/>
    <w:uiPriority w:val="99"/>
    <w:pPr>
      <w:spacing w:after="0" w:line="240" w:lineRule="auto"/>
    </w:pPr>
    <w:rPr>
      <w:rFonts w:ascii="Calibri" w:hAnsi="Calibri"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Heading 3 Char"/>
    <w:basedOn w:val="3"/>
    <w:link w:val="2"/>
    <w:qFormat/>
    <w:uiPriority w:val="9"/>
    <w:rPr>
      <w:rFonts w:ascii="Times New Roman" w:hAnsi="Times New Roman" w:eastAsia="Times New Roman" w:cs="Times New Roman"/>
      <w:b/>
      <w:bCs/>
      <w:sz w:val="27"/>
      <w:szCs w:val="27"/>
    </w:rPr>
  </w:style>
  <w:style w:type="character" w:customStyle="1" w:styleId="9">
    <w:name w:val="media-delimiter"/>
    <w:basedOn w:val="3"/>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Dav12</b:Tag>
    <b:SourceType>Book</b:SourceType>
    <b:Guid>{BD30B897-4617-4B39-A3F7-98FDA18E3C1F}</b:Guid>
    <b:Author>
      <b:Author>
        <b:NameList>
          <b:Person>
            <b:Last>Tripp</b:Last>
            <b:First>David</b:First>
          </b:Person>
        </b:NameList>
      </b:Author>
    </b:Author>
    <b:Title>Critical incidents in teaching: developing professional judgement</b:Title>
    <b:Year>2012</b:Year>
    <b:Publisher>Routledge</b:Publisher>
    <b:RefOrder>1</b:RefOrder>
  </b:Source>
</b:Sources>
</file>

<file path=customXml/itemProps1.xml><?xml version="1.0" encoding="utf-8"?>
<ds:datastoreItem xmlns:ds="http://schemas.openxmlformats.org/officeDocument/2006/customXml" ds:itemID="{A871FE19-E979-4BF9-996A-72A4C1656643}">
  <ds:schemaRefs/>
</ds:datastoreItem>
</file>

<file path=docProps/app.xml><?xml version="1.0" encoding="utf-8"?>
<Properties xmlns="http://schemas.openxmlformats.org/officeDocument/2006/extended-properties" xmlns:vt="http://schemas.openxmlformats.org/officeDocument/2006/docPropsVTypes">
  <Template>Normal</Template>
  <TotalTime>14</TotalTime>
  <ScaleCrop>false</ScaleCrop>
  <LinksUpToDate>false</LinksUpToDate>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2022-10-05T13:19:00Z</dcterms:created>
  <dc:creator>Danielle Herron</dc:creator>
  <cp:lastModifiedBy>admin</cp:lastModifiedBy>
  <dcterms:modified xsi:type="dcterms:W3CDTF">2022-11-05T17:27:14Z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4ba2f80d-a97d-4453-be03-8ef2a3829c95</vt:lpwstr>
  </property>
  <property fmtid="{D5CDD505-2E9C-101B-9397-08002B2CF9AE}" pid="3" name="KSOProductBuildVer">
    <vt:lpwstr>1033-11.2.0.11380</vt:lpwstr>
  </property>
  <property fmtid="{D5CDD505-2E9C-101B-9397-08002B2CF9AE}" pid="4" name="ICV">
    <vt:lpwstr>250785747BF34A30B4519410582834FD</vt:lpwstr>
  </property>
</Properties>
</file>