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B59E3" w14:textId="099BBD65" w:rsidR="00422820" w:rsidRDefault="00AE4010" w:rsidP="008F5B89">
      <w:pPr>
        <w:ind w:firstLine="720"/>
        <w:rPr>
          <w:b/>
          <w:bCs/>
          <w:sz w:val="28"/>
          <w:szCs w:val="28"/>
        </w:rPr>
      </w:pPr>
      <w:r w:rsidRPr="00AE4010">
        <w:rPr>
          <w:b/>
          <w:bCs/>
          <w:sz w:val="28"/>
          <w:szCs w:val="28"/>
        </w:rPr>
        <w:t xml:space="preserve">A Critical Analysis of Change Management and Quality Outcomes in </w:t>
      </w:r>
      <w:r w:rsidR="0086598C" w:rsidRPr="00AE4010">
        <w:rPr>
          <w:b/>
          <w:bCs/>
          <w:sz w:val="28"/>
          <w:szCs w:val="28"/>
        </w:rPr>
        <w:t xml:space="preserve">Health </w:t>
      </w:r>
      <w:r w:rsidR="0086598C">
        <w:rPr>
          <w:b/>
          <w:bCs/>
          <w:sz w:val="28"/>
          <w:szCs w:val="28"/>
        </w:rPr>
        <w:t>and</w:t>
      </w:r>
      <w:r w:rsidRPr="00AE4010">
        <w:rPr>
          <w:b/>
          <w:bCs/>
          <w:sz w:val="28"/>
          <w:szCs w:val="28"/>
        </w:rPr>
        <w:t xml:space="preserve"> Social Care: A UK Perspective</w:t>
      </w:r>
    </w:p>
    <w:p w14:paraId="1E4BABBA" w14:textId="77777777" w:rsidR="0086598C" w:rsidRPr="0030612D" w:rsidRDefault="0086598C" w:rsidP="008F5B89">
      <w:pPr>
        <w:ind w:firstLine="720"/>
      </w:pPr>
    </w:p>
    <w:p w14:paraId="3D2626ED" w14:textId="2C09A140" w:rsidR="0086598C" w:rsidRDefault="009B30CB" w:rsidP="008F5B89">
      <w:pPr>
        <w:ind w:firstLine="720"/>
      </w:pPr>
      <w:r w:rsidRPr="009B30CB">
        <w:t>Health and social care systems are increasingly characterised by complexity, uncertainty, and continuous transformation. In the United Kingdom, the National Health Service (NHS) operates within a highly dynamic environment shaped by political reform, demographic pressures, technological innovation, and financial constraints</w:t>
      </w:r>
      <w:r w:rsidR="00081196">
        <w:t xml:space="preserve"> (Bennet</w:t>
      </w:r>
      <w:r w:rsidR="00CD279F">
        <w:t xml:space="preserve">t, 2023). </w:t>
      </w:r>
      <w:r w:rsidR="00137AB9" w:rsidRPr="00137AB9">
        <w:t xml:space="preserve">These factors collectively necessitate ongoing change to ensure sustainability, efficiency, and improved patient outcomes. However, while change is essential, its implementation remains challenging. </w:t>
      </w:r>
      <w:r w:rsidR="000875FD">
        <w:t>Gautam et al</w:t>
      </w:r>
      <w:r w:rsidR="00714677">
        <w:t>. (2026) note that e</w:t>
      </w:r>
      <w:r w:rsidR="0030612D" w:rsidRPr="0030612D">
        <w:t xml:space="preserve">vidence from the NHS context in the UK indicates that large-scale change initiatives often face challenges in leadership, stakeholder engagement, and organisational culture. Leadership styles, particularly transformational leadership, characterised by open-door policies and inclusive brainstorming, have been shown to positively influence healthcare professionals’ engagement and performance. However, inadequate leadership that fails to foster psychological safety and shared purpose can undermine workforce motivation and patient outcomes. </w:t>
      </w:r>
      <w:r w:rsidR="004A64EF">
        <w:t xml:space="preserve">An organisational culture that supports patient involvement and psychological safety is crucial for professional engagement, which in turn </w:t>
      </w:r>
      <w:r w:rsidR="0030612D" w:rsidRPr="0030612D">
        <w:t>mediates the relationship between leadership and performance in NHS settings</w:t>
      </w:r>
      <w:r w:rsidR="004A64EF">
        <w:t>.</w:t>
      </w:r>
    </w:p>
    <w:p w14:paraId="182433AE" w14:textId="6519844F" w:rsidR="004A64EF" w:rsidRDefault="00C504A5" w:rsidP="008F5B89">
      <w:pPr>
        <w:ind w:firstLine="720"/>
      </w:pPr>
      <w:r w:rsidRPr="00C504A5">
        <w:t xml:space="preserve">This essay critically analyses the main drivers of change in health and social care systems, evaluates strategies for effectively managing change, and discusses how quality outcomes can be maintained or enhanced during periods of rapid transformation. It adopts a critical perspective, recognising that change management models are not universally applicable and must be adapted to complex healthcare environments. A real-world case study—the implementation of NHS 111—is used to evaluate strategic change in practice. The essay also integrates leadership, teamwork, and quality improvement methodologies, arguing that sustainable improvement depends on </w:t>
      </w:r>
      <w:r w:rsidR="00566873">
        <w:t>aligning structural, cultural, and behavioural factors rather than relying solely on theoretical models</w:t>
      </w:r>
      <w:r w:rsidRPr="00C504A5">
        <w:t>.</w:t>
      </w:r>
    </w:p>
    <w:p w14:paraId="239BF9C4" w14:textId="6F6F2813" w:rsidR="009650E2" w:rsidRDefault="002B509A" w:rsidP="008F5B89">
      <w:pPr>
        <w:ind w:firstLine="720"/>
      </w:pPr>
      <w:r w:rsidRPr="002B509A">
        <w:t>Healthcare Ecosystem and Complexity of Change</w:t>
      </w:r>
    </w:p>
    <w:p w14:paraId="7BE82A2D" w14:textId="45383502" w:rsidR="006306D1" w:rsidRDefault="00B82DC1" w:rsidP="006306D1">
      <w:r w:rsidRPr="00B82DC1">
        <w:t>A healthcare ecosystem can be understood as a distributed and interconnected network involving multiple actors such as individuals, organisations, technologies, and policies that collectively contribute to healthcare service delivery and influence patient outcomes. This ecosystem extends beyond traditional brick-and-mortar facilities, emphasising care delivery in patients’ homes and communities, particularly for high-need populations, to improve access, equity, and value in healthcare services</w:t>
      </w:r>
      <w:r w:rsidR="00A97338">
        <w:t xml:space="preserve"> (Ritchie and Leff, </w:t>
      </w:r>
      <w:r w:rsidR="00886C44">
        <w:t xml:space="preserve">2022). </w:t>
      </w:r>
      <w:r w:rsidR="00794C80" w:rsidRPr="00794C80">
        <w:t>The UK healthcare ecosystem is primarily structured around the National Health Service (NHS), which operates within a complex interplay between public provision and private-sector involvement. This relationship has evolved since the NHS’s inception in 1948 and continues to be shaped by legislative frameworks such as the Health and Social Care Act 2022 (HCA 2022). The HCA 2022 marks a shift from the competition-focused reforms introduced by the Health and Social Care Act 2012 towards a model emphasising integration, which affects how NHS services interact with private healthcare providers and how concerns about NHS “privatisation” are framed politically and operationally</w:t>
      </w:r>
      <w:r w:rsidR="00FA6D2F">
        <w:t xml:space="preserve"> (Guy and Odu</w:t>
      </w:r>
      <w:r w:rsidR="00D639B8">
        <w:t xml:space="preserve">du, 2024). </w:t>
      </w:r>
      <w:r w:rsidR="009A06CC" w:rsidRPr="009A06CC">
        <w:t>While this interconnectedness facilitates coordinated care, it also introduces complexity and interdependence. Changes in one part of the system often produce unintended consequences elsewhere. For example, policy reforms aimed at reducing hospital admissions may increase pressure on community services</w:t>
      </w:r>
      <w:r w:rsidR="006A3BDC">
        <w:t xml:space="preserve"> (</w:t>
      </w:r>
      <w:r w:rsidR="003A00A9">
        <w:t xml:space="preserve">Morciano et al. 2021). </w:t>
      </w:r>
      <w:r w:rsidR="00E95F09" w:rsidRPr="00E95F09">
        <w:t>This reflects the characteristics of complex adaptive systems, where outcomes are non-linear and difficult to predict</w:t>
      </w:r>
      <w:r w:rsidR="00E95F09">
        <w:t xml:space="preserve">. </w:t>
      </w:r>
    </w:p>
    <w:p w14:paraId="462BF336" w14:textId="05B1116E" w:rsidR="00E95F09" w:rsidRDefault="00C94241" w:rsidP="006306D1">
      <w:r>
        <w:lastRenderedPageBreak/>
        <w:t xml:space="preserve">Critically, </w:t>
      </w:r>
      <w:r w:rsidR="00953838">
        <w:t>c</w:t>
      </w:r>
      <w:r w:rsidRPr="00C94241">
        <w:t>hange management models traditionally assume a linear progression and a degree of controllability that may not align with the realities of healthcare systems, which are often complex and unpredictable. In healthcare contexts, change management methodologies such as Kotter’s and Lewin’s models are frequently applied as guiding principles rather than prescriptive frameworks, reflecting an acknowledgement of the complexity and uniqueness of healthcare environments. These models are valued for their flexibility, allowing adaptation with implementation and improvement methodologies rather than rigid application, which may not capture the dynamic nature of healthcare practice</w:t>
      </w:r>
      <w:r w:rsidR="00B76454">
        <w:t xml:space="preserve"> (Harrison et al. 2021). </w:t>
      </w:r>
      <w:r w:rsidR="008E24A1">
        <w:t xml:space="preserve"> </w:t>
      </w:r>
      <w:r w:rsidR="008E24A1" w:rsidRPr="008E24A1">
        <w:t>Therefore, understanding the healthcare ecosystem as a complex system is essential for critically evaluating change processes</w:t>
      </w:r>
      <w:r w:rsidR="008E24A1">
        <w:t>.</w:t>
      </w:r>
    </w:p>
    <w:p w14:paraId="756EC5AC" w14:textId="77777777" w:rsidR="00F02CE0" w:rsidRDefault="00F02CE0" w:rsidP="00F02CE0">
      <w:r>
        <w:t>Critical Analysis of Drivers of Change</w:t>
      </w:r>
    </w:p>
    <w:p w14:paraId="2ADA7FA3" w14:textId="35A254EA" w:rsidR="008E24A1" w:rsidRDefault="00F02CE0" w:rsidP="00F02CE0">
      <w:r>
        <w:t>Political and Policy Drivers</w:t>
      </w:r>
    </w:p>
    <w:p w14:paraId="1A7F3524" w14:textId="5EF37471" w:rsidR="00F02CE0" w:rsidRDefault="00B95D17" w:rsidP="00F02CE0">
      <w:r w:rsidRPr="00B95D17">
        <w:t>Political influence plays a significant role in shaping UK healthcare reforms, particularly through government policies such as the establishment of Integrated Care Systems (ICSs). These ICSs were introduced as part of major NHS reforms in England to foster cross-sector collaboration</w:t>
      </w:r>
      <w:r>
        <w:t>, improve health outcomes,</w:t>
      </w:r>
      <w:r w:rsidRPr="00B95D17">
        <w:t xml:space="preserve"> and reduce health inequalities. The policy rationale behind ICSs emphasises the need for coordinated planning and delivery of local services, reflecting a political commitment to address fragmentation in healthcare systems</w:t>
      </w:r>
      <w:r>
        <w:t xml:space="preserve"> (</w:t>
      </w:r>
      <w:r w:rsidR="00486AFE">
        <w:t xml:space="preserve">Alderwick et al., 2024). </w:t>
      </w:r>
      <w:r w:rsidR="00CE47D9" w:rsidRPr="00CE47D9">
        <w:t>However, while such reforms are intended to promote integration, they often introduce structural complexity and ambiguity in accountability</w:t>
      </w:r>
      <w:r w:rsidR="00CE47D9">
        <w:t xml:space="preserve">. </w:t>
      </w:r>
    </w:p>
    <w:p w14:paraId="31A5CC48" w14:textId="3B25BBFF" w:rsidR="007E7F00" w:rsidRDefault="007E7F00" w:rsidP="00F02CE0">
      <w:r w:rsidRPr="007E7F00">
        <w:t xml:space="preserve">Critically, policy-driven change is frequently reactive rather than proactive, responding to crises rather than anticipating future needs. Furthermore, frequent policy shifts can destabilise organisations and contribute to “change fatigue” among staff, reducing engagement and effectiveness </w:t>
      </w:r>
      <w:r w:rsidR="00D70F2D">
        <w:t>(Cox et al.</w:t>
      </w:r>
      <w:r w:rsidR="00E778C2">
        <w:t>, 202</w:t>
      </w:r>
      <w:r w:rsidR="00D70F2D">
        <w:t>2</w:t>
      </w:r>
      <w:r w:rsidR="00E778C2">
        <w:t xml:space="preserve">). </w:t>
      </w:r>
      <w:r w:rsidR="004D139A" w:rsidRPr="004D139A">
        <w:t>This suggests that while policy is a powerful driver of change, it can also act as a barrier when not aligned with organisational capacity and workforce readiness.</w:t>
      </w:r>
      <w:r w:rsidR="00F125D0">
        <w:t xml:space="preserve"> </w:t>
      </w:r>
    </w:p>
    <w:p w14:paraId="06D4D0FE" w14:textId="3A878D22" w:rsidR="007D643F" w:rsidRDefault="00357837" w:rsidP="00F02CE0">
      <w:r w:rsidRPr="00357837">
        <w:t>Demographic and Social Drivers</w:t>
      </w:r>
    </w:p>
    <w:p w14:paraId="3BA67F26" w14:textId="579FECCF" w:rsidR="008F5B89" w:rsidRDefault="003C464F" w:rsidP="00BC7811">
      <w:r w:rsidRPr="003C464F">
        <w:t>The ageing population in the UK has significantly increased demand for health and social care services, particularly for chronic disease management and long-term care</w:t>
      </w:r>
      <w:r w:rsidR="007C6AE8">
        <w:t xml:space="preserve">. </w:t>
      </w:r>
      <w:r w:rsidR="00665231" w:rsidRPr="00665231">
        <w:t>This demographic shift necessitates the development of integrated and patient-centred care models.</w:t>
      </w:r>
      <w:r>
        <w:t xml:space="preserve"> (</w:t>
      </w:r>
      <w:r w:rsidR="0074416F" w:rsidRPr="0074416F">
        <w:t>Szczepura</w:t>
      </w:r>
      <w:r w:rsidR="0074416F">
        <w:t xml:space="preserve"> et al.</w:t>
      </w:r>
      <w:r w:rsidR="00F43377">
        <w:t xml:space="preserve">, 2023). </w:t>
      </w:r>
      <w:r w:rsidR="00330B19">
        <w:t xml:space="preserve"> </w:t>
      </w:r>
      <w:r w:rsidR="00003072" w:rsidRPr="00003072">
        <w:t xml:space="preserve">However, a critical limitation is that healthcare systems often struggle to adapt </w:t>
      </w:r>
      <w:r w:rsidR="005260A5">
        <w:t>as quickly as demographic changes unfold</w:t>
      </w:r>
      <w:r w:rsidR="00003072" w:rsidRPr="00003072">
        <w:t xml:space="preserve">. As </w:t>
      </w:r>
      <w:r w:rsidR="00003072">
        <w:t>Davidson</w:t>
      </w:r>
      <w:r w:rsidR="00003072" w:rsidRPr="00003072">
        <w:t xml:space="preserve"> et al. (20</w:t>
      </w:r>
      <w:r w:rsidR="00003072">
        <w:t>21</w:t>
      </w:r>
      <w:r w:rsidR="00003072" w:rsidRPr="00003072">
        <w:t xml:space="preserve">) argue, service redesign frequently </w:t>
      </w:r>
      <w:r w:rsidR="00C3430F" w:rsidRPr="00003072">
        <w:t>delays</w:t>
      </w:r>
      <w:r w:rsidR="00003072" w:rsidRPr="00003072">
        <w:t xml:space="preserve"> population needs, resulting in inefficiencies and inequalities in access to care. Moreover, social determinants of health, such as deprivation and lifestyle factors, further complicate service delivery, requiring broader, system-wide interventions.</w:t>
      </w:r>
    </w:p>
    <w:p w14:paraId="383F8A39" w14:textId="29EFF331" w:rsidR="003E6ACF" w:rsidRDefault="003E6ACF" w:rsidP="00BC7811">
      <w:r w:rsidRPr="003E6ACF">
        <w:t>Technological Drivers</w:t>
      </w:r>
    </w:p>
    <w:p w14:paraId="5CCF1FFF" w14:textId="2B3CDE9E" w:rsidR="00B972E1" w:rsidRDefault="00EA474D" w:rsidP="00BC7811">
      <w:r>
        <w:t xml:space="preserve">Charlesworth and </w:t>
      </w:r>
      <w:r w:rsidR="00296884">
        <w:t>Raymond (2025) note that e</w:t>
      </w:r>
      <w:r w:rsidR="00B972E1" w:rsidRPr="00B972E1">
        <w:t>conomic constraints within the NHS are driven by rising demand and limited funding, necessitating efforts to improve efficiency and reduce costs. Health spending pressures are linked to ageing populations and increasing illness, leading to growth in health expenditure relative to GDP. Addressing fiscal sustainability requires understanding the drivers of healthcare spending, where improving care efficiency and reducing health needs are important but insufficient on their own. Additional funding through increased government revenue or private spending may be necessary, as further cuts to other public services have limited scope and may adversely affect health outcomes</w:t>
      </w:r>
      <w:r w:rsidR="00914D68">
        <w:t>.</w:t>
      </w:r>
      <w:r w:rsidR="00B972E1" w:rsidRPr="00B972E1">
        <w:t xml:space="preserve"> </w:t>
      </w:r>
      <w:r w:rsidR="00456C80" w:rsidRPr="00456C80">
        <w:t>While this can drive innovation, it also risks compromising quality if resources are insufficient.</w:t>
      </w:r>
    </w:p>
    <w:p w14:paraId="15CFE55D" w14:textId="56BF6B81" w:rsidR="003F3C71" w:rsidRDefault="003B2661" w:rsidP="00BC7811">
      <w:r w:rsidRPr="003B2661">
        <w:lastRenderedPageBreak/>
        <w:t>Critically, the tension between cost-efficiency and quality outcomes represents a fundamental challenge in healthcare management</w:t>
      </w:r>
      <w:r>
        <w:t xml:space="preserve">. </w:t>
      </w:r>
      <w:r w:rsidR="00585A10">
        <w:t>Ham</w:t>
      </w:r>
      <w:r w:rsidR="007B485B" w:rsidRPr="007B485B">
        <w:t xml:space="preserve"> (20</w:t>
      </w:r>
      <w:r w:rsidR="00585A10">
        <w:t>22</w:t>
      </w:r>
      <w:r w:rsidR="007B485B" w:rsidRPr="007B485B">
        <w:t>) argues that financial pressures often lead to short-term cost-saving measures rather than long-term investment in quality improvement.</w:t>
      </w:r>
      <w:r w:rsidR="002E0F26">
        <w:t xml:space="preserve"> </w:t>
      </w:r>
      <w:r w:rsidR="002E0F26" w:rsidRPr="002E0F26">
        <w:t>The recent government plans and mini-budget announcements have raised concerns about the sustainability of the NHS, suggesting that current approaches may rely on temporary fixes rather than addressing the fundamental</w:t>
      </w:r>
      <w:r w:rsidR="00F10296">
        <w:t>, long-term challenges in</w:t>
      </w:r>
      <w:r w:rsidR="002E0F26" w:rsidRPr="002E0F26">
        <w:t xml:space="preserve"> patient care, such as ambulance wait times and hospital admissions</w:t>
      </w:r>
      <w:r w:rsidR="00F10296">
        <w:t xml:space="preserve">. </w:t>
      </w:r>
      <w:r w:rsidR="007B485B" w:rsidRPr="007B485B">
        <w:t>This highlights the need for balanced approaches that prioritise both efficiency and patient care</w:t>
      </w:r>
      <w:r w:rsidR="00F10296">
        <w:t xml:space="preserve">. </w:t>
      </w:r>
    </w:p>
    <w:p w14:paraId="02CD9B4A" w14:textId="0CF8FF56" w:rsidR="0002548C" w:rsidRDefault="001F1C0B" w:rsidP="00BC7811">
      <w:r w:rsidRPr="001F1C0B">
        <w:t>Technological innovation is also a major driver of change within health and social care, particularly through the expansion of digital health platforms, electronic patient records, artificial intelligence, and remote consultation systems. For example, NHS 111 Online illustrates how digital triage tools are increasingly used to improve access and direct patients to appropriate services, although such technologies also raise concerns about digital exclusion, algorithmic accuracy, and patient safety</w:t>
      </w:r>
    </w:p>
    <w:p w14:paraId="46475939" w14:textId="6FB6EB00" w:rsidR="0019203D" w:rsidRDefault="0019203D" w:rsidP="00BC7811">
      <w:r w:rsidRPr="0019203D">
        <w:t xml:space="preserve"> Cultural and Workforce Drivers</w:t>
      </w:r>
    </w:p>
    <w:p w14:paraId="70D4A320" w14:textId="503F61C8" w:rsidR="0019203D" w:rsidRDefault="005146AD" w:rsidP="00BC7811">
      <w:r w:rsidRPr="005146AD">
        <w:t>Organisational culture and workforce dynamics are central to the success of change initiatives. Resistance to change is a common barrier, often stemming from uncertainty, lack of involvement, and perceived threats to professional identity</w:t>
      </w:r>
      <w:r w:rsidR="005F1970">
        <w:t xml:space="preserve"> (Taskin et al., 2023). </w:t>
      </w:r>
    </w:p>
    <w:p w14:paraId="75AA3BFD" w14:textId="33A27393" w:rsidR="00EB70D0" w:rsidRDefault="00EB70D0" w:rsidP="00BC7811">
      <w:r w:rsidRPr="00EB70D0">
        <w:t>Critically, many change strategies fail because they focus on structural adjustments without addressing underlying cultural and behavioural factors</w:t>
      </w:r>
      <w:r w:rsidR="00121FE8">
        <w:t xml:space="preserve">. </w:t>
      </w:r>
      <w:r w:rsidR="00F72A9A">
        <w:t xml:space="preserve"> Elson and Murphy </w:t>
      </w:r>
      <w:r w:rsidR="00BC089D">
        <w:t xml:space="preserve">(2025) </w:t>
      </w:r>
      <w:r w:rsidR="009B7C15">
        <w:t>emphasise</w:t>
      </w:r>
      <w:r w:rsidR="00BC089D">
        <w:t xml:space="preserve"> </w:t>
      </w:r>
      <w:r w:rsidR="00D039AD">
        <w:t xml:space="preserve">that </w:t>
      </w:r>
      <w:r w:rsidR="00BC089D">
        <w:t>s</w:t>
      </w:r>
      <w:r w:rsidR="009F7653" w:rsidRPr="009F7653">
        <w:t xml:space="preserve">ustainable change in UK healthcare requires shifts beyond processes and systems, encompassing values, beliefs, and attitudes among healthcare staff. Research indicates that while </w:t>
      </w:r>
      <w:r w:rsidR="009B7C15">
        <w:t>NHS staff have a high level of concern about climate change and a willingness to engage in sustainable practices, significant barriers remain, including cost, time constraints, and staff attitudes that</w:t>
      </w:r>
      <w:r w:rsidR="009F7653" w:rsidRPr="009F7653">
        <w:t xml:space="preserve"> reflect underlying values and beliefs that influence behaviour</w:t>
      </w:r>
      <w:r w:rsidR="009B7C15">
        <w:t xml:space="preserve">. </w:t>
      </w:r>
      <w:r w:rsidR="009B7C15" w:rsidRPr="009B7C15">
        <w:t>This highlights the importance of addressing the “hidden” elements of organisational culture, as illustrated by the iceberg model.</w:t>
      </w:r>
      <w:r w:rsidR="00940BBE">
        <w:t xml:space="preserve"> </w:t>
      </w:r>
      <w:r w:rsidR="00940BBE" w:rsidRPr="00940BBE">
        <w:t xml:space="preserve">The iceberg model highlights </w:t>
      </w:r>
      <w:r w:rsidR="008C1E44">
        <w:t>that</w:t>
      </w:r>
      <w:r w:rsidR="008C1E44" w:rsidRPr="00940BBE">
        <w:t xml:space="preserve"> visible aspects</w:t>
      </w:r>
      <w:r w:rsidR="00940BBE" w:rsidRPr="00940BBE">
        <w:t xml:space="preserve"> of culture, such as formal communication and policies, represent only a small portion of the overall culture, while deeper elements</w:t>
      </w:r>
      <w:r w:rsidR="00940BBE">
        <w:t>, such as values, beliefs, and implicit assumptions,</w:t>
      </w:r>
      <w:r w:rsidR="00940BBE" w:rsidRPr="00940BBE">
        <w:t xml:space="preserve"> lie beneath the surface and shape behaviour and interactions within organisations</w:t>
      </w:r>
      <w:r w:rsidR="00940BBE">
        <w:t xml:space="preserve"> (</w:t>
      </w:r>
      <w:r w:rsidR="008C1E44">
        <w:t>Anderson, 2025).</w:t>
      </w:r>
    </w:p>
    <w:p w14:paraId="1EC22B75" w14:textId="77777777" w:rsidR="00391B65" w:rsidRDefault="00391B65" w:rsidP="00391B65">
      <w:r>
        <w:t>Evaluation of Change Management Strategies</w:t>
      </w:r>
    </w:p>
    <w:p w14:paraId="2398D04F" w14:textId="1A09DDAE" w:rsidR="008C1E44" w:rsidRDefault="00391B65" w:rsidP="00391B65">
      <w:r>
        <w:t>Change Management Models</w:t>
      </w:r>
    </w:p>
    <w:p w14:paraId="2CF95BE7" w14:textId="2ACC4026" w:rsidR="00391B65" w:rsidRDefault="00C719EE" w:rsidP="00391B65">
      <w:r w:rsidRPr="00C719EE">
        <w:t>Healthcare organisations frequently adopt structured models such as Kotter’s 8-Step Change Model and Lewin’s Change Model to guide transformation.</w:t>
      </w:r>
      <w:r w:rsidR="006C3467">
        <w:t xml:space="preserve"> </w:t>
      </w:r>
      <w:r w:rsidR="006C3467" w:rsidRPr="006C3467">
        <w:t xml:space="preserve">These models provide guiding principles rather than prescriptive steps, allowing adaptation to the unique and multifaceted nature of healthcare environments. Kotter’s model was the </w:t>
      </w:r>
      <w:r w:rsidR="00C9637F" w:rsidRPr="006C3467">
        <w:t>most applied</w:t>
      </w:r>
      <w:r w:rsidR="006C3467" w:rsidRPr="006C3467">
        <w:t xml:space="preserve"> methodology in a review of 38 studies across 10 countries, followed by Lewin’s model, with applications ranging from local ward-level projects to system-wide initiatives. These models are valued for their flexibility and ability to be used synergistically with implementation and improvement methodologies in healthcare contexts</w:t>
      </w:r>
      <w:r w:rsidR="000E1453">
        <w:t xml:space="preserve"> (Harrison et al., 2021).</w:t>
      </w:r>
      <w:r w:rsidR="00C9637F">
        <w:t xml:space="preserve"> </w:t>
      </w:r>
      <w:r w:rsidR="00123A04" w:rsidRPr="00123A04">
        <w:t>While these models provide useful frameworks, their application in healthcare is often inconsistent. They tend to assume linear progression and clear stages, which may not reflect the complexity of healthcare environments.</w:t>
      </w:r>
    </w:p>
    <w:p w14:paraId="21D1A861" w14:textId="106E3209" w:rsidR="00371507" w:rsidRDefault="00371507" w:rsidP="00391B65">
      <w:r w:rsidRPr="007216C2">
        <w:lastRenderedPageBreak/>
        <w:t xml:space="preserve">Critically, </w:t>
      </w:r>
      <w:r w:rsidR="00572942">
        <w:t xml:space="preserve">Kuffour et al. (2024) state that </w:t>
      </w:r>
      <w:r w:rsidRPr="007216C2">
        <w:t>reliance on such models without adaptation can oversimplify change processes and fail to address contextual factors such as organisational culture and stakeholder diversity</w:t>
      </w:r>
      <w:r w:rsidR="00F67A7E">
        <w:t>.</w:t>
      </w:r>
    </w:p>
    <w:p w14:paraId="3A89A960" w14:textId="79C07E37" w:rsidR="00F5349B" w:rsidRDefault="00F5349B" w:rsidP="00391B65">
      <w:r w:rsidRPr="00F5349B">
        <w:t>Leadership and Teamwork</w:t>
      </w:r>
    </w:p>
    <w:p w14:paraId="4DD26BB8" w14:textId="6E65D8C5" w:rsidR="00F5349B" w:rsidRDefault="00973802" w:rsidP="00391B65">
      <w:r w:rsidRPr="00973802">
        <w:t xml:space="preserve">Leadership indeed plays a critical role in managing </w:t>
      </w:r>
      <w:r w:rsidR="00AE3587">
        <w:t>organisational</w:t>
      </w:r>
      <w:r w:rsidRPr="00973802">
        <w:t xml:space="preserve"> change by creating vision, inspiring employees, and facilitating collaboration. However, leadership alone is insufficient to ensure successful change implementation. Research indicates that transformational leadership acts as a mediator that enhances employee engagement, which is a crucial factor in effective change management. Transformational leaders foster an environment that encourages employee participation and engagement, which in turn supports the change </w:t>
      </w:r>
      <w:r w:rsidR="00AE3587">
        <w:t>process (</w:t>
      </w:r>
      <w:r w:rsidR="00684877">
        <w:t>Arend</w:t>
      </w:r>
      <w:r w:rsidR="006E1C6F">
        <w:t xml:space="preserve">se et al., 2024).  </w:t>
      </w:r>
      <w:r w:rsidR="00CC340B">
        <w:t>Silva</w:t>
      </w:r>
      <w:r w:rsidR="00CC340B" w:rsidRPr="00CC340B">
        <w:t xml:space="preserve"> et al. (20</w:t>
      </w:r>
      <w:r w:rsidR="00924D6C">
        <w:t>22</w:t>
      </w:r>
      <w:r w:rsidR="00CC340B" w:rsidRPr="00CC340B">
        <w:t xml:space="preserve">) argue that </w:t>
      </w:r>
      <w:r w:rsidR="006D7671">
        <w:t>q</w:t>
      </w:r>
      <w:r w:rsidR="007E13B4" w:rsidRPr="007E13B4">
        <w:t>uality care in the UK healthcare context is increasingly recognised as dependent on collective leadership and effective teamwork rather than traditional hierarchical control. Collective leadership involves multiple professionals sharing viewpoints and knowledge, seen as a response to the complexity of healthcare systems characterised by rapid technological change and growing specialisation. This approach has the potential to positively influence the quality of care and staff well-being, although current evidence on its effects is of varying certainty and further high-quality studies are needed</w:t>
      </w:r>
      <w:r w:rsidR="006D7671">
        <w:t xml:space="preserve">. </w:t>
      </w:r>
    </w:p>
    <w:p w14:paraId="24F3B732" w14:textId="531D71FA" w:rsidR="00CE75EA" w:rsidRDefault="00CE75EA" w:rsidP="00391B65">
      <w:r w:rsidRPr="00CE75EA">
        <w:t>Teamwork plays a significant role in enhancing communication, problem-solving, and shared ownership of change, as evidenced by several studies. In virtual teams, blink synchronisation, an indicator of shared attention, was found to increase over time and predict problem-solving performance, highlighting the importance of nonverbal communication cues in fostering effective collaboration and shared mental models during problem-solving tasks</w:t>
      </w:r>
      <w:r w:rsidR="005853E2">
        <w:t xml:space="preserve"> (Hoffman et al., 2024).</w:t>
      </w:r>
    </w:p>
    <w:p w14:paraId="7A3F3BF6" w14:textId="05A62CE7" w:rsidR="00FB1DEB" w:rsidRDefault="00FB1DEB" w:rsidP="00391B65">
      <w:r>
        <w:t>Nevertheless, t</w:t>
      </w:r>
      <w:r w:rsidRPr="00FB1DEB">
        <w:t>raditional hierarchical structures within healthcare can impede collaboration, thereby limiting the effectiveness of multidisciplinary approaches in the UK. Hierarchy in healthcare organisations shapes communication patterns, often restricting who can speak up, what can be said, and when, which affects teamwork and the delivery of care. This dynamic can impose personal costs on those in less powerful positions and sustain gender and ethnic inequalities, thereby reinforcing entrenched discriminatory practices that are difficult to shift</w:t>
      </w:r>
      <w:r w:rsidR="006841B5">
        <w:t xml:space="preserve"> (Essex et al., 2023).</w:t>
      </w:r>
    </w:p>
    <w:p w14:paraId="72B17416" w14:textId="4F124BCC" w:rsidR="006841B5" w:rsidRDefault="006173FE" w:rsidP="00391B65">
      <w:r w:rsidRPr="006173FE">
        <w:t>Communication and Stakeholder Engagement</w:t>
      </w:r>
    </w:p>
    <w:p w14:paraId="4D0D6424" w14:textId="1FE45C99" w:rsidR="008C1E44" w:rsidRDefault="002019FA" w:rsidP="00BC7811">
      <w:r w:rsidRPr="002019FA">
        <w:t>Effective communication plays a pivotal role in the successful implementation of change initiatives, particularly in turbulent or unstable environments. Research on small and medium-sized enterprises (SMEs) indicates that communicating within a trusted environment, ensuring leadership communication is efficient, conveying the urgency of change, integrating a strategic vision, and clearly communicating any change of course are critical to facilitating change implementation and reducing resistance within organisations</w:t>
      </w:r>
      <w:r w:rsidR="00BF3AF9">
        <w:t xml:space="preserve"> (Arn</w:t>
      </w:r>
      <w:r w:rsidR="00FA6BA4">
        <w:t>aout</w:t>
      </w:r>
      <w:r w:rsidR="00377E64">
        <w:t>, 2024).</w:t>
      </w:r>
    </w:p>
    <w:p w14:paraId="3BB14772" w14:textId="378803F0" w:rsidR="00FB7EB6" w:rsidRDefault="00FB7EB6" w:rsidP="00BC7811">
      <w:r w:rsidRPr="00FB7EB6">
        <w:t>Critically, top-down communication approaches are often ineffective in healthcare settings</w:t>
      </w:r>
      <w:r>
        <w:t>.</w:t>
      </w:r>
      <w:r w:rsidR="00454DD6">
        <w:t xml:space="preserve"> Bell and Reed</w:t>
      </w:r>
      <w:r w:rsidR="00BC4818">
        <w:t xml:space="preserve"> (2022) demonstrate that p</w:t>
      </w:r>
      <w:r w:rsidR="00613EFD" w:rsidRPr="00613EFD">
        <w:t xml:space="preserve">articipatory approaches that actively involve staff and other stakeholders in decision-making processes are associated with improved outcomes, particularly when communication is inclusive and transparent. Effective participatory decision-making enhances transparency, accountability, equity, and efficiency in public administration, especially benefiting marginalised groups. However, practical implementation often falls short of these ideals, prompting the development of models such as the "Tree of Participation," which offers a theoretically grounded, applicable framework to foster emancipatory and inclusive decision-making across diverse </w:t>
      </w:r>
      <w:r w:rsidR="00613EFD" w:rsidRPr="00613EFD">
        <w:lastRenderedPageBreak/>
        <w:t>contexts. This model serves both organisers and disadvantaged groups by setting expectations for empowerment and inclusivity in participatory events</w:t>
      </w:r>
      <w:r w:rsidR="007249BE">
        <w:t>.</w:t>
      </w:r>
    </w:p>
    <w:p w14:paraId="79EE3BF0" w14:textId="57284114" w:rsidR="007249BE" w:rsidRDefault="007249BE" w:rsidP="00BC7811">
      <w:r w:rsidRPr="007249BE">
        <w:t>Quality Improvement Methodologies</w:t>
      </w:r>
    </w:p>
    <w:p w14:paraId="1F5B5A8E" w14:textId="3D6001C7" w:rsidR="00585438" w:rsidRDefault="00264557" w:rsidP="00BC7811">
      <w:r>
        <w:t xml:space="preserve"> Galligan (2025)</w:t>
      </w:r>
      <w:r w:rsidR="0055714E">
        <w:t xml:space="preserve"> notes</w:t>
      </w:r>
      <w:r>
        <w:t xml:space="preserve"> that t</w:t>
      </w:r>
      <w:r w:rsidR="00F922AD" w:rsidRPr="00F922AD">
        <w:t>he Plan-Do-Study-Act (PDSA) cycle is one of the Quality Improvement (QI) approaches that offer an organised, iterative framework for implementing and improving changes in healthcare settings. Healthcare practitioners can find critical practice improvements that improve patient care or experience by using the PDSA cycle to evaluate changes on a limited scale. Planning what data to gather and how to analyse it, putting the change into practice, examining the results, and acting on the conclusions to further improve the intervention are all key components of this iterative process. By promoting repeated cycles of testing and modification, the PDSA cycle facilitates continual learning, which is crucial for long-lasting advancements. The effectiveness of QI programs employing this approach depends on stakeholder involvement, including interdisciplinary collaboration and leadership support. Involving pertinent parties guarantees that modifications are applicable and workable within</w:t>
      </w:r>
      <w:r w:rsidR="00F922AD">
        <w:t xml:space="preserve"> the clinical context</w:t>
      </w:r>
      <w:r w:rsidR="0055714E">
        <w:t xml:space="preserve"> </w:t>
      </w:r>
      <w:r w:rsidR="00BB30FF">
        <w:t>(Gaboury et al., 2021).</w:t>
      </w:r>
    </w:p>
    <w:p w14:paraId="166FD14B" w14:textId="0DCC8943" w:rsidR="008D77FB" w:rsidRDefault="008D77FB" w:rsidP="00BC7811">
      <w:r w:rsidRPr="008D77FB">
        <w:t>The effectiveness of quality improvement (QI) initiatives in complex healthcare environments stems from their adaptability and responsiveness to real-world conditions. QI techniques offer a structured yet dynamic framework that can be adjusted to local circumstances and evolving challenges, in contrast to large-scale strategy frameworks that can be rigid. The Ambulatory Quality Improvement Collaborative (AQIC) model, for instance, emphasises a multidisciplinary, collaborative approach with executive leadership and project management support, enabling it to drive system-wide quality improvements, such as depression screening and hypertension control, while adapting to changing healthcare needs. Additionally, this model leverages performance management and data aggregation to pinpoint interventions and identify inequalities, emphasising the importance of ongoing development and flexibility in challenging environments</w:t>
      </w:r>
      <w:r w:rsidR="00722CC4">
        <w:t xml:space="preserve"> (Beran et al.</w:t>
      </w:r>
      <w:r w:rsidR="009F3FC9">
        <w:t xml:space="preserve">, </w:t>
      </w:r>
      <w:r w:rsidR="00722CC4">
        <w:t>2025</w:t>
      </w:r>
      <w:r w:rsidR="009F3FC9">
        <w:t>).</w:t>
      </w:r>
    </w:p>
    <w:p w14:paraId="3F0819D8" w14:textId="048950C9" w:rsidR="00422C1E" w:rsidRDefault="00422C1E" w:rsidP="00BC7811">
      <w:r w:rsidRPr="00422C1E">
        <w:t>Case Study: NHS 111 – A Critical Evaluation</w:t>
      </w:r>
    </w:p>
    <w:p w14:paraId="71DFD4A8" w14:textId="116648FF" w:rsidR="00422C1E" w:rsidRDefault="00A246E3" w:rsidP="00BC7811">
      <w:r>
        <w:t>Turner et al. (2021) state that b</w:t>
      </w:r>
      <w:r w:rsidR="001F14C7" w:rsidRPr="001F14C7">
        <w:t>y offering a telephone and online triage service intended to guide patients to suitable care pathways, NHS 111 is a strategic attempt to increase access to urgent care and relieve pressure on emergency departments (EDs). By providing guidance and referrals for urgent medical issues, including direct scheduling of same-day ED or urgent care appointments through programs like 111 First</w:t>
      </w:r>
      <w:r w:rsidR="00F140AD">
        <w:t xml:space="preserve"> and NHS 111, NHS 111 seeks to manage</w:t>
      </w:r>
      <w:r w:rsidR="001F14C7" w:rsidRPr="001F14C7">
        <w:t xml:space="preserve"> demand.</w:t>
      </w:r>
      <w:r w:rsidR="00D05826">
        <w:t xml:space="preserve">  </w:t>
      </w:r>
      <w:r w:rsidR="00D84805">
        <w:t>MacLellan (</w:t>
      </w:r>
      <w:r w:rsidR="00167187">
        <w:t>2023) notes that d</w:t>
      </w:r>
      <w:r w:rsidR="009E7A7B" w:rsidRPr="009E7A7B">
        <w:t xml:space="preserve">espite these intentions, evidence suggests challenges in fully achieving these goals. Staff working in EDs have reported that local triage and streaming systems often continue to operate alongside NHS 111 First, resulting in all patients, including those with prebooked arrival slots, being funnelled into a single queue. This has caused frustration among staff and patients, indicating that NHS 111 First has not fully streamlined ED access as intended. Additionally, remote algorithm-based assessments are perceived by practitioners as less robust than in-person clinical evaluations, which may limit </w:t>
      </w:r>
      <w:r w:rsidR="009E7A7B">
        <w:t>NHS 111's effectiveness</w:t>
      </w:r>
      <w:r w:rsidR="009E7A7B" w:rsidRPr="009E7A7B">
        <w:t xml:space="preserve"> in managing demand</w:t>
      </w:r>
      <w:r w:rsidR="009E7A7B">
        <w:t>.</w:t>
      </w:r>
    </w:p>
    <w:p w14:paraId="364E436B" w14:textId="2AEF49B8" w:rsidR="002C0F7B" w:rsidRDefault="007D4FDC" w:rsidP="00BC7811">
      <w:r w:rsidRPr="007D4FDC">
        <w:t>Patient adherence to advice varies, according to an analysis of NHS 111 call data. Despite being told to seek primary care or take care of themselves, a sizable percentage of patients still visit emergency departments (EDs), and many of these cases are later deemed urgent or require hospitalisation. On the other hand, some patients who are sent to the emergency department or ambulance services are subsequently determined to be non-urgent, suggesting a systemic mis-triage. These results point to shortcomings in the precision and effectiveness of NHS 111 triage</w:t>
      </w:r>
      <w:r>
        <w:t xml:space="preserve"> (Lewis et al</w:t>
      </w:r>
      <w:r w:rsidR="00F0211C">
        <w:t>. 2021).</w:t>
      </w:r>
      <w:r w:rsidR="00E40C4B">
        <w:t xml:space="preserve"> </w:t>
      </w:r>
      <w:r w:rsidR="00E40C4B" w:rsidRPr="00E40C4B">
        <w:t xml:space="preserve">The introduction of NHS 111 Online has not substantially reduced the volume of telephone calls to NHS </w:t>
      </w:r>
      <w:r w:rsidR="00E40C4B" w:rsidRPr="00E40C4B">
        <w:lastRenderedPageBreak/>
        <w:t xml:space="preserve">111, suggesting that the online service has not decreased workload pressures on the telephone service or the urgent care system overall. Moreover, NHS 111 Online users report lower satisfaction and compliance rates </w:t>
      </w:r>
      <w:r w:rsidR="00E16385">
        <w:t>than telephone users, and the online service may contribute to increased overall demand by issuing</w:t>
      </w:r>
      <w:r w:rsidR="00E40C4B" w:rsidRPr="00E40C4B">
        <w:t xml:space="preserve"> additional disposition recommendations to emergency and primary care services</w:t>
      </w:r>
      <w:r w:rsidR="001209D1">
        <w:t xml:space="preserve"> (Simpson et al. </w:t>
      </w:r>
      <w:r w:rsidR="00E16385">
        <w:t xml:space="preserve">2022). </w:t>
      </w:r>
      <w:r w:rsidR="00E44650">
        <w:t xml:space="preserve"> </w:t>
      </w:r>
    </w:p>
    <w:p w14:paraId="5A240A42" w14:textId="77777777" w:rsidR="008817D2" w:rsidRDefault="008817D2" w:rsidP="008817D2">
      <w:r w:rsidRPr="008817D2">
        <w:t>Application of Change Models</w:t>
      </w:r>
    </w:p>
    <w:p w14:paraId="4CF7C1F9" w14:textId="191258A8" w:rsidR="00A86748" w:rsidRDefault="00A86748" w:rsidP="00A86748">
      <w:r>
        <w:t xml:space="preserve">From the perspective of Kotter’s 8-Step Change Model, NHS 111 demonstrates several key stages, including </w:t>
      </w:r>
      <w:r w:rsidR="000A6BCC">
        <w:t>creating urgency and developing</w:t>
      </w:r>
      <w:r>
        <w:t xml:space="preserve"> a strategic vision</w:t>
      </w:r>
      <w:r w:rsidR="00F56EDC">
        <w:t xml:space="preserve"> (</w:t>
      </w:r>
      <w:r w:rsidR="002B2912">
        <w:t xml:space="preserve">Walji et al. 2024). </w:t>
      </w:r>
      <w:r>
        <w:t xml:space="preserve"> However, the initiative also reveals significant weaknesses, particularly in stakeholder engagement and workforce preparation</w:t>
      </w:r>
      <w:r w:rsidR="00DB6AC2">
        <w:t xml:space="preserve"> (</w:t>
      </w:r>
      <w:r w:rsidR="00C57DA5">
        <w:t>M</w:t>
      </w:r>
      <w:r w:rsidR="00BB25F6">
        <w:t>ouazen et al. 2024)</w:t>
      </w:r>
      <w:r w:rsidR="00DB6AC2">
        <w:t>.</w:t>
      </w:r>
    </w:p>
    <w:p w14:paraId="1ED753B7" w14:textId="210B78C6" w:rsidR="00141D47" w:rsidRDefault="00A86748" w:rsidP="00141D47">
      <w:r>
        <w:t>Critically, the lack of effective communication and training during early implementation led to confusion among staff and the public. This highlights the limitation of applying theoretical models without fully addressing practical and human factors.</w:t>
      </w:r>
    </w:p>
    <w:p w14:paraId="45B3630E" w14:textId="77777777" w:rsidR="00141D47" w:rsidRDefault="00141D47" w:rsidP="00141D47">
      <w:r>
        <w:t>Lewin’s Model Analysis</w:t>
      </w:r>
    </w:p>
    <w:p w14:paraId="0DEBE62F" w14:textId="23FF0D3F" w:rsidR="00141D47" w:rsidRDefault="00141D47" w:rsidP="00141D47">
      <w:r>
        <w:t>Using Lewin’s Change Model, NHS 111 successfully achieved the “unfreezing” and “change” stages. However, the “refreezing” stage remains incomplete, as the service continues to evolve</w:t>
      </w:r>
      <w:r w:rsidR="0027350D">
        <w:t xml:space="preserve"> (Stil</w:t>
      </w:r>
      <w:r w:rsidR="0032549E">
        <w:t>well, 2022).</w:t>
      </w:r>
    </w:p>
    <w:p w14:paraId="3947A486" w14:textId="6D24713C" w:rsidR="001D3C42" w:rsidRDefault="00141D47" w:rsidP="001D3C42">
      <w:r>
        <w:t>This suggests that linear models may be inadequate for managing continuous transformation in healthcare systems, where change is ongoing rather than finite</w:t>
      </w:r>
      <w:r w:rsidR="00273457">
        <w:t xml:space="preserve"> </w:t>
      </w:r>
      <w:r w:rsidR="00C11F9B">
        <w:t>(</w:t>
      </w:r>
      <w:r w:rsidR="00273457">
        <w:t>Harrison</w:t>
      </w:r>
      <w:r w:rsidR="00C11F9B">
        <w:t xml:space="preserve"> et al.,</w:t>
      </w:r>
      <w:r w:rsidR="00273457">
        <w:t xml:space="preserve"> 2021)</w:t>
      </w:r>
      <w:r w:rsidR="00C11F9B">
        <w:t>.</w:t>
      </w:r>
    </w:p>
    <w:p w14:paraId="0C7F6DD8" w14:textId="77777777" w:rsidR="001D3C42" w:rsidRDefault="001D3C42" w:rsidP="001D3C42">
      <w:r>
        <w:t>Comparison with Quality Improvement Approaches</w:t>
      </w:r>
    </w:p>
    <w:p w14:paraId="0FA59DAF" w14:textId="645313B7" w:rsidR="001D3C42" w:rsidRDefault="001D3C42" w:rsidP="001D3C42">
      <w:r>
        <w:t xml:space="preserve">In contrast to NHS 111, </w:t>
      </w:r>
      <w:r w:rsidR="003971CD">
        <w:t>s</w:t>
      </w:r>
      <w:r w:rsidR="003971CD" w:rsidRPr="003971CD">
        <w:t xml:space="preserve">maller-scale initiatives such as vaccination programmes have effectively employed Plan-Do-Study-Act (PDSA) cycles to iteratively refine processes, demonstrating the utility of this quality improvement tool in healthcare settings. The PDSA cycle is </w:t>
      </w:r>
      <w:r w:rsidR="003971CD">
        <w:t xml:space="preserve">recognised as an iterative framework that supports quality improvement by enabling continuous assessment and adjustment of interventions, particularly for process refinement in smaller-scale initiatives </w:t>
      </w:r>
      <w:r w:rsidR="001303C1">
        <w:t>(Manandi et al. 2024).</w:t>
      </w:r>
    </w:p>
    <w:p w14:paraId="5F9F0E7A" w14:textId="77777777" w:rsidR="001D3C42" w:rsidRDefault="001D3C42" w:rsidP="001D3C42">
      <w:r>
        <w:t>This comparison highlights a critical insight:</w:t>
      </w:r>
    </w:p>
    <w:p w14:paraId="4135B08F" w14:textId="01BB4D49" w:rsidR="00E45EB0" w:rsidRDefault="009432AC" w:rsidP="001D3C42">
      <w:r>
        <w:t>Smith et al</w:t>
      </w:r>
      <w:r w:rsidR="00717829">
        <w:t xml:space="preserve">. (2021) </w:t>
      </w:r>
      <w:r w:rsidR="00A74906">
        <w:t>state</w:t>
      </w:r>
      <w:r w:rsidR="00717829">
        <w:t xml:space="preserve"> that t</w:t>
      </w:r>
      <w:r w:rsidR="00E45EB0" w:rsidRPr="00E45EB0">
        <w:t xml:space="preserve">he risk of implementation failure in large-scale strategic change, such as NHS 111 UK, can be linked to the absence of iterative testing and adaptive approaches during transformation processes. Evidence from the evaluation of the Virtual Academy of Large-Scale Change (VALSC) indicates that capability-building programs that empower participants with transformational skills, foster </w:t>
      </w:r>
      <w:r w:rsidR="00F91FE8">
        <w:t>team connections</w:t>
      </w:r>
      <w:r w:rsidR="00E45EB0" w:rsidRPr="00E45EB0">
        <w:t>, and enhance stakeholder engagement contribute to successful change implementation. This suggests that iterative learning and behavioural adaptation are important to reduce failure risk in large-scale change initiatives</w:t>
      </w:r>
      <w:r w:rsidR="00A74906">
        <w:t>.</w:t>
      </w:r>
    </w:p>
    <w:p w14:paraId="0A2EC7F9" w14:textId="6958F895" w:rsidR="00A74906" w:rsidRDefault="0046651C" w:rsidP="001D3C42">
      <w:r w:rsidRPr="0046651C">
        <w:t>Maintaining and Improving Quality Outcomes</w:t>
      </w:r>
    </w:p>
    <w:p w14:paraId="236DE9A6" w14:textId="38A71DB8" w:rsidR="0046651C" w:rsidRDefault="003218C0" w:rsidP="001D3C42">
      <w:r w:rsidRPr="003218C0">
        <w:t xml:space="preserve">Quality in healthcare is commonly </w:t>
      </w:r>
      <w:r w:rsidR="005E3E96">
        <w:t>conceptualised</w:t>
      </w:r>
      <w:r w:rsidRPr="003218C0">
        <w:t xml:space="preserve"> through three core dimensions: patient safety, clinical effectiveness, and patient experience. These dimensions are interrelated and contribute collectively to the overall quality of care delivered in healthcare settings</w:t>
      </w:r>
      <w:r w:rsidR="00932BDE">
        <w:t xml:space="preserve"> (</w:t>
      </w:r>
      <w:r w:rsidR="009B66AF">
        <w:t xml:space="preserve">Soffien and </w:t>
      </w:r>
      <w:r w:rsidR="00C93407">
        <w:t>Aase,</w:t>
      </w:r>
      <w:r w:rsidR="005E3E96">
        <w:t xml:space="preserve"> 2021).</w:t>
      </w:r>
    </w:p>
    <w:p w14:paraId="3AAB201A" w14:textId="736C2BC1" w:rsidR="00C6547A" w:rsidRDefault="00C6547A" w:rsidP="001D3C42">
      <w:r w:rsidRPr="00C6547A">
        <w:t xml:space="preserve">Frameworks such as clinical governance and key performance indicators (KPIs) play a significant role in supporting the continuous monitoring and improvement of healthcare outcomes. Clinical governance provides a systematic approach to enhancing quality, ensuring accountability, and fostering continuous improvement in healthcare services. It emphasises principles of effectiveness, </w:t>
      </w:r>
      <w:r w:rsidRPr="00C6547A">
        <w:lastRenderedPageBreak/>
        <w:t>risk management, structural and organisational requirements, resource allocation, communication, and information management, which are essential for establishing and maintaining high clinical standards in primary and hospital care settings</w:t>
      </w:r>
      <w:r w:rsidR="0070550A">
        <w:t xml:space="preserve"> (</w:t>
      </w:r>
      <w:r w:rsidR="0070550A" w:rsidRPr="0070550A">
        <w:t>Ghavamabad</w:t>
      </w:r>
      <w:r w:rsidR="002F3F3B">
        <w:t xml:space="preserve"> et al. 2021).</w:t>
      </w:r>
    </w:p>
    <w:p w14:paraId="69893890" w14:textId="554104E5" w:rsidR="00A64150" w:rsidRDefault="00DA1D7F" w:rsidP="001D3C42">
      <w:r w:rsidRPr="00DA1D7F">
        <w:t>Challenges to Quality During Change</w:t>
      </w:r>
    </w:p>
    <w:p w14:paraId="0176CB33" w14:textId="77777777" w:rsidR="00D7653D" w:rsidRDefault="00D7653D" w:rsidP="001D3C42">
      <w:r w:rsidRPr="00D7653D">
        <w:t>Rapid transformation within health and social care systems has the potential to compromise quality outcomes if not strategically managed, particularly in environments characterised by resource constraints, workforce burnout, and organisational fragmentation.</w:t>
      </w:r>
    </w:p>
    <w:p w14:paraId="55F8FA60" w14:textId="530BA99D" w:rsidR="00A30AC5" w:rsidRDefault="00137636" w:rsidP="001D3C42">
      <w:r w:rsidRPr="00137636">
        <w:t>Strategies for Improvement</w:t>
      </w:r>
    </w:p>
    <w:p w14:paraId="7E2284E4" w14:textId="60AB1321" w:rsidR="00FB35A4" w:rsidRDefault="00FB35A4" w:rsidP="001D3C42">
      <w:r w:rsidRPr="00FB35A4">
        <w:t>The advancement of quality outcomes is supported by systematic performance monitoring via KPIs, the integration of patient-centred care principles, and the deployment of established quality improvement mechanisms such as PDSA cycles and clinical audit processes. However, the sustainability of such improvements depends on embedding a culture of continuous quality enhancement across the organisation, rather than treating it as an adjunct to routine practice.</w:t>
      </w:r>
    </w:p>
    <w:p w14:paraId="0CCA1C63" w14:textId="743E2405" w:rsidR="00370273" w:rsidRDefault="00370273" w:rsidP="001D3C42">
      <w:r>
        <w:t>Conclusion</w:t>
      </w:r>
    </w:p>
    <w:p w14:paraId="1A7F98C1" w14:textId="77777777" w:rsidR="004B20BF" w:rsidRDefault="004B20BF" w:rsidP="004B20BF">
      <w:r>
        <w:t>Health and social care systems in the United Kingdom operate within an increasingly complex and dynamic environment, where continuous change is both inevitable and necessary. This essay has critically examined the key drivers of change—including political reform, demographic pressures, technological advancement, economic constraints, and cultural factors—and demonstrated that while these forces create opportunities for innovation and improvement, they also introduce significant challenges for implementation. In particular, the analysis has highlighted that change within healthcare systems cannot be understood through linear or predictable models alone, but must instead be approached as a process occurring within a complex adaptive system.</w:t>
      </w:r>
    </w:p>
    <w:p w14:paraId="2C13DB0A" w14:textId="77777777" w:rsidR="004B20BF" w:rsidRDefault="004B20BF" w:rsidP="004B20BF"/>
    <w:p w14:paraId="10C6C795" w14:textId="77777777" w:rsidR="004B20BF" w:rsidRDefault="004B20BF" w:rsidP="004B20BF">
      <w:r>
        <w:t>The evaluation of change management strategies has shown that while frameworks such as Kotter’s and Lewin’s models provide useful conceptual guidance, their effectiveness is limited unless adapted to the specific realities of healthcare contexts. Leadership, particularly transformational and collective leadership, plays a crucial role in fostering engagement, psychological safety, and shared purpose. However, leadership must be complemented by effective teamwork, inclusive communication, and meaningful stakeholder engagement to ensure that change is both accepted and sustained. The discussion has also emphasised that organisational culture—particularly the underlying values, beliefs, and behaviours of staff—is a critical determinant of success, often outweighing structural or procedural changes.</w:t>
      </w:r>
    </w:p>
    <w:p w14:paraId="34E35467" w14:textId="77777777" w:rsidR="004B20BF" w:rsidRDefault="004B20BF" w:rsidP="004B20BF"/>
    <w:p w14:paraId="2F8BC4F3" w14:textId="7F2FB900" w:rsidR="004B20BF" w:rsidRDefault="004B20BF" w:rsidP="004B20BF">
      <w:r>
        <w:t>The case study of NHS 111 illustrates the complexities of large-scale strategic change in practice. While the initiative was designed to improve access and reduce pressure on emergency services, its implementation has revealed challenges related to stakeholder engagement, workforce readiness, and system integration. The limitations observed in NHS 111 reinforce the argument that large-scale change initiatives are vulnerable to failure when they lack iterative testing, adaptability, and alignment with frontline realities. In contrast, smaller-scale quality improvement approaches, such as PDSA cycles, demonstrate the value of continuous learning and incremental adaptation in achieving sustainable improvements.</w:t>
      </w:r>
    </w:p>
    <w:p w14:paraId="4EBD3E20" w14:textId="77777777" w:rsidR="00825576" w:rsidRDefault="004B20BF" w:rsidP="004B20BF">
      <w:r>
        <w:lastRenderedPageBreak/>
        <w:t>Maintaining and improving quality outcomes during periods of rapid change remains a central challenge. The essay has shown that quality—encompassing patient safety, clinical effectiveness, and patient experience—can be compromised by factors such as resource constraints, workforce burnout, and system fragmentation. However, it can also be protected and enhanced through robust clinical governance, continuous monitoring using key performance indicators, and the integration of patient-centred care approaches. Crucially, quality improvement must be embedded within organisational culture, ensuring that it becomes an integral and sustained aspect of everyday practice rather than a reactive or isolated initiative.</w:t>
      </w:r>
    </w:p>
    <w:p w14:paraId="5E4BF59C" w14:textId="4C8CC062" w:rsidR="004B20BF" w:rsidRDefault="004B20BF" w:rsidP="004B20BF">
      <w:r>
        <w:t xml:space="preserve">In conclusion, effective change management in health and social care requires a holistic and adaptive approach that aligns structural reforms with cultural and behavioural transformation. Sustainable improvement depends not only on the implementation of strategies and models but also on </w:t>
      </w:r>
      <w:r w:rsidR="00825576">
        <w:t xml:space="preserve">people's engagement, the strength of leadership, and organisations' capacity </w:t>
      </w:r>
      <w:r>
        <w:t>to learn and evolve. As the National Health Service continues to navigate ongoing pressures and reforms, its ability to balance change with quality will remain fundamental to delivering safe, effective, and patient-centred care.</w:t>
      </w:r>
    </w:p>
    <w:p w14:paraId="7BC22BEF" w14:textId="77777777" w:rsidR="00370273" w:rsidRDefault="00370273" w:rsidP="001D3C42"/>
    <w:p w14:paraId="6DC1367E" w14:textId="77777777" w:rsidR="00137636" w:rsidRDefault="00137636" w:rsidP="001D3C42"/>
    <w:p w14:paraId="3234BE15" w14:textId="77777777" w:rsidR="00E45EB0" w:rsidRDefault="00E45EB0" w:rsidP="001D3C42"/>
    <w:p w14:paraId="7F91B040" w14:textId="77777777" w:rsidR="001D3C42" w:rsidRDefault="001D3C42" w:rsidP="001D3C42"/>
    <w:p w14:paraId="59B9A74E" w14:textId="77777777" w:rsidR="008817D2" w:rsidRPr="008817D2" w:rsidRDefault="008817D2" w:rsidP="008817D2"/>
    <w:p w14:paraId="65AA87AE" w14:textId="77777777" w:rsidR="008817D2" w:rsidRDefault="008817D2" w:rsidP="00BC7811"/>
    <w:p w14:paraId="73389218" w14:textId="77777777" w:rsidR="007249BE" w:rsidRDefault="007249BE" w:rsidP="00BC7811"/>
    <w:p w14:paraId="5402A6AF" w14:textId="77777777" w:rsidR="003B2661" w:rsidRDefault="003B2661" w:rsidP="00BC7811"/>
    <w:p w14:paraId="09419701" w14:textId="77777777" w:rsidR="003B2661" w:rsidRDefault="003B2661" w:rsidP="00BC7811"/>
    <w:p w14:paraId="3002D98C" w14:textId="77777777" w:rsidR="003B2661" w:rsidRDefault="003B2661" w:rsidP="00BC7811"/>
    <w:p w14:paraId="2DFF3959" w14:textId="77777777" w:rsidR="003B2661" w:rsidRDefault="003B2661" w:rsidP="00BC7811"/>
    <w:p w14:paraId="681E5B6E" w14:textId="77777777" w:rsidR="003B2661" w:rsidRDefault="003B2661" w:rsidP="00BC7811"/>
    <w:p w14:paraId="6119343E" w14:textId="77777777" w:rsidR="003B2661" w:rsidRDefault="003B2661" w:rsidP="00BC7811"/>
    <w:p w14:paraId="507CE989" w14:textId="77777777" w:rsidR="003E6ACF" w:rsidRDefault="003E6ACF" w:rsidP="00BC7811"/>
    <w:p w14:paraId="2CE1D36A" w14:textId="77777777" w:rsidR="003E6ACF" w:rsidRDefault="003E6ACF" w:rsidP="00BC7811"/>
    <w:p w14:paraId="173290ED" w14:textId="77777777" w:rsidR="003E6ACF" w:rsidRDefault="003E6ACF" w:rsidP="00BC7811"/>
    <w:p w14:paraId="216EC613" w14:textId="77777777" w:rsidR="003E6ACF" w:rsidRDefault="003E6ACF" w:rsidP="00BC7811"/>
    <w:p w14:paraId="01126884" w14:textId="77777777" w:rsidR="003E6ACF" w:rsidRDefault="003E6ACF" w:rsidP="00BC7811"/>
    <w:p w14:paraId="50560E64" w14:textId="77777777" w:rsidR="003E6ACF" w:rsidRDefault="003E6ACF" w:rsidP="00BC7811"/>
    <w:p w14:paraId="26ADA8D2" w14:textId="77777777" w:rsidR="0049683D" w:rsidRDefault="0049683D" w:rsidP="00BC7811"/>
    <w:p w14:paraId="769399DE" w14:textId="77777777" w:rsidR="0049683D" w:rsidRDefault="0049683D" w:rsidP="00BC7811"/>
    <w:p w14:paraId="22C42BD7" w14:textId="1F07D33B" w:rsidR="003E6ACF" w:rsidRDefault="00083090" w:rsidP="00BC7811">
      <w:r>
        <w:lastRenderedPageBreak/>
        <w:t>References List</w:t>
      </w:r>
    </w:p>
    <w:p w14:paraId="1253CD4A" w14:textId="42A6E8FB" w:rsidR="0049683D" w:rsidRPr="004A7377" w:rsidRDefault="0049683D" w:rsidP="00BC7811">
      <w:r>
        <w:t xml:space="preserve">Anderson </w:t>
      </w:r>
      <w:r w:rsidR="00B808B3">
        <w:t xml:space="preserve">D., </w:t>
      </w:r>
      <w:r w:rsidR="00E12203">
        <w:t xml:space="preserve">(2025),’ </w:t>
      </w:r>
      <w:r w:rsidR="00EF4CEB" w:rsidRPr="00EF4CEB">
        <w:t>A Qualitative Case Study: Exploring an Offshoring Company's Culture and Its Disconnection from Their Parent Company Through the Lens of the Trompenaars Hampden-Turner Cultural Dimensions Model and the Iceberg Theory</w:t>
      </w:r>
      <w:r w:rsidR="00EF4CEB">
        <w:t xml:space="preserve">’, </w:t>
      </w:r>
      <w:r w:rsidR="00A343DA" w:rsidRPr="00A343DA">
        <w:rPr>
          <w:i/>
          <w:iCs/>
        </w:rPr>
        <w:t>ProQuest Dissertations &amp; Theses</w:t>
      </w:r>
      <w:r w:rsidR="004A7377">
        <w:rPr>
          <w:i/>
          <w:iCs/>
        </w:rPr>
        <w:t xml:space="preserve">. </w:t>
      </w:r>
    </w:p>
    <w:p w14:paraId="0A3E487D" w14:textId="11CBE34B" w:rsidR="003630E0" w:rsidRDefault="0022583E" w:rsidP="00BC7811">
      <w:pPr>
        <w:rPr>
          <w:i/>
          <w:iCs/>
        </w:rPr>
      </w:pPr>
      <w:r w:rsidRPr="0022583E">
        <w:t>Arendse, B., Phillips, H., N., Waghid, Z.</w:t>
      </w:r>
      <w:r>
        <w:t xml:space="preserve"> (2024),’ </w:t>
      </w:r>
      <w:r w:rsidR="00CB6B6A" w:rsidRPr="00CB6B6A">
        <w:t>Leadership dynamics: Managing and leading continued professional teacher development in schools to enhance learner performance</w:t>
      </w:r>
      <w:r w:rsidR="00CB6B6A">
        <w:t xml:space="preserve">’, </w:t>
      </w:r>
      <w:r w:rsidR="00CB6B6A">
        <w:rPr>
          <w:i/>
          <w:iCs/>
        </w:rPr>
        <w:t xml:space="preserve">Perspective in Education, </w:t>
      </w:r>
      <w:r w:rsidR="00243019">
        <w:t xml:space="preserve">42(4), pp. 305-319. </w:t>
      </w:r>
      <w:r w:rsidR="00CB6B6A">
        <w:rPr>
          <w:i/>
          <w:iCs/>
        </w:rPr>
        <w:t xml:space="preserve"> </w:t>
      </w:r>
    </w:p>
    <w:p w14:paraId="35A6B1EF" w14:textId="0E29E957" w:rsidR="00363FE6" w:rsidRPr="00EE107C" w:rsidRDefault="00363FE6" w:rsidP="00BC7811">
      <w:r w:rsidRPr="00363FE6">
        <w:t>Arnaout, B., Nemar, S., E., El-Chaarani, H., Esposito, M., and Vrontis, D.</w:t>
      </w:r>
      <w:r>
        <w:t xml:space="preserve"> (</w:t>
      </w:r>
      <w:r w:rsidR="00622F98">
        <w:t xml:space="preserve">2024),’ </w:t>
      </w:r>
      <w:r w:rsidR="00903660" w:rsidRPr="00903660">
        <w:t>The drivers of effective communication elements: key pivotal role in the successful implementation of change initiatives during turbulent times</w:t>
      </w:r>
      <w:r w:rsidR="00903660">
        <w:t xml:space="preserve">’, </w:t>
      </w:r>
      <w:r w:rsidR="00822E74" w:rsidRPr="00822E74">
        <w:rPr>
          <w:i/>
          <w:iCs/>
        </w:rPr>
        <w:t xml:space="preserve">Journal of </w:t>
      </w:r>
      <w:r w:rsidR="00822E74">
        <w:rPr>
          <w:i/>
          <w:iCs/>
        </w:rPr>
        <w:t>International Business</w:t>
      </w:r>
      <w:r w:rsidR="00822E74" w:rsidRPr="00822E74">
        <w:rPr>
          <w:i/>
          <w:iCs/>
        </w:rPr>
        <w:t xml:space="preserve"> and </w:t>
      </w:r>
      <w:r w:rsidR="00822E74">
        <w:rPr>
          <w:i/>
          <w:iCs/>
        </w:rPr>
        <w:t>Entrepreneurship Development</w:t>
      </w:r>
      <w:r w:rsidR="00EE107C">
        <w:rPr>
          <w:i/>
          <w:iCs/>
        </w:rPr>
        <w:t xml:space="preserve">, </w:t>
      </w:r>
      <w:r w:rsidR="00EE107C">
        <w:t>16(4), pp. 516-541.</w:t>
      </w:r>
    </w:p>
    <w:p w14:paraId="6732BB3F" w14:textId="6A141C67" w:rsidR="000C45A0" w:rsidRDefault="000C45A0" w:rsidP="00BC7811">
      <w:r w:rsidRPr="000C45A0">
        <w:t>Alderwick, H., Hutchings, ., Mays, N.</w:t>
      </w:r>
      <w:r>
        <w:t xml:space="preserve"> (</w:t>
      </w:r>
      <w:r w:rsidR="00183E9A">
        <w:t xml:space="preserve">2024),’ </w:t>
      </w:r>
      <w:r w:rsidR="00861E93" w:rsidRPr="00861E93">
        <w:t>Solving poverty or tackling healthcare inequalities? Qualitative study exploring local interpretations of national policy on health inequalities under new NHS reforms in England</w:t>
      </w:r>
      <w:r w:rsidR="00EE0B2C">
        <w:t>’</w:t>
      </w:r>
      <w:r w:rsidR="00861E93">
        <w:t xml:space="preserve">, </w:t>
      </w:r>
      <w:r w:rsidR="00861E93">
        <w:rPr>
          <w:i/>
          <w:iCs/>
        </w:rPr>
        <w:t xml:space="preserve">BMJ Open, </w:t>
      </w:r>
      <w:r w:rsidR="00EE0B2C">
        <w:t>14(4).</w:t>
      </w:r>
    </w:p>
    <w:p w14:paraId="336193B3" w14:textId="68AC34E6" w:rsidR="00D84C35" w:rsidRPr="00F45D14" w:rsidRDefault="00D84C35" w:rsidP="00BC7811">
      <w:r w:rsidRPr="00D84C35">
        <w:t xml:space="preserve">Bell, K., and Reed, M. </w:t>
      </w:r>
      <w:r w:rsidR="00DA2788">
        <w:t xml:space="preserve">(2022),’ </w:t>
      </w:r>
      <w:r w:rsidR="00A946B3" w:rsidRPr="00A946B3">
        <w:t>The tree of participation: a new model for inclusive decision-making</w:t>
      </w:r>
      <w:r w:rsidR="006A1262">
        <w:t xml:space="preserve">’, </w:t>
      </w:r>
      <w:r w:rsidR="00F45D14" w:rsidRPr="00F45D14">
        <w:rPr>
          <w:i/>
          <w:iCs/>
        </w:rPr>
        <w:t>Community development journal</w:t>
      </w:r>
      <w:r w:rsidR="00F45D14">
        <w:rPr>
          <w:i/>
          <w:iCs/>
        </w:rPr>
        <w:t xml:space="preserve">, </w:t>
      </w:r>
      <w:r w:rsidR="00812C7D">
        <w:t>31(1).</w:t>
      </w:r>
    </w:p>
    <w:p w14:paraId="37400386" w14:textId="08BA86C5" w:rsidR="00A733B2" w:rsidRDefault="00392188" w:rsidP="00BC7811">
      <w:r>
        <w:t xml:space="preserve">Bennet, S., R., </w:t>
      </w:r>
      <w:r w:rsidR="004A7419">
        <w:t>(2023),</w:t>
      </w:r>
      <w:r w:rsidR="00E537B7">
        <w:t xml:space="preserve">’ </w:t>
      </w:r>
      <w:r w:rsidR="00E537B7" w:rsidRPr="00E537B7">
        <w:t>Changes in Healthcare During the Past 30 Years: Can the National Health Service in the United Kingdom Survive?</w:t>
      </w:r>
      <w:r w:rsidR="00E537B7">
        <w:t xml:space="preserve">’, </w:t>
      </w:r>
      <w:r w:rsidR="00DC0598">
        <w:rPr>
          <w:i/>
          <w:iCs/>
        </w:rPr>
        <w:t>Palo Alto</w:t>
      </w:r>
      <w:r w:rsidR="000954D1">
        <w:rPr>
          <w:i/>
          <w:iCs/>
        </w:rPr>
        <w:t xml:space="preserve">, </w:t>
      </w:r>
      <w:r w:rsidR="000954D1">
        <w:t>15(4).</w:t>
      </w:r>
    </w:p>
    <w:p w14:paraId="42E7655E" w14:textId="2683F8FC" w:rsidR="00EE02A5" w:rsidRPr="00973A8F" w:rsidRDefault="00EE02A5" w:rsidP="00BC7811">
      <w:r w:rsidRPr="00EE02A5">
        <w:t xml:space="preserve">Beran, N., Abdallah, R., and Giacomoni, L. </w:t>
      </w:r>
      <w:r>
        <w:t xml:space="preserve">(2025),’ </w:t>
      </w:r>
      <w:r w:rsidR="00CE6069" w:rsidRPr="00CE6069">
        <w:t>The population health journey: A change framework and lessons learned in a large clinically integrated network</w:t>
      </w:r>
      <w:r w:rsidR="00CE6069">
        <w:t xml:space="preserve">’, </w:t>
      </w:r>
      <w:r w:rsidR="00973A8F" w:rsidRPr="00973A8F">
        <w:rPr>
          <w:i/>
          <w:iCs/>
        </w:rPr>
        <w:t>Management in healthcare</w:t>
      </w:r>
      <w:r w:rsidR="00973A8F">
        <w:rPr>
          <w:i/>
          <w:iCs/>
        </w:rPr>
        <w:t xml:space="preserve">, </w:t>
      </w:r>
      <w:r w:rsidR="005646CC">
        <w:t xml:space="preserve">9(3), pp. 214(236). </w:t>
      </w:r>
    </w:p>
    <w:p w14:paraId="3C3C4257" w14:textId="39DAE5B9" w:rsidR="003F3356" w:rsidRPr="00E457DD" w:rsidRDefault="003F3356" w:rsidP="00BC7811">
      <w:r w:rsidRPr="003F3356">
        <w:t>Charlesworth, A.</w:t>
      </w:r>
      <w:r>
        <w:t xml:space="preserve"> and</w:t>
      </w:r>
      <w:r w:rsidRPr="003F3356">
        <w:t xml:space="preserve"> Raymond, A.</w:t>
      </w:r>
      <w:r w:rsidR="002C62CF">
        <w:t xml:space="preserve"> (2025),’ </w:t>
      </w:r>
      <w:r w:rsidR="001F4917" w:rsidRPr="001F4917">
        <w:t>Affording the NHS: estimating demand pressures and the options for addressing the challenge of fiscal sustainability</w:t>
      </w:r>
      <w:r w:rsidR="001F4917">
        <w:t xml:space="preserve">’, </w:t>
      </w:r>
      <w:r w:rsidR="004D7889" w:rsidRPr="004D7889">
        <w:rPr>
          <w:i/>
          <w:iCs/>
        </w:rPr>
        <w:t xml:space="preserve">Oxford </w:t>
      </w:r>
      <w:r w:rsidR="004D7889">
        <w:rPr>
          <w:i/>
          <w:iCs/>
        </w:rPr>
        <w:t>Review</w:t>
      </w:r>
      <w:r w:rsidR="004D7889" w:rsidRPr="004D7889">
        <w:rPr>
          <w:i/>
          <w:iCs/>
        </w:rPr>
        <w:t xml:space="preserve"> of </w:t>
      </w:r>
      <w:r w:rsidR="004D7889">
        <w:rPr>
          <w:i/>
          <w:iCs/>
        </w:rPr>
        <w:t xml:space="preserve">Economic Policy, </w:t>
      </w:r>
      <w:r w:rsidR="00E457DD">
        <w:t>41(1), pp. 195-212.</w:t>
      </w:r>
    </w:p>
    <w:p w14:paraId="46C51131" w14:textId="4305AB8E" w:rsidR="00142A30" w:rsidRPr="00654C10" w:rsidRDefault="00847866" w:rsidP="00142A30">
      <w:r w:rsidRPr="00847866">
        <w:t>Cox, C., B., Gallegos, E., Pool, G., J., Gilley, K., M., Haight, N.</w:t>
      </w:r>
      <w:r>
        <w:t xml:space="preserve"> </w:t>
      </w:r>
      <w:r w:rsidR="00142A30">
        <w:t xml:space="preserve">(2022),’ </w:t>
      </w:r>
      <w:r w:rsidR="00142A30" w:rsidRPr="00142A30">
        <w:t>Mapping the nomological network of change fatigue: identifying predictors, mediators and consequences</w:t>
      </w:r>
      <w:r w:rsidR="00142A30">
        <w:t xml:space="preserve">’, </w:t>
      </w:r>
      <w:r w:rsidR="000115B0" w:rsidRPr="000115B0">
        <w:rPr>
          <w:i/>
          <w:iCs/>
        </w:rPr>
        <w:t xml:space="preserve">Journal of </w:t>
      </w:r>
      <w:r w:rsidR="000115B0">
        <w:rPr>
          <w:i/>
          <w:iCs/>
        </w:rPr>
        <w:t>Organisational</w:t>
      </w:r>
      <w:r w:rsidR="000115B0" w:rsidRPr="000115B0">
        <w:rPr>
          <w:i/>
          <w:iCs/>
        </w:rPr>
        <w:t xml:space="preserve"> Change Management</w:t>
      </w:r>
      <w:r w:rsidR="000115B0">
        <w:rPr>
          <w:i/>
          <w:iCs/>
        </w:rPr>
        <w:t xml:space="preserve">, </w:t>
      </w:r>
      <w:r w:rsidR="00654C10">
        <w:t>35(4).</w:t>
      </w:r>
    </w:p>
    <w:p w14:paraId="15C832CE" w14:textId="1D7612DF" w:rsidR="00847866" w:rsidRDefault="00A91C2A" w:rsidP="00BC7811">
      <w:r w:rsidRPr="00A91C2A">
        <w:t>Davidson, L., Scott, J., Forster, N.</w:t>
      </w:r>
      <w:r>
        <w:t xml:space="preserve"> (</w:t>
      </w:r>
      <w:r w:rsidR="00C7028E">
        <w:t>2021),’</w:t>
      </w:r>
      <w:r w:rsidR="005E4E59">
        <w:t xml:space="preserve"> </w:t>
      </w:r>
      <w:r w:rsidR="00A03360" w:rsidRPr="00A03360">
        <w:t>Patient experiences of integrated care within the United Kingdom: A systematic review</w:t>
      </w:r>
      <w:r w:rsidR="00A03360">
        <w:t xml:space="preserve">’, </w:t>
      </w:r>
      <w:r w:rsidR="005E4E59" w:rsidRPr="005E4E59">
        <w:rPr>
          <w:i/>
          <w:iCs/>
        </w:rPr>
        <w:t>International Journal of Care Coordination,</w:t>
      </w:r>
      <w:r w:rsidR="005E4E59">
        <w:t xml:space="preserve"> </w:t>
      </w:r>
      <w:r w:rsidR="00232838">
        <w:t>24(2), pp. 39-56.</w:t>
      </w:r>
    </w:p>
    <w:p w14:paraId="4178E413" w14:textId="01A3F279" w:rsidR="00646E85" w:rsidRDefault="00646E85" w:rsidP="00BC7811">
      <w:r w:rsidRPr="00646E85">
        <w:t>Elson, B., and Murphy, B.</w:t>
      </w:r>
      <w:r>
        <w:t xml:space="preserve"> </w:t>
      </w:r>
      <w:r w:rsidR="0057544A">
        <w:t xml:space="preserve">(2025), </w:t>
      </w:r>
      <w:r w:rsidR="0057544A" w:rsidRPr="0057544A">
        <w:t>A survey of attitudes, behaviours and barriers to environmental sustainability among healthcare staff at an NHS trust</w:t>
      </w:r>
      <w:r w:rsidR="0057544A">
        <w:t xml:space="preserve">’, </w:t>
      </w:r>
      <w:r w:rsidR="00554C26" w:rsidRPr="00FE5204">
        <w:rPr>
          <w:i/>
          <w:iCs/>
        </w:rPr>
        <w:t>BMJ leader,</w:t>
      </w:r>
      <w:r w:rsidR="00FE5204">
        <w:rPr>
          <w:i/>
          <w:iCs/>
        </w:rPr>
        <w:t xml:space="preserve"> </w:t>
      </w:r>
      <w:r w:rsidR="0031485B">
        <w:t xml:space="preserve">10(1). </w:t>
      </w:r>
    </w:p>
    <w:p w14:paraId="3EAF2A7A" w14:textId="15BD6D0F" w:rsidR="005F36DE" w:rsidRDefault="005F36DE" w:rsidP="00BC7811">
      <w:r w:rsidRPr="005F36DE">
        <w:t>Essex, R., Kennedy, J., Miller, D., and Jameson, J.</w:t>
      </w:r>
      <w:r>
        <w:t xml:space="preserve"> (</w:t>
      </w:r>
      <w:r w:rsidR="00C84316">
        <w:t xml:space="preserve">2023),’ </w:t>
      </w:r>
      <w:r w:rsidR="00BB2CDC" w:rsidRPr="00BB2CDC">
        <w:t>A scoping review exploring the impact and negotiation of hierarchy in healthcare organisations</w:t>
      </w:r>
      <w:r w:rsidR="00BB2CDC">
        <w:t xml:space="preserve">’, </w:t>
      </w:r>
      <w:r w:rsidR="00E04090" w:rsidRPr="00E04090">
        <w:rPr>
          <w:i/>
          <w:iCs/>
        </w:rPr>
        <w:t>Nursing inquiry</w:t>
      </w:r>
      <w:r w:rsidR="00E04090">
        <w:rPr>
          <w:i/>
          <w:iCs/>
        </w:rPr>
        <w:t xml:space="preserve">, </w:t>
      </w:r>
      <w:r w:rsidR="00B31C03">
        <w:t>30(4).</w:t>
      </w:r>
    </w:p>
    <w:p w14:paraId="3C3510AE" w14:textId="71BB84E0" w:rsidR="0090400A" w:rsidRDefault="0090400A" w:rsidP="00BC7811">
      <w:r>
        <w:t>Galligan, M. (2025),’</w:t>
      </w:r>
      <w:r w:rsidR="000954BB">
        <w:t xml:space="preserve"> </w:t>
      </w:r>
      <w:r w:rsidR="000954BB" w:rsidRPr="000954BB">
        <w:t>How to develop a quality improvement project using the PDSA method</w:t>
      </w:r>
      <w:r w:rsidR="000954BB">
        <w:t>’</w:t>
      </w:r>
      <w:r w:rsidR="000954BB" w:rsidRPr="00CF5161">
        <w:rPr>
          <w:i/>
          <w:iCs/>
        </w:rPr>
        <w:t xml:space="preserve">, </w:t>
      </w:r>
      <w:r w:rsidR="00CF5161" w:rsidRPr="00CF5161">
        <w:rPr>
          <w:i/>
          <w:iCs/>
        </w:rPr>
        <w:t>Cancer nursing practice</w:t>
      </w:r>
      <w:r w:rsidR="00486012">
        <w:rPr>
          <w:i/>
          <w:iCs/>
        </w:rPr>
        <w:t>.</w:t>
      </w:r>
      <w:r w:rsidR="00486012">
        <w:t xml:space="preserve"> </w:t>
      </w:r>
    </w:p>
    <w:p w14:paraId="2A1B594F" w14:textId="6E581DB2" w:rsidR="00BF7A9C" w:rsidRPr="00B31717" w:rsidRDefault="00917F3A" w:rsidP="00BF7A9C">
      <w:r w:rsidRPr="00917F3A">
        <w:t>Gaboury, I., Breton, M., Perreault, K., Bordeleau, F., Descôteaux, S., Maillet,L., Hudon, C., Couturier, Y., Duhoux, A., and Vachon, B.</w:t>
      </w:r>
      <w:r w:rsidR="00B46DFF">
        <w:t xml:space="preserve"> </w:t>
      </w:r>
      <w:r w:rsidR="003E0CB5">
        <w:t>(2021),’</w:t>
      </w:r>
      <w:r w:rsidR="00DD378A">
        <w:t xml:space="preserve"> </w:t>
      </w:r>
      <w:r w:rsidR="00BF7A9C" w:rsidRPr="00BF7A9C">
        <w:t>Interprofessional advanced access – a quality improvement protocol for expanding access to primary care services</w:t>
      </w:r>
      <w:r w:rsidR="00BF7A9C">
        <w:t xml:space="preserve">’, </w:t>
      </w:r>
      <w:r w:rsidR="00394283" w:rsidRPr="00394283">
        <w:t xml:space="preserve"> </w:t>
      </w:r>
      <w:r w:rsidR="00394283" w:rsidRPr="00394283">
        <w:rPr>
          <w:i/>
          <w:iCs/>
        </w:rPr>
        <w:t>BMC Health Services Research</w:t>
      </w:r>
      <w:r w:rsidR="00394283">
        <w:rPr>
          <w:i/>
          <w:iCs/>
        </w:rPr>
        <w:t xml:space="preserve">, </w:t>
      </w:r>
      <w:r w:rsidR="00B31717">
        <w:t>21(1), pp. 1-9.</w:t>
      </w:r>
    </w:p>
    <w:p w14:paraId="219BA412" w14:textId="763E02EA" w:rsidR="00917F3A" w:rsidRPr="00486012" w:rsidRDefault="00917F3A" w:rsidP="00BC7811"/>
    <w:p w14:paraId="20842B48" w14:textId="3C7E94AF" w:rsidR="00F71652" w:rsidRDefault="00AE0C6F" w:rsidP="00BC7811">
      <w:r w:rsidRPr="00AE0C6F">
        <w:t xml:space="preserve">Gautam, S., Nazir, M., A., Zhu, X. </w:t>
      </w:r>
      <w:r w:rsidR="00E65C7D">
        <w:t>(2026), ‘</w:t>
      </w:r>
      <w:r w:rsidR="00CB3192" w:rsidRPr="00CB3192">
        <w:t>Leadership, organisational culture and workforce engagement in the NHS: a qualitative study of healthcare management dynamics</w:t>
      </w:r>
      <w:r w:rsidR="00CB3192">
        <w:t>’</w:t>
      </w:r>
      <w:r w:rsidR="00CB3192" w:rsidRPr="00505F43">
        <w:rPr>
          <w:i/>
          <w:iCs/>
        </w:rPr>
        <w:t xml:space="preserve">, </w:t>
      </w:r>
      <w:r w:rsidR="00505F43" w:rsidRPr="00505F43">
        <w:rPr>
          <w:i/>
          <w:iCs/>
        </w:rPr>
        <w:t xml:space="preserve">Journal of </w:t>
      </w:r>
      <w:r w:rsidR="006109AC">
        <w:rPr>
          <w:i/>
          <w:iCs/>
        </w:rPr>
        <w:t>Health Organisation</w:t>
      </w:r>
      <w:r w:rsidR="00505F43" w:rsidRPr="00505F43">
        <w:rPr>
          <w:i/>
          <w:iCs/>
        </w:rPr>
        <w:t xml:space="preserve"> and </w:t>
      </w:r>
      <w:r w:rsidR="006109AC">
        <w:rPr>
          <w:i/>
          <w:iCs/>
        </w:rPr>
        <w:t>Management</w:t>
      </w:r>
      <w:r w:rsidR="00505F43">
        <w:rPr>
          <w:i/>
          <w:iCs/>
        </w:rPr>
        <w:t xml:space="preserve">, </w:t>
      </w:r>
      <w:r w:rsidR="006109AC">
        <w:t>1(1), pp.1-23.</w:t>
      </w:r>
    </w:p>
    <w:p w14:paraId="4E3B9B0C" w14:textId="76F43B8B" w:rsidR="00201B5A" w:rsidRPr="00674B20" w:rsidRDefault="00201B5A" w:rsidP="00BC7811">
      <w:r w:rsidRPr="00201B5A">
        <w:t>Ghavamabad, L., H., Vosoogh-Moghaddam, A.,; Zaboli, R., and Aarabi, M.</w:t>
      </w:r>
      <w:r w:rsidR="00AE5E82">
        <w:t xml:space="preserve"> (</w:t>
      </w:r>
      <w:r w:rsidR="00DD13C5">
        <w:t xml:space="preserve">2021),’ </w:t>
      </w:r>
      <w:r w:rsidR="00DD13C5" w:rsidRPr="00DD13C5">
        <w:t>Establishing clinical governance model in primary health care: A systematic review</w:t>
      </w:r>
      <w:r w:rsidR="00DD13C5">
        <w:t xml:space="preserve">’, </w:t>
      </w:r>
      <w:r w:rsidR="00B45CD0" w:rsidRPr="00B45CD0">
        <w:rPr>
          <w:i/>
          <w:iCs/>
        </w:rPr>
        <w:t>Journal of Education and Health Promotion</w:t>
      </w:r>
      <w:r w:rsidR="00B45CD0">
        <w:rPr>
          <w:i/>
          <w:iCs/>
        </w:rPr>
        <w:t xml:space="preserve">, </w:t>
      </w:r>
      <w:r w:rsidR="00674B20">
        <w:t xml:space="preserve">10(1), pp. </w:t>
      </w:r>
      <w:r w:rsidR="00981FDC">
        <w:t>338-338.</w:t>
      </w:r>
    </w:p>
    <w:p w14:paraId="02CE5FF8" w14:textId="4A88C964" w:rsidR="00F826CA" w:rsidRDefault="00757918" w:rsidP="00BC7811">
      <w:r w:rsidRPr="00757918">
        <w:t>Harrison, R., Fischer, S., Walpola, R., L., Chauhan, A., Babalola, T., Mears, S., Le-Dao, Huong.</w:t>
      </w:r>
      <w:r>
        <w:t xml:space="preserve"> (2021),’</w:t>
      </w:r>
      <w:r w:rsidR="0066677C" w:rsidRPr="0066677C">
        <w:t xml:space="preserve"> </w:t>
      </w:r>
      <w:r w:rsidR="0066677C" w:rsidRPr="0066677C">
        <w:rPr>
          <w:i/>
          <w:iCs/>
        </w:rPr>
        <w:t>Journal of Healthcare Leadership</w:t>
      </w:r>
      <w:r w:rsidR="0066677C">
        <w:rPr>
          <w:i/>
          <w:iCs/>
        </w:rPr>
        <w:t xml:space="preserve">, </w:t>
      </w:r>
      <w:r w:rsidR="000D579A">
        <w:t>13(1), pp. 85-108.</w:t>
      </w:r>
    </w:p>
    <w:p w14:paraId="51730655" w14:textId="532FFDAC" w:rsidR="009156F8" w:rsidRDefault="009156F8" w:rsidP="00BC7811"/>
    <w:p w14:paraId="38ED62E1" w14:textId="5B9BCA01" w:rsidR="007F57D8" w:rsidRDefault="007F57D8" w:rsidP="00BC7811">
      <w:r>
        <w:t>Ham</w:t>
      </w:r>
      <w:r w:rsidR="00F53DD9">
        <w:t>, C., (2022),</w:t>
      </w:r>
      <w:r w:rsidR="0045548E">
        <w:t xml:space="preserve">’ </w:t>
      </w:r>
      <w:r w:rsidR="0045548E" w:rsidRPr="0045548E">
        <w:t>The new government’s plans bring the sustainability of the NHS into doubt</w:t>
      </w:r>
      <w:r w:rsidR="0045548E">
        <w:t xml:space="preserve">’, </w:t>
      </w:r>
      <w:r w:rsidR="00F64FCB">
        <w:rPr>
          <w:i/>
          <w:iCs/>
        </w:rPr>
        <w:t xml:space="preserve">British Medical Journal, </w:t>
      </w:r>
      <w:r w:rsidR="00F64FCB">
        <w:t>378(1)</w:t>
      </w:r>
      <w:r w:rsidR="0042107E">
        <w:t>.</w:t>
      </w:r>
    </w:p>
    <w:p w14:paraId="4FD901E9" w14:textId="189F8310" w:rsidR="00245DD9" w:rsidRPr="00BD55CE" w:rsidRDefault="00245DD9" w:rsidP="00BC7811">
      <w:pPr>
        <w:rPr>
          <w:i/>
          <w:iCs/>
        </w:rPr>
      </w:pPr>
      <w:r w:rsidRPr="00245DD9">
        <w:t>Hoffmann, A., Schellhorn, A., M., Ritter, M., Sachse, P., and Maran T.</w:t>
      </w:r>
      <w:r w:rsidR="00C8291A">
        <w:t xml:space="preserve"> (2024),’ </w:t>
      </w:r>
      <w:r w:rsidR="008863A5" w:rsidRPr="008863A5">
        <w:t>Blink Synchronization Increases Over Time and Predicts Problem-Solving Performance in Virtual Teams</w:t>
      </w:r>
      <w:r w:rsidR="008863A5">
        <w:t xml:space="preserve">’, </w:t>
      </w:r>
      <w:r w:rsidR="00BD55CE">
        <w:rPr>
          <w:i/>
          <w:iCs/>
        </w:rPr>
        <w:t xml:space="preserve">Journal of Small Group Research, </w:t>
      </w:r>
      <w:r w:rsidR="00BD55CE" w:rsidRPr="00BC3371">
        <w:t>55(5).</w:t>
      </w:r>
    </w:p>
    <w:p w14:paraId="54802F10" w14:textId="1A9B9480" w:rsidR="00884057" w:rsidRDefault="009A5571" w:rsidP="00BC7811">
      <w:r w:rsidRPr="009A5571">
        <w:t>Kuffuor, O., Sakhi</w:t>
      </w:r>
      <w:r w:rsidR="007A2185">
        <w:t>, A., Jaiswal, A., Smith, R. J., Morris, P.</w:t>
      </w:r>
      <w:r w:rsidRPr="009A5571">
        <w:t xml:space="preserve"> V.</w:t>
      </w:r>
      <w:r w:rsidR="00757CB6">
        <w:t xml:space="preserve"> </w:t>
      </w:r>
      <w:r w:rsidRPr="009A5571">
        <w:t> </w:t>
      </w:r>
      <w:r w:rsidR="00757CB6">
        <w:t>(2024),</w:t>
      </w:r>
      <w:r w:rsidR="00B63EB5">
        <w:t xml:space="preserve">’ </w:t>
      </w:r>
      <w:r w:rsidR="005C4A04" w:rsidRPr="005C4A04">
        <w:t>Transformative Pathways: Implementing Intercultural Competence Development in Higher Education Using Kotter’s Change Model</w:t>
      </w:r>
      <w:r w:rsidR="00B63EB5">
        <w:t xml:space="preserve">’, </w:t>
      </w:r>
      <w:r w:rsidR="00DF797B" w:rsidRPr="00DF797B">
        <w:t> </w:t>
      </w:r>
      <w:r w:rsidR="00DF797B" w:rsidRPr="00DF797B">
        <w:rPr>
          <w:i/>
          <w:iCs/>
        </w:rPr>
        <w:t>Education Sciences</w:t>
      </w:r>
      <w:r w:rsidR="00DF797B">
        <w:rPr>
          <w:i/>
          <w:iCs/>
        </w:rPr>
        <w:t xml:space="preserve">, </w:t>
      </w:r>
      <w:r w:rsidR="00EA4823">
        <w:t xml:space="preserve">14(7). </w:t>
      </w:r>
    </w:p>
    <w:p w14:paraId="7D8BE366" w14:textId="601DA9FF" w:rsidR="007A2185" w:rsidRDefault="007A2185" w:rsidP="00BC7811">
      <w:pPr>
        <w:rPr>
          <w:i/>
          <w:iCs/>
        </w:rPr>
      </w:pPr>
      <w:r w:rsidRPr="007A2185">
        <w:t>MacLellan, J., Turnbull, J., Prichard, J., and Pope, C.</w:t>
      </w:r>
      <w:r w:rsidR="00055552">
        <w:t xml:space="preserve"> (2023),’ </w:t>
      </w:r>
      <w:r w:rsidR="00C03E66" w:rsidRPr="00C03E66">
        <w:t>Emergency department staff views of NHS 111 First: qualitative interview study in England</w:t>
      </w:r>
      <w:r w:rsidR="00C03E66">
        <w:t>’,</w:t>
      </w:r>
      <w:r w:rsidR="00C03E66" w:rsidRPr="00C03E66">
        <w:t xml:space="preserve"> </w:t>
      </w:r>
      <w:r w:rsidR="00C03E66" w:rsidRPr="00C03E66">
        <w:rPr>
          <w:i/>
          <w:iCs/>
        </w:rPr>
        <w:t>Emergency Medicine Journal: EMJ</w:t>
      </w:r>
      <w:r w:rsidR="00C20759">
        <w:rPr>
          <w:i/>
          <w:iCs/>
        </w:rPr>
        <w:t xml:space="preserve">. </w:t>
      </w:r>
    </w:p>
    <w:p w14:paraId="7D0BB94E" w14:textId="21AE4C57" w:rsidR="00AC4FEC" w:rsidRPr="001963C8" w:rsidRDefault="00AC4FEC" w:rsidP="00BC7811">
      <w:r w:rsidRPr="00AC4FEC">
        <w:t>Manandi, D., Tu, Q., Nashid H., Raeside, R., Redfern, J., and Karice H.</w:t>
      </w:r>
      <w:r>
        <w:t xml:space="preserve"> (</w:t>
      </w:r>
      <w:r w:rsidR="001C1EDD">
        <w:t xml:space="preserve">2024),’ </w:t>
      </w:r>
      <w:r w:rsidR="00864801" w:rsidRPr="00864801">
        <w:t>The evaluation of the Plan–Do–Study–Act cycles for a healthcare quality improvement intervention in primary care</w:t>
      </w:r>
      <w:r w:rsidR="00864801">
        <w:t xml:space="preserve">’, </w:t>
      </w:r>
      <w:r w:rsidR="008F2A4C" w:rsidRPr="008F2A4C">
        <w:t xml:space="preserve">  </w:t>
      </w:r>
      <w:r w:rsidR="008F2A4C" w:rsidRPr="008F2A4C">
        <w:rPr>
          <w:i/>
          <w:iCs/>
        </w:rPr>
        <w:t>Australian Journal of Primary Health</w:t>
      </w:r>
      <w:r w:rsidR="008F2A4C">
        <w:rPr>
          <w:i/>
          <w:iCs/>
        </w:rPr>
        <w:t xml:space="preserve">, </w:t>
      </w:r>
      <w:r w:rsidR="001963C8">
        <w:t>30(1).</w:t>
      </w:r>
    </w:p>
    <w:p w14:paraId="4AF40216" w14:textId="05004CAF" w:rsidR="0088282D" w:rsidRDefault="0088282D" w:rsidP="00BC7811">
      <w:r w:rsidRPr="0088282D">
        <w:t>Morciano, M., Checkland, K., Durand, M., A., Sutton, M., Mays, N.</w:t>
      </w:r>
      <w:r w:rsidR="006774C4">
        <w:t xml:space="preserve"> (2021),’</w:t>
      </w:r>
      <w:r w:rsidR="002D266B">
        <w:t xml:space="preserve"> </w:t>
      </w:r>
      <w:r w:rsidR="00191946" w:rsidRPr="00191946">
        <w:t>Comparison of the impact of two national health and social care integration programmes on emergency hospital admissions</w:t>
      </w:r>
      <w:r w:rsidR="00191946">
        <w:t xml:space="preserve">’, </w:t>
      </w:r>
      <w:r w:rsidR="00525FC0" w:rsidRPr="00525FC0">
        <w:t> </w:t>
      </w:r>
      <w:r w:rsidR="00525FC0" w:rsidRPr="00525FC0">
        <w:rPr>
          <w:i/>
          <w:iCs/>
        </w:rPr>
        <w:t>BMC Health Services Research</w:t>
      </w:r>
      <w:r w:rsidR="00525FC0">
        <w:rPr>
          <w:i/>
          <w:iCs/>
        </w:rPr>
        <w:t xml:space="preserve">, </w:t>
      </w:r>
      <w:r w:rsidR="002D266B">
        <w:t>1(10).</w:t>
      </w:r>
    </w:p>
    <w:p w14:paraId="670D19B6" w14:textId="74C66004" w:rsidR="00097374" w:rsidRPr="002D266B" w:rsidRDefault="00097374" w:rsidP="00BC7811">
      <w:r w:rsidRPr="00097374">
        <w:t>Mouazen, A., M., Hernández-Lara, A., B., Abdallah, F., Ramadan, M., Chahine, J., Baydoun, H., and Najib B., Z., </w:t>
      </w:r>
      <w:r>
        <w:t xml:space="preserve"> (</w:t>
      </w:r>
      <w:r w:rsidR="00003A77">
        <w:t xml:space="preserve">2024),’ </w:t>
      </w:r>
      <w:r w:rsidR="00003A77" w:rsidRPr="00003A77">
        <w:t>Transformational and Transactional Leaders and Their Role in Implementing the Kotter Change Management Model Ensuring Sustainable Change: An Empirical Study</w:t>
      </w:r>
      <w:r w:rsidR="00003A77">
        <w:t>’</w:t>
      </w:r>
      <w:r w:rsidR="00A66D3A">
        <w:t xml:space="preserve">, </w:t>
      </w:r>
      <w:r w:rsidR="00A66D3A">
        <w:rPr>
          <w:i/>
          <w:iCs/>
        </w:rPr>
        <w:t xml:space="preserve">Sustainability, </w:t>
      </w:r>
      <w:r w:rsidR="000F519A">
        <w:t>16(1).</w:t>
      </w:r>
    </w:p>
    <w:p w14:paraId="2770D4A2" w14:textId="658F53E5" w:rsidR="001B7EE9" w:rsidRDefault="00F27FDE" w:rsidP="001B7EE9">
      <w:r w:rsidRPr="00F27FDE">
        <w:t xml:space="preserve">Ritchie, C., Leff, B. </w:t>
      </w:r>
      <w:r w:rsidR="00804597">
        <w:t>(</w:t>
      </w:r>
      <w:r w:rsidR="00460FCE">
        <w:t xml:space="preserve">2022),’ </w:t>
      </w:r>
      <w:r w:rsidR="001B7EE9" w:rsidRPr="001B7EE9">
        <w:t>Home-Based Care Reimagined: A Full-Fledged Health Care Delivery Ecosystem Without Walls</w:t>
      </w:r>
      <w:r w:rsidR="001B7EE9">
        <w:t xml:space="preserve">’, </w:t>
      </w:r>
      <w:r w:rsidR="008A3CA6">
        <w:rPr>
          <w:i/>
          <w:iCs/>
        </w:rPr>
        <w:t xml:space="preserve">Health Affairs, </w:t>
      </w:r>
      <w:r w:rsidR="008A3CA6">
        <w:t>41(5).</w:t>
      </w:r>
    </w:p>
    <w:p w14:paraId="3ECCD3F8" w14:textId="07C3A606" w:rsidR="005E4CA8" w:rsidRDefault="005E4CA8" w:rsidP="001B7EE9">
      <w:r w:rsidRPr="005E4CA8">
        <w:t xml:space="preserve">Silva, J., A., M., Silva, </w:t>
      </w:r>
      <w:r w:rsidR="00801FE1">
        <w:t xml:space="preserve"> </w:t>
      </w:r>
      <w:r w:rsidRPr="005E4CA8">
        <w:t>J.,</w:t>
      </w:r>
      <w:r w:rsidR="00801FE1">
        <w:t xml:space="preserve"> </w:t>
      </w:r>
      <w:r w:rsidRPr="005E4CA8">
        <w:t xml:space="preserve"> A., M., Mininel, V., A., Fernandes A., H., Peduzzi, M., Harrison, R., Xyrichis, A.</w:t>
      </w:r>
      <w:r>
        <w:t xml:space="preserve"> (</w:t>
      </w:r>
      <w:r w:rsidR="003D11EA">
        <w:t xml:space="preserve">2022),’ </w:t>
      </w:r>
      <w:r w:rsidR="00945E00" w:rsidRPr="00945E00">
        <w:t>Collective leadership to improve professional practice, healthcare outcomes and staff well‐being</w:t>
      </w:r>
      <w:r w:rsidR="00945E00">
        <w:t xml:space="preserve">’, </w:t>
      </w:r>
      <w:r w:rsidR="00E61E36" w:rsidRPr="00E61E36">
        <w:rPr>
          <w:i/>
          <w:iCs/>
        </w:rPr>
        <w:t>Cochrane database of systematic reviews</w:t>
      </w:r>
      <w:r w:rsidR="00E61E36">
        <w:rPr>
          <w:i/>
          <w:iCs/>
        </w:rPr>
        <w:t xml:space="preserve">, </w:t>
      </w:r>
      <w:r w:rsidR="001E6FF7">
        <w:t>10(1).</w:t>
      </w:r>
    </w:p>
    <w:p w14:paraId="7431D1C0" w14:textId="38417D58" w:rsidR="001E5EC4" w:rsidRDefault="001E5EC4" w:rsidP="001B7EE9">
      <w:r w:rsidRPr="001E5EC4">
        <w:t>Simpson, R., M., Jacques, R., M., Nicholl, J., Stone, T., and Turner, J.</w:t>
      </w:r>
      <w:r>
        <w:t xml:space="preserve"> (</w:t>
      </w:r>
      <w:r w:rsidR="00E45B13">
        <w:t xml:space="preserve">2022),’ </w:t>
      </w:r>
      <w:r w:rsidR="00801FE1" w:rsidRPr="00801FE1">
        <w:t>Measuring the impact introducing NHS 111 online had on the NHS 111 telephone service and the wider NHS urgent care system: an observational study</w:t>
      </w:r>
      <w:r w:rsidR="00801FE1">
        <w:t xml:space="preserve">’, </w:t>
      </w:r>
      <w:r w:rsidR="00323CC1">
        <w:rPr>
          <w:i/>
          <w:iCs/>
        </w:rPr>
        <w:t xml:space="preserve">British Medical Journal Open, </w:t>
      </w:r>
      <w:r w:rsidR="00463B34">
        <w:t>12(7).</w:t>
      </w:r>
    </w:p>
    <w:p w14:paraId="7EA56253" w14:textId="11514315" w:rsidR="009A166E" w:rsidRDefault="009A166E" w:rsidP="001B7EE9">
      <w:r w:rsidRPr="009A166E">
        <w:lastRenderedPageBreak/>
        <w:t xml:space="preserve">Smith, I., M., Bayliss, E., and Mukoro, F.  </w:t>
      </w:r>
      <w:r w:rsidR="009E32D6">
        <w:t xml:space="preserve">(2021),’ </w:t>
      </w:r>
      <w:r w:rsidR="00BB6845" w:rsidRPr="00BB6845">
        <w:t>Capability building for large-scale transformational change: learning from an evaluation of a national programme</w:t>
      </w:r>
      <w:r w:rsidR="00BB6845">
        <w:t xml:space="preserve">’, </w:t>
      </w:r>
      <w:r w:rsidR="00BB6845">
        <w:rPr>
          <w:i/>
          <w:iCs/>
        </w:rPr>
        <w:t>British Medical Journal</w:t>
      </w:r>
      <w:r w:rsidR="006B04C2">
        <w:rPr>
          <w:i/>
          <w:iCs/>
        </w:rPr>
        <w:t xml:space="preserve">, </w:t>
      </w:r>
      <w:r w:rsidR="006B04C2">
        <w:t>10(1).</w:t>
      </w:r>
    </w:p>
    <w:p w14:paraId="6AEC725A" w14:textId="47852218" w:rsidR="008A0774" w:rsidRPr="006B04C2" w:rsidRDefault="008A0774" w:rsidP="001B7EE9">
      <w:r>
        <w:t>Soffien, C., A., and Aase, K. (</w:t>
      </w:r>
      <w:r w:rsidR="005542C8">
        <w:t xml:space="preserve">2021),’ </w:t>
      </w:r>
      <w:r w:rsidR="000547D5" w:rsidRPr="000547D5">
        <w:t>Physicians’ clinical experience and its association with healthcare quality: a systematised review</w:t>
      </w:r>
      <w:r w:rsidR="000547D5">
        <w:t xml:space="preserve">’, </w:t>
      </w:r>
      <w:r w:rsidR="000547D5" w:rsidRPr="000547D5">
        <w:rPr>
          <w:i/>
          <w:iCs/>
        </w:rPr>
        <w:t>British Medical Journal Open Quality</w:t>
      </w:r>
      <w:r w:rsidR="000547D5">
        <w:t xml:space="preserve">, </w:t>
      </w:r>
      <w:r w:rsidR="001729AB">
        <w:t>10(4).</w:t>
      </w:r>
    </w:p>
    <w:p w14:paraId="0F4CB5B9" w14:textId="2C1B3286" w:rsidR="00DF2E29" w:rsidRPr="00E26D39" w:rsidRDefault="00DF2E29" w:rsidP="001B7EE9">
      <w:r w:rsidRPr="00DF2E29">
        <w:t>Stilwell, P., A., Fissler, S., Burkitt, S., Smith, B., Stuttard, G., Kenny, S., Evans, D., and Maconochie, I. </w:t>
      </w:r>
      <w:r w:rsidR="005E2948">
        <w:t>(2022),’</w:t>
      </w:r>
      <w:r w:rsidR="002E3ADE" w:rsidRPr="002E3ADE">
        <w:t>NHS 111 Clinical Assessment Services: paediatric consultations</w:t>
      </w:r>
      <w:r w:rsidR="002E3ADE">
        <w:t>’,</w:t>
      </w:r>
      <w:r w:rsidR="00D25886">
        <w:t xml:space="preserve"> </w:t>
      </w:r>
      <w:r w:rsidR="00D25886" w:rsidRPr="00D25886">
        <w:rPr>
          <w:i/>
          <w:iCs/>
        </w:rPr>
        <w:t>Archives of Disease in Childhood</w:t>
      </w:r>
      <w:r w:rsidR="00D25886">
        <w:rPr>
          <w:i/>
          <w:iCs/>
        </w:rPr>
        <w:t xml:space="preserve">, </w:t>
      </w:r>
      <w:r w:rsidR="00E26D39">
        <w:t>107(3)</w:t>
      </w:r>
      <w:r w:rsidR="00AE757F">
        <w:t xml:space="preserve">. </w:t>
      </w:r>
    </w:p>
    <w:p w14:paraId="4E20A4B5" w14:textId="10063AE1" w:rsidR="00516B1A" w:rsidRDefault="00516B1A" w:rsidP="001B7EE9">
      <w:r w:rsidRPr="00516B1A">
        <w:t>Szczepura, A., Harue M., Wild, D., Nomura, T., Collinson, M., Kneafsey, R.</w:t>
      </w:r>
      <w:r w:rsidR="00990984">
        <w:t xml:space="preserve"> (2023),’ </w:t>
      </w:r>
      <w:r w:rsidR="00990984" w:rsidRPr="00990984">
        <w:t>Integrated Long-Term Care ‘Neighbourhoods’ to Support Older Populations: Evolving Strategies in Japan and England</w:t>
      </w:r>
      <w:r w:rsidR="000D5169">
        <w:t xml:space="preserve">’, </w:t>
      </w:r>
      <w:r w:rsidR="001A20C2" w:rsidRPr="001A20C2">
        <w:t xml:space="preserve"> </w:t>
      </w:r>
      <w:r w:rsidR="001A20C2" w:rsidRPr="001A20C2">
        <w:rPr>
          <w:i/>
          <w:iCs/>
        </w:rPr>
        <w:t>International Journal of Environmental Research and Public Health</w:t>
      </w:r>
      <w:r w:rsidR="001A20C2">
        <w:rPr>
          <w:i/>
          <w:iCs/>
        </w:rPr>
        <w:t xml:space="preserve">, </w:t>
      </w:r>
      <w:r w:rsidR="001A20C2">
        <w:t>20(14).</w:t>
      </w:r>
    </w:p>
    <w:p w14:paraId="770E31DA" w14:textId="61B2FF5C" w:rsidR="00362938" w:rsidRDefault="00611B3F" w:rsidP="001B7EE9">
      <w:r w:rsidRPr="00611B3F">
        <w:t>Taskin, T., Courpasson, D., Donis, C.</w:t>
      </w:r>
      <w:r>
        <w:t xml:space="preserve"> (2023),’ </w:t>
      </w:r>
      <w:r w:rsidR="00FA2163" w:rsidRPr="00FA2163">
        <w:t>Objectal resistance: The political role of personal objects in workers’ resistance to spatial change</w:t>
      </w:r>
      <w:r w:rsidR="00FA2163">
        <w:t xml:space="preserve">’, </w:t>
      </w:r>
      <w:r w:rsidR="00D3400C">
        <w:rPr>
          <w:i/>
          <w:iCs/>
        </w:rPr>
        <w:t xml:space="preserve">Journal of Human Relations, </w:t>
      </w:r>
      <w:r w:rsidR="00D3400C">
        <w:t xml:space="preserve">75(5). </w:t>
      </w:r>
    </w:p>
    <w:p w14:paraId="5F7D6E53" w14:textId="471D54F3" w:rsidR="00FA5270" w:rsidRDefault="00FA5270" w:rsidP="001B7EE9">
      <w:r w:rsidRPr="00FA5270">
        <w:t>Turner, J., Knowles, E., Simpson, R., Sampson, F., Dixon, S., Long, J., Bell-Gorrod, H., Jacques, R., Coster, J., Yang, H., Nicholl, J., Bath, P., Fall, D., and Stone, T.</w:t>
      </w:r>
      <w:r w:rsidR="002C5218">
        <w:t xml:space="preserve"> (2021),’</w:t>
      </w:r>
      <w:r w:rsidR="00CB6545">
        <w:t xml:space="preserve"> </w:t>
      </w:r>
      <w:r w:rsidR="003A0211" w:rsidRPr="003A0211">
        <w:t>Impact of NHS 111 Online on the NHS 111 telephone service and urgent care system: a mixed-methods study</w:t>
      </w:r>
      <w:r w:rsidR="003A0211">
        <w:t xml:space="preserve">’, </w:t>
      </w:r>
      <w:r w:rsidR="00486827" w:rsidRPr="00486827">
        <w:rPr>
          <w:i/>
          <w:iCs/>
        </w:rPr>
        <w:t>Health services and delivery research</w:t>
      </w:r>
      <w:r w:rsidR="00486827">
        <w:rPr>
          <w:i/>
          <w:iCs/>
        </w:rPr>
        <w:t xml:space="preserve">, </w:t>
      </w:r>
      <w:r w:rsidR="00CB6545">
        <w:t xml:space="preserve">9(21), </w:t>
      </w:r>
      <w:r w:rsidR="00A8697A">
        <w:t>1-148.</w:t>
      </w:r>
    </w:p>
    <w:p w14:paraId="609DE174" w14:textId="24FA8D00" w:rsidR="00CC46FD" w:rsidRPr="005223E2" w:rsidRDefault="00CC46FD" w:rsidP="001B7EE9">
      <w:r w:rsidRPr="00CC46FD">
        <w:t>Walji, H., D., Martin, E., Brookes, T., Ellis, S., A., Kolokotroni, M., Hernandez, L., and Martin-Ucar, A.</w:t>
      </w:r>
      <w:r>
        <w:t xml:space="preserve"> (</w:t>
      </w:r>
      <w:r w:rsidR="006B331D">
        <w:t xml:space="preserve">2024),’ </w:t>
      </w:r>
      <w:r w:rsidR="00902DA3" w:rsidRPr="00902DA3">
        <w:t xml:space="preserve">Using an </w:t>
      </w:r>
      <w:r w:rsidR="00AE4847">
        <w:t>organisational</w:t>
      </w:r>
      <w:r w:rsidR="00902DA3" w:rsidRPr="00902DA3">
        <w:t xml:space="preserve"> change model to improve lung cancer surgery services over five years</w:t>
      </w:r>
      <w:r w:rsidR="00902DA3">
        <w:t xml:space="preserve">’, </w:t>
      </w:r>
      <w:r w:rsidR="00AE4847" w:rsidRPr="00AE4847">
        <w:rPr>
          <w:i/>
          <w:iCs/>
        </w:rPr>
        <w:t xml:space="preserve">Journal of </w:t>
      </w:r>
      <w:r w:rsidR="00AE4847">
        <w:rPr>
          <w:i/>
          <w:iCs/>
        </w:rPr>
        <w:t>Thoracic Disease</w:t>
      </w:r>
      <w:r w:rsidR="00AE4847" w:rsidRPr="00AE4847">
        <w:rPr>
          <w:i/>
          <w:iCs/>
        </w:rPr>
        <w:t>,</w:t>
      </w:r>
      <w:r w:rsidR="00AE4847">
        <w:rPr>
          <w:i/>
          <w:iCs/>
        </w:rPr>
        <w:t xml:space="preserve"> </w:t>
      </w:r>
      <w:r w:rsidR="005223E2">
        <w:t>16(8), pp.</w:t>
      </w:r>
      <w:r w:rsidR="00C10FEF">
        <w:t xml:space="preserve"> 5042-5049. </w:t>
      </w:r>
    </w:p>
    <w:p w14:paraId="77EE7CBA" w14:textId="77777777" w:rsidR="008A3CA6" w:rsidRPr="00486827" w:rsidRDefault="008A3CA6" w:rsidP="001B7EE9">
      <w:pPr>
        <w:rPr>
          <w:i/>
          <w:iCs/>
        </w:rPr>
      </w:pPr>
    </w:p>
    <w:p w14:paraId="10CBFAA6" w14:textId="2E9A0479" w:rsidR="00F27FDE" w:rsidRDefault="00F27FDE" w:rsidP="00BC7811"/>
    <w:p w14:paraId="23709310" w14:textId="77777777" w:rsidR="006109AC" w:rsidRPr="006109AC" w:rsidRDefault="006109AC" w:rsidP="00BC7811"/>
    <w:p w14:paraId="38A4F423" w14:textId="77777777" w:rsidR="00083090" w:rsidRPr="00505F43" w:rsidRDefault="00083090" w:rsidP="00BC7811">
      <w:pPr>
        <w:rPr>
          <w:i/>
          <w:iCs/>
        </w:rPr>
      </w:pPr>
    </w:p>
    <w:p w14:paraId="5C740CC5" w14:textId="77777777" w:rsidR="003E6ACF" w:rsidRDefault="003E6ACF" w:rsidP="00BC7811"/>
    <w:p w14:paraId="7EAAD2E3" w14:textId="77777777" w:rsidR="003E6ACF" w:rsidRPr="003C464F" w:rsidRDefault="003E6ACF" w:rsidP="00BC7811"/>
    <w:p w14:paraId="536AF829" w14:textId="77777777" w:rsidR="008F5B89" w:rsidRDefault="008F5B89" w:rsidP="008F5B89">
      <w:pPr>
        <w:rPr>
          <w:b/>
          <w:bCs/>
          <w:sz w:val="28"/>
          <w:szCs w:val="28"/>
        </w:rPr>
      </w:pPr>
    </w:p>
    <w:p w14:paraId="72FE84D9" w14:textId="77777777" w:rsidR="00B62254" w:rsidRDefault="00B62254" w:rsidP="00B62254">
      <w:pPr>
        <w:rPr>
          <w:b/>
          <w:bCs/>
          <w:sz w:val="28"/>
          <w:szCs w:val="28"/>
        </w:rPr>
      </w:pPr>
    </w:p>
    <w:p w14:paraId="21CC989C" w14:textId="77777777" w:rsidR="008F5B89" w:rsidRDefault="008F5B89" w:rsidP="00B62254">
      <w:pPr>
        <w:rPr>
          <w:b/>
          <w:bCs/>
          <w:sz w:val="28"/>
          <w:szCs w:val="28"/>
        </w:rPr>
      </w:pPr>
    </w:p>
    <w:p w14:paraId="1A88EAD5" w14:textId="77777777" w:rsidR="00AE4010" w:rsidRPr="00AE4010" w:rsidRDefault="00AE4010">
      <w:pPr>
        <w:rPr>
          <w:b/>
          <w:bCs/>
          <w:sz w:val="28"/>
          <w:szCs w:val="28"/>
        </w:rPr>
      </w:pPr>
    </w:p>
    <w:sectPr w:rsidR="00AE4010" w:rsidRPr="00AE4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BEA"/>
    <w:rsid w:val="00003072"/>
    <w:rsid w:val="00003A77"/>
    <w:rsid w:val="000115B0"/>
    <w:rsid w:val="0002548C"/>
    <w:rsid w:val="000547D5"/>
    <w:rsid w:val="00055552"/>
    <w:rsid w:val="00081196"/>
    <w:rsid w:val="0008293B"/>
    <w:rsid w:val="00083090"/>
    <w:rsid w:val="000875FD"/>
    <w:rsid w:val="000954BB"/>
    <w:rsid w:val="000954D1"/>
    <w:rsid w:val="00097374"/>
    <w:rsid w:val="000A6BCC"/>
    <w:rsid w:val="000C45A0"/>
    <w:rsid w:val="000D5169"/>
    <w:rsid w:val="000D579A"/>
    <w:rsid w:val="000E1453"/>
    <w:rsid w:val="000E6A31"/>
    <w:rsid w:val="000F519A"/>
    <w:rsid w:val="001209D1"/>
    <w:rsid w:val="00121FE8"/>
    <w:rsid w:val="00123A04"/>
    <w:rsid w:val="001303C1"/>
    <w:rsid w:val="00137636"/>
    <w:rsid w:val="00137AB9"/>
    <w:rsid w:val="00141D47"/>
    <w:rsid w:val="00142A30"/>
    <w:rsid w:val="00157299"/>
    <w:rsid w:val="00167187"/>
    <w:rsid w:val="001729AB"/>
    <w:rsid w:val="00183E9A"/>
    <w:rsid w:val="00191946"/>
    <w:rsid w:val="0019203D"/>
    <w:rsid w:val="001963C8"/>
    <w:rsid w:val="001A20C2"/>
    <w:rsid w:val="001B7EE9"/>
    <w:rsid w:val="001C1EDD"/>
    <w:rsid w:val="001D3C42"/>
    <w:rsid w:val="001E5EC4"/>
    <w:rsid w:val="001E6FF7"/>
    <w:rsid w:val="001F14C7"/>
    <w:rsid w:val="001F1C0B"/>
    <w:rsid w:val="001F4917"/>
    <w:rsid w:val="002019FA"/>
    <w:rsid w:val="00201B5A"/>
    <w:rsid w:val="0022583E"/>
    <w:rsid w:val="00232838"/>
    <w:rsid w:val="00243019"/>
    <w:rsid w:val="00245DD9"/>
    <w:rsid w:val="00264557"/>
    <w:rsid w:val="0027060F"/>
    <w:rsid w:val="00273457"/>
    <w:rsid w:val="0027350D"/>
    <w:rsid w:val="00296884"/>
    <w:rsid w:val="002A6A80"/>
    <w:rsid w:val="002B2912"/>
    <w:rsid w:val="002B509A"/>
    <w:rsid w:val="002C0F7B"/>
    <w:rsid w:val="002C5218"/>
    <w:rsid w:val="002C62CF"/>
    <w:rsid w:val="002D266B"/>
    <w:rsid w:val="002E0F26"/>
    <w:rsid w:val="002E3ADE"/>
    <w:rsid w:val="002F3F3B"/>
    <w:rsid w:val="0030612D"/>
    <w:rsid w:val="0031485B"/>
    <w:rsid w:val="003218C0"/>
    <w:rsid w:val="00323CC1"/>
    <w:rsid w:val="0032549E"/>
    <w:rsid w:val="00330B19"/>
    <w:rsid w:val="00357837"/>
    <w:rsid w:val="00362938"/>
    <w:rsid w:val="003630E0"/>
    <w:rsid w:val="00363FE6"/>
    <w:rsid w:val="00370273"/>
    <w:rsid w:val="00371507"/>
    <w:rsid w:val="00377E64"/>
    <w:rsid w:val="00391B65"/>
    <w:rsid w:val="00392188"/>
    <w:rsid w:val="00394283"/>
    <w:rsid w:val="003971CD"/>
    <w:rsid w:val="003A00A9"/>
    <w:rsid w:val="003A0211"/>
    <w:rsid w:val="003B2661"/>
    <w:rsid w:val="003C464F"/>
    <w:rsid w:val="003D11EA"/>
    <w:rsid w:val="003E0CB5"/>
    <w:rsid w:val="003E6ACF"/>
    <w:rsid w:val="003F3356"/>
    <w:rsid w:val="003F3C71"/>
    <w:rsid w:val="0042107E"/>
    <w:rsid w:val="00422820"/>
    <w:rsid w:val="00422C1E"/>
    <w:rsid w:val="00454DD6"/>
    <w:rsid w:val="0045548E"/>
    <w:rsid w:val="00456C80"/>
    <w:rsid w:val="00460FCE"/>
    <w:rsid w:val="00463B34"/>
    <w:rsid w:val="0046651C"/>
    <w:rsid w:val="00486012"/>
    <w:rsid w:val="00486827"/>
    <w:rsid w:val="00486AFE"/>
    <w:rsid w:val="004910F3"/>
    <w:rsid w:val="0049683D"/>
    <w:rsid w:val="004A64EF"/>
    <w:rsid w:val="004A7377"/>
    <w:rsid w:val="004A7419"/>
    <w:rsid w:val="004B20BF"/>
    <w:rsid w:val="004D139A"/>
    <w:rsid w:val="004D7889"/>
    <w:rsid w:val="00505F43"/>
    <w:rsid w:val="005146AD"/>
    <w:rsid w:val="00516B1A"/>
    <w:rsid w:val="005223E2"/>
    <w:rsid w:val="00525FC0"/>
    <w:rsid w:val="005260A5"/>
    <w:rsid w:val="005270A7"/>
    <w:rsid w:val="00534BEA"/>
    <w:rsid w:val="005542C8"/>
    <w:rsid w:val="00554C26"/>
    <w:rsid w:val="0055714E"/>
    <w:rsid w:val="005646CC"/>
    <w:rsid w:val="00566873"/>
    <w:rsid w:val="00572942"/>
    <w:rsid w:val="0057544A"/>
    <w:rsid w:val="005853E2"/>
    <w:rsid w:val="00585438"/>
    <w:rsid w:val="00585A10"/>
    <w:rsid w:val="005A3584"/>
    <w:rsid w:val="005C4A04"/>
    <w:rsid w:val="005D58B7"/>
    <w:rsid w:val="005E2948"/>
    <w:rsid w:val="005E3E96"/>
    <w:rsid w:val="005E4CA8"/>
    <w:rsid w:val="005E4E59"/>
    <w:rsid w:val="005F1970"/>
    <w:rsid w:val="005F36DE"/>
    <w:rsid w:val="006109AC"/>
    <w:rsid w:val="00611B3F"/>
    <w:rsid w:val="00613EFD"/>
    <w:rsid w:val="006173FE"/>
    <w:rsid w:val="00622F98"/>
    <w:rsid w:val="006306D1"/>
    <w:rsid w:val="00646E85"/>
    <w:rsid w:val="00654C10"/>
    <w:rsid w:val="00665231"/>
    <w:rsid w:val="0066677C"/>
    <w:rsid w:val="00674B20"/>
    <w:rsid w:val="006774C4"/>
    <w:rsid w:val="006841B5"/>
    <w:rsid w:val="00684877"/>
    <w:rsid w:val="006A1262"/>
    <w:rsid w:val="006A3BDC"/>
    <w:rsid w:val="006B04C2"/>
    <w:rsid w:val="006B331D"/>
    <w:rsid w:val="006C3467"/>
    <w:rsid w:val="006D7671"/>
    <w:rsid w:val="006E1C6F"/>
    <w:rsid w:val="0070550A"/>
    <w:rsid w:val="00714677"/>
    <w:rsid w:val="00717829"/>
    <w:rsid w:val="00722CC4"/>
    <w:rsid w:val="007249BE"/>
    <w:rsid w:val="0074416F"/>
    <w:rsid w:val="00757918"/>
    <w:rsid w:val="00757CB6"/>
    <w:rsid w:val="00791B30"/>
    <w:rsid w:val="00794C80"/>
    <w:rsid w:val="007A2185"/>
    <w:rsid w:val="007B485B"/>
    <w:rsid w:val="007C6AE8"/>
    <w:rsid w:val="007D4FDC"/>
    <w:rsid w:val="007D643F"/>
    <w:rsid w:val="007E13B4"/>
    <w:rsid w:val="007E7F00"/>
    <w:rsid w:val="007F57D8"/>
    <w:rsid w:val="00801FE1"/>
    <w:rsid w:val="00804597"/>
    <w:rsid w:val="00812C7D"/>
    <w:rsid w:val="00822E74"/>
    <w:rsid w:val="00825576"/>
    <w:rsid w:val="00847866"/>
    <w:rsid w:val="00861E93"/>
    <w:rsid w:val="00862FE7"/>
    <w:rsid w:val="00864801"/>
    <w:rsid w:val="0086598C"/>
    <w:rsid w:val="008817D2"/>
    <w:rsid w:val="0088282D"/>
    <w:rsid w:val="00884057"/>
    <w:rsid w:val="008863A5"/>
    <w:rsid w:val="00886C44"/>
    <w:rsid w:val="008A0774"/>
    <w:rsid w:val="008A3CA6"/>
    <w:rsid w:val="008C1E44"/>
    <w:rsid w:val="008D77FB"/>
    <w:rsid w:val="008E24A1"/>
    <w:rsid w:val="008F2A4C"/>
    <w:rsid w:val="008F5B89"/>
    <w:rsid w:val="00902DA3"/>
    <w:rsid w:val="00903660"/>
    <w:rsid w:val="0090400A"/>
    <w:rsid w:val="00914D68"/>
    <w:rsid w:val="009156F8"/>
    <w:rsid w:val="00917F3A"/>
    <w:rsid w:val="00924D6C"/>
    <w:rsid w:val="00932BDE"/>
    <w:rsid w:val="00940BBE"/>
    <w:rsid w:val="009432AC"/>
    <w:rsid w:val="00945E00"/>
    <w:rsid w:val="00951DDE"/>
    <w:rsid w:val="00953838"/>
    <w:rsid w:val="009650E2"/>
    <w:rsid w:val="00973802"/>
    <w:rsid w:val="00973A8F"/>
    <w:rsid w:val="00981FDC"/>
    <w:rsid w:val="00990984"/>
    <w:rsid w:val="009A06CC"/>
    <w:rsid w:val="009A166E"/>
    <w:rsid w:val="009A5571"/>
    <w:rsid w:val="009B30CB"/>
    <w:rsid w:val="009B66AF"/>
    <w:rsid w:val="009B7C15"/>
    <w:rsid w:val="009E32D6"/>
    <w:rsid w:val="009E7A7B"/>
    <w:rsid w:val="009F3FC9"/>
    <w:rsid w:val="009F7653"/>
    <w:rsid w:val="00A03360"/>
    <w:rsid w:val="00A246E3"/>
    <w:rsid w:val="00A30AC5"/>
    <w:rsid w:val="00A343DA"/>
    <w:rsid w:val="00A61771"/>
    <w:rsid w:val="00A64150"/>
    <w:rsid w:val="00A66D3A"/>
    <w:rsid w:val="00A733B2"/>
    <w:rsid w:val="00A74906"/>
    <w:rsid w:val="00A86748"/>
    <w:rsid w:val="00A8697A"/>
    <w:rsid w:val="00A91C2A"/>
    <w:rsid w:val="00A946B3"/>
    <w:rsid w:val="00A97338"/>
    <w:rsid w:val="00AC4FEC"/>
    <w:rsid w:val="00AE0C6F"/>
    <w:rsid w:val="00AE3587"/>
    <w:rsid w:val="00AE4010"/>
    <w:rsid w:val="00AE4847"/>
    <w:rsid w:val="00AE5E82"/>
    <w:rsid w:val="00AE757F"/>
    <w:rsid w:val="00B31717"/>
    <w:rsid w:val="00B31C03"/>
    <w:rsid w:val="00B45CD0"/>
    <w:rsid w:val="00B46DFF"/>
    <w:rsid w:val="00B62254"/>
    <w:rsid w:val="00B63EB5"/>
    <w:rsid w:val="00B76454"/>
    <w:rsid w:val="00B76CAE"/>
    <w:rsid w:val="00B808B3"/>
    <w:rsid w:val="00B82DC1"/>
    <w:rsid w:val="00B95D17"/>
    <w:rsid w:val="00B972E1"/>
    <w:rsid w:val="00BB25F6"/>
    <w:rsid w:val="00BB2CDC"/>
    <w:rsid w:val="00BB30FF"/>
    <w:rsid w:val="00BB6845"/>
    <w:rsid w:val="00BC089D"/>
    <w:rsid w:val="00BC3371"/>
    <w:rsid w:val="00BC4818"/>
    <w:rsid w:val="00BC7811"/>
    <w:rsid w:val="00BD55CE"/>
    <w:rsid w:val="00BF3AF9"/>
    <w:rsid w:val="00BF7A9C"/>
    <w:rsid w:val="00C03E66"/>
    <w:rsid w:val="00C10FEF"/>
    <w:rsid w:val="00C11F9B"/>
    <w:rsid w:val="00C20759"/>
    <w:rsid w:val="00C2193F"/>
    <w:rsid w:val="00C3430F"/>
    <w:rsid w:val="00C504A5"/>
    <w:rsid w:val="00C57DA5"/>
    <w:rsid w:val="00C6547A"/>
    <w:rsid w:val="00C7028E"/>
    <w:rsid w:val="00C719EE"/>
    <w:rsid w:val="00C8291A"/>
    <w:rsid w:val="00C84316"/>
    <w:rsid w:val="00C93407"/>
    <w:rsid w:val="00C94241"/>
    <w:rsid w:val="00C9637F"/>
    <w:rsid w:val="00CB3192"/>
    <w:rsid w:val="00CB6545"/>
    <w:rsid w:val="00CB6B6A"/>
    <w:rsid w:val="00CC340B"/>
    <w:rsid w:val="00CC46FD"/>
    <w:rsid w:val="00CD279F"/>
    <w:rsid w:val="00CE47D9"/>
    <w:rsid w:val="00CE6069"/>
    <w:rsid w:val="00CE75EA"/>
    <w:rsid w:val="00CF3C2C"/>
    <w:rsid w:val="00CF5161"/>
    <w:rsid w:val="00D039AD"/>
    <w:rsid w:val="00D05826"/>
    <w:rsid w:val="00D25886"/>
    <w:rsid w:val="00D3400C"/>
    <w:rsid w:val="00D639B8"/>
    <w:rsid w:val="00D70F2D"/>
    <w:rsid w:val="00D7653D"/>
    <w:rsid w:val="00D84805"/>
    <w:rsid w:val="00D84C35"/>
    <w:rsid w:val="00D9454D"/>
    <w:rsid w:val="00DA1D7F"/>
    <w:rsid w:val="00DA2788"/>
    <w:rsid w:val="00DB6AC2"/>
    <w:rsid w:val="00DC0598"/>
    <w:rsid w:val="00DD13C5"/>
    <w:rsid w:val="00DD2123"/>
    <w:rsid w:val="00DD378A"/>
    <w:rsid w:val="00DF2E29"/>
    <w:rsid w:val="00DF797B"/>
    <w:rsid w:val="00E04090"/>
    <w:rsid w:val="00E12203"/>
    <w:rsid w:val="00E16385"/>
    <w:rsid w:val="00E26D39"/>
    <w:rsid w:val="00E40C4B"/>
    <w:rsid w:val="00E44650"/>
    <w:rsid w:val="00E457DD"/>
    <w:rsid w:val="00E45B13"/>
    <w:rsid w:val="00E45EB0"/>
    <w:rsid w:val="00E537B7"/>
    <w:rsid w:val="00E579C9"/>
    <w:rsid w:val="00E61E36"/>
    <w:rsid w:val="00E65C7D"/>
    <w:rsid w:val="00E778C2"/>
    <w:rsid w:val="00E95F09"/>
    <w:rsid w:val="00EA474D"/>
    <w:rsid w:val="00EA4823"/>
    <w:rsid w:val="00EB70D0"/>
    <w:rsid w:val="00EE02A5"/>
    <w:rsid w:val="00EE0B2C"/>
    <w:rsid w:val="00EE107C"/>
    <w:rsid w:val="00EF4CEB"/>
    <w:rsid w:val="00F0211C"/>
    <w:rsid w:val="00F02CE0"/>
    <w:rsid w:val="00F10296"/>
    <w:rsid w:val="00F125D0"/>
    <w:rsid w:val="00F140AD"/>
    <w:rsid w:val="00F27FDE"/>
    <w:rsid w:val="00F32EEE"/>
    <w:rsid w:val="00F43377"/>
    <w:rsid w:val="00F45D14"/>
    <w:rsid w:val="00F5349B"/>
    <w:rsid w:val="00F53DD9"/>
    <w:rsid w:val="00F56EDC"/>
    <w:rsid w:val="00F64FCB"/>
    <w:rsid w:val="00F67A7E"/>
    <w:rsid w:val="00F71652"/>
    <w:rsid w:val="00F72A9A"/>
    <w:rsid w:val="00F826CA"/>
    <w:rsid w:val="00F91FE8"/>
    <w:rsid w:val="00F922AD"/>
    <w:rsid w:val="00FA2163"/>
    <w:rsid w:val="00FA5270"/>
    <w:rsid w:val="00FA6BA4"/>
    <w:rsid w:val="00FA6D2F"/>
    <w:rsid w:val="00FB1DEB"/>
    <w:rsid w:val="00FB35A4"/>
    <w:rsid w:val="00FB7EB6"/>
    <w:rsid w:val="00FE1EA4"/>
    <w:rsid w:val="00FE5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D564F"/>
  <w15:chartTrackingRefBased/>
  <w15:docId w15:val="{1D42B6BA-B3FE-4C6F-9714-A3862C006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B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34B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34BE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34BE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34BE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34B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4B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4B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4B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BE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34BE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34BE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34BE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34BE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34B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4B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4B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4BEA"/>
    <w:rPr>
      <w:rFonts w:eastAsiaTheme="majorEastAsia" w:cstheme="majorBidi"/>
      <w:color w:val="272727" w:themeColor="text1" w:themeTint="D8"/>
    </w:rPr>
  </w:style>
  <w:style w:type="paragraph" w:styleId="Title">
    <w:name w:val="Title"/>
    <w:basedOn w:val="Normal"/>
    <w:next w:val="Normal"/>
    <w:link w:val="TitleChar"/>
    <w:uiPriority w:val="10"/>
    <w:qFormat/>
    <w:rsid w:val="00534B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4B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4B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4B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4BEA"/>
    <w:pPr>
      <w:spacing w:before="160"/>
      <w:jc w:val="center"/>
    </w:pPr>
    <w:rPr>
      <w:i/>
      <w:iCs/>
      <w:color w:val="404040" w:themeColor="text1" w:themeTint="BF"/>
    </w:rPr>
  </w:style>
  <w:style w:type="character" w:customStyle="1" w:styleId="QuoteChar">
    <w:name w:val="Quote Char"/>
    <w:basedOn w:val="DefaultParagraphFont"/>
    <w:link w:val="Quote"/>
    <w:uiPriority w:val="29"/>
    <w:rsid w:val="00534BEA"/>
    <w:rPr>
      <w:i/>
      <w:iCs/>
      <w:color w:val="404040" w:themeColor="text1" w:themeTint="BF"/>
    </w:rPr>
  </w:style>
  <w:style w:type="paragraph" w:styleId="ListParagraph">
    <w:name w:val="List Paragraph"/>
    <w:basedOn w:val="Normal"/>
    <w:uiPriority w:val="34"/>
    <w:qFormat/>
    <w:rsid w:val="00534BEA"/>
    <w:pPr>
      <w:ind w:left="720"/>
      <w:contextualSpacing/>
    </w:pPr>
  </w:style>
  <w:style w:type="character" w:styleId="IntenseEmphasis">
    <w:name w:val="Intense Emphasis"/>
    <w:basedOn w:val="DefaultParagraphFont"/>
    <w:uiPriority w:val="21"/>
    <w:qFormat/>
    <w:rsid w:val="00534BEA"/>
    <w:rPr>
      <w:i/>
      <w:iCs/>
      <w:color w:val="2F5496" w:themeColor="accent1" w:themeShade="BF"/>
    </w:rPr>
  </w:style>
  <w:style w:type="paragraph" w:styleId="IntenseQuote">
    <w:name w:val="Intense Quote"/>
    <w:basedOn w:val="Normal"/>
    <w:next w:val="Normal"/>
    <w:link w:val="IntenseQuoteChar"/>
    <w:uiPriority w:val="30"/>
    <w:qFormat/>
    <w:rsid w:val="00534B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34BEA"/>
    <w:rPr>
      <w:i/>
      <w:iCs/>
      <w:color w:val="2F5496" w:themeColor="accent1" w:themeShade="BF"/>
    </w:rPr>
  </w:style>
  <w:style w:type="character" w:styleId="IntenseReference">
    <w:name w:val="Intense Reference"/>
    <w:basedOn w:val="DefaultParagraphFont"/>
    <w:uiPriority w:val="32"/>
    <w:qFormat/>
    <w:rsid w:val="00534BEA"/>
    <w:rPr>
      <w:b/>
      <w:bCs/>
      <w:smallCaps/>
      <w:color w:val="2F5496" w:themeColor="accent1" w:themeShade="BF"/>
      <w:spacing w:val="5"/>
    </w:rPr>
  </w:style>
  <w:style w:type="character" w:styleId="Hyperlink">
    <w:name w:val="Hyperlink"/>
    <w:basedOn w:val="DefaultParagraphFont"/>
    <w:uiPriority w:val="99"/>
    <w:unhideWhenUsed/>
    <w:rsid w:val="00903660"/>
    <w:rPr>
      <w:color w:val="0563C1" w:themeColor="hyperlink"/>
      <w:u w:val="single"/>
    </w:rPr>
  </w:style>
  <w:style w:type="character" w:styleId="UnresolvedMention">
    <w:name w:val="Unresolved Mention"/>
    <w:basedOn w:val="DefaultParagraphFont"/>
    <w:uiPriority w:val="99"/>
    <w:semiHidden/>
    <w:unhideWhenUsed/>
    <w:rsid w:val="009036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11</Pages>
  <Words>5183</Words>
  <Characters>29545</Characters>
  <Application>Microsoft Office Word</Application>
  <DocSecurity>0</DocSecurity>
  <Lines>246</Lines>
  <Paragraphs>69</Paragraphs>
  <ScaleCrop>false</ScaleCrop>
  <Company/>
  <LinksUpToDate>false</LinksUpToDate>
  <CharactersWithSpaces>34659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utoi.pirosca</dc:creator>
  <cp:keywords/>
  <dc:description/>
  <cp:lastModifiedBy>nicoleta utoi.pirosca</cp:lastModifiedBy>
  <cp:revision>364</cp:revision>
  <dcterms:created xsi:type="dcterms:W3CDTF">2026-05-01T15:10:00Z</dcterms:created>
  <dcterms:modified xsi:type="dcterms:W3CDTF">2026-05-02T18:02:00Z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8a76ea3d-d2af-4c65-bce9-26dac3f759e7</vt:lpwstr>
  </property>
</Properties>
</file>