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9C8" w:rsidRDefault="005F1B47">
      <w:pPr>
        <w:rPr>
          <w:sz w:val="28"/>
          <w:szCs w:val="28"/>
        </w:rPr>
      </w:pPr>
      <w:r>
        <w:rPr>
          <w:sz w:val="28"/>
          <w:szCs w:val="28"/>
        </w:rPr>
        <w:t xml:space="preserve">1903588   Paula Smith       </w:t>
      </w:r>
      <w:r w:rsidR="00B909C8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Module 300</w:t>
      </w:r>
      <w:r w:rsidR="00B909C8">
        <w:rPr>
          <w:sz w:val="28"/>
          <w:szCs w:val="28"/>
        </w:rPr>
        <w:t>5                                6-11-2020</w:t>
      </w:r>
      <w:r>
        <w:rPr>
          <w:sz w:val="28"/>
          <w:szCs w:val="28"/>
        </w:rPr>
        <w:t xml:space="preserve">  </w:t>
      </w:r>
    </w:p>
    <w:p w:rsidR="009266C2" w:rsidRDefault="00B909C8">
      <w:pPr>
        <w:rPr>
          <w:sz w:val="28"/>
          <w:szCs w:val="28"/>
          <w:u w:val="single"/>
        </w:rPr>
      </w:pPr>
      <w:r w:rsidRPr="00B909C8">
        <w:rPr>
          <w:sz w:val="28"/>
          <w:szCs w:val="28"/>
          <w:u w:val="single"/>
        </w:rPr>
        <w:t>Critically engage with a scholarly view.</w:t>
      </w:r>
      <w:r w:rsidR="005F1B47" w:rsidRPr="00B909C8">
        <w:rPr>
          <w:sz w:val="28"/>
          <w:szCs w:val="28"/>
          <w:u w:val="single"/>
        </w:rPr>
        <w:t xml:space="preserve">   </w:t>
      </w:r>
    </w:p>
    <w:p w:rsidR="00B909C8" w:rsidRDefault="00B909C8">
      <w:pPr>
        <w:rPr>
          <w:sz w:val="28"/>
          <w:szCs w:val="28"/>
          <w:u w:val="single"/>
        </w:rPr>
      </w:pPr>
    </w:p>
    <w:p w:rsidR="00B909C8" w:rsidRPr="001537A7" w:rsidRDefault="001537A7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                  </w:t>
      </w:r>
      <w:r w:rsidR="00B909C8">
        <w:rPr>
          <w:rFonts w:asciiTheme="majorHAnsi" w:hAnsiTheme="majorHAnsi" w:cstheme="majorHAnsi"/>
          <w:sz w:val="28"/>
          <w:szCs w:val="28"/>
        </w:rPr>
        <w:t xml:space="preserve"> </w:t>
      </w:r>
      <w:r w:rsidR="00B909C8" w:rsidRPr="00B909C8">
        <w:rPr>
          <w:rFonts w:asciiTheme="majorHAnsi" w:hAnsiTheme="majorHAnsi" w:cstheme="majorHAnsi"/>
          <w:sz w:val="28"/>
          <w:szCs w:val="28"/>
          <w:u w:val="single"/>
        </w:rPr>
        <w:t>The Role of Culture in Grief</w:t>
      </w:r>
      <w:r>
        <w:rPr>
          <w:rFonts w:asciiTheme="majorHAnsi" w:hAnsiTheme="majorHAnsi" w:cstheme="majorHAnsi"/>
          <w:sz w:val="28"/>
          <w:szCs w:val="28"/>
        </w:rPr>
        <w:t>, by George Catlin.</w:t>
      </w:r>
    </w:p>
    <w:p w:rsidR="00B909C8" w:rsidRDefault="001537A7">
      <w:pP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</w:pP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This</w:t>
      </w:r>
      <w:r w:rsidR="00B909C8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article looks at the impact culture has on the experience of grief, in two cohorts of University students, in America and Spain. It states that although</w:t>
      </w:r>
      <w:r w:rsidR="00761715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grief is biologically based,</w:t>
      </w:r>
      <w:r w:rsidR="00B909C8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es</w:t>
      </w:r>
      <w:r w:rsidR="00761715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tablished in other research,</w:t>
      </w:r>
      <w:r w:rsidR="00B909C8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social ties to other individuals and the surrounding community have influence on the experie</w:t>
      </w:r>
      <w:r w:rsidR="00761715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nce of bereavement</w:t>
      </w:r>
      <w:r w:rsidR="00B909C8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.</w:t>
      </w:r>
    </w:p>
    <w:p w:rsidR="008F6077" w:rsidRDefault="006F17C6">
      <w:pP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</w:pP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Using</w:t>
      </w:r>
      <w:r w:rsidR="00761715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information</w:t>
      </w:r>
      <w:r w:rsidR="00B909C8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from the questionnaires</w:t>
      </w: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completed by </w:t>
      </w:r>
      <w:r w:rsidR="00B11508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students, conclusions regarding the common features of bereavement and the differences are made.</w:t>
      </w:r>
      <w:r w:rsidR="008F6077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It does answer the question as to whether culture effects the experience, and concludes that it does. </w:t>
      </w:r>
    </w:p>
    <w:p w:rsidR="008F6077" w:rsidRDefault="008F6077">
      <w:pP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</w:pP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The evidence is from i</w:t>
      </w:r>
      <w:r w:rsidR="00761715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ts own Primary source</w:t>
      </w:r>
      <w:r w:rsidR="00EF7533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experience and</w:t>
      </w:r>
      <w:bookmarkStart w:id="0" w:name="_GoBack"/>
      <w:bookmarkEnd w:id="0"/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previous research, and the argument is persuasive.</w:t>
      </w:r>
      <w:r w:rsidR="005B154C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It looks at common features and effects, and the differences. It also looks at</w:t>
      </w: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the experience of bereavement befo</w:t>
      </w:r>
      <w:r w:rsidR="00BB7772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re and after experiencing it, and</w:t>
      </w: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concludes </w:t>
      </w:r>
      <w:r w:rsidR="00BB7772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that the</w:t>
      </w:r>
      <w:r w:rsidR="001537A7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learning we have from observing others,</w:t>
      </w: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informs our experience</w:t>
      </w:r>
      <w:r w:rsidR="005B154C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.</w:t>
      </w:r>
    </w:p>
    <w:p w:rsidR="005B154C" w:rsidRDefault="001537A7" w:rsidP="00C3136D">
      <w:pP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</w:pP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23 years later, </w:t>
      </w:r>
      <w:r w:rsidR="0003588E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Neil Thompson</w:t>
      </w:r>
      <w:r w:rsidR="00DE7241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(Thompson.2016)</w:t>
      </w:r>
      <w:r w:rsidR="0003588E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work</w:t>
      </w:r>
      <w:r w:rsidR="00DE7241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s</w:t>
      </w: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from a sociological viewpoint</w:t>
      </w:r>
      <w:r w:rsidR="0003588E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, using a case study to contrast the psychological and sociological perspectives.</w:t>
      </w:r>
      <w:r w:rsidR="00C3136D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He calls for a holistic interactive understanding of loss, and he warns of the potential danger of assuming members of a social group will experience the same response.</w:t>
      </w:r>
    </w:p>
    <w:p w:rsidR="00C3136D" w:rsidRDefault="00C3136D" w:rsidP="00C3136D">
      <w:pP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</w:pP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In</w:t>
      </w:r>
      <w:r w:rsidR="006F17C6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examining the research into</w:t>
      </w: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cultural differences in our universal response to loss, it seems the evidence is saying there needs to be a dynamic under</w:t>
      </w:r>
      <w:r w:rsidR="006F17C6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standing of the interplay of</w:t>
      </w: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individual experience of</w:t>
      </w:r>
      <w:r w:rsidR="006F17C6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processing</w:t>
      </w: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distress, alongside the surrounding </w:t>
      </w:r>
      <w:r w:rsidR="006F17C6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network of society</w:t>
      </w:r>
      <w: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.</w:t>
      </w:r>
      <w:r w:rsidR="006F17C6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If we learn from the society around us, the pathway through loss is laid out, but our individual experience of withstanding distress and reaching out to others</w:t>
      </w:r>
      <w:r w:rsidR="00FC1D08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,</w:t>
      </w:r>
      <w:r w:rsidR="006F17C6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influences o</w:t>
      </w:r>
      <w:r w:rsidR="00FC1D08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ur experience of</w:t>
      </w:r>
      <w:r w:rsidR="006F17C6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 xml:space="preserve"> that journey.</w:t>
      </w:r>
    </w:p>
    <w:p w:rsidR="00C3136D" w:rsidRDefault="00C3136D" w:rsidP="00C3136D">
      <w:pP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</w:pPr>
    </w:p>
    <w:p w:rsidR="001537A7" w:rsidRDefault="001537A7" w:rsidP="00C3136D">
      <w:pP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</w:pPr>
    </w:p>
    <w:p w:rsidR="005B154C" w:rsidRDefault="005B154C">
      <w:pP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</w:pPr>
    </w:p>
    <w:p w:rsidR="005B154C" w:rsidRDefault="00FC1D08">
      <w:pPr>
        <w:rPr>
          <w:rFonts w:asciiTheme="majorHAnsi" w:hAnsiTheme="majorHAnsi" w:cstheme="majorHAnsi"/>
          <w:color w:val="3A3A3A"/>
          <w:sz w:val="28"/>
          <w:szCs w:val="28"/>
          <w:u w:val="single"/>
          <w:shd w:val="clear" w:color="auto" w:fill="FFFFFF"/>
        </w:rPr>
      </w:pPr>
      <w:r w:rsidRPr="00FC1D08">
        <w:rPr>
          <w:rFonts w:asciiTheme="majorHAnsi" w:hAnsiTheme="majorHAnsi" w:cstheme="majorHAnsi"/>
          <w:color w:val="3A3A3A"/>
          <w:sz w:val="28"/>
          <w:szCs w:val="28"/>
          <w:u w:val="single"/>
          <w:shd w:val="clear" w:color="auto" w:fill="FFFFFF"/>
        </w:rPr>
        <w:lastRenderedPageBreak/>
        <w:t>Reference list.</w:t>
      </w:r>
    </w:p>
    <w:p w:rsidR="001537A7" w:rsidRDefault="001537A7">
      <w:pPr>
        <w:rPr>
          <w:rFonts w:asciiTheme="majorHAnsi" w:hAnsiTheme="majorHAnsi" w:cstheme="majorHAnsi"/>
          <w:color w:val="3A3A3A"/>
          <w:sz w:val="28"/>
          <w:szCs w:val="28"/>
          <w:u w:val="single"/>
          <w:shd w:val="clear" w:color="auto" w:fill="FFFFFF"/>
        </w:rPr>
      </w:pPr>
    </w:p>
    <w:p w:rsidR="001537A7" w:rsidRDefault="001537A7" w:rsidP="001537A7">
      <w:pP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</w:pP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Catlin, G., 1993. The Role of Culture in Grief. </w:t>
      </w:r>
      <w:r>
        <w:rPr>
          <w:rFonts w:ascii="Helvetica" w:hAnsi="Helvetica" w:cs="Helvetica"/>
          <w:i/>
          <w:iCs/>
          <w:color w:val="3A3A3A"/>
          <w:sz w:val="23"/>
          <w:szCs w:val="23"/>
          <w:shd w:val="clear" w:color="auto" w:fill="FFFFFF"/>
        </w:rPr>
        <w:t>The Journal of social psychology</w:t>
      </w: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, 133(2), pp.173–184.</w:t>
      </w:r>
    </w:p>
    <w:p w:rsidR="001537A7" w:rsidRDefault="001537A7">
      <w:pPr>
        <w:rPr>
          <w:rFonts w:asciiTheme="majorHAnsi" w:hAnsiTheme="majorHAnsi" w:cstheme="majorHAnsi"/>
          <w:color w:val="3A3A3A"/>
          <w:sz w:val="28"/>
          <w:szCs w:val="28"/>
          <w:u w:val="single"/>
          <w:shd w:val="clear" w:color="auto" w:fill="FFFFFF"/>
        </w:rPr>
      </w:pPr>
    </w:p>
    <w:p w:rsidR="005B154C" w:rsidRDefault="0003588E">
      <w:pP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</w:pP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Thompson, Neil et al., 2016</w:t>
      </w:r>
      <w:r w:rsidR="00FC1D08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.</w:t>
      </w: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 </w:t>
      </w:r>
      <w:r>
        <w:rPr>
          <w:rFonts w:ascii="Helvetica" w:hAnsi="Helvetica" w:cs="Helvetica"/>
          <w:i/>
          <w:iCs/>
          <w:color w:val="3A3A3A"/>
          <w:sz w:val="23"/>
          <w:szCs w:val="23"/>
          <w:shd w:val="clear" w:color="auto" w:fill="FFFFFF"/>
        </w:rPr>
        <w:t>Death studies</w:t>
      </w: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, </w:t>
      </w:r>
      <w:proofErr w:type="spellStart"/>
      <w:r w:rsidR="00FC1D08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vol</w:t>
      </w:r>
      <w:proofErr w:type="spellEnd"/>
      <w:r w:rsidR="00FC1D08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40(3), pp.172–181.</w:t>
      </w:r>
      <w:r w:rsidR="001406FA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Available at:</w:t>
      </w:r>
    </w:p>
    <w:p w:rsidR="001406FA" w:rsidRDefault="00EF7533">
      <w:pP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</w:pPr>
      <w:hyperlink r:id="rId4" w:history="1">
        <w:r w:rsidR="001406FA" w:rsidRPr="00BE7E1C">
          <w:rPr>
            <w:rStyle w:val="Hyperlink"/>
            <w:rFonts w:asciiTheme="majorHAnsi" w:hAnsiTheme="majorHAnsi" w:cstheme="majorHAnsi"/>
            <w:sz w:val="28"/>
            <w:szCs w:val="28"/>
            <w:shd w:val="clear" w:color="auto" w:fill="FFFFFF"/>
          </w:rPr>
          <w:t>https://www.iwgddb.com/wp-content/uploads/2016/08/The-case-for-a-sociology-of-dying-death-and-bereavement.pdf</w:t>
        </w:r>
      </w:hyperlink>
      <w:r w:rsidR="001406FA"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  <w:t>. Accessed on 07-11-2020.</w:t>
      </w:r>
    </w:p>
    <w:p w:rsidR="005B154C" w:rsidRDefault="005B154C">
      <w:pP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</w:pPr>
    </w:p>
    <w:p w:rsidR="008F6077" w:rsidRDefault="008F6077">
      <w:pPr>
        <w:rPr>
          <w:rFonts w:asciiTheme="majorHAnsi" w:hAnsiTheme="majorHAnsi" w:cstheme="majorHAnsi"/>
          <w:color w:val="3A3A3A"/>
          <w:sz w:val="28"/>
          <w:szCs w:val="28"/>
          <w:shd w:val="clear" w:color="auto" w:fill="FFFFFF"/>
        </w:rPr>
      </w:pPr>
    </w:p>
    <w:p w:rsidR="00B909C8" w:rsidRPr="00B909C8" w:rsidRDefault="00B909C8">
      <w:pPr>
        <w:rPr>
          <w:rFonts w:asciiTheme="majorHAnsi" w:hAnsiTheme="majorHAnsi" w:cstheme="majorHAnsi"/>
          <w:sz w:val="28"/>
          <w:szCs w:val="28"/>
        </w:rPr>
      </w:pPr>
    </w:p>
    <w:sectPr w:rsidR="00B909C8" w:rsidRPr="00B909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QwMTQztjQwsDAwNzdT0lEKTi0uzszPAykwrgUArudq3iwAAAA="/>
  </w:docVars>
  <w:rsids>
    <w:rsidRoot w:val="005F1B47"/>
    <w:rsid w:val="0003588E"/>
    <w:rsid w:val="001406FA"/>
    <w:rsid w:val="001537A7"/>
    <w:rsid w:val="005B154C"/>
    <w:rsid w:val="005F1B47"/>
    <w:rsid w:val="006F17C6"/>
    <w:rsid w:val="00761715"/>
    <w:rsid w:val="008F54D5"/>
    <w:rsid w:val="008F6077"/>
    <w:rsid w:val="009266C2"/>
    <w:rsid w:val="00B11508"/>
    <w:rsid w:val="00B909C8"/>
    <w:rsid w:val="00BB7772"/>
    <w:rsid w:val="00C3136D"/>
    <w:rsid w:val="00D86678"/>
    <w:rsid w:val="00DE7241"/>
    <w:rsid w:val="00EF7533"/>
    <w:rsid w:val="00FC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B4074F-DDBC-4858-8366-235A1B1A8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06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wgddb.com/wp-content/uploads/2016/08/The-case-for-a-sociology-of-dying-death-and-bereave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Maeve</dc:creator>
  <cp:keywords/>
  <dc:description/>
  <cp:lastModifiedBy>Maeve</cp:lastModifiedBy>
  <cp:revision>2</cp:revision>
  <dcterms:created xsi:type="dcterms:W3CDTF">2020-11-08T09:52:00Z</dcterms:created>
  <dcterms:modified xsi:type="dcterms:W3CDTF">2020-11-08T09:52:00Z</dcterms:modified>
</cp:coreProperties>
</file>