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64890C" w14:textId="0E0316AA" w:rsidR="00B131C9" w:rsidRPr="00C54B30" w:rsidRDefault="00C54B30" w:rsidP="004E2FB1">
      <w:pPr>
        <w:spacing w:line="360" w:lineRule="auto"/>
        <w:jc w:val="both"/>
        <w:rPr>
          <w:rFonts w:ascii="Arial" w:hAnsi="Arial" w:cs="Arial"/>
          <w:u w:val="single"/>
        </w:rPr>
      </w:pPr>
      <w:r w:rsidRPr="00C54B30">
        <w:rPr>
          <w:rFonts w:ascii="Arial" w:hAnsi="Arial" w:cs="Arial"/>
          <w:u w:val="single"/>
        </w:rPr>
        <w:t xml:space="preserve">Contents </w:t>
      </w:r>
      <w:bookmarkStart w:id="0" w:name="_GoBack"/>
      <w:bookmarkEnd w:id="0"/>
    </w:p>
    <w:p w14:paraId="6687638F" w14:textId="45C74903" w:rsidR="00C54B30" w:rsidRDefault="00C54B30" w:rsidP="004E2FB1">
      <w:pPr>
        <w:spacing w:line="360" w:lineRule="auto"/>
        <w:jc w:val="both"/>
        <w:rPr>
          <w:rFonts w:ascii="Arial" w:hAnsi="Arial" w:cs="Arial"/>
        </w:rPr>
      </w:pPr>
      <w:r>
        <w:rPr>
          <w:rFonts w:ascii="Arial" w:hAnsi="Arial" w:cs="Arial"/>
        </w:rPr>
        <w:t>Activity Plan                                                                                                             Page 1-</w:t>
      </w:r>
      <w:r w:rsidR="0064599F">
        <w:rPr>
          <w:rFonts w:ascii="Arial" w:hAnsi="Arial" w:cs="Arial"/>
        </w:rPr>
        <w:t>3</w:t>
      </w:r>
    </w:p>
    <w:p w14:paraId="21304DFC" w14:textId="3558E6A6" w:rsidR="00C54B30" w:rsidRDefault="00C54B30" w:rsidP="004E2FB1">
      <w:pPr>
        <w:spacing w:line="360" w:lineRule="auto"/>
        <w:jc w:val="both"/>
        <w:rPr>
          <w:rFonts w:ascii="Arial" w:hAnsi="Arial" w:cs="Arial"/>
        </w:rPr>
      </w:pPr>
      <w:r>
        <w:rPr>
          <w:rFonts w:ascii="Arial" w:hAnsi="Arial" w:cs="Arial"/>
        </w:rPr>
        <w:t xml:space="preserve">Evaluation of Activity Plan       </w:t>
      </w:r>
      <w:r w:rsidR="0064599F">
        <w:rPr>
          <w:rFonts w:ascii="Arial" w:hAnsi="Arial" w:cs="Arial"/>
        </w:rPr>
        <w:t xml:space="preserve">                                                                                Page 3-5</w:t>
      </w:r>
    </w:p>
    <w:p w14:paraId="3A927838" w14:textId="19449DCD" w:rsidR="00C54B30" w:rsidRDefault="00C54B30" w:rsidP="004E2FB1">
      <w:pPr>
        <w:spacing w:line="360" w:lineRule="auto"/>
        <w:jc w:val="both"/>
        <w:rPr>
          <w:rFonts w:ascii="Arial" w:hAnsi="Arial" w:cs="Arial"/>
        </w:rPr>
      </w:pPr>
      <w:r>
        <w:rPr>
          <w:rFonts w:ascii="Arial" w:hAnsi="Arial" w:cs="Arial"/>
        </w:rPr>
        <w:t xml:space="preserve">Resources </w:t>
      </w:r>
      <w:r w:rsidR="0064599F">
        <w:rPr>
          <w:rFonts w:ascii="Arial" w:hAnsi="Arial" w:cs="Arial"/>
        </w:rPr>
        <w:t xml:space="preserve">                                                                                                              Page 5-6</w:t>
      </w:r>
    </w:p>
    <w:p w14:paraId="16AA3560" w14:textId="13405A23" w:rsidR="008A0EEE" w:rsidRDefault="00C54B30" w:rsidP="004E2FB1">
      <w:pPr>
        <w:spacing w:line="360" w:lineRule="auto"/>
        <w:jc w:val="both"/>
        <w:rPr>
          <w:rFonts w:ascii="Arial" w:hAnsi="Arial" w:cs="Arial"/>
        </w:rPr>
      </w:pPr>
      <w:r>
        <w:rPr>
          <w:rFonts w:ascii="Arial" w:hAnsi="Arial" w:cs="Arial"/>
        </w:rPr>
        <w:t xml:space="preserve">Role of the Adult </w:t>
      </w:r>
      <w:r w:rsidR="0064599F">
        <w:rPr>
          <w:rFonts w:ascii="Arial" w:hAnsi="Arial" w:cs="Arial"/>
        </w:rPr>
        <w:t xml:space="preserve">  </w:t>
      </w:r>
      <w:r w:rsidR="008A0EEE">
        <w:rPr>
          <w:rFonts w:ascii="Arial" w:hAnsi="Arial" w:cs="Arial"/>
        </w:rPr>
        <w:t xml:space="preserve">                                                                                                   Page 6-8</w:t>
      </w:r>
    </w:p>
    <w:p w14:paraId="7F48E466" w14:textId="23C4F3BC" w:rsidR="00C54B30" w:rsidRDefault="008A0EEE" w:rsidP="004E2FB1">
      <w:pPr>
        <w:spacing w:line="360" w:lineRule="auto"/>
        <w:jc w:val="both"/>
        <w:rPr>
          <w:rFonts w:ascii="Arial" w:hAnsi="Arial" w:cs="Arial"/>
        </w:rPr>
      </w:pPr>
      <w:r>
        <w:rPr>
          <w:rFonts w:ascii="Arial" w:hAnsi="Arial" w:cs="Arial"/>
        </w:rPr>
        <w:t>References</w:t>
      </w:r>
      <w:r w:rsidR="0064599F">
        <w:rPr>
          <w:rFonts w:ascii="Arial" w:hAnsi="Arial" w:cs="Arial"/>
        </w:rPr>
        <w:t xml:space="preserve">                       </w:t>
      </w:r>
      <w:r>
        <w:rPr>
          <w:rFonts w:ascii="Arial" w:hAnsi="Arial" w:cs="Arial"/>
        </w:rPr>
        <w:t xml:space="preserve">                                                                                       Page 8-9</w:t>
      </w:r>
      <w:r w:rsidR="0064599F">
        <w:rPr>
          <w:rFonts w:ascii="Arial" w:hAnsi="Arial" w:cs="Arial"/>
        </w:rPr>
        <w:t xml:space="preserve">                                                                            </w:t>
      </w:r>
    </w:p>
    <w:tbl>
      <w:tblPr>
        <w:tblStyle w:val="TableGrid"/>
        <w:tblW w:w="0" w:type="auto"/>
        <w:tblLook w:val="04A0" w:firstRow="1" w:lastRow="0" w:firstColumn="1" w:lastColumn="0" w:noHBand="0" w:noVBand="1"/>
      </w:tblPr>
      <w:tblGrid>
        <w:gridCol w:w="2963"/>
        <w:gridCol w:w="3148"/>
        <w:gridCol w:w="2899"/>
      </w:tblGrid>
      <w:tr w:rsidR="00C54B30" w:rsidRPr="004E2FB1" w14:paraId="183008E6" w14:textId="77777777" w:rsidTr="00F63060">
        <w:tc>
          <w:tcPr>
            <w:tcW w:w="9016" w:type="dxa"/>
            <w:gridSpan w:val="3"/>
          </w:tcPr>
          <w:p w14:paraId="6F472A56" w14:textId="77777777" w:rsidR="00C54B30" w:rsidRPr="004E2FB1" w:rsidRDefault="00C54B30" w:rsidP="00F63060">
            <w:pPr>
              <w:spacing w:line="360" w:lineRule="auto"/>
              <w:jc w:val="both"/>
              <w:rPr>
                <w:rFonts w:ascii="Arial" w:hAnsi="Arial" w:cs="Arial"/>
                <w:i/>
              </w:rPr>
            </w:pPr>
            <w:r w:rsidRPr="004E2FB1">
              <w:rPr>
                <w:rFonts w:ascii="Arial" w:hAnsi="Arial" w:cs="Arial"/>
                <w:b/>
                <w:i/>
              </w:rPr>
              <w:t>Activity Plan</w:t>
            </w:r>
          </w:p>
        </w:tc>
      </w:tr>
      <w:tr w:rsidR="00C54B30" w:rsidRPr="004E2FB1" w14:paraId="154E7D5B" w14:textId="77777777" w:rsidTr="00F63060">
        <w:tc>
          <w:tcPr>
            <w:tcW w:w="9016" w:type="dxa"/>
            <w:gridSpan w:val="3"/>
          </w:tcPr>
          <w:p w14:paraId="05D22983" w14:textId="77777777" w:rsidR="00C54B30" w:rsidRPr="004E2FB1" w:rsidRDefault="00C54B30" w:rsidP="00F63060">
            <w:pPr>
              <w:spacing w:line="360" w:lineRule="auto"/>
              <w:jc w:val="both"/>
              <w:rPr>
                <w:rFonts w:ascii="Arial" w:hAnsi="Arial" w:cs="Arial"/>
                <w:bCs/>
                <w:iCs/>
              </w:rPr>
            </w:pPr>
            <w:r w:rsidRPr="004E2FB1">
              <w:rPr>
                <w:rFonts w:ascii="Arial" w:hAnsi="Arial" w:cs="Arial"/>
                <w:b/>
                <w:i/>
              </w:rPr>
              <w:t xml:space="preserve">Activity: </w:t>
            </w:r>
            <w:r w:rsidRPr="004E2FB1">
              <w:rPr>
                <w:rFonts w:ascii="Arial" w:hAnsi="Arial" w:cs="Arial"/>
                <w:bCs/>
                <w:iCs/>
              </w:rPr>
              <w:t>Baking a marble cake.</w:t>
            </w:r>
          </w:p>
          <w:p w14:paraId="6A8F44C7" w14:textId="77777777" w:rsidR="00C54B30" w:rsidRPr="004E2FB1" w:rsidRDefault="00C54B30" w:rsidP="00F63060">
            <w:pPr>
              <w:spacing w:line="360" w:lineRule="auto"/>
              <w:jc w:val="both"/>
              <w:rPr>
                <w:rFonts w:ascii="Arial" w:hAnsi="Arial" w:cs="Arial"/>
              </w:rPr>
            </w:pPr>
          </w:p>
        </w:tc>
      </w:tr>
      <w:tr w:rsidR="00C54B30" w:rsidRPr="004E2FB1" w14:paraId="58B043E2" w14:textId="77777777" w:rsidTr="00F63060">
        <w:tc>
          <w:tcPr>
            <w:tcW w:w="2965" w:type="dxa"/>
          </w:tcPr>
          <w:p w14:paraId="7F2BD795" w14:textId="77777777" w:rsidR="00C54B30" w:rsidRPr="004E2FB1" w:rsidRDefault="00C54B30" w:rsidP="00F63060">
            <w:pPr>
              <w:spacing w:line="360" w:lineRule="auto"/>
              <w:jc w:val="both"/>
              <w:rPr>
                <w:rFonts w:ascii="Arial" w:hAnsi="Arial" w:cs="Arial"/>
                <w:bCs/>
                <w:iCs/>
              </w:rPr>
            </w:pPr>
            <w:r w:rsidRPr="004E2FB1">
              <w:rPr>
                <w:rFonts w:ascii="Arial" w:hAnsi="Arial" w:cs="Arial"/>
                <w:b/>
                <w:i/>
              </w:rPr>
              <w:t xml:space="preserve">Number of children: </w:t>
            </w:r>
            <w:r w:rsidRPr="004E2FB1">
              <w:rPr>
                <w:rFonts w:ascii="Arial" w:hAnsi="Arial" w:cs="Arial"/>
                <w:bCs/>
                <w:iCs/>
              </w:rPr>
              <w:t>Six.</w:t>
            </w:r>
          </w:p>
          <w:p w14:paraId="4FFA72ED" w14:textId="77777777" w:rsidR="00C54B30" w:rsidRPr="004E2FB1" w:rsidRDefault="00C54B30" w:rsidP="00F63060">
            <w:pPr>
              <w:spacing w:line="360" w:lineRule="auto"/>
              <w:jc w:val="both"/>
              <w:rPr>
                <w:rFonts w:ascii="Arial" w:hAnsi="Arial" w:cs="Arial"/>
              </w:rPr>
            </w:pPr>
          </w:p>
        </w:tc>
        <w:tc>
          <w:tcPr>
            <w:tcW w:w="3150" w:type="dxa"/>
          </w:tcPr>
          <w:p w14:paraId="5617DB6B" w14:textId="77777777" w:rsidR="00C54B30" w:rsidRPr="004E2FB1" w:rsidRDefault="00C54B30" w:rsidP="00F63060">
            <w:pPr>
              <w:spacing w:line="360" w:lineRule="auto"/>
              <w:jc w:val="both"/>
              <w:rPr>
                <w:rFonts w:ascii="Arial" w:hAnsi="Arial" w:cs="Arial"/>
                <w:b/>
                <w:i/>
              </w:rPr>
            </w:pPr>
            <w:r w:rsidRPr="004E2FB1">
              <w:rPr>
                <w:rFonts w:ascii="Arial" w:hAnsi="Arial" w:cs="Arial"/>
                <w:b/>
                <w:i/>
              </w:rPr>
              <w:t xml:space="preserve">Age of children: </w:t>
            </w:r>
            <w:r w:rsidRPr="004E2FB1">
              <w:rPr>
                <w:rFonts w:ascii="Arial" w:hAnsi="Arial" w:cs="Arial"/>
                <w:bCs/>
                <w:iCs/>
              </w:rPr>
              <w:t>Between two and three years of age.</w:t>
            </w:r>
          </w:p>
        </w:tc>
        <w:tc>
          <w:tcPr>
            <w:tcW w:w="2901" w:type="dxa"/>
          </w:tcPr>
          <w:p w14:paraId="6C49723B" w14:textId="77777777" w:rsidR="00C54B30" w:rsidRPr="004E2FB1" w:rsidRDefault="00C54B30" w:rsidP="00F63060">
            <w:pPr>
              <w:spacing w:line="360" w:lineRule="auto"/>
              <w:jc w:val="both"/>
              <w:rPr>
                <w:rFonts w:ascii="Arial" w:hAnsi="Arial" w:cs="Arial"/>
                <w:i/>
              </w:rPr>
            </w:pPr>
            <w:r w:rsidRPr="004E2FB1">
              <w:rPr>
                <w:rFonts w:ascii="Arial" w:hAnsi="Arial" w:cs="Arial"/>
                <w:b/>
                <w:i/>
              </w:rPr>
              <w:t xml:space="preserve">Number of adults: </w:t>
            </w:r>
            <w:r w:rsidRPr="004E2FB1">
              <w:rPr>
                <w:rFonts w:ascii="Arial" w:hAnsi="Arial" w:cs="Arial"/>
                <w:bCs/>
                <w:iCs/>
              </w:rPr>
              <w:t>Two adults.</w:t>
            </w:r>
          </w:p>
        </w:tc>
      </w:tr>
      <w:tr w:rsidR="00C54B30" w:rsidRPr="004E2FB1" w14:paraId="6B231B78" w14:textId="77777777" w:rsidTr="00F63060">
        <w:tc>
          <w:tcPr>
            <w:tcW w:w="2965" w:type="dxa"/>
          </w:tcPr>
          <w:p w14:paraId="7D291814" w14:textId="77777777" w:rsidR="00C54B30" w:rsidRPr="004E2FB1" w:rsidRDefault="00C54B30" w:rsidP="00F63060">
            <w:pPr>
              <w:spacing w:line="360" w:lineRule="auto"/>
              <w:jc w:val="both"/>
              <w:rPr>
                <w:rFonts w:ascii="Arial" w:hAnsi="Arial" w:cs="Arial"/>
                <w:b/>
                <w:i/>
              </w:rPr>
            </w:pPr>
            <w:r w:rsidRPr="004E2FB1">
              <w:rPr>
                <w:rFonts w:ascii="Arial" w:hAnsi="Arial" w:cs="Arial"/>
                <w:b/>
                <w:i/>
              </w:rPr>
              <w:t xml:space="preserve">Location: </w:t>
            </w:r>
            <w:r w:rsidRPr="004E2FB1">
              <w:rPr>
                <w:rFonts w:ascii="Arial" w:hAnsi="Arial" w:cs="Arial"/>
                <w:bCs/>
                <w:iCs/>
              </w:rPr>
              <w:t>Childminder setting</w:t>
            </w:r>
            <w:r w:rsidRPr="004E2FB1">
              <w:rPr>
                <w:rFonts w:ascii="Arial" w:hAnsi="Arial" w:cs="Arial"/>
                <w:bCs/>
                <w:i/>
              </w:rPr>
              <w:t>.</w:t>
            </w:r>
          </w:p>
          <w:p w14:paraId="2C8DB572" w14:textId="77777777" w:rsidR="00C54B30" w:rsidRPr="004E2FB1" w:rsidRDefault="00C54B30" w:rsidP="00F63060">
            <w:pPr>
              <w:spacing w:line="360" w:lineRule="auto"/>
              <w:jc w:val="both"/>
              <w:rPr>
                <w:rFonts w:ascii="Arial" w:hAnsi="Arial" w:cs="Arial"/>
              </w:rPr>
            </w:pPr>
          </w:p>
        </w:tc>
        <w:tc>
          <w:tcPr>
            <w:tcW w:w="3150" w:type="dxa"/>
          </w:tcPr>
          <w:p w14:paraId="5376ABC2" w14:textId="77777777" w:rsidR="00C54B30" w:rsidRPr="004E2FB1" w:rsidRDefault="00C54B30" w:rsidP="00F63060">
            <w:pPr>
              <w:spacing w:line="360" w:lineRule="auto"/>
              <w:jc w:val="both"/>
              <w:rPr>
                <w:rFonts w:ascii="Arial" w:hAnsi="Arial" w:cs="Arial"/>
                <w:bCs/>
                <w:iCs/>
              </w:rPr>
            </w:pPr>
            <w:r w:rsidRPr="004E2FB1">
              <w:rPr>
                <w:rFonts w:ascii="Arial" w:hAnsi="Arial" w:cs="Arial"/>
                <w:b/>
                <w:iCs/>
              </w:rPr>
              <w:t xml:space="preserve">Preparation Time: </w:t>
            </w:r>
            <w:r w:rsidRPr="004E2FB1">
              <w:rPr>
                <w:rFonts w:ascii="Arial" w:hAnsi="Arial" w:cs="Arial"/>
                <w:bCs/>
                <w:iCs/>
              </w:rPr>
              <w:t>Forty minutes.</w:t>
            </w:r>
          </w:p>
        </w:tc>
        <w:tc>
          <w:tcPr>
            <w:tcW w:w="2901" w:type="dxa"/>
          </w:tcPr>
          <w:p w14:paraId="0AA8070C" w14:textId="77777777" w:rsidR="00C54B30" w:rsidRPr="004E2FB1" w:rsidRDefault="00C54B30" w:rsidP="00F63060">
            <w:pPr>
              <w:spacing w:line="360" w:lineRule="auto"/>
              <w:jc w:val="both"/>
              <w:rPr>
                <w:rFonts w:ascii="Arial" w:hAnsi="Arial" w:cs="Arial"/>
                <w:bCs/>
                <w:iCs/>
              </w:rPr>
            </w:pPr>
            <w:r w:rsidRPr="004E2FB1">
              <w:rPr>
                <w:rFonts w:ascii="Arial" w:hAnsi="Arial" w:cs="Arial"/>
                <w:b/>
                <w:i/>
              </w:rPr>
              <w:t xml:space="preserve">Activity time: </w:t>
            </w:r>
            <w:r w:rsidRPr="004E2FB1">
              <w:rPr>
                <w:rFonts w:ascii="Arial" w:hAnsi="Arial" w:cs="Arial"/>
                <w:bCs/>
                <w:iCs/>
              </w:rPr>
              <w:t>One hour and forty minutes.</w:t>
            </w:r>
            <w:r w:rsidRPr="004E2FB1">
              <w:rPr>
                <w:rFonts w:ascii="Arial" w:hAnsi="Arial" w:cs="Arial"/>
                <w:b/>
                <w:i/>
              </w:rPr>
              <w:t xml:space="preserve"> </w:t>
            </w:r>
          </w:p>
        </w:tc>
      </w:tr>
      <w:tr w:rsidR="00C54B30" w:rsidRPr="004E2FB1" w14:paraId="20E32ECC" w14:textId="77777777" w:rsidTr="00F63060">
        <w:tc>
          <w:tcPr>
            <w:tcW w:w="9016" w:type="dxa"/>
            <w:gridSpan w:val="3"/>
          </w:tcPr>
          <w:p w14:paraId="3CE1A8B4" w14:textId="77777777" w:rsidR="00C54B30" w:rsidRPr="004E2FB1" w:rsidRDefault="00C54B30" w:rsidP="00F63060">
            <w:pPr>
              <w:spacing w:line="360" w:lineRule="auto"/>
              <w:jc w:val="both"/>
              <w:rPr>
                <w:rFonts w:ascii="Arial" w:hAnsi="Arial" w:cs="Arial"/>
                <w:bCs/>
                <w:iCs/>
              </w:rPr>
            </w:pPr>
            <w:r w:rsidRPr="004E2FB1">
              <w:rPr>
                <w:rFonts w:ascii="Arial" w:hAnsi="Arial" w:cs="Arial"/>
                <w:b/>
                <w:i/>
              </w:rPr>
              <w:t>Resources:</w:t>
            </w:r>
            <w:r w:rsidRPr="004E2FB1">
              <w:rPr>
                <w:rFonts w:ascii="Arial" w:hAnsi="Arial" w:cs="Arial"/>
                <w:bCs/>
                <w:iCs/>
              </w:rPr>
              <w:t xml:space="preserve"> </w:t>
            </w:r>
          </w:p>
          <w:p w14:paraId="3811E0A0" w14:textId="77777777" w:rsidR="00C54B30" w:rsidRPr="004E2FB1" w:rsidRDefault="00C54B30" w:rsidP="00F63060">
            <w:pPr>
              <w:spacing w:line="360" w:lineRule="auto"/>
              <w:jc w:val="both"/>
              <w:rPr>
                <w:rFonts w:ascii="Arial" w:hAnsi="Arial" w:cs="Arial"/>
                <w:bCs/>
                <w:iCs/>
              </w:rPr>
            </w:pPr>
            <w:r w:rsidRPr="004E2FB1">
              <w:rPr>
                <w:rFonts w:ascii="Arial" w:hAnsi="Arial" w:cs="Arial"/>
                <w:bCs/>
                <w:iCs/>
              </w:rPr>
              <w:t xml:space="preserve">Butter, sugar, self-raising flour, baking powder, milk, cocoa powder, vanilla extract, eggs, weighing scales, mixing bowls, spatulas, spoons, oven gloves, baking tin. </w:t>
            </w:r>
          </w:p>
        </w:tc>
      </w:tr>
      <w:tr w:rsidR="00C54B30" w:rsidRPr="004E2FB1" w14:paraId="3CC00FE4" w14:textId="77777777" w:rsidTr="00F63060">
        <w:tc>
          <w:tcPr>
            <w:tcW w:w="9016" w:type="dxa"/>
            <w:gridSpan w:val="3"/>
          </w:tcPr>
          <w:p w14:paraId="46870553" w14:textId="77777777" w:rsidR="00C54B30" w:rsidRPr="004E2FB1" w:rsidRDefault="00C54B30" w:rsidP="00F63060">
            <w:pPr>
              <w:spacing w:line="360" w:lineRule="auto"/>
              <w:jc w:val="both"/>
              <w:rPr>
                <w:rFonts w:ascii="Arial" w:hAnsi="Arial" w:cs="Arial"/>
                <w:b/>
                <w:i/>
              </w:rPr>
            </w:pPr>
            <w:r w:rsidRPr="004E2FB1">
              <w:rPr>
                <w:rFonts w:ascii="Arial" w:hAnsi="Arial" w:cs="Arial"/>
                <w:b/>
                <w:i/>
              </w:rPr>
              <w:t>Aim/s of activity:</w:t>
            </w:r>
          </w:p>
          <w:p w14:paraId="44E42A5A" w14:textId="77777777" w:rsidR="00C54B30" w:rsidRPr="004E2FB1" w:rsidRDefault="00C54B30" w:rsidP="00F63060">
            <w:pPr>
              <w:pStyle w:val="ListParagraph"/>
              <w:numPr>
                <w:ilvl w:val="0"/>
                <w:numId w:val="1"/>
              </w:numPr>
              <w:spacing w:line="360" w:lineRule="auto"/>
              <w:jc w:val="both"/>
              <w:rPr>
                <w:rFonts w:ascii="Arial" w:hAnsi="Arial" w:cs="Arial"/>
                <w:bCs/>
                <w:iCs/>
              </w:rPr>
            </w:pPr>
            <w:r w:rsidRPr="004E2FB1">
              <w:rPr>
                <w:rFonts w:ascii="Arial" w:hAnsi="Arial" w:cs="Arial"/>
                <w:bCs/>
                <w:iCs/>
              </w:rPr>
              <w:t xml:space="preserve">To support the development of a range of skills including time management, team-work and social skills. </w:t>
            </w:r>
          </w:p>
          <w:p w14:paraId="00399970" w14:textId="77777777" w:rsidR="00C54B30" w:rsidRPr="004E2FB1" w:rsidRDefault="00C54B30" w:rsidP="00F63060">
            <w:pPr>
              <w:pStyle w:val="ListParagraph"/>
              <w:numPr>
                <w:ilvl w:val="0"/>
                <w:numId w:val="1"/>
              </w:numPr>
              <w:spacing w:line="360" w:lineRule="auto"/>
              <w:jc w:val="both"/>
              <w:rPr>
                <w:rFonts w:ascii="Arial" w:hAnsi="Arial" w:cs="Arial"/>
                <w:bCs/>
                <w:iCs/>
              </w:rPr>
            </w:pPr>
            <w:r w:rsidRPr="004E2FB1">
              <w:rPr>
                <w:rFonts w:ascii="Arial" w:hAnsi="Arial" w:cs="Arial"/>
                <w:bCs/>
                <w:iCs/>
              </w:rPr>
              <w:t>To support the development of mathematical skills in the with the Welsh Government mathematical outcomes (Welsh Assembly Government, 2015).</w:t>
            </w:r>
          </w:p>
        </w:tc>
      </w:tr>
      <w:tr w:rsidR="00C54B30" w:rsidRPr="004E2FB1" w14:paraId="531CC247" w14:textId="77777777" w:rsidTr="00F63060">
        <w:tc>
          <w:tcPr>
            <w:tcW w:w="9016" w:type="dxa"/>
            <w:gridSpan w:val="3"/>
          </w:tcPr>
          <w:p w14:paraId="2F2E6C22" w14:textId="77777777" w:rsidR="00C54B30" w:rsidRPr="004E2FB1" w:rsidRDefault="00C54B30" w:rsidP="00F63060">
            <w:pPr>
              <w:spacing w:line="360" w:lineRule="auto"/>
              <w:jc w:val="both"/>
              <w:rPr>
                <w:rFonts w:ascii="Arial" w:hAnsi="Arial" w:cs="Arial"/>
                <w:b/>
                <w:i/>
              </w:rPr>
            </w:pPr>
            <w:r w:rsidRPr="004E2FB1">
              <w:rPr>
                <w:rFonts w:ascii="Arial" w:hAnsi="Arial" w:cs="Arial"/>
                <w:b/>
                <w:i/>
              </w:rPr>
              <w:t>Links to outcomes:</w:t>
            </w:r>
          </w:p>
          <w:p w14:paraId="22F70F19" w14:textId="77777777" w:rsidR="00C54B30" w:rsidRPr="004E2FB1" w:rsidRDefault="00C54B30" w:rsidP="00F63060">
            <w:pPr>
              <w:pStyle w:val="ListParagraph"/>
              <w:numPr>
                <w:ilvl w:val="0"/>
                <w:numId w:val="2"/>
              </w:numPr>
              <w:spacing w:line="360" w:lineRule="auto"/>
              <w:jc w:val="both"/>
              <w:rPr>
                <w:rFonts w:ascii="Arial" w:hAnsi="Arial" w:cs="Arial"/>
              </w:rPr>
            </w:pPr>
            <w:r w:rsidRPr="004E2FB1">
              <w:rPr>
                <w:rFonts w:ascii="Arial" w:hAnsi="Arial" w:cs="Arial"/>
              </w:rPr>
              <w:t>Recognise numbers zero to five. (WAG, 2015)</w:t>
            </w:r>
          </w:p>
          <w:p w14:paraId="7B0AF524" w14:textId="77777777" w:rsidR="00C54B30" w:rsidRPr="004E2FB1" w:rsidRDefault="00C54B30" w:rsidP="00F63060">
            <w:pPr>
              <w:pStyle w:val="ListParagraph"/>
              <w:numPr>
                <w:ilvl w:val="0"/>
                <w:numId w:val="2"/>
              </w:numPr>
              <w:spacing w:line="360" w:lineRule="auto"/>
              <w:jc w:val="both"/>
              <w:rPr>
                <w:rFonts w:ascii="Arial" w:hAnsi="Arial" w:cs="Arial"/>
              </w:rPr>
            </w:pPr>
            <w:r w:rsidRPr="004E2FB1">
              <w:rPr>
                <w:rFonts w:ascii="Arial" w:hAnsi="Arial" w:cs="Arial"/>
              </w:rPr>
              <w:t>Understand and use the concept of ‘one more’ or ‘one less’ in their play. (WAG, 2015)</w:t>
            </w:r>
          </w:p>
          <w:p w14:paraId="6E6B55B8" w14:textId="77777777" w:rsidR="00C54B30" w:rsidRPr="004E2FB1" w:rsidRDefault="00C54B30" w:rsidP="00F63060">
            <w:pPr>
              <w:pStyle w:val="ListParagraph"/>
              <w:numPr>
                <w:ilvl w:val="0"/>
                <w:numId w:val="2"/>
              </w:numPr>
              <w:spacing w:line="360" w:lineRule="auto"/>
              <w:jc w:val="both"/>
              <w:rPr>
                <w:rFonts w:ascii="Arial" w:hAnsi="Arial" w:cs="Arial"/>
              </w:rPr>
            </w:pPr>
            <w:r w:rsidRPr="004E2FB1">
              <w:rPr>
                <w:rFonts w:ascii="Arial" w:hAnsi="Arial" w:cs="Arial"/>
              </w:rPr>
              <w:t>Use counting to solve simple mathematical problems in every and play situations. (WAG, 2015)</w:t>
            </w:r>
          </w:p>
          <w:p w14:paraId="26C46690" w14:textId="77777777" w:rsidR="00C54B30" w:rsidRPr="004E2FB1" w:rsidRDefault="00C54B30" w:rsidP="00F63060">
            <w:pPr>
              <w:pStyle w:val="ListParagraph"/>
              <w:numPr>
                <w:ilvl w:val="0"/>
                <w:numId w:val="2"/>
              </w:numPr>
              <w:spacing w:line="360" w:lineRule="auto"/>
              <w:jc w:val="both"/>
              <w:rPr>
                <w:rFonts w:ascii="Arial" w:hAnsi="Arial" w:cs="Arial"/>
              </w:rPr>
            </w:pPr>
            <w:r w:rsidRPr="004E2FB1">
              <w:rPr>
                <w:rFonts w:ascii="Arial" w:hAnsi="Arial" w:cs="Arial"/>
              </w:rPr>
              <w:lastRenderedPageBreak/>
              <w:t>Compare, sort and order two objects in terms of size, weight or capacity by direct observation. (WAG, 2015)</w:t>
            </w:r>
          </w:p>
          <w:p w14:paraId="579F5962" w14:textId="77777777" w:rsidR="00C54B30" w:rsidRPr="004E2FB1" w:rsidRDefault="00C54B30" w:rsidP="00F63060">
            <w:pPr>
              <w:pStyle w:val="ListParagraph"/>
              <w:numPr>
                <w:ilvl w:val="0"/>
                <w:numId w:val="2"/>
              </w:numPr>
              <w:spacing w:line="360" w:lineRule="auto"/>
              <w:jc w:val="both"/>
              <w:rPr>
                <w:rFonts w:ascii="Arial" w:hAnsi="Arial" w:cs="Arial"/>
              </w:rPr>
            </w:pPr>
            <w:r w:rsidRPr="004E2FB1">
              <w:rPr>
                <w:rFonts w:ascii="Arial" w:hAnsi="Arial" w:cs="Arial"/>
              </w:rPr>
              <w:t>Anticipate events related to elements of daily routines and use the terms ‘before’ and ‘after’. (WAG, 2015)</w:t>
            </w:r>
          </w:p>
          <w:p w14:paraId="1734F1DA" w14:textId="77777777" w:rsidR="00C54B30" w:rsidRPr="004E2FB1" w:rsidRDefault="00C54B30" w:rsidP="00F63060">
            <w:pPr>
              <w:pStyle w:val="ListParagraph"/>
              <w:numPr>
                <w:ilvl w:val="0"/>
                <w:numId w:val="2"/>
              </w:numPr>
              <w:spacing w:line="360" w:lineRule="auto"/>
              <w:jc w:val="both"/>
              <w:rPr>
                <w:rFonts w:ascii="Arial" w:hAnsi="Arial" w:cs="Arial"/>
              </w:rPr>
            </w:pPr>
            <w:r w:rsidRPr="004E2FB1">
              <w:rPr>
                <w:rFonts w:ascii="Arial" w:hAnsi="Arial" w:cs="Arial"/>
              </w:rPr>
              <w:t>Use the terms ‘first’, ‘second’, ‘third’ and ‘last’ in daily activities and play (WAG, 2015)</w:t>
            </w:r>
          </w:p>
          <w:p w14:paraId="652EE53A" w14:textId="77777777" w:rsidR="00C54B30" w:rsidRPr="004E2FB1" w:rsidRDefault="00C54B30" w:rsidP="00F63060">
            <w:pPr>
              <w:pStyle w:val="ListParagraph"/>
              <w:numPr>
                <w:ilvl w:val="0"/>
                <w:numId w:val="2"/>
              </w:numPr>
              <w:spacing w:line="360" w:lineRule="auto"/>
              <w:jc w:val="both"/>
              <w:rPr>
                <w:rFonts w:ascii="Arial" w:hAnsi="Arial" w:cs="Arial"/>
              </w:rPr>
            </w:pPr>
            <w:r w:rsidRPr="004E2FB1">
              <w:rPr>
                <w:rFonts w:ascii="Arial" w:hAnsi="Arial" w:cs="Arial"/>
              </w:rPr>
              <w:t>Use words that describe temperature during everyday activities, e.g. hot/cold (WAG. 2015)</w:t>
            </w:r>
          </w:p>
        </w:tc>
      </w:tr>
      <w:tr w:rsidR="00C54B30" w:rsidRPr="004E2FB1" w14:paraId="076BF94A" w14:textId="77777777" w:rsidTr="00F63060">
        <w:tc>
          <w:tcPr>
            <w:tcW w:w="9016" w:type="dxa"/>
            <w:gridSpan w:val="3"/>
          </w:tcPr>
          <w:p w14:paraId="11560054" w14:textId="77777777" w:rsidR="00C54B30" w:rsidRPr="004E2FB1" w:rsidRDefault="00C54B30" w:rsidP="00F63060">
            <w:pPr>
              <w:spacing w:line="360" w:lineRule="auto"/>
              <w:jc w:val="both"/>
              <w:rPr>
                <w:rFonts w:ascii="Arial" w:hAnsi="Arial" w:cs="Arial"/>
                <w:b/>
                <w:i/>
              </w:rPr>
            </w:pPr>
            <w:r w:rsidRPr="004E2FB1">
              <w:rPr>
                <w:rFonts w:ascii="Arial" w:hAnsi="Arial" w:cs="Arial"/>
                <w:b/>
                <w:i/>
              </w:rPr>
              <w:lastRenderedPageBreak/>
              <w:t>Differentiation:</w:t>
            </w:r>
          </w:p>
          <w:p w14:paraId="2B574486" w14:textId="77777777" w:rsidR="00C54B30" w:rsidRPr="004E2FB1" w:rsidRDefault="00C54B30" w:rsidP="00F63060">
            <w:pPr>
              <w:pStyle w:val="ListParagraph"/>
              <w:numPr>
                <w:ilvl w:val="0"/>
                <w:numId w:val="3"/>
              </w:numPr>
              <w:spacing w:line="360" w:lineRule="auto"/>
              <w:jc w:val="both"/>
              <w:rPr>
                <w:rFonts w:ascii="Arial" w:hAnsi="Arial" w:cs="Arial"/>
              </w:rPr>
            </w:pPr>
            <w:r w:rsidRPr="004E2FB1">
              <w:rPr>
                <w:rFonts w:ascii="Arial" w:hAnsi="Arial" w:cs="Arial"/>
              </w:rPr>
              <w:t xml:space="preserve">In the case that the activity is found to be too easy, the activity could be changed from making one large cake to making cupcakes. </w:t>
            </w:r>
          </w:p>
          <w:p w14:paraId="4DEC9063" w14:textId="77777777" w:rsidR="00C54B30" w:rsidRPr="004E2FB1" w:rsidRDefault="00C54B30" w:rsidP="00F63060">
            <w:pPr>
              <w:pStyle w:val="ListParagraph"/>
              <w:numPr>
                <w:ilvl w:val="0"/>
                <w:numId w:val="3"/>
              </w:numPr>
              <w:spacing w:line="360" w:lineRule="auto"/>
              <w:jc w:val="both"/>
              <w:rPr>
                <w:rFonts w:ascii="Arial" w:hAnsi="Arial" w:cs="Arial"/>
              </w:rPr>
            </w:pPr>
            <w:r w:rsidRPr="004E2FB1">
              <w:rPr>
                <w:rFonts w:ascii="Arial" w:hAnsi="Arial" w:cs="Arial"/>
              </w:rPr>
              <w:t xml:space="preserve">If the activity is found to be too difficult, </w:t>
            </w:r>
            <w:r w:rsidRPr="004E2FB1">
              <w:rPr>
                <w:rFonts w:ascii="Arial" w:hAnsi="Arial" w:cs="Arial"/>
                <w:lang w:val="en-GB"/>
              </w:rPr>
              <w:t xml:space="preserve">provide support to children by using photo cards which explain the activity in a step by step form. </w:t>
            </w:r>
          </w:p>
        </w:tc>
      </w:tr>
      <w:tr w:rsidR="00C54B30" w:rsidRPr="004E2FB1" w14:paraId="1382D6C7" w14:textId="77777777" w:rsidTr="00F63060">
        <w:tc>
          <w:tcPr>
            <w:tcW w:w="9016" w:type="dxa"/>
            <w:gridSpan w:val="3"/>
          </w:tcPr>
          <w:p w14:paraId="54473EC2" w14:textId="77777777" w:rsidR="00C54B30" w:rsidRPr="004E2FB1" w:rsidRDefault="00C54B30" w:rsidP="00F63060">
            <w:pPr>
              <w:spacing w:line="360" w:lineRule="auto"/>
              <w:jc w:val="both"/>
              <w:rPr>
                <w:rFonts w:ascii="Arial" w:hAnsi="Arial" w:cs="Arial"/>
                <w:b/>
                <w:i/>
              </w:rPr>
            </w:pPr>
            <w:r w:rsidRPr="004E2FB1">
              <w:rPr>
                <w:rFonts w:ascii="Arial" w:hAnsi="Arial" w:cs="Arial"/>
                <w:b/>
                <w:i/>
              </w:rPr>
              <w:t>Health and safety:</w:t>
            </w:r>
          </w:p>
          <w:p w14:paraId="4C3F7F21" w14:textId="77777777" w:rsidR="00C54B30" w:rsidRPr="004E2FB1" w:rsidRDefault="00C54B30" w:rsidP="00F63060">
            <w:pPr>
              <w:pStyle w:val="ListParagraph"/>
              <w:numPr>
                <w:ilvl w:val="0"/>
                <w:numId w:val="3"/>
              </w:numPr>
              <w:spacing w:line="360" w:lineRule="auto"/>
              <w:jc w:val="both"/>
              <w:rPr>
                <w:rFonts w:ascii="Arial" w:hAnsi="Arial" w:cs="Arial"/>
              </w:rPr>
            </w:pPr>
            <w:r w:rsidRPr="004E2FB1">
              <w:rPr>
                <w:rFonts w:ascii="Arial" w:hAnsi="Arial" w:cs="Arial"/>
              </w:rPr>
              <w:t xml:space="preserve">Ensure risk assessment for use of oven is completed. </w:t>
            </w:r>
          </w:p>
          <w:p w14:paraId="3AFCE8FC" w14:textId="77777777" w:rsidR="00C54B30" w:rsidRPr="004E2FB1" w:rsidRDefault="00C54B30" w:rsidP="00F63060">
            <w:pPr>
              <w:pStyle w:val="ListParagraph"/>
              <w:numPr>
                <w:ilvl w:val="0"/>
                <w:numId w:val="3"/>
              </w:numPr>
              <w:spacing w:line="360" w:lineRule="auto"/>
              <w:jc w:val="both"/>
              <w:rPr>
                <w:rFonts w:ascii="Arial" w:hAnsi="Arial" w:cs="Arial"/>
              </w:rPr>
            </w:pPr>
            <w:r w:rsidRPr="004E2FB1">
              <w:rPr>
                <w:rFonts w:ascii="Arial" w:hAnsi="Arial" w:cs="Arial"/>
              </w:rPr>
              <w:t>Ensure all food safety regulations are followed and that children are supervised throughout the activity.</w:t>
            </w:r>
          </w:p>
        </w:tc>
      </w:tr>
      <w:tr w:rsidR="00C54B30" w:rsidRPr="004E2FB1" w14:paraId="3805D3AC" w14:textId="77777777" w:rsidTr="00F63060">
        <w:tc>
          <w:tcPr>
            <w:tcW w:w="9016" w:type="dxa"/>
            <w:gridSpan w:val="3"/>
          </w:tcPr>
          <w:p w14:paraId="1D7651DC" w14:textId="77777777" w:rsidR="00C54B30" w:rsidRPr="004E2FB1" w:rsidRDefault="00C54B30" w:rsidP="00F63060">
            <w:pPr>
              <w:spacing w:line="360" w:lineRule="auto"/>
              <w:jc w:val="both"/>
              <w:rPr>
                <w:rFonts w:ascii="Arial" w:hAnsi="Arial" w:cs="Arial"/>
                <w:b/>
                <w:i/>
              </w:rPr>
            </w:pPr>
            <w:r w:rsidRPr="004E2FB1">
              <w:rPr>
                <w:rFonts w:ascii="Arial" w:hAnsi="Arial" w:cs="Arial"/>
                <w:b/>
                <w:i/>
              </w:rPr>
              <w:t>Role of adult/adults:</w:t>
            </w:r>
          </w:p>
          <w:p w14:paraId="5F2F15EC" w14:textId="77777777" w:rsidR="00C54B30" w:rsidRPr="004E2FB1" w:rsidRDefault="00C54B30" w:rsidP="00F63060">
            <w:pPr>
              <w:pStyle w:val="ListParagraph"/>
              <w:numPr>
                <w:ilvl w:val="0"/>
                <w:numId w:val="4"/>
              </w:numPr>
              <w:spacing w:line="360" w:lineRule="auto"/>
              <w:jc w:val="both"/>
              <w:rPr>
                <w:rFonts w:ascii="Arial" w:hAnsi="Arial" w:cs="Arial"/>
                <w:bCs/>
                <w:iCs/>
              </w:rPr>
            </w:pPr>
            <w:r w:rsidRPr="004E2FB1">
              <w:rPr>
                <w:rFonts w:ascii="Arial" w:hAnsi="Arial" w:cs="Arial"/>
                <w:bCs/>
                <w:iCs/>
              </w:rPr>
              <w:t xml:space="preserve">Supervise children when using cutlery or cooking utensils. </w:t>
            </w:r>
          </w:p>
          <w:p w14:paraId="2C68F6FF" w14:textId="77777777" w:rsidR="00C54B30" w:rsidRPr="004E2FB1" w:rsidRDefault="00C54B30" w:rsidP="00F63060">
            <w:pPr>
              <w:pStyle w:val="ListParagraph"/>
              <w:numPr>
                <w:ilvl w:val="0"/>
                <w:numId w:val="4"/>
              </w:numPr>
              <w:spacing w:line="360" w:lineRule="auto"/>
              <w:jc w:val="both"/>
              <w:rPr>
                <w:rFonts w:ascii="Arial" w:hAnsi="Arial" w:cs="Arial"/>
                <w:bCs/>
                <w:iCs/>
              </w:rPr>
            </w:pPr>
            <w:r w:rsidRPr="004E2FB1">
              <w:rPr>
                <w:rFonts w:ascii="Arial" w:hAnsi="Arial" w:cs="Arial"/>
                <w:bCs/>
                <w:iCs/>
              </w:rPr>
              <w:t xml:space="preserve">Support with weighing and counting ingredients. </w:t>
            </w:r>
          </w:p>
          <w:p w14:paraId="51D85C91" w14:textId="77777777" w:rsidR="00C54B30" w:rsidRPr="004E2FB1" w:rsidRDefault="00C54B30" w:rsidP="00F63060">
            <w:pPr>
              <w:pStyle w:val="ListParagraph"/>
              <w:numPr>
                <w:ilvl w:val="0"/>
                <w:numId w:val="4"/>
              </w:numPr>
              <w:spacing w:line="360" w:lineRule="auto"/>
              <w:jc w:val="both"/>
              <w:rPr>
                <w:rFonts w:ascii="Arial" w:hAnsi="Arial" w:cs="Arial"/>
                <w:bCs/>
                <w:iCs/>
              </w:rPr>
            </w:pPr>
            <w:r w:rsidRPr="004E2FB1">
              <w:rPr>
                <w:rFonts w:ascii="Arial" w:hAnsi="Arial" w:cs="Arial"/>
                <w:bCs/>
                <w:iCs/>
              </w:rPr>
              <w:t>To support the children in understanding the change of state when ingredients are mixed together.</w:t>
            </w:r>
          </w:p>
          <w:p w14:paraId="74640EE6" w14:textId="77777777" w:rsidR="00C54B30" w:rsidRPr="004E2FB1" w:rsidRDefault="00C54B30" w:rsidP="00F63060">
            <w:pPr>
              <w:pStyle w:val="ListParagraph"/>
              <w:numPr>
                <w:ilvl w:val="0"/>
                <w:numId w:val="4"/>
              </w:numPr>
              <w:spacing w:line="360" w:lineRule="auto"/>
              <w:jc w:val="both"/>
              <w:rPr>
                <w:rFonts w:ascii="Arial" w:hAnsi="Arial" w:cs="Arial"/>
                <w:bCs/>
                <w:iCs/>
              </w:rPr>
            </w:pPr>
            <w:r w:rsidRPr="004E2FB1">
              <w:rPr>
                <w:rFonts w:ascii="Arial" w:hAnsi="Arial" w:cs="Arial"/>
                <w:bCs/>
                <w:iCs/>
              </w:rPr>
              <w:t xml:space="preserve">Supporting the development of mathematical skills through play. </w:t>
            </w:r>
          </w:p>
          <w:p w14:paraId="3D9C80CB" w14:textId="77777777" w:rsidR="00C54B30" w:rsidRPr="004E2FB1" w:rsidRDefault="00C54B30" w:rsidP="00F63060">
            <w:pPr>
              <w:pStyle w:val="ListParagraph"/>
              <w:numPr>
                <w:ilvl w:val="0"/>
                <w:numId w:val="4"/>
              </w:numPr>
              <w:spacing w:line="360" w:lineRule="auto"/>
              <w:jc w:val="both"/>
              <w:rPr>
                <w:rFonts w:ascii="Arial" w:hAnsi="Arial" w:cs="Arial"/>
                <w:bCs/>
                <w:iCs/>
              </w:rPr>
            </w:pPr>
            <w:r w:rsidRPr="004E2FB1">
              <w:rPr>
                <w:rFonts w:ascii="Arial" w:hAnsi="Arial" w:cs="Arial"/>
                <w:bCs/>
                <w:iCs/>
              </w:rPr>
              <w:t xml:space="preserve">Be able to use differentiation to make the activity harder or easier if needed. </w:t>
            </w:r>
          </w:p>
        </w:tc>
      </w:tr>
      <w:tr w:rsidR="00C54B30" w:rsidRPr="004E2FB1" w14:paraId="5F9D084B" w14:textId="77777777" w:rsidTr="00F63060">
        <w:tc>
          <w:tcPr>
            <w:tcW w:w="9016" w:type="dxa"/>
            <w:gridSpan w:val="3"/>
          </w:tcPr>
          <w:p w14:paraId="529644DA" w14:textId="77777777" w:rsidR="00C54B30" w:rsidRPr="004E2FB1" w:rsidRDefault="00C54B30" w:rsidP="00F63060">
            <w:pPr>
              <w:spacing w:line="360" w:lineRule="auto"/>
              <w:jc w:val="both"/>
              <w:rPr>
                <w:rFonts w:ascii="Arial" w:hAnsi="Arial" w:cs="Arial"/>
                <w:b/>
                <w:i/>
              </w:rPr>
            </w:pPr>
            <w:r w:rsidRPr="004E2FB1">
              <w:rPr>
                <w:rFonts w:ascii="Arial" w:hAnsi="Arial" w:cs="Arial"/>
                <w:b/>
                <w:i/>
              </w:rPr>
              <w:t>The activity:</w:t>
            </w:r>
          </w:p>
          <w:p w14:paraId="69DC3117" w14:textId="77777777" w:rsidR="00C54B30" w:rsidRPr="004E2FB1" w:rsidRDefault="00C54B30" w:rsidP="00F63060">
            <w:pPr>
              <w:pStyle w:val="ListParagraph"/>
              <w:numPr>
                <w:ilvl w:val="0"/>
                <w:numId w:val="5"/>
              </w:numPr>
              <w:spacing w:line="360" w:lineRule="auto"/>
              <w:jc w:val="both"/>
              <w:rPr>
                <w:rFonts w:ascii="Arial" w:hAnsi="Arial" w:cs="Arial"/>
                <w:bCs/>
                <w:iCs/>
              </w:rPr>
            </w:pPr>
            <w:r w:rsidRPr="004E2FB1">
              <w:rPr>
                <w:rFonts w:ascii="Arial" w:hAnsi="Arial" w:cs="Arial"/>
                <w:bCs/>
                <w:iCs/>
              </w:rPr>
              <w:t xml:space="preserve">Pre heat oven to one hundred and eighty degrees Celsius and measure out ingredients. </w:t>
            </w:r>
          </w:p>
          <w:p w14:paraId="3F542DA6" w14:textId="77777777" w:rsidR="00C54B30" w:rsidRPr="004E2FB1" w:rsidRDefault="00C54B30" w:rsidP="00F63060">
            <w:pPr>
              <w:pStyle w:val="ListParagraph"/>
              <w:numPr>
                <w:ilvl w:val="0"/>
                <w:numId w:val="5"/>
              </w:numPr>
              <w:spacing w:line="360" w:lineRule="auto"/>
              <w:jc w:val="both"/>
              <w:rPr>
                <w:rFonts w:ascii="Arial" w:hAnsi="Arial" w:cs="Arial"/>
                <w:bCs/>
                <w:iCs/>
              </w:rPr>
            </w:pPr>
            <w:r w:rsidRPr="004E2FB1">
              <w:rPr>
                <w:rFonts w:ascii="Arial" w:hAnsi="Arial" w:cs="Arial"/>
                <w:bCs/>
                <w:iCs/>
              </w:rPr>
              <w:t>Give first set of instructions. Support children with identifying which ingredients are needed.</w:t>
            </w:r>
          </w:p>
          <w:p w14:paraId="1B682188" w14:textId="77777777" w:rsidR="00C54B30" w:rsidRPr="004E2FB1" w:rsidRDefault="00C54B30" w:rsidP="00F63060">
            <w:pPr>
              <w:pStyle w:val="ListParagraph"/>
              <w:numPr>
                <w:ilvl w:val="0"/>
                <w:numId w:val="5"/>
              </w:numPr>
              <w:spacing w:line="360" w:lineRule="auto"/>
              <w:jc w:val="both"/>
              <w:rPr>
                <w:rFonts w:ascii="Arial" w:hAnsi="Arial" w:cs="Arial"/>
                <w:bCs/>
                <w:iCs/>
              </w:rPr>
            </w:pPr>
            <w:r w:rsidRPr="004E2FB1">
              <w:rPr>
                <w:rFonts w:ascii="Arial" w:hAnsi="Arial" w:cs="Arial"/>
                <w:bCs/>
                <w:iCs/>
              </w:rPr>
              <w:t xml:space="preserve">Next steps of instructions to be given. If some children are finding this too difficult to comprehend what needs to be done, photo cards with step by step instructions may be given. </w:t>
            </w:r>
          </w:p>
          <w:p w14:paraId="04DB2B49" w14:textId="77777777" w:rsidR="00C54B30" w:rsidRPr="004E2FB1" w:rsidRDefault="00C54B30" w:rsidP="00F63060">
            <w:pPr>
              <w:pStyle w:val="ListParagraph"/>
              <w:numPr>
                <w:ilvl w:val="0"/>
                <w:numId w:val="5"/>
              </w:numPr>
              <w:spacing w:line="360" w:lineRule="auto"/>
              <w:jc w:val="both"/>
              <w:rPr>
                <w:rFonts w:ascii="Arial" w:hAnsi="Arial" w:cs="Arial"/>
                <w:bCs/>
                <w:iCs/>
              </w:rPr>
            </w:pPr>
            <w:r w:rsidRPr="004E2FB1">
              <w:rPr>
                <w:rFonts w:ascii="Arial" w:hAnsi="Arial" w:cs="Arial"/>
                <w:bCs/>
                <w:iCs/>
              </w:rPr>
              <w:lastRenderedPageBreak/>
              <w:t xml:space="preserve">Use simple counting to work out how many eggs are needed. If this step is found to be too easy, add extra eggs and ask the children to use the concept of ‘one more’ or ‘one less’. </w:t>
            </w:r>
          </w:p>
          <w:p w14:paraId="671850EE" w14:textId="77777777" w:rsidR="00C54B30" w:rsidRPr="004E2FB1" w:rsidRDefault="00C54B30" w:rsidP="00F63060">
            <w:pPr>
              <w:pStyle w:val="ListParagraph"/>
              <w:numPr>
                <w:ilvl w:val="0"/>
                <w:numId w:val="5"/>
              </w:numPr>
              <w:spacing w:line="360" w:lineRule="auto"/>
              <w:jc w:val="both"/>
              <w:rPr>
                <w:rFonts w:ascii="Arial" w:hAnsi="Arial" w:cs="Arial"/>
                <w:bCs/>
                <w:iCs/>
              </w:rPr>
            </w:pPr>
            <w:r w:rsidRPr="004E2FB1">
              <w:rPr>
                <w:rFonts w:ascii="Arial" w:hAnsi="Arial" w:cs="Arial"/>
                <w:bCs/>
                <w:iCs/>
              </w:rPr>
              <w:t xml:space="preserve">Add the cake mixture to the baking tin; if the activity is too easy for some or all children, use cupcake cases instead and ask the children to put an even amount into each cupcake case. </w:t>
            </w:r>
          </w:p>
          <w:p w14:paraId="2AE5AA41" w14:textId="77777777" w:rsidR="00C54B30" w:rsidRPr="004E2FB1" w:rsidRDefault="00C54B30" w:rsidP="00F63060">
            <w:pPr>
              <w:pStyle w:val="ListParagraph"/>
              <w:numPr>
                <w:ilvl w:val="0"/>
                <w:numId w:val="5"/>
              </w:numPr>
              <w:spacing w:line="360" w:lineRule="auto"/>
              <w:jc w:val="both"/>
              <w:rPr>
                <w:rFonts w:ascii="Arial" w:hAnsi="Arial" w:cs="Arial"/>
                <w:bCs/>
                <w:iCs/>
              </w:rPr>
            </w:pPr>
            <w:r w:rsidRPr="004E2FB1">
              <w:rPr>
                <w:rFonts w:ascii="Arial" w:hAnsi="Arial" w:cs="Arial"/>
                <w:bCs/>
                <w:iCs/>
              </w:rPr>
              <w:t xml:space="preserve">Bake the cake for one hour. Once cooked, take the cake out of the oven and let cool for fifteen minutes. </w:t>
            </w:r>
          </w:p>
          <w:p w14:paraId="47C159C0" w14:textId="77777777" w:rsidR="00C54B30" w:rsidRPr="004E2FB1" w:rsidRDefault="00C54B30" w:rsidP="00F63060">
            <w:pPr>
              <w:pStyle w:val="ListParagraph"/>
              <w:numPr>
                <w:ilvl w:val="0"/>
                <w:numId w:val="5"/>
              </w:numPr>
              <w:spacing w:line="360" w:lineRule="auto"/>
              <w:jc w:val="both"/>
              <w:rPr>
                <w:rFonts w:ascii="Arial" w:hAnsi="Arial" w:cs="Arial"/>
                <w:bCs/>
                <w:iCs/>
              </w:rPr>
            </w:pPr>
            <w:r w:rsidRPr="004E2FB1">
              <w:rPr>
                <w:rFonts w:ascii="Arial" w:hAnsi="Arial" w:cs="Arial"/>
                <w:bCs/>
                <w:iCs/>
              </w:rPr>
              <w:t xml:space="preserve">Once the cake (or cupcakes) are cooled, give the cakes to the children and cut them into different shapes and asked them to identify which shapes are which. </w:t>
            </w:r>
          </w:p>
        </w:tc>
      </w:tr>
    </w:tbl>
    <w:p w14:paraId="573D8C96" w14:textId="77777777" w:rsidR="00C54B30" w:rsidRPr="004E2FB1" w:rsidRDefault="00C54B30" w:rsidP="004E2FB1">
      <w:pPr>
        <w:spacing w:line="360" w:lineRule="auto"/>
        <w:jc w:val="both"/>
        <w:rPr>
          <w:rFonts w:ascii="Arial" w:hAnsi="Arial" w:cs="Arial"/>
        </w:rPr>
      </w:pPr>
    </w:p>
    <w:p w14:paraId="6A2124FE" w14:textId="7E9620C2" w:rsidR="00ED2D32" w:rsidRPr="004E2FB1" w:rsidRDefault="007A45E7" w:rsidP="004E2FB1">
      <w:pPr>
        <w:spacing w:line="360" w:lineRule="auto"/>
        <w:jc w:val="both"/>
        <w:rPr>
          <w:rFonts w:ascii="Arial" w:hAnsi="Arial" w:cs="Arial"/>
          <w:u w:val="single"/>
        </w:rPr>
      </w:pPr>
      <w:r w:rsidRPr="004E2FB1">
        <w:rPr>
          <w:rFonts w:ascii="Arial" w:hAnsi="Arial" w:cs="Arial"/>
          <w:u w:val="single"/>
        </w:rPr>
        <w:t>Section Two</w:t>
      </w:r>
      <w:r w:rsidR="00B10F4D" w:rsidRPr="004E2FB1">
        <w:rPr>
          <w:rFonts w:ascii="Arial" w:hAnsi="Arial" w:cs="Arial"/>
          <w:u w:val="single"/>
        </w:rPr>
        <w:t xml:space="preserve"> – Evaluation of Activity Plan</w:t>
      </w:r>
    </w:p>
    <w:p w14:paraId="448AE897" w14:textId="77777777" w:rsidR="00B96AB9" w:rsidRPr="004E2FB1" w:rsidRDefault="007A45E7" w:rsidP="004E2FB1">
      <w:pPr>
        <w:spacing w:line="360" w:lineRule="auto"/>
        <w:jc w:val="both"/>
        <w:rPr>
          <w:rFonts w:ascii="Arial" w:hAnsi="Arial" w:cs="Arial"/>
        </w:rPr>
      </w:pPr>
      <w:r w:rsidRPr="004E2FB1">
        <w:rPr>
          <w:rFonts w:ascii="Arial" w:hAnsi="Arial" w:cs="Arial"/>
        </w:rPr>
        <w:t xml:space="preserve">The planned activity promotes the development of a variety of mathematical criteria which includes but is not limited to, counting, addition, subtraction and identification of shapes. These skills are in line with the Welsh Assembly Government foundation phase curriculum (WAG, 2015). </w:t>
      </w:r>
      <w:r w:rsidR="00DF3733" w:rsidRPr="004E2FB1">
        <w:rPr>
          <w:rFonts w:ascii="Arial" w:hAnsi="Arial" w:cs="Arial"/>
        </w:rPr>
        <w:t xml:space="preserve">Incorporating mathematics into an activity which can be deemed as play by children will not only improve their levels of engagement and enjoyment of the activity </w:t>
      </w:r>
      <w:r w:rsidR="00511F8F" w:rsidRPr="004E2FB1">
        <w:rPr>
          <w:rFonts w:ascii="Arial" w:hAnsi="Arial" w:cs="Arial"/>
        </w:rPr>
        <w:t>(Howard and McInnes, 2012) but it will also allow for practitioners or care-givers to use scaffolding to help support a child’s further learning (Bakhurst et al., 2001). The activity plan also includes an element of perceived risk with using real kitchen utensils, however as explained by Brussoni et al (2012), risk during play is essential for a child’s development as it will prepare them for real life experiences as adults. The importance of controlled risk during play is also recognized by the Welsh Government (2002) as children have a natural desire to take part in risky play, the use of controlled risk can lead to the development of risk management and how to avoid injury</w:t>
      </w:r>
      <w:r w:rsidR="000C24C8" w:rsidRPr="004E2FB1">
        <w:rPr>
          <w:rFonts w:ascii="Arial" w:hAnsi="Arial" w:cs="Arial"/>
        </w:rPr>
        <w:t>, self-confidence, independence and many other skills.</w:t>
      </w:r>
    </w:p>
    <w:p w14:paraId="78713E87" w14:textId="785AA6A7" w:rsidR="007A45E7" w:rsidRPr="004E2FB1" w:rsidRDefault="000C24C8" w:rsidP="004E2FB1">
      <w:pPr>
        <w:spacing w:line="360" w:lineRule="auto"/>
        <w:jc w:val="both"/>
        <w:rPr>
          <w:rFonts w:ascii="Arial" w:hAnsi="Arial" w:cs="Arial"/>
        </w:rPr>
      </w:pPr>
      <w:r w:rsidRPr="004E2FB1">
        <w:rPr>
          <w:rFonts w:ascii="Arial" w:hAnsi="Arial" w:cs="Arial"/>
        </w:rPr>
        <w:t>It could also be considered that the activity plan follows a Montessori type of approach</w:t>
      </w:r>
      <w:r w:rsidR="00C5403E" w:rsidRPr="004E2FB1">
        <w:rPr>
          <w:rFonts w:ascii="Arial" w:hAnsi="Arial" w:cs="Arial"/>
        </w:rPr>
        <w:t xml:space="preserve"> with the use of hands on learning as well as active learning. (Isaacs, 2018) The benefit of using this type of approach is that the child will be able to use the same skills outside of the setting, for example, if a parent or primary caregiver were to make a cake, the child would be able to use the skills they had learnt from doing this activity. This can further develop their mathematical skills and as previously mentioned, scaffolding can be used in this instance. </w:t>
      </w:r>
      <w:r w:rsidR="00B96AB9" w:rsidRPr="004E2FB1">
        <w:rPr>
          <w:rFonts w:ascii="Arial" w:hAnsi="Arial" w:cs="Arial"/>
        </w:rPr>
        <w:t>It should also be considered that t</w:t>
      </w:r>
      <w:r w:rsidR="004A76C6" w:rsidRPr="004E2FB1">
        <w:rPr>
          <w:rFonts w:ascii="Arial" w:hAnsi="Arial" w:cs="Arial"/>
        </w:rPr>
        <w:t>he activity</w:t>
      </w:r>
      <w:r w:rsidR="00B96AB9" w:rsidRPr="004E2FB1">
        <w:rPr>
          <w:rFonts w:ascii="Arial" w:hAnsi="Arial" w:cs="Arial"/>
        </w:rPr>
        <w:t xml:space="preserve"> provides many other beneficial learning experiences other than counting, weighing and sorting. It can also provide the opportunity to learn about timing and time management; further tying into the learning outcomes provided by the Welsh Assembly Government. </w:t>
      </w:r>
      <w:r w:rsidR="00EF2701" w:rsidRPr="004E2FB1">
        <w:rPr>
          <w:rFonts w:ascii="Arial" w:hAnsi="Arial" w:cs="Arial"/>
        </w:rPr>
        <w:t>Another area of learning covered by the activity plan i</w:t>
      </w:r>
      <w:r w:rsidR="00006210" w:rsidRPr="004E2FB1">
        <w:rPr>
          <w:rFonts w:ascii="Arial" w:hAnsi="Arial" w:cs="Arial"/>
        </w:rPr>
        <w:t xml:space="preserve">s </w:t>
      </w:r>
      <w:r w:rsidR="00006210" w:rsidRPr="004E2FB1">
        <w:rPr>
          <w:rFonts w:ascii="Arial" w:hAnsi="Arial" w:cs="Arial"/>
        </w:rPr>
        <w:lastRenderedPageBreak/>
        <w:t>touching on science, the children will be able to see the change of states when mixing the ingredients together. For example, to promote this understanding of science, you could ask the children, ‘does it look different?’, ‘does it feel different?’. Children are naturally curious, so this would be a good way to cover more than one learning criteria. (Brunton and Thornton, 2015)</w:t>
      </w:r>
    </w:p>
    <w:p w14:paraId="31B6A5D4" w14:textId="47048F2E" w:rsidR="0097301F" w:rsidRPr="004E2FB1" w:rsidRDefault="00B96AB9" w:rsidP="004E2FB1">
      <w:pPr>
        <w:spacing w:line="360" w:lineRule="auto"/>
        <w:jc w:val="both"/>
        <w:rPr>
          <w:rFonts w:ascii="Arial" w:hAnsi="Arial" w:cs="Arial"/>
        </w:rPr>
      </w:pPr>
      <w:r w:rsidRPr="004E2FB1">
        <w:rPr>
          <w:rFonts w:ascii="Arial" w:hAnsi="Arial" w:cs="Arial"/>
        </w:rPr>
        <w:t xml:space="preserve">The activity plan also includes the importance of carrying out a risk assessment. As the activity is based around food and cooking, it is essential that a risk assessment is done for the use of the hot oven as well as food safety and hygiene regulations are followed. However, it is not specified in the activity plan that children and adults should wash their hands before and after handling food, especially raw eggs. </w:t>
      </w:r>
      <w:r w:rsidRPr="004E2FB1">
        <w:rPr>
          <w:rFonts w:ascii="Arial" w:hAnsi="Arial" w:cs="Arial"/>
        </w:rPr>
        <w:t>(Health and Safety Executive, 2019)</w:t>
      </w:r>
      <w:r w:rsidR="0097301F" w:rsidRPr="004E2FB1">
        <w:rPr>
          <w:rFonts w:ascii="Arial" w:hAnsi="Arial" w:cs="Arial"/>
        </w:rPr>
        <w:t xml:space="preserve">. </w:t>
      </w:r>
    </w:p>
    <w:p w14:paraId="4DCF8ECB" w14:textId="351A457A" w:rsidR="004A76C6" w:rsidRPr="004E2FB1" w:rsidRDefault="004A76C6" w:rsidP="004E2FB1">
      <w:pPr>
        <w:spacing w:line="360" w:lineRule="auto"/>
        <w:jc w:val="both"/>
        <w:rPr>
          <w:rFonts w:ascii="Arial" w:hAnsi="Arial" w:cs="Arial"/>
        </w:rPr>
      </w:pPr>
      <w:r w:rsidRPr="004E2FB1">
        <w:rPr>
          <w:rFonts w:ascii="Arial" w:hAnsi="Arial" w:cs="Arial"/>
        </w:rPr>
        <w:t xml:space="preserve">However, the activity plan does display some weaknesses. One of the weaknesses is that it does not promote the development of certain mathematical criteria such as division, distance, sequencing or patterns. The lack of these skills in the activity plan could be seen as not being an activity which supports the holistic development of the child. </w:t>
      </w:r>
      <w:r w:rsidR="00D13430" w:rsidRPr="004E2FB1">
        <w:rPr>
          <w:rFonts w:ascii="Arial" w:hAnsi="Arial" w:cs="Arial"/>
        </w:rPr>
        <w:t>Although the activity does display differentiation which can be used if the activity is found too easy or too difficult, it does not show much support from the adult or from peers which can be used to link into Vygotsky’s theory of the ‘more knowledgeable other’</w:t>
      </w:r>
      <w:r w:rsidR="00CF0AE5" w:rsidRPr="004E2FB1">
        <w:rPr>
          <w:rFonts w:ascii="Arial" w:hAnsi="Arial" w:cs="Arial"/>
        </w:rPr>
        <w:t>. This theory shows a concept where children can learn from those who have more knowledge of a subject or activity than themselves</w:t>
      </w:r>
      <w:r w:rsidR="00FC483A" w:rsidRPr="004E2FB1">
        <w:rPr>
          <w:rFonts w:ascii="Arial" w:hAnsi="Arial" w:cs="Arial"/>
        </w:rPr>
        <w:t xml:space="preserve"> (Huong, 2007). </w:t>
      </w:r>
      <w:r w:rsidR="0097301F" w:rsidRPr="004E2FB1">
        <w:rPr>
          <w:rFonts w:ascii="Arial" w:hAnsi="Arial" w:cs="Arial"/>
        </w:rPr>
        <w:t xml:space="preserve">As well as the lack of specified support from the adult in terms of differentiation, it does not take into account if any children with additional learning needs will be taking part in the activity as these children may need to be accommodated for differently to children who do not need extra support. Some children may have poor fine and gross motor skills so although they may not need support with the educational side of the activity such as addition or subtraction, they may need extra support as well as more time to complete the physical part of the activity. For example, mixing the ingredients or weighing the ingredients out. On the other hand, children with learning disabilities such as dyslexia or dyspraxia may find counting particularly difficult. </w:t>
      </w:r>
      <w:r w:rsidR="006F3983" w:rsidRPr="004E2FB1">
        <w:rPr>
          <w:rFonts w:ascii="Arial" w:hAnsi="Arial" w:cs="Arial"/>
        </w:rPr>
        <w:t>(Addy and Dixon, 2013)</w:t>
      </w:r>
    </w:p>
    <w:p w14:paraId="618ABF5C" w14:textId="1D338CC5" w:rsidR="006F3983" w:rsidRPr="004E2FB1" w:rsidRDefault="006F3983" w:rsidP="004E2FB1">
      <w:pPr>
        <w:spacing w:line="360" w:lineRule="auto"/>
        <w:jc w:val="both"/>
        <w:rPr>
          <w:rFonts w:ascii="Arial" w:hAnsi="Arial" w:cs="Arial"/>
        </w:rPr>
      </w:pPr>
      <w:r w:rsidRPr="004E2FB1">
        <w:rPr>
          <w:rFonts w:ascii="Arial" w:hAnsi="Arial" w:cs="Arial"/>
        </w:rPr>
        <w:t xml:space="preserve">The activity plan has a mixture of continuous provision resources as well as enhanced provision resources. Given that the activity is due to take place in a childminder setting, the kitchen itself, oven, utensils and mixing bowls would generally be considered as a continuous resource. The ingredients for the cake or cupcakes that are to be made would then be enhanced provision resources. Due to this, it needs to be considered that the activity will have to be planned in advance as the enhanced resources will need to be purchased before the day of the activity, but this is not considered when looking at the role of the adult. It should also be noted that the activity plan does not specify exactly where in the childminder setting it </w:t>
      </w:r>
      <w:r w:rsidRPr="004E2FB1">
        <w:rPr>
          <w:rFonts w:ascii="Arial" w:hAnsi="Arial" w:cs="Arial"/>
        </w:rPr>
        <w:lastRenderedPageBreak/>
        <w:t xml:space="preserve">will take place. It should be set in an area where children find it easy to reach the bowl and mix the ingredients together. For example, if the children are sat at a table that is too low toward the ground it may be difficult for them to </w:t>
      </w:r>
      <w:r w:rsidR="00EF2701" w:rsidRPr="004E2FB1">
        <w:rPr>
          <w:rFonts w:ascii="Arial" w:hAnsi="Arial" w:cs="Arial"/>
        </w:rPr>
        <w:t xml:space="preserve">reach into the bowl. They could potentially sit on the floor to complete this part of the activity; this will also give them free movement. If this were to be done, according to Howard and McInnes (2012) the children are more likely to perceive the activity as ‘play’ rather than ‘not play’ and so, could increase their engagement and focus to the activity. </w:t>
      </w:r>
    </w:p>
    <w:p w14:paraId="22635214" w14:textId="0D6C9384" w:rsidR="00EF2701" w:rsidRPr="004E2FB1" w:rsidRDefault="00EF2701" w:rsidP="004E2FB1">
      <w:pPr>
        <w:spacing w:line="360" w:lineRule="auto"/>
        <w:jc w:val="both"/>
        <w:rPr>
          <w:rFonts w:ascii="Arial" w:hAnsi="Arial" w:cs="Arial"/>
          <w:u w:val="single"/>
        </w:rPr>
      </w:pPr>
      <w:r w:rsidRPr="004E2FB1">
        <w:rPr>
          <w:rFonts w:ascii="Arial" w:hAnsi="Arial" w:cs="Arial"/>
          <w:u w:val="single"/>
        </w:rPr>
        <w:t>Section Three</w:t>
      </w:r>
      <w:r w:rsidR="00B10F4D" w:rsidRPr="004E2FB1">
        <w:rPr>
          <w:rFonts w:ascii="Arial" w:hAnsi="Arial" w:cs="Arial"/>
          <w:u w:val="single"/>
        </w:rPr>
        <w:t xml:space="preserve"> - Resources</w:t>
      </w:r>
    </w:p>
    <w:p w14:paraId="60A2D785" w14:textId="14B31074" w:rsidR="00006210" w:rsidRPr="004E2FB1" w:rsidRDefault="00100B35" w:rsidP="004E2FB1">
      <w:pPr>
        <w:spacing w:line="360" w:lineRule="auto"/>
        <w:jc w:val="both"/>
        <w:rPr>
          <w:rFonts w:ascii="Arial" w:hAnsi="Arial" w:cs="Arial"/>
        </w:rPr>
      </w:pPr>
      <w:r w:rsidRPr="004E2FB1">
        <w:rPr>
          <w:rFonts w:ascii="Arial" w:hAnsi="Arial" w:cs="Arial"/>
        </w:rPr>
        <w:t xml:space="preserve">Within any setting, there are many different types of resources. These can include, books, </w:t>
      </w:r>
      <w:r w:rsidR="008B17C2" w:rsidRPr="004E2FB1">
        <w:rPr>
          <w:rFonts w:ascii="Arial" w:hAnsi="Arial" w:cs="Arial"/>
        </w:rPr>
        <w:t xml:space="preserve">sand trays, plastic toys, water troughs, play dough, natural resources such as sticks, leaves, mud, wooden toys and many other types of resources. All resources can help promote the holistic development of a child. An environment that is rich in valuable resources can help provide the opportunity for children to become ‘self-regulated learners’ </w:t>
      </w:r>
      <w:r w:rsidR="008B17C2" w:rsidRPr="004E2FB1">
        <w:rPr>
          <w:rFonts w:ascii="Arial" w:hAnsi="Arial" w:cs="Arial"/>
        </w:rPr>
        <w:t>(Tucker, 2010)</w:t>
      </w:r>
      <w:r w:rsidR="008B17C2" w:rsidRPr="004E2FB1">
        <w:rPr>
          <w:rFonts w:ascii="Arial" w:hAnsi="Arial" w:cs="Arial"/>
        </w:rPr>
        <w:t xml:space="preserve">. </w:t>
      </w:r>
    </w:p>
    <w:p w14:paraId="348AE7B7" w14:textId="6C5B9E79" w:rsidR="008B17C2" w:rsidRPr="004E2FB1" w:rsidRDefault="008B17C2" w:rsidP="004E2FB1">
      <w:pPr>
        <w:spacing w:line="360" w:lineRule="auto"/>
        <w:jc w:val="both"/>
        <w:rPr>
          <w:rFonts w:ascii="Arial" w:hAnsi="Arial" w:cs="Arial"/>
        </w:rPr>
      </w:pPr>
      <w:r w:rsidRPr="004E2FB1">
        <w:rPr>
          <w:rFonts w:ascii="Arial" w:hAnsi="Arial" w:cs="Arial"/>
        </w:rPr>
        <w:t>Different types of resources provide opportunity for development in different areas of learning. For example, using a play tr</w:t>
      </w:r>
      <w:r w:rsidR="00013251" w:rsidRPr="004E2FB1">
        <w:rPr>
          <w:rFonts w:ascii="Arial" w:hAnsi="Arial" w:cs="Arial"/>
        </w:rPr>
        <w:t xml:space="preserve">ay which has acorns or buttons on the tray could provide for understanding the concepts of counting or addition and subtraction. It could also be used to understand the concept of weight, shape and size; the children could place the acorns or buttons in order. It can also be noted that with the use of play trays, the activity can be changed regularly so that the children are continually developing their mathematical skills and not doing the same activity over and over again. Doing this supports the idea of children learning through their zone of proximal development </w:t>
      </w:r>
      <w:r w:rsidR="00013251" w:rsidRPr="004E2FB1">
        <w:rPr>
          <w:rFonts w:ascii="Arial" w:hAnsi="Arial" w:cs="Arial"/>
        </w:rPr>
        <w:t>(Kozulin, 2007)</w:t>
      </w:r>
      <w:r w:rsidR="00013251" w:rsidRPr="004E2FB1">
        <w:rPr>
          <w:rFonts w:ascii="Arial" w:hAnsi="Arial" w:cs="Arial"/>
        </w:rPr>
        <w:t>. Another activity which could be done within the play tray is using corn</w:t>
      </w:r>
      <w:r w:rsidR="0098673D" w:rsidRPr="004E2FB1">
        <w:rPr>
          <w:rFonts w:ascii="Arial" w:hAnsi="Arial" w:cs="Arial"/>
        </w:rPr>
        <w:t xml:space="preserve"> </w:t>
      </w:r>
      <w:r w:rsidR="00013251" w:rsidRPr="004E2FB1">
        <w:rPr>
          <w:rFonts w:ascii="Arial" w:hAnsi="Arial" w:cs="Arial"/>
        </w:rPr>
        <w:t xml:space="preserve">flour and water to make ‘gloop’. This activity allows children to understand changes of state and allows them to be curious about the science behind the activity. </w:t>
      </w:r>
    </w:p>
    <w:p w14:paraId="06A63531" w14:textId="2857FD50" w:rsidR="00013251" w:rsidRPr="004E2FB1" w:rsidRDefault="00013251" w:rsidP="004E2FB1">
      <w:pPr>
        <w:spacing w:line="360" w:lineRule="auto"/>
        <w:jc w:val="both"/>
        <w:rPr>
          <w:rFonts w:ascii="Arial" w:hAnsi="Arial" w:cs="Arial"/>
        </w:rPr>
      </w:pPr>
      <w:r w:rsidRPr="004E2FB1">
        <w:rPr>
          <w:rFonts w:ascii="Arial" w:hAnsi="Arial" w:cs="Arial"/>
        </w:rPr>
        <w:t xml:space="preserve">Another type of activity which could be done in an indoors environment would be role play, this could be children playing in a shop. This type of activity will not only build their mathematical skills around the use of money but it also build their social skills and gives them the freedom to be able to take part in self-directed play as they would be choosing what they are going to buy, how much it will cost and how many items they want. </w:t>
      </w:r>
      <w:r w:rsidR="0098673D" w:rsidRPr="004E2FB1">
        <w:rPr>
          <w:rFonts w:ascii="Arial" w:hAnsi="Arial" w:cs="Arial"/>
        </w:rPr>
        <w:t xml:space="preserve">Resources needed for this kind of activity would be coins and credit cards, toy cash register, shopping items such as food and price tags. </w:t>
      </w:r>
      <w:r w:rsidR="00083A3A" w:rsidRPr="004E2FB1">
        <w:rPr>
          <w:rFonts w:ascii="Arial" w:hAnsi="Arial" w:cs="Arial"/>
        </w:rPr>
        <w:t xml:space="preserve">A childminder or nursery setting may have different areas of a room partitioned with </w:t>
      </w:r>
      <w:r w:rsidR="00A440F5" w:rsidRPr="004E2FB1">
        <w:rPr>
          <w:rFonts w:ascii="Arial" w:hAnsi="Arial" w:cs="Arial"/>
        </w:rPr>
        <w:t>activities that have a different focus area of learning, for example one corner of the room may be a reading corner with books and chairs to sit on. Whereas, there may be another area of the room may be set up for a sand tray or play tray. As suggested by Tucker (201</w:t>
      </w:r>
      <w:r w:rsidR="002F01D2" w:rsidRPr="004E2FB1">
        <w:rPr>
          <w:rFonts w:ascii="Arial" w:hAnsi="Arial" w:cs="Arial"/>
        </w:rPr>
        <w:t xml:space="preserve">0) the best learning environments for children are ones which have different zones for </w:t>
      </w:r>
      <w:r w:rsidR="002F01D2" w:rsidRPr="004E2FB1">
        <w:rPr>
          <w:rFonts w:ascii="Arial" w:hAnsi="Arial" w:cs="Arial"/>
        </w:rPr>
        <w:lastRenderedPageBreak/>
        <w:t xml:space="preserve">different areas of learning. Having areas which are sectioned can also provide opportunity for children to use them as ‘meeting areas’ to discuss and learn from their peers. </w:t>
      </w:r>
    </w:p>
    <w:p w14:paraId="3D367E6F" w14:textId="1B95B061" w:rsidR="002F01D2" w:rsidRPr="004E2FB1" w:rsidRDefault="002F01D2" w:rsidP="004E2FB1">
      <w:pPr>
        <w:spacing w:line="360" w:lineRule="auto"/>
        <w:jc w:val="both"/>
        <w:rPr>
          <w:rFonts w:ascii="Arial" w:hAnsi="Arial" w:cs="Arial"/>
        </w:rPr>
      </w:pPr>
      <w:r w:rsidRPr="004E2FB1">
        <w:rPr>
          <w:rFonts w:ascii="Arial" w:hAnsi="Arial" w:cs="Arial"/>
        </w:rPr>
        <w:t xml:space="preserve">The use of natural resources such as outdoor and woodland areas which have lots of leaves, branches and trees can also be beneficial for children’s mathematical development while also promoting the development of their fine and gross motor skills. According to </w:t>
      </w:r>
      <w:r w:rsidRPr="004E2FB1">
        <w:rPr>
          <w:rFonts w:ascii="Arial" w:hAnsi="Arial" w:cs="Arial"/>
        </w:rPr>
        <w:t xml:space="preserve">Pitchford et al </w:t>
      </w:r>
      <w:r w:rsidRPr="004E2FB1">
        <w:rPr>
          <w:rFonts w:ascii="Arial" w:hAnsi="Arial" w:cs="Arial"/>
        </w:rPr>
        <w:t>(</w:t>
      </w:r>
      <w:r w:rsidRPr="004E2FB1">
        <w:rPr>
          <w:rFonts w:ascii="Arial" w:hAnsi="Arial" w:cs="Arial"/>
        </w:rPr>
        <w:t>2016)</w:t>
      </w:r>
      <w:r w:rsidRPr="004E2FB1">
        <w:rPr>
          <w:rFonts w:ascii="Arial" w:hAnsi="Arial" w:cs="Arial"/>
        </w:rPr>
        <w:t xml:space="preserve"> outdoor learning and the use of fine motor skills created a good prediction of a what a child’s mathematical ability would be in later life. The use of natural resources also allows for learning to continue outside of the educational setting. For example, if children were consistently using mathematical skills outdoors, these skills could be used when not in the setting, even in something as simple as going for a walk with their parents/guardians or any other adult.</w:t>
      </w:r>
      <w:r w:rsidR="006F2330" w:rsidRPr="004E2FB1">
        <w:rPr>
          <w:rFonts w:ascii="Arial" w:hAnsi="Arial" w:cs="Arial"/>
        </w:rPr>
        <w:t xml:space="preserve"> Not </w:t>
      </w:r>
      <w:r w:rsidR="00B10F4D" w:rsidRPr="004E2FB1">
        <w:rPr>
          <w:rFonts w:ascii="Arial" w:hAnsi="Arial" w:cs="Arial"/>
        </w:rPr>
        <w:t>all-natural</w:t>
      </w:r>
      <w:r w:rsidR="006F2330" w:rsidRPr="004E2FB1">
        <w:rPr>
          <w:rFonts w:ascii="Arial" w:hAnsi="Arial" w:cs="Arial"/>
        </w:rPr>
        <w:t xml:space="preserve"> resources have the be outdoors, they can also be included within an educational or childcare setting. </w:t>
      </w:r>
      <w:r w:rsidRPr="004E2FB1">
        <w:rPr>
          <w:rFonts w:ascii="Arial" w:hAnsi="Arial" w:cs="Arial"/>
        </w:rPr>
        <w:t>It can be considered that natural resources such as wooden blocks can create an open</w:t>
      </w:r>
      <w:r w:rsidR="006F2330" w:rsidRPr="004E2FB1">
        <w:rPr>
          <w:rFonts w:ascii="Arial" w:hAnsi="Arial" w:cs="Arial"/>
        </w:rPr>
        <w:t>-</w:t>
      </w:r>
      <w:r w:rsidRPr="004E2FB1">
        <w:rPr>
          <w:rFonts w:ascii="Arial" w:hAnsi="Arial" w:cs="Arial"/>
        </w:rPr>
        <w:t xml:space="preserve">ended </w:t>
      </w:r>
      <w:r w:rsidR="006F2330" w:rsidRPr="004E2FB1">
        <w:rPr>
          <w:rFonts w:ascii="Arial" w:hAnsi="Arial" w:cs="Arial"/>
        </w:rPr>
        <w:t xml:space="preserve">type of play because the blocks can be transformed into anything the children want them to be. Other natural resources as opposed to plastic versions, such as real food items provide children with real life experience with these items and gives them a better understanding of what the resources are actually like </w:t>
      </w:r>
      <w:r w:rsidR="006F2330" w:rsidRPr="004E2FB1">
        <w:rPr>
          <w:rFonts w:ascii="Arial" w:hAnsi="Arial" w:cs="Arial"/>
        </w:rPr>
        <w:t>(TTS, 2017)</w:t>
      </w:r>
      <w:r w:rsidR="006F2330" w:rsidRPr="004E2FB1">
        <w:rPr>
          <w:rFonts w:ascii="Arial" w:hAnsi="Arial" w:cs="Arial"/>
        </w:rPr>
        <w:t>. Again, the use of these types of resources can be transported into learning outside of the classroom or setting. For example, if a child knows what a real apple looks and feels like, they will be able to identify this at home or in an environment other than the setting and then incorporate that into their own self-directed learning. Both natural and plastic resources have great benefits for children’s learning and development, however it can be noted that natural resources such as food or wooden blocks provide for more understanding of real</w:t>
      </w:r>
      <w:r w:rsidR="00051CAD" w:rsidRPr="004E2FB1">
        <w:rPr>
          <w:rFonts w:ascii="Arial" w:hAnsi="Arial" w:cs="Arial"/>
        </w:rPr>
        <w:t>-</w:t>
      </w:r>
      <w:r w:rsidR="006F2330" w:rsidRPr="004E2FB1">
        <w:rPr>
          <w:rFonts w:ascii="Arial" w:hAnsi="Arial" w:cs="Arial"/>
        </w:rPr>
        <w:t xml:space="preserve">life experiences and wooden blocks allow for more imaginative play. That considered, plastic resources, like a toy cash register as mentioned before can </w:t>
      </w:r>
      <w:r w:rsidR="00051CAD" w:rsidRPr="004E2FB1">
        <w:rPr>
          <w:rFonts w:ascii="Arial" w:hAnsi="Arial" w:cs="Arial"/>
        </w:rPr>
        <w:t xml:space="preserve">give children a better understanding of real-life experiences too. </w:t>
      </w:r>
    </w:p>
    <w:p w14:paraId="589C3F4C" w14:textId="269A0CC8" w:rsidR="00B10F4D" w:rsidRPr="004E2FB1" w:rsidRDefault="00B10F4D" w:rsidP="004E2FB1">
      <w:pPr>
        <w:spacing w:line="360" w:lineRule="auto"/>
        <w:jc w:val="both"/>
        <w:rPr>
          <w:rFonts w:ascii="Arial" w:hAnsi="Arial" w:cs="Arial"/>
          <w:u w:val="single"/>
        </w:rPr>
      </w:pPr>
      <w:r w:rsidRPr="004E2FB1">
        <w:rPr>
          <w:rFonts w:ascii="Arial" w:hAnsi="Arial" w:cs="Arial"/>
          <w:u w:val="single"/>
        </w:rPr>
        <w:t>Section Four – Role of the Adult</w:t>
      </w:r>
    </w:p>
    <w:p w14:paraId="4F055DA6" w14:textId="707E0AF5" w:rsidR="008861A0" w:rsidRPr="004E2FB1" w:rsidRDefault="00B10F4D" w:rsidP="004E2FB1">
      <w:pPr>
        <w:spacing w:line="360" w:lineRule="auto"/>
        <w:jc w:val="both"/>
        <w:rPr>
          <w:rFonts w:ascii="Arial" w:hAnsi="Arial" w:cs="Arial"/>
          <w:color w:val="000000" w:themeColor="text1"/>
        </w:rPr>
      </w:pPr>
      <w:r w:rsidRPr="004E2FB1">
        <w:rPr>
          <w:rFonts w:ascii="Arial" w:hAnsi="Arial" w:cs="Arial"/>
        </w:rPr>
        <w:t xml:space="preserve">The role of the adult in an early years’ settings is to provide care and support for the children under their care, they are expected to provide opportunities for children to learn and develop and to have positive attitudes toward the children’s learning. According to </w:t>
      </w:r>
      <w:r w:rsidR="008861A0" w:rsidRPr="004E2FB1">
        <w:rPr>
          <w:rFonts w:ascii="Arial" w:hAnsi="Arial" w:cs="Arial"/>
          <w:color w:val="000000" w:themeColor="text1"/>
        </w:rPr>
        <w:t xml:space="preserve">Brighton and Hove City Council (2012) in the England Early Years foundation stage curriculum </w:t>
      </w:r>
      <w:r w:rsidRPr="004E2FB1">
        <w:rPr>
          <w:rFonts w:ascii="Arial" w:hAnsi="Arial" w:cs="Arial"/>
          <w:color w:val="000000" w:themeColor="text1"/>
        </w:rPr>
        <w:t xml:space="preserve">adults are expected to monitor a child’s progress and ensure that they provide appropriate support and intervention if and when needed, they are also expected to </w:t>
      </w:r>
      <w:r w:rsidR="008861A0" w:rsidRPr="004E2FB1">
        <w:rPr>
          <w:rFonts w:ascii="Arial" w:hAnsi="Arial" w:cs="Arial"/>
          <w:color w:val="000000" w:themeColor="text1"/>
        </w:rPr>
        <w:t xml:space="preserve">have a positive attitude toward learning in mathematics as well as planning and providing mathematical activities which children will find enjoyable. According to the Welsh Assembly Government (2015) the role of the adult is to create open-ended activities which are a combination or balance of child led </w:t>
      </w:r>
      <w:r w:rsidR="008861A0" w:rsidRPr="004E2FB1">
        <w:rPr>
          <w:rFonts w:ascii="Arial" w:hAnsi="Arial" w:cs="Arial"/>
          <w:color w:val="000000" w:themeColor="text1"/>
        </w:rPr>
        <w:lastRenderedPageBreak/>
        <w:t>activities and also practitioner led activities.</w:t>
      </w:r>
      <w:r w:rsidR="00CB6DE4" w:rsidRPr="004E2FB1">
        <w:rPr>
          <w:rFonts w:ascii="Arial" w:hAnsi="Arial" w:cs="Arial"/>
          <w:color w:val="000000" w:themeColor="text1"/>
        </w:rPr>
        <w:t xml:space="preserve"> This type of pedagogical practice is known as intentional teaching. </w:t>
      </w:r>
      <w:r w:rsidR="00CB6DE4" w:rsidRPr="004E2FB1">
        <w:rPr>
          <w:rFonts w:ascii="Arial" w:hAnsi="Arial" w:cs="Arial"/>
          <w:color w:val="000000" w:themeColor="text1"/>
        </w:rPr>
        <w:t>(Chigeza and Sorin, 2016)</w:t>
      </w:r>
      <w:r w:rsidR="008861A0" w:rsidRPr="004E2FB1">
        <w:rPr>
          <w:rFonts w:ascii="Arial" w:hAnsi="Arial" w:cs="Arial"/>
          <w:color w:val="000000" w:themeColor="text1"/>
        </w:rPr>
        <w:t xml:space="preserve"> It is also important for practitioners to understand, inspire and challenge a child’s potential for learning. </w:t>
      </w:r>
    </w:p>
    <w:p w14:paraId="2E7743C7" w14:textId="24DA78F6" w:rsidR="00CB6DE4" w:rsidRPr="004E2FB1" w:rsidRDefault="00CB6DE4" w:rsidP="004E2FB1">
      <w:pPr>
        <w:spacing w:line="360" w:lineRule="auto"/>
        <w:jc w:val="both"/>
        <w:rPr>
          <w:rFonts w:ascii="Arial" w:hAnsi="Arial" w:cs="Arial"/>
          <w:color w:val="000000" w:themeColor="text1"/>
        </w:rPr>
      </w:pPr>
      <w:r w:rsidRPr="004E2FB1">
        <w:rPr>
          <w:rFonts w:ascii="Arial" w:hAnsi="Arial" w:cs="Arial"/>
          <w:color w:val="000000" w:themeColor="text1"/>
        </w:rPr>
        <w:t xml:space="preserve">It is also important for adults to have a positive attitude towards mathematics, as found by Jones (2012), adults who were ‘bad at math’ </w:t>
      </w:r>
      <w:r w:rsidR="00B43A0E" w:rsidRPr="004E2FB1">
        <w:rPr>
          <w:rFonts w:ascii="Arial" w:hAnsi="Arial" w:cs="Arial"/>
          <w:color w:val="000000" w:themeColor="text1"/>
        </w:rPr>
        <w:t xml:space="preserve">remember having a negative attitude towards the subject from an early age due to the content of lessons being dull and lacking in imagination. Early years practitioners are expected to keep the activities interesting for the children so that they are more engaged and more willing to take part in said activity. </w:t>
      </w:r>
    </w:p>
    <w:p w14:paraId="6A602189" w14:textId="6C7D1614" w:rsidR="008861A0" w:rsidRPr="004E2FB1" w:rsidRDefault="008861A0" w:rsidP="004E2FB1">
      <w:pPr>
        <w:spacing w:line="360" w:lineRule="auto"/>
        <w:jc w:val="both"/>
        <w:rPr>
          <w:rFonts w:ascii="Arial" w:hAnsi="Arial" w:cs="Arial"/>
          <w:color w:val="000000" w:themeColor="text1"/>
        </w:rPr>
      </w:pPr>
      <w:r w:rsidRPr="004E2FB1">
        <w:rPr>
          <w:rFonts w:ascii="Arial" w:hAnsi="Arial" w:cs="Arial"/>
          <w:color w:val="000000" w:themeColor="text1"/>
        </w:rPr>
        <w:t xml:space="preserve">In the Welsh foundation phase, adults and key workers are required to plan mathematical activities which are both practitioner led and child led. A practitioner led activity could be creating an activity plan for cooking or baking and implementing mathematics into this while also making sure certain criteria from the foundation phase is met. A child led activity could be an adult setting out a play tray with acorns and buttons </w:t>
      </w:r>
      <w:r w:rsidR="00962D2F" w:rsidRPr="004E2FB1">
        <w:rPr>
          <w:rFonts w:ascii="Arial" w:hAnsi="Arial" w:cs="Arial"/>
          <w:color w:val="000000" w:themeColor="text1"/>
        </w:rPr>
        <w:t xml:space="preserve">and leaving the children to create their own mathematical activity. Another type of child led activity could be having building blocks set out for the children to use alongside another mathematical activity. This would give the children the freedom of choice with which activity they want to do and how they are going to do it. Doing this supports the Welsh Assembly Government’s ethos of self-directed and intrinsically motivated play. </w:t>
      </w:r>
      <w:r w:rsidR="00291472" w:rsidRPr="004E2FB1">
        <w:rPr>
          <w:rFonts w:ascii="Arial" w:hAnsi="Arial" w:cs="Arial"/>
          <w:color w:val="000000" w:themeColor="text1"/>
        </w:rPr>
        <w:t xml:space="preserve">The Welsh Foundation phase monitors and assesses children’s mathematical development by looking at key skills which are matched by age. </w:t>
      </w:r>
      <w:r w:rsidR="00CB6DE4" w:rsidRPr="004E2FB1">
        <w:rPr>
          <w:rFonts w:ascii="Arial" w:hAnsi="Arial" w:cs="Arial"/>
          <w:color w:val="000000" w:themeColor="text1"/>
        </w:rPr>
        <w:t xml:space="preserve">(WAG, 2015) </w:t>
      </w:r>
      <w:r w:rsidR="00291472" w:rsidRPr="004E2FB1">
        <w:rPr>
          <w:rFonts w:ascii="Arial" w:hAnsi="Arial" w:cs="Arial"/>
          <w:color w:val="000000" w:themeColor="text1"/>
        </w:rPr>
        <w:t xml:space="preserve">For example, a child in a nursey setting will be able to understand and use the concept of ‘one more’ or ‘one less’ in their play, whereas children in a reception class are able to mentally recall ‘one more’ of a number up to ten. The framework has many different elements of their mathematical development but also works alongside </w:t>
      </w:r>
      <w:r w:rsidR="008A248F" w:rsidRPr="004E2FB1">
        <w:rPr>
          <w:rFonts w:ascii="Arial" w:hAnsi="Arial" w:cs="Arial"/>
          <w:color w:val="000000" w:themeColor="text1"/>
        </w:rPr>
        <w:t>six other key learning areas such as</w:t>
      </w:r>
      <w:r w:rsidR="00CB6DE4" w:rsidRPr="004E2FB1">
        <w:rPr>
          <w:rFonts w:ascii="Arial" w:hAnsi="Arial" w:cs="Arial"/>
          <w:color w:val="000000" w:themeColor="text1"/>
          <w:lang w:val="en-GB"/>
        </w:rPr>
        <w:t xml:space="preserve"> reading</w:t>
      </w:r>
      <w:r w:rsidR="008A248F" w:rsidRPr="004E2FB1">
        <w:rPr>
          <w:rFonts w:ascii="Arial" w:hAnsi="Arial" w:cs="Arial"/>
          <w:color w:val="000000" w:themeColor="text1"/>
        </w:rPr>
        <w:t xml:space="preserve"> and literacy, therefore allowing for a holistic view of the child’s development to be monitored. </w:t>
      </w:r>
    </w:p>
    <w:p w14:paraId="0172E9ED" w14:textId="77777777" w:rsidR="00B43A0E" w:rsidRPr="004E2FB1" w:rsidRDefault="00CB6DE4" w:rsidP="004E2FB1">
      <w:pPr>
        <w:spacing w:line="360" w:lineRule="auto"/>
        <w:jc w:val="both"/>
        <w:rPr>
          <w:rFonts w:ascii="Arial" w:hAnsi="Arial" w:cs="Arial"/>
        </w:rPr>
      </w:pPr>
      <w:r w:rsidRPr="004E2FB1">
        <w:rPr>
          <w:rFonts w:ascii="Arial" w:hAnsi="Arial" w:cs="Arial"/>
          <w:color w:val="000000" w:themeColor="text1"/>
        </w:rPr>
        <w:t xml:space="preserve">Children are monitored under these guidelines so that appropriate support can be given to the child in which ever areas they need support with. With the understanding that every child learns at their own pace and have individual strengths and weaknesses, the assessment method gives practitioners the ability to see what a child may or may not need support with and from there, they can tailor their learning to their capabilities and allow the child to work within their own zone of proximal development </w:t>
      </w:r>
      <w:r w:rsidRPr="004E2FB1">
        <w:rPr>
          <w:rFonts w:ascii="Arial" w:hAnsi="Arial" w:cs="Arial"/>
        </w:rPr>
        <w:t>(Kozulin, 2007).</w:t>
      </w:r>
      <w:r w:rsidRPr="004E2FB1">
        <w:rPr>
          <w:rFonts w:ascii="Arial" w:hAnsi="Arial" w:cs="Arial"/>
        </w:rPr>
        <w:t xml:space="preserve"> </w:t>
      </w:r>
    </w:p>
    <w:p w14:paraId="1E911FE3" w14:textId="48F162C5" w:rsidR="00B43A0E" w:rsidRDefault="00B43A0E" w:rsidP="004E2FB1">
      <w:pPr>
        <w:spacing w:line="360" w:lineRule="auto"/>
        <w:jc w:val="both"/>
        <w:rPr>
          <w:rFonts w:ascii="Arial" w:hAnsi="Arial" w:cs="Arial"/>
        </w:rPr>
      </w:pPr>
      <w:r w:rsidRPr="004E2FB1">
        <w:rPr>
          <w:rFonts w:ascii="Arial" w:hAnsi="Arial" w:cs="Arial"/>
        </w:rPr>
        <w:t xml:space="preserve"> Trends in International Maths and Science Study (2015) found that for early years mathematical teaching, Hong Kong was the second best in the world for having the highest amount of children with a ‘good’ standard of mathematics. England, however, came tenth in the findings. </w:t>
      </w:r>
      <w:r w:rsidR="004E2FB1" w:rsidRPr="004E2FB1">
        <w:rPr>
          <w:rFonts w:ascii="Arial" w:hAnsi="Arial" w:cs="Arial"/>
        </w:rPr>
        <w:t xml:space="preserve">In a Hong Kong Government publication (n.d.) it was found that the country did </w:t>
      </w:r>
      <w:r w:rsidR="004E2FB1" w:rsidRPr="004E2FB1">
        <w:rPr>
          <w:rFonts w:ascii="Arial" w:hAnsi="Arial" w:cs="Arial"/>
        </w:rPr>
        <w:lastRenderedPageBreak/>
        <w:t>so well due to the fact that not only did the teachers and practitioners have a positive attitude toward the learning of mathematics, but the families did as well. Positive attitudes outside of the classroom lead to children making more positive connotations with learning mathematics. It was also found that mathematical activities were implemented into a child’s education from a very early age, around two years old. The publication also states that there is a large amount of intense competitions between pre-schools and so this has resulted in an academically focused curriculum. It could be proposed that England and Wales have a more structured approach to mathematics during the early years before formally starting primary school so that the children have more experience with the subject and are more motivated to do well.</w:t>
      </w:r>
    </w:p>
    <w:p w14:paraId="0D8B161A" w14:textId="4A4B0B8E" w:rsidR="0064599F" w:rsidRDefault="0064599F" w:rsidP="004E2FB1">
      <w:pPr>
        <w:spacing w:line="360" w:lineRule="auto"/>
        <w:jc w:val="both"/>
        <w:rPr>
          <w:rFonts w:ascii="Arial" w:hAnsi="Arial" w:cs="Arial"/>
          <w:u w:val="single"/>
        </w:rPr>
      </w:pPr>
      <w:r w:rsidRPr="0064599F">
        <w:rPr>
          <w:rFonts w:ascii="Arial" w:hAnsi="Arial" w:cs="Arial"/>
          <w:u w:val="single"/>
        </w:rPr>
        <w:t>References</w:t>
      </w:r>
    </w:p>
    <w:p w14:paraId="7B8763D5" w14:textId="77777777" w:rsidR="0064599F" w:rsidRPr="0025755F" w:rsidRDefault="0064599F" w:rsidP="0064599F">
      <w:pPr>
        <w:spacing w:line="360" w:lineRule="auto"/>
        <w:jc w:val="both"/>
        <w:rPr>
          <w:rFonts w:ascii="Arial" w:eastAsia="Times New Roman" w:hAnsi="Arial" w:cs="Arial"/>
          <w:lang w:eastAsia="en-GB"/>
        </w:rPr>
      </w:pPr>
      <w:r w:rsidRPr="0025755F">
        <w:rPr>
          <w:rFonts w:ascii="Arial" w:eastAsia="Times New Roman" w:hAnsi="Arial" w:cs="Arial"/>
          <w:color w:val="000000"/>
          <w:shd w:val="clear" w:color="auto" w:fill="FFFFFF"/>
          <w:lang w:eastAsia="en-GB"/>
        </w:rPr>
        <w:t>Addy, L. and Dixon, G. (2013). </w:t>
      </w:r>
      <w:r w:rsidRPr="0025755F">
        <w:rPr>
          <w:rFonts w:ascii="Arial" w:eastAsia="Times New Roman" w:hAnsi="Arial" w:cs="Arial"/>
          <w:i/>
          <w:iCs/>
          <w:color w:val="000000"/>
          <w:lang w:eastAsia="en-GB"/>
        </w:rPr>
        <w:t>Making Inclusion Work for Children with Dyspraxia</w:t>
      </w:r>
      <w:r w:rsidRPr="0025755F">
        <w:rPr>
          <w:rFonts w:ascii="Arial" w:eastAsia="Times New Roman" w:hAnsi="Arial" w:cs="Arial"/>
          <w:color w:val="000000"/>
          <w:shd w:val="clear" w:color="auto" w:fill="FFFFFF"/>
          <w:lang w:eastAsia="en-GB"/>
        </w:rPr>
        <w:t>. London: Taylor and Francis.</w:t>
      </w:r>
    </w:p>
    <w:p w14:paraId="712ADD5C" w14:textId="77777777" w:rsidR="0064599F" w:rsidRPr="00E32D5F" w:rsidRDefault="0064599F" w:rsidP="0064599F">
      <w:pPr>
        <w:spacing w:line="360" w:lineRule="auto"/>
        <w:jc w:val="both"/>
        <w:rPr>
          <w:rFonts w:ascii="Arial" w:eastAsia="Times New Roman" w:hAnsi="Arial" w:cs="Arial"/>
          <w:lang w:eastAsia="en-GB"/>
        </w:rPr>
      </w:pPr>
      <w:r w:rsidRPr="00E32D5F">
        <w:rPr>
          <w:rFonts w:ascii="Arial" w:eastAsia="Times New Roman" w:hAnsi="Arial" w:cs="Arial"/>
          <w:color w:val="000000"/>
          <w:shd w:val="clear" w:color="auto" w:fill="FFFFFF"/>
          <w:lang w:eastAsia="en-GB"/>
        </w:rPr>
        <w:t>Bakhurst, D., Shanker, S., Bakhurst, D. and Shanker, S. (2001). </w:t>
      </w:r>
      <w:r w:rsidRPr="00E32D5F">
        <w:rPr>
          <w:rFonts w:ascii="Arial" w:eastAsia="Times New Roman" w:hAnsi="Arial" w:cs="Arial"/>
          <w:i/>
          <w:iCs/>
          <w:color w:val="000000"/>
          <w:lang w:eastAsia="en-GB"/>
        </w:rPr>
        <w:t>Jerome Bruner</w:t>
      </w:r>
      <w:r w:rsidRPr="00E32D5F">
        <w:rPr>
          <w:rFonts w:ascii="Arial" w:eastAsia="Times New Roman" w:hAnsi="Arial" w:cs="Arial"/>
          <w:color w:val="000000"/>
          <w:shd w:val="clear" w:color="auto" w:fill="FFFFFF"/>
          <w:lang w:eastAsia="en-GB"/>
        </w:rPr>
        <w:t>. London: SAGE.</w:t>
      </w:r>
    </w:p>
    <w:p w14:paraId="147B05AA" w14:textId="77777777" w:rsidR="0064599F" w:rsidRPr="00E32D5F" w:rsidRDefault="0064599F" w:rsidP="0064599F">
      <w:pPr>
        <w:spacing w:line="360" w:lineRule="auto"/>
        <w:jc w:val="both"/>
        <w:rPr>
          <w:rFonts w:ascii="Arial" w:eastAsia="Times New Roman" w:hAnsi="Arial" w:cs="Arial"/>
          <w:lang w:eastAsia="en-GB"/>
        </w:rPr>
      </w:pPr>
      <w:r w:rsidRPr="00E32D5F">
        <w:rPr>
          <w:rFonts w:ascii="Arial" w:eastAsia="Times New Roman" w:hAnsi="Arial" w:cs="Arial"/>
          <w:color w:val="000000"/>
          <w:shd w:val="clear" w:color="auto" w:fill="FFFFFF"/>
          <w:lang w:eastAsia="en-GB"/>
        </w:rPr>
        <w:t>Brighton and Hove City Council (2012). </w:t>
      </w:r>
      <w:r w:rsidRPr="00E32D5F">
        <w:rPr>
          <w:rFonts w:ascii="Arial" w:eastAsia="Times New Roman" w:hAnsi="Arial" w:cs="Arial"/>
          <w:i/>
          <w:iCs/>
          <w:color w:val="000000"/>
          <w:lang w:eastAsia="en-GB"/>
        </w:rPr>
        <w:t>Guidelines for Early Years Mathematics in the Foundation Stage</w:t>
      </w:r>
      <w:r w:rsidRPr="00E32D5F">
        <w:rPr>
          <w:rFonts w:ascii="Arial" w:eastAsia="Times New Roman" w:hAnsi="Arial" w:cs="Arial"/>
          <w:color w:val="000000"/>
          <w:shd w:val="clear" w:color="auto" w:fill="FFFFFF"/>
          <w:lang w:eastAsia="en-GB"/>
        </w:rPr>
        <w:t>. Brighton, pp.2-4.</w:t>
      </w:r>
    </w:p>
    <w:p w14:paraId="47067D28" w14:textId="77777777" w:rsidR="0064599F" w:rsidRPr="00E32D5F" w:rsidRDefault="0064599F" w:rsidP="0064599F">
      <w:pPr>
        <w:spacing w:line="360" w:lineRule="auto"/>
        <w:jc w:val="both"/>
        <w:rPr>
          <w:rFonts w:ascii="Arial" w:hAnsi="Arial" w:cs="Arial"/>
        </w:rPr>
      </w:pPr>
      <w:r w:rsidRPr="00E32D5F">
        <w:rPr>
          <w:rFonts w:ascii="Arial" w:hAnsi="Arial" w:cs="Arial"/>
        </w:rPr>
        <w:t xml:space="preserve">Brunton, P. and Thornton, L. (2015) </w:t>
      </w:r>
      <w:r w:rsidRPr="0064599F">
        <w:rPr>
          <w:rFonts w:ascii="Arial" w:hAnsi="Arial" w:cs="Arial"/>
          <w:i/>
          <w:iCs/>
        </w:rPr>
        <w:t>Science in the Early Years:  Building Firm Foundations from Birth to Five</w:t>
      </w:r>
      <w:r w:rsidRPr="00E32D5F">
        <w:rPr>
          <w:rFonts w:ascii="Arial" w:hAnsi="Arial" w:cs="Arial"/>
        </w:rPr>
        <w:t>. London: Sage.</w:t>
      </w:r>
    </w:p>
    <w:p w14:paraId="0D33F8E5" w14:textId="77777777" w:rsidR="0064599F" w:rsidRPr="00E32D5F" w:rsidRDefault="0064599F" w:rsidP="0064599F">
      <w:pPr>
        <w:spacing w:line="360" w:lineRule="auto"/>
        <w:jc w:val="both"/>
        <w:rPr>
          <w:rFonts w:ascii="Arial" w:hAnsi="Arial" w:cs="Arial"/>
        </w:rPr>
      </w:pPr>
      <w:r w:rsidRPr="00E32D5F">
        <w:rPr>
          <w:rFonts w:ascii="Arial" w:hAnsi="Arial" w:cs="Arial"/>
        </w:rPr>
        <w:t xml:space="preserve">Brussoni, M., S. Brunelle, I. Pike, E. B. H. Sandseter, S. Herrington, H. Turner, et al. (2014). </w:t>
      </w:r>
      <w:r w:rsidRPr="00E32D5F">
        <w:rPr>
          <w:rFonts w:ascii="Arial" w:hAnsi="Arial" w:cs="Arial"/>
          <w:i/>
          <w:iCs/>
        </w:rPr>
        <w:t>“Can Child Injury Prevention Include Healthy Risk Promotion?”</w:t>
      </w:r>
      <w:r w:rsidRPr="00E32D5F">
        <w:rPr>
          <w:rFonts w:ascii="Arial" w:hAnsi="Arial" w:cs="Arial"/>
        </w:rPr>
        <w:t xml:space="preserve"> Injury Prevention: 1–4. doi:10.1136/injuryprev-2014-041241.</w:t>
      </w:r>
    </w:p>
    <w:p w14:paraId="3BE084F7" w14:textId="77777777" w:rsidR="0064599F" w:rsidRPr="00E32D5F" w:rsidRDefault="0064599F" w:rsidP="0064599F">
      <w:pPr>
        <w:spacing w:line="360" w:lineRule="auto"/>
        <w:jc w:val="both"/>
        <w:rPr>
          <w:rFonts w:ascii="Arial" w:eastAsia="Times New Roman" w:hAnsi="Arial" w:cs="Arial"/>
          <w:lang w:eastAsia="en-GB"/>
        </w:rPr>
      </w:pPr>
      <w:r w:rsidRPr="00E32D5F">
        <w:rPr>
          <w:rFonts w:ascii="Arial" w:eastAsia="Times New Roman" w:hAnsi="Arial" w:cs="Arial"/>
          <w:color w:val="000000"/>
          <w:shd w:val="clear" w:color="auto" w:fill="FFFFFF"/>
          <w:lang w:eastAsia="en-GB"/>
        </w:rPr>
        <w:t xml:space="preserve">Chigeza, P. and Sorin, R. (2016). </w:t>
      </w:r>
      <w:r w:rsidRPr="00E32D5F">
        <w:rPr>
          <w:rFonts w:ascii="Arial" w:eastAsia="Times New Roman" w:hAnsi="Arial" w:cs="Arial"/>
          <w:i/>
          <w:iCs/>
          <w:color w:val="000000"/>
          <w:shd w:val="clear" w:color="auto" w:fill="FFFFFF"/>
          <w:lang w:eastAsia="en-GB"/>
        </w:rPr>
        <w:t>Kindergarten Children Demonstrating Numeracy Concepts through Drawings and Explanations: Intentional Teaching within Play-based Learning</w:t>
      </w:r>
      <w:r w:rsidRPr="00E32D5F">
        <w:rPr>
          <w:rFonts w:ascii="Arial" w:eastAsia="Times New Roman" w:hAnsi="Arial" w:cs="Arial"/>
          <w:color w:val="000000"/>
          <w:shd w:val="clear" w:color="auto" w:fill="FFFFFF"/>
          <w:lang w:eastAsia="en-GB"/>
        </w:rPr>
        <w:t>. </w:t>
      </w:r>
      <w:r w:rsidRPr="00E32D5F">
        <w:rPr>
          <w:rFonts w:ascii="Arial" w:eastAsia="Times New Roman" w:hAnsi="Arial" w:cs="Arial"/>
          <w:color w:val="000000"/>
          <w:lang w:eastAsia="en-GB"/>
        </w:rPr>
        <w:t>Australian Journal of Teacher Education</w:t>
      </w:r>
      <w:r w:rsidRPr="00E32D5F">
        <w:rPr>
          <w:rFonts w:ascii="Arial" w:eastAsia="Times New Roman" w:hAnsi="Arial" w:cs="Arial"/>
          <w:color w:val="000000"/>
          <w:shd w:val="clear" w:color="auto" w:fill="FFFFFF"/>
          <w:lang w:eastAsia="en-GB"/>
        </w:rPr>
        <w:t>, 41(5), pp.65-77.</w:t>
      </w:r>
    </w:p>
    <w:p w14:paraId="2F59B925" w14:textId="099D8826" w:rsidR="0064599F" w:rsidRPr="00E32D5F" w:rsidRDefault="0064599F" w:rsidP="0064599F">
      <w:pPr>
        <w:spacing w:line="360" w:lineRule="auto"/>
        <w:jc w:val="both"/>
        <w:rPr>
          <w:rFonts w:ascii="Arial" w:eastAsia="Times New Roman" w:hAnsi="Arial" w:cs="Arial"/>
          <w:lang w:eastAsia="en-GB"/>
        </w:rPr>
      </w:pPr>
      <w:r w:rsidRPr="00E32D5F">
        <w:rPr>
          <w:rFonts w:ascii="Arial" w:eastAsia="Times New Roman" w:hAnsi="Arial" w:cs="Arial"/>
          <w:color w:val="000000"/>
          <w:shd w:val="clear" w:color="auto" w:fill="FFFFFF"/>
          <w:lang w:eastAsia="en-GB"/>
        </w:rPr>
        <w:t>Department of Early Childhood Education (n.d.). </w:t>
      </w:r>
      <w:r w:rsidRPr="00E32D5F">
        <w:rPr>
          <w:rFonts w:ascii="Arial" w:eastAsia="Times New Roman" w:hAnsi="Arial" w:cs="Arial"/>
          <w:i/>
          <w:iCs/>
          <w:color w:val="000000"/>
          <w:lang w:eastAsia="en-GB"/>
        </w:rPr>
        <w:t xml:space="preserve">Mathematics Teaching in Hong Kong Pre-schools: Mirroring the Chinese Cultural Aspiration towards </w:t>
      </w:r>
      <w:r w:rsidR="009D0BD2" w:rsidRPr="00E32D5F">
        <w:rPr>
          <w:rFonts w:ascii="Arial" w:eastAsia="Times New Roman" w:hAnsi="Arial" w:cs="Arial"/>
          <w:i/>
          <w:iCs/>
          <w:color w:val="000000"/>
          <w:lang w:eastAsia="en-GB"/>
        </w:rPr>
        <w:t>Learning?</w:t>
      </w:r>
      <w:r w:rsidRPr="00E32D5F">
        <w:rPr>
          <w:rFonts w:ascii="Arial" w:eastAsia="Times New Roman" w:hAnsi="Arial" w:cs="Arial"/>
          <w:color w:val="000000"/>
          <w:shd w:val="clear" w:color="auto" w:fill="FFFFFF"/>
          <w:lang w:eastAsia="en-GB"/>
        </w:rPr>
        <w:t xml:space="preserve"> Hong Kong: The Hong Kong Institute of Education, pp.1-7.</w:t>
      </w:r>
    </w:p>
    <w:p w14:paraId="1B560A27" w14:textId="77777777" w:rsidR="0064599F" w:rsidRPr="0025755F" w:rsidRDefault="0064599F" w:rsidP="0064599F">
      <w:pPr>
        <w:spacing w:line="360" w:lineRule="auto"/>
        <w:jc w:val="both"/>
        <w:rPr>
          <w:rFonts w:ascii="Arial" w:eastAsia="Times New Roman" w:hAnsi="Arial" w:cs="Arial"/>
          <w:lang w:eastAsia="en-GB"/>
        </w:rPr>
      </w:pPr>
      <w:r w:rsidRPr="0025755F">
        <w:rPr>
          <w:rFonts w:ascii="Arial" w:eastAsia="Times New Roman" w:hAnsi="Arial" w:cs="Arial"/>
          <w:color w:val="000000"/>
          <w:shd w:val="clear" w:color="auto" w:fill="FFFFFF"/>
          <w:lang w:eastAsia="en-GB"/>
        </w:rPr>
        <w:t>Health and Safety Executive. (2019). </w:t>
      </w:r>
      <w:r w:rsidRPr="0025755F">
        <w:rPr>
          <w:rFonts w:ascii="Arial" w:eastAsia="Times New Roman" w:hAnsi="Arial" w:cs="Arial"/>
          <w:i/>
          <w:iCs/>
          <w:color w:val="000000"/>
          <w:lang w:eastAsia="en-GB"/>
        </w:rPr>
        <w:t>Risk management: Health and safety in the workplace</w:t>
      </w:r>
      <w:r w:rsidRPr="0025755F">
        <w:rPr>
          <w:rFonts w:ascii="Arial" w:eastAsia="Times New Roman" w:hAnsi="Arial" w:cs="Arial"/>
          <w:color w:val="000000"/>
          <w:shd w:val="clear" w:color="auto" w:fill="FFFFFF"/>
          <w:lang w:eastAsia="en-GB"/>
        </w:rPr>
        <w:t>. [online] Available at: https://www.hse.gov.uk/risk/ [Accessed 22 Feb. 2020].</w:t>
      </w:r>
    </w:p>
    <w:p w14:paraId="2667E29A" w14:textId="77777777" w:rsidR="0064599F" w:rsidRPr="00E32D5F" w:rsidRDefault="0064599F" w:rsidP="0064599F">
      <w:pPr>
        <w:spacing w:line="360" w:lineRule="auto"/>
        <w:jc w:val="both"/>
        <w:rPr>
          <w:rFonts w:ascii="Arial" w:eastAsia="Times New Roman" w:hAnsi="Arial" w:cs="Arial"/>
          <w:lang w:eastAsia="en-GB"/>
        </w:rPr>
      </w:pPr>
      <w:r w:rsidRPr="00E32D5F">
        <w:rPr>
          <w:rFonts w:ascii="Arial" w:eastAsia="Times New Roman" w:hAnsi="Arial" w:cs="Arial"/>
          <w:color w:val="000000"/>
          <w:shd w:val="clear" w:color="auto" w:fill="FFFFFF"/>
          <w:lang w:eastAsia="en-GB"/>
        </w:rPr>
        <w:t xml:space="preserve">Howard, J. and McInnes, K. (2012). </w:t>
      </w:r>
      <w:r w:rsidRPr="0064599F">
        <w:rPr>
          <w:rFonts w:ascii="Arial" w:eastAsia="Times New Roman" w:hAnsi="Arial" w:cs="Arial"/>
          <w:i/>
          <w:iCs/>
          <w:color w:val="000000"/>
          <w:shd w:val="clear" w:color="auto" w:fill="FFFFFF"/>
          <w:lang w:eastAsia="en-GB"/>
        </w:rPr>
        <w:t>The impact of children's perception of an activity as play rather than not play on emotional well-being</w:t>
      </w:r>
      <w:r w:rsidRPr="00E32D5F">
        <w:rPr>
          <w:rFonts w:ascii="Arial" w:eastAsia="Times New Roman" w:hAnsi="Arial" w:cs="Arial"/>
          <w:color w:val="000000"/>
          <w:shd w:val="clear" w:color="auto" w:fill="FFFFFF"/>
          <w:lang w:eastAsia="en-GB"/>
        </w:rPr>
        <w:t>. </w:t>
      </w:r>
      <w:r w:rsidRPr="0064599F">
        <w:rPr>
          <w:rFonts w:ascii="Arial" w:eastAsia="Times New Roman" w:hAnsi="Arial" w:cs="Arial"/>
          <w:color w:val="000000"/>
          <w:lang w:eastAsia="en-GB"/>
        </w:rPr>
        <w:t>Child: Care, Health and Development</w:t>
      </w:r>
      <w:r w:rsidRPr="00E32D5F">
        <w:rPr>
          <w:rFonts w:ascii="Arial" w:eastAsia="Times New Roman" w:hAnsi="Arial" w:cs="Arial"/>
          <w:color w:val="000000"/>
          <w:shd w:val="clear" w:color="auto" w:fill="FFFFFF"/>
          <w:lang w:eastAsia="en-GB"/>
        </w:rPr>
        <w:t>, 39(5), pp.737-742.</w:t>
      </w:r>
    </w:p>
    <w:p w14:paraId="424C6D27" w14:textId="77777777" w:rsidR="0064599F" w:rsidRPr="00E32D5F" w:rsidRDefault="0064599F" w:rsidP="0064599F">
      <w:pPr>
        <w:spacing w:line="360" w:lineRule="auto"/>
        <w:jc w:val="both"/>
        <w:rPr>
          <w:rFonts w:ascii="Arial" w:eastAsia="Times New Roman" w:hAnsi="Arial" w:cs="Arial"/>
          <w:lang w:eastAsia="en-GB"/>
        </w:rPr>
      </w:pPr>
      <w:r w:rsidRPr="00E32D5F">
        <w:rPr>
          <w:rFonts w:ascii="Arial" w:eastAsia="Times New Roman" w:hAnsi="Arial" w:cs="Arial"/>
          <w:color w:val="000000"/>
          <w:shd w:val="clear" w:color="auto" w:fill="FFFFFF"/>
          <w:lang w:eastAsia="en-GB"/>
        </w:rPr>
        <w:lastRenderedPageBreak/>
        <w:t xml:space="preserve">Huong, L. (2007). </w:t>
      </w:r>
      <w:r w:rsidRPr="0064599F">
        <w:rPr>
          <w:rFonts w:ascii="Arial" w:eastAsia="Times New Roman" w:hAnsi="Arial" w:cs="Arial"/>
          <w:i/>
          <w:iCs/>
          <w:color w:val="000000"/>
          <w:shd w:val="clear" w:color="auto" w:fill="FFFFFF"/>
          <w:lang w:eastAsia="en-GB"/>
        </w:rPr>
        <w:t>The More Knowledgeable Peer, Target Language Use, and Group Participation</w:t>
      </w:r>
      <w:r w:rsidRPr="00E32D5F">
        <w:rPr>
          <w:rFonts w:ascii="Arial" w:eastAsia="Times New Roman" w:hAnsi="Arial" w:cs="Arial"/>
          <w:color w:val="000000"/>
          <w:shd w:val="clear" w:color="auto" w:fill="FFFFFF"/>
          <w:lang w:eastAsia="en-GB"/>
        </w:rPr>
        <w:t>. </w:t>
      </w:r>
      <w:r w:rsidRPr="0064599F">
        <w:rPr>
          <w:rFonts w:ascii="Arial" w:eastAsia="Times New Roman" w:hAnsi="Arial" w:cs="Arial"/>
          <w:color w:val="000000"/>
          <w:lang w:eastAsia="en-GB"/>
        </w:rPr>
        <w:t>Canadian Modern Language Review</w:t>
      </w:r>
      <w:r w:rsidRPr="0064599F">
        <w:rPr>
          <w:rFonts w:ascii="Arial" w:eastAsia="Times New Roman" w:hAnsi="Arial" w:cs="Arial"/>
          <w:color w:val="000000"/>
          <w:shd w:val="clear" w:color="auto" w:fill="FFFFFF"/>
          <w:lang w:eastAsia="en-GB"/>
        </w:rPr>
        <w:t>,</w:t>
      </w:r>
      <w:r w:rsidRPr="00E32D5F">
        <w:rPr>
          <w:rFonts w:ascii="Arial" w:eastAsia="Times New Roman" w:hAnsi="Arial" w:cs="Arial"/>
          <w:color w:val="000000"/>
          <w:shd w:val="clear" w:color="auto" w:fill="FFFFFF"/>
          <w:lang w:eastAsia="en-GB"/>
        </w:rPr>
        <w:t xml:space="preserve"> 64(2), pp.329-350.</w:t>
      </w:r>
    </w:p>
    <w:p w14:paraId="01D2FF07" w14:textId="77777777" w:rsidR="0064599F" w:rsidRPr="00E32D5F" w:rsidRDefault="0064599F" w:rsidP="0064599F">
      <w:pPr>
        <w:spacing w:line="360" w:lineRule="auto"/>
        <w:jc w:val="both"/>
        <w:rPr>
          <w:rFonts w:ascii="Arial" w:eastAsia="Times New Roman" w:hAnsi="Arial" w:cs="Arial"/>
          <w:lang w:eastAsia="en-GB"/>
        </w:rPr>
      </w:pPr>
      <w:r w:rsidRPr="00E32D5F">
        <w:rPr>
          <w:rFonts w:ascii="Arial" w:eastAsia="Times New Roman" w:hAnsi="Arial" w:cs="Arial"/>
          <w:color w:val="000000"/>
          <w:shd w:val="clear" w:color="auto" w:fill="FFFFFF"/>
          <w:lang w:eastAsia="en-GB"/>
        </w:rPr>
        <w:t>Isaacs, B. (2018). </w:t>
      </w:r>
      <w:r w:rsidRPr="00E32D5F">
        <w:rPr>
          <w:rFonts w:ascii="Arial" w:eastAsia="Times New Roman" w:hAnsi="Arial" w:cs="Arial"/>
          <w:i/>
          <w:iCs/>
          <w:color w:val="000000"/>
          <w:lang w:eastAsia="en-GB"/>
        </w:rPr>
        <w:t>Understanding the Montessori approach</w:t>
      </w:r>
      <w:r w:rsidRPr="00E32D5F">
        <w:rPr>
          <w:rFonts w:ascii="Arial" w:eastAsia="Times New Roman" w:hAnsi="Arial" w:cs="Arial"/>
          <w:color w:val="000000"/>
          <w:shd w:val="clear" w:color="auto" w:fill="FFFFFF"/>
          <w:lang w:eastAsia="en-GB"/>
        </w:rPr>
        <w:t>. 2nd ed. Oxon: Routledge.</w:t>
      </w:r>
    </w:p>
    <w:p w14:paraId="6F00CDEB" w14:textId="77777777" w:rsidR="0064599F" w:rsidRPr="0025755F" w:rsidRDefault="0064599F" w:rsidP="0064599F">
      <w:pPr>
        <w:spacing w:line="360" w:lineRule="auto"/>
        <w:jc w:val="both"/>
        <w:rPr>
          <w:rFonts w:ascii="Arial" w:eastAsia="Times New Roman" w:hAnsi="Arial" w:cs="Arial"/>
          <w:lang w:eastAsia="en-GB"/>
        </w:rPr>
      </w:pPr>
      <w:r w:rsidRPr="0025755F">
        <w:rPr>
          <w:rFonts w:ascii="Arial" w:eastAsia="Times New Roman" w:hAnsi="Arial" w:cs="Arial"/>
          <w:color w:val="000000"/>
          <w:shd w:val="clear" w:color="auto" w:fill="FFFFFF"/>
          <w:lang w:eastAsia="en-GB"/>
        </w:rPr>
        <w:t>Kozulin, A. (2007). </w:t>
      </w:r>
      <w:r w:rsidRPr="0025755F">
        <w:rPr>
          <w:rFonts w:ascii="Arial" w:eastAsia="Times New Roman" w:hAnsi="Arial" w:cs="Arial"/>
          <w:i/>
          <w:iCs/>
          <w:color w:val="000000"/>
          <w:lang w:eastAsia="en-GB"/>
        </w:rPr>
        <w:t>Vygotsky's educational theory in cultural context</w:t>
      </w:r>
      <w:r w:rsidRPr="0025755F">
        <w:rPr>
          <w:rFonts w:ascii="Arial" w:eastAsia="Times New Roman" w:hAnsi="Arial" w:cs="Arial"/>
          <w:color w:val="000000"/>
          <w:shd w:val="clear" w:color="auto" w:fill="FFFFFF"/>
          <w:lang w:eastAsia="en-GB"/>
        </w:rPr>
        <w:t>. Cambridge: Cambridge University Press, pp.40-43.</w:t>
      </w:r>
    </w:p>
    <w:p w14:paraId="565D62A1" w14:textId="77777777" w:rsidR="0064599F" w:rsidRPr="0025755F" w:rsidRDefault="0064599F" w:rsidP="0064599F">
      <w:pPr>
        <w:spacing w:line="360" w:lineRule="auto"/>
        <w:jc w:val="both"/>
        <w:rPr>
          <w:rFonts w:ascii="Arial" w:eastAsia="Times New Roman" w:hAnsi="Arial" w:cs="Arial"/>
          <w:lang w:eastAsia="en-GB"/>
        </w:rPr>
      </w:pPr>
      <w:r w:rsidRPr="0025755F">
        <w:rPr>
          <w:rFonts w:ascii="Arial" w:eastAsia="Times New Roman" w:hAnsi="Arial" w:cs="Arial"/>
          <w:color w:val="000000"/>
          <w:shd w:val="clear" w:color="auto" w:fill="FFFFFF"/>
          <w:lang w:eastAsia="en-GB"/>
        </w:rPr>
        <w:t xml:space="preserve">Pitchford, N., Papini, C., Outhwaite, L. and Gulliford, A. (2016). </w:t>
      </w:r>
      <w:r w:rsidRPr="0025755F">
        <w:rPr>
          <w:rFonts w:ascii="Arial" w:eastAsia="Times New Roman" w:hAnsi="Arial" w:cs="Arial"/>
          <w:i/>
          <w:iCs/>
          <w:color w:val="000000"/>
          <w:shd w:val="clear" w:color="auto" w:fill="FFFFFF"/>
          <w:lang w:eastAsia="en-GB"/>
        </w:rPr>
        <w:t>Fine Motor Skills Predict Maths Ability Better than They Predict Reading Ability in the Early Primary School Years</w:t>
      </w:r>
      <w:r w:rsidRPr="0025755F">
        <w:rPr>
          <w:rFonts w:ascii="Arial" w:eastAsia="Times New Roman" w:hAnsi="Arial" w:cs="Arial"/>
          <w:color w:val="000000"/>
          <w:shd w:val="clear" w:color="auto" w:fill="FFFFFF"/>
          <w:lang w:eastAsia="en-GB"/>
        </w:rPr>
        <w:t>. </w:t>
      </w:r>
      <w:r w:rsidRPr="0025755F">
        <w:rPr>
          <w:rFonts w:ascii="Arial" w:eastAsia="Times New Roman" w:hAnsi="Arial" w:cs="Arial"/>
          <w:i/>
          <w:iCs/>
          <w:color w:val="000000"/>
          <w:lang w:eastAsia="en-GB"/>
        </w:rPr>
        <w:t>Frontiers in Psychology</w:t>
      </w:r>
      <w:r w:rsidRPr="0025755F">
        <w:rPr>
          <w:rFonts w:ascii="Arial" w:eastAsia="Times New Roman" w:hAnsi="Arial" w:cs="Arial"/>
          <w:color w:val="000000"/>
          <w:shd w:val="clear" w:color="auto" w:fill="FFFFFF"/>
          <w:lang w:eastAsia="en-GB"/>
        </w:rPr>
        <w:t>, 7.</w:t>
      </w:r>
    </w:p>
    <w:p w14:paraId="52955498" w14:textId="77777777" w:rsidR="0064599F" w:rsidRPr="0025755F" w:rsidRDefault="0064599F" w:rsidP="0064599F">
      <w:pPr>
        <w:spacing w:line="360" w:lineRule="auto"/>
        <w:jc w:val="both"/>
        <w:rPr>
          <w:rFonts w:ascii="Arial" w:eastAsia="Times New Roman" w:hAnsi="Arial" w:cs="Arial"/>
          <w:lang w:eastAsia="en-GB"/>
        </w:rPr>
      </w:pPr>
      <w:r w:rsidRPr="0025755F">
        <w:rPr>
          <w:rFonts w:ascii="Arial" w:eastAsia="Times New Roman" w:hAnsi="Arial" w:cs="Arial"/>
          <w:color w:val="000000"/>
          <w:shd w:val="clear" w:color="auto" w:fill="FFFFFF"/>
          <w:lang w:eastAsia="en-GB"/>
        </w:rPr>
        <w:t>TTS. (2017). </w:t>
      </w:r>
      <w:r w:rsidRPr="0025755F">
        <w:rPr>
          <w:rFonts w:ascii="Arial" w:eastAsia="Times New Roman" w:hAnsi="Arial" w:cs="Arial"/>
          <w:i/>
          <w:iCs/>
          <w:color w:val="000000"/>
          <w:lang w:eastAsia="en-GB"/>
        </w:rPr>
        <w:t>Learning to play the natural way - the benefits of natural resources</w:t>
      </w:r>
      <w:r w:rsidRPr="0025755F">
        <w:rPr>
          <w:rFonts w:ascii="Arial" w:eastAsia="Times New Roman" w:hAnsi="Arial" w:cs="Arial"/>
          <w:color w:val="000000"/>
          <w:shd w:val="clear" w:color="auto" w:fill="FFFFFF"/>
          <w:lang w:eastAsia="en-GB"/>
        </w:rPr>
        <w:t>. [online] Available at: https://www.tts-group.co.uk/blog/2017/04/03/learning-play-natural-way-benefits-natural-resources.html [Accessed 22 Feb. 2020].</w:t>
      </w:r>
    </w:p>
    <w:p w14:paraId="02FE6411" w14:textId="77777777" w:rsidR="0064599F" w:rsidRPr="0025755F" w:rsidRDefault="0064599F" w:rsidP="0064599F">
      <w:pPr>
        <w:spacing w:line="360" w:lineRule="auto"/>
        <w:jc w:val="both"/>
        <w:rPr>
          <w:rFonts w:ascii="Arial" w:eastAsia="Times New Roman" w:hAnsi="Arial" w:cs="Arial"/>
          <w:lang w:eastAsia="en-GB"/>
        </w:rPr>
      </w:pPr>
      <w:r w:rsidRPr="0025755F">
        <w:rPr>
          <w:rFonts w:ascii="Arial" w:eastAsia="Times New Roman" w:hAnsi="Arial" w:cs="Arial"/>
          <w:color w:val="000000"/>
          <w:shd w:val="clear" w:color="auto" w:fill="FFFFFF"/>
          <w:lang w:eastAsia="en-GB"/>
        </w:rPr>
        <w:t>Tucker, K. (2010). </w:t>
      </w:r>
      <w:r w:rsidRPr="0025755F">
        <w:rPr>
          <w:rFonts w:ascii="Arial" w:eastAsia="Times New Roman" w:hAnsi="Arial" w:cs="Arial"/>
          <w:i/>
          <w:iCs/>
          <w:color w:val="000000"/>
          <w:lang w:eastAsia="en-GB"/>
        </w:rPr>
        <w:t>Mathematics Through Play in the Early Years</w:t>
      </w:r>
      <w:r w:rsidRPr="0025755F">
        <w:rPr>
          <w:rFonts w:ascii="Arial" w:eastAsia="Times New Roman" w:hAnsi="Arial" w:cs="Arial"/>
          <w:color w:val="000000"/>
          <w:shd w:val="clear" w:color="auto" w:fill="FFFFFF"/>
          <w:lang w:eastAsia="en-GB"/>
        </w:rPr>
        <w:t>. 3rd ed. Los Angeles: Sage, pp.12-28.</w:t>
      </w:r>
    </w:p>
    <w:p w14:paraId="764CF9DA" w14:textId="77777777" w:rsidR="0064599F" w:rsidRPr="00E32D5F" w:rsidRDefault="0064599F" w:rsidP="0064599F">
      <w:pPr>
        <w:spacing w:line="360" w:lineRule="auto"/>
        <w:jc w:val="both"/>
        <w:rPr>
          <w:rFonts w:ascii="Arial" w:eastAsia="Times New Roman" w:hAnsi="Arial" w:cs="Arial"/>
          <w:lang w:eastAsia="en-GB"/>
        </w:rPr>
      </w:pPr>
      <w:r w:rsidRPr="00E32D5F">
        <w:rPr>
          <w:rFonts w:ascii="Arial" w:eastAsia="Times New Roman" w:hAnsi="Arial" w:cs="Arial"/>
          <w:color w:val="000000"/>
          <w:shd w:val="clear" w:color="auto" w:fill="FFFFFF"/>
          <w:lang w:eastAsia="en-GB"/>
        </w:rPr>
        <w:t>Welsh Assembly Government (2015). </w:t>
      </w:r>
      <w:r w:rsidRPr="00E32D5F">
        <w:rPr>
          <w:rFonts w:ascii="Arial" w:eastAsia="Times New Roman" w:hAnsi="Arial" w:cs="Arial"/>
          <w:i/>
          <w:iCs/>
          <w:color w:val="000000"/>
          <w:lang w:eastAsia="en-GB"/>
        </w:rPr>
        <w:t>Foundation Phase Framework</w:t>
      </w:r>
      <w:r w:rsidRPr="00E32D5F">
        <w:rPr>
          <w:rFonts w:ascii="Arial" w:eastAsia="Times New Roman" w:hAnsi="Arial" w:cs="Arial"/>
          <w:color w:val="000000"/>
          <w:shd w:val="clear" w:color="auto" w:fill="FFFFFF"/>
          <w:lang w:eastAsia="en-GB"/>
        </w:rPr>
        <w:t>. Cardiff: Welsh Government, pp.28-35.</w:t>
      </w:r>
    </w:p>
    <w:p w14:paraId="3D1AD4AB" w14:textId="77777777" w:rsidR="0064599F" w:rsidRPr="00E32D5F" w:rsidRDefault="0064599F" w:rsidP="0064599F">
      <w:pPr>
        <w:spacing w:line="360" w:lineRule="auto"/>
        <w:jc w:val="both"/>
        <w:rPr>
          <w:rFonts w:ascii="Arial" w:hAnsi="Arial" w:cs="Arial"/>
        </w:rPr>
      </w:pPr>
      <w:r w:rsidRPr="00E32D5F">
        <w:rPr>
          <w:rFonts w:ascii="Arial" w:hAnsi="Arial" w:cs="Arial"/>
          <w:color w:val="000000"/>
          <w:shd w:val="clear" w:color="auto" w:fill="FFFFFF"/>
        </w:rPr>
        <w:t>Welsh Assembly Government (2015). </w:t>
      </w:r>
      <w:r w:rsidRPr="00E32D5F">
        <w:rPr>
          <w:rFonts w:ascii="Arial" w:hAnsi="Arial" w:cs="Arial"/>
          <w:i/>
          <w:iCs/>
          <w:color w:val="000000"/>
        </w:rPr>
        <w:t>Foundation Phase Framework</w:t>
      </w:r>
      <w:r w:rsidRPr="00E32D5F">
        <w:rPr>
          <w:rFonts w:ascii="Arial" w:hAnsi="Arial" w:cs="Arial"/>
          <w:color w:val="000000"/>
          <w:shd w:val="clear" w:color="auto" w:fill="FFFFFF"/>
        </w:rPr>
        <w:t>. Cardiff: Welsh Assembly Government, pp.3-10.</w:t>
      </w:r>
    </w:p>
    <w:p w14:paraId="20B965EF" w14:textId="77777777" w:rsidR="0064599F" w:rsidRPr="00E32D5F" w:rsidRDefault="0064599F" w:rsidP="0064599F">
      <w:pPr>
        <w:spacing w:line="360" w:lineRule="auto"/>
        <w:jc w:val="both"/>
        <w:rPr>
          <w:rFonts w:ascii="Arial" w:hAnsi="Arial" w:cs="Arial"/>
          <w:u w:val="single"/>
        </w:rPr>
      </w:pPr>
      <w:r w:rsidRPr="00E32D5F">
        <w:rPr>
          <w:rFonts w:ascii="Arial" w:hAnsi="Arial" w:cs="Arial"/>
          <w:color w:val="000000" w:themeColor="text1"/>
        </w:rPr>
        <w:t xml:space="preserve">Welsh Government (2002) </w:t>
      </w:r>
      <w:r w:rsidRPr="00E32D5F">
        <w:rPr>
          <w:rFonts w:ascii="Arial" w:hAnsi="Arial" w:cs="Arial"/>
          <w:i/>
          <w:iCs/>
          <w:color w:val="000000" w:themeColor="text1"/>
        </w:rPr>
        <w:t>Play Policy</w:t>
      </w:r>
      <w:r w:rsidRPr="00E32D5F">
        <w:rPr>
          <w:rFonts w:ascii="Arial" w:hAnsi="Arial" w:cs="Arial"/>
          <w:color w:val="000000" w:themeColor="text1"/>
        </w:rPr>
        <w:t xml:space="preserve">. Cardiff: Welsh Government </w:t>
      </w:r>
      <w:hyperlink r:id="rId7" w:history="1">
        <w:r w:rsidRPr="00E32D5F">
          <w:rPr>
            <w:rStyle w:val="Hyperlink"/>
            <w:rFonts w:ascii="Arial" w:hAnsi="Arial" w:cs="Arial"/>
          </w:rPr>
          <w:t>www.playwales.org.uk/eng/walesplaypolicy</w:t>
        </w:r>
      </w:hyperlink>
      <w:r w:rsidRPr="00E32D5F">
        <w:rPr>
          <w:rFonts w:ascii="Arial" w:hAnsi="Arial" w:cs="Arial"/>
          <w:color w:val="000000" w:themeColor="text1"/>
        </w:rPr>
        <w:t xml:space="preserve">  </w:t>
      </w:r>
    </w:p>
    <w:p w14:paraId="3C0734F5" w14:textId="77777777" w:rsidR="0064599F" w:rsidRPr="0064599F" w:rsidRDefault="0064599F" w:rsidP="004E2FB1">
      <w:pPr>
        <w:spacing w:line="360" w:lineRule="auto"/>
        <w:jc w:val="both"/>
        <w:rPr>
          <w:rFonts w:ascii="Arial" w:hAnsi="Arial" w:cs="Arial"/>
          <w:u w:val="single"/>
        </w:rPr>
      </w:pPr>
    </w:p>
    <w:sectPr w:rsidR="0064599F" w:rsidRPr="0064599F" w:rsidSect="008C05D5">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0033B1" w14:textId="77777777" w:rsidR="007F57DB" w:rsidRDefault="007F57DB" w:rsidP="00D319F0">
      <w:pPr>
        <w:spacing w:after="0" w:line="240" w:lineRule="auto"/>
      </w:pPr>
      <w:r>
        <w:separator/>
      </w:r>
    </w:p>
  </w:endnote>
  <w:endnote w:type="continuationSeparator" w:id="0">
    <w:p w14:paraId="2EAC5896" w14:textId="77777777" w:rsidR="007F57DB" w:rsidRDefault="007F57DB" w:rsidP="00D319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68511016"/>
      <w:docPartObj>
        <w:docPartGallery w:val="Page Numbers (Bottom of Page)"/>
        <w:docPartUnique/>
      </w:docPartObj>
    </w:sdtPr>
    <w:sdtEndPr>
      <w:rPr>
        <w:rStyle w:val="PageNumber"/>
      </w:rPr>
    </w:sdtEndPr>
    <w:sdtContent>
      <w:p w14:paraId="0095984C" w14:textId="56ACFC3B" w:rsidR="00D319F0" w:rsidRDefault="00D319F0" w:rsidP="000D0B0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FAB243" w14:textId="77777777" w:rsidR="00D319F0" w:rsidRDefault="00D319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20509378"/>
      <w:docPartObj>
        <w:docPartGallery w:val="Page Numbers (Bottom of Page)"/>
        <w:docPartUnique/>
      </w:docPartObj>
    </w:sdtPr>
    <w:sdtEndPr>
      <w:rPr>
        <w:rStyle w:val="PageNumber"/>
      </w:rPr>
    </w:sdtEndPr>
    <w:sdtContent>
      <w:p w14:paraId="696B0869" w14:textId="664F1630" w:rsidR="00D319F0" w:rsidRDefault="00D319F0" w:rsidP="000D0B0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4DF2DF" w14:textId="77777777" w:rsidR="00D319F0" w:rsidRDefault="00D319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F898C2" w14:textId="77777777" w:rsidR="007F57DB" w:rsidRDefault="007F57DB" w:rsidP="00D319F0">
      <w:pPr>
        <w:spacing w:after="0" w:line="240" w:lineRule="auto"/>
      </w:pPr>
      <w:r>
        <w:separator/>
      </w:r>
    </w:p>
  </w:footnote>
  <w:footnote w:type="continuationSeparator" w:id="0">
    <w:p w14:paraId="2408DF8C" w14:textId="77777777" w:rsidR="007F57DB" w:rsidRDefault="007F57DB" w:rsidP="00D319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A6D355" w14:textId="022AA38E" w:rsidR="00D319F0" w:rsidRDefault="00D319F0">
    <w:pPr>
      <w:pStyle w:val="Header"/>
    </w:pPr>
    <w:r>
      <w:t>1906195</w:t>
    </w:r>
    <w:r>
      <w:ptab w:relativeTo="margin" w:alignment="center" w:leader="none"/>
    </w:r>
    <w:r>
      <w:t>EAEE4005</w:t>
    </w:r>
    <w:r>
      <w:ptab w:relativeTo="margin" w:alignment="right" w:leader="none"/>
    </w:r>
    <w:r>
      <w:t xml:space="preserve">Word Count: </w:t>
    </w:r>
    <w:r w:rsidR="0064599F">
      <w:t>307</w:t>
    </w:r>
    <w:r w:rsidR="009D0BD2">
      <w:t>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D115A"/>
    <w:multiLevelType w:val="hybridMultilevel"/>
    <w:tmpl w:val="B40A8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F01ADF"/>
    <w:multiLevelType w:val="hybridMultilevel"/>
    <w:tmpl w:val="40BC0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6F0EFB"/>
    <w:multiLevelType w:val="hybridMultilevel"/>
    <w:tmpl w:val="AC863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A85F97"/>
    <w:multiLevelType w:val="hybridMultilevel"/>
    <w:tmpl w:val="B9A8E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090C0E"/>
    <w:multiLevelType w:val="hybridMultilevel"/>
    <w:tmpl w:val="4F9A6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9F0"/>
    <w:rsid w:val="00006210"/>
    <w:rsid w:val="00013251"/>
    <w:rsid w:val="00051CAD"/>
    <w:rsid w:val="00083A3A"/>
    <w:rsid w:val="000C24C8"/>
    <w:rsid w:val="00100B35"/>
    <w:rsid w:val="001423F7"/>
    <w:rsid w:val="00291472"/>
    <w:rsid w:val="002F01D2"/>
    <w:rsid w:val="00316A17"/>
    <w:rsid w:val="003D7A57"/>
    <w:rsid w:val="004A76C6"/>
    <w:rsid w:val="004E2FB1"/>
    <w:rsid w:val="00511F8F"/>
    <w:rsid w:val="005701C0"/>
    <w:rsid w:val="0064599F"/>
    <w:rsid w:val="00690FE8"/>
    <w:rsid w:val="006F2330"/>
    <w:rsid w:val="006F3983"/>
    <w:rsid w:val="007A45E7"/>
    <w:rsid w:val="007A6FC7"/>
    <w:rsid w:val="007F57DB"/>
    <w:rsid w:val="008861A0"/>
    <w:rsid w:val="008A0EEE"/>
    <w:rsid w:val="008A248F"/>
    <w:rsid w:val="008B17C2"/>
    <w:rsid w:val="008C05D5"/>
    <w:rsid w:val="00962D2F"/>
    <w:rsid w:val="0097301F"/>
    <w:rsid w:val="0098673D"/>
    <w:rsid w:val="009D0BD2"/>
    <w:rsid w:val="00A440F5"/>
    <w:rsid w:val="00B10F4D"/>
    <w:rsid w:val="00B43A0E"/>
    <w:rsid w:val="00B96AB9"/>
    <w:rsid w:val="00C1066E"/>
    <w:rsid w:val="00C5403E"/>
    <w:rsid w:val="00C54B30"/>
    <w:rsid w:val="00CB6DE4"/>
    <w:rsid w:val="00CF0AE5"/>
    <w:rsid w:val="00D13430"/>
    <w:rsid w:val="00D319F0"/>
    <w:rsid w:val="00DF3733"/>
    <w:rsid w:val="00ED2D32"/>
    <w:rsid w:val="00EF2701"/>
    <w:rsid w:val="00F9167E"/>
    <w:rsid w:val="00FC4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9143A8"/>
  <w15:chartTrackingRefBased/>
  <w15:docId w15:val="{7FB87EF6-28E0-4740-BA32-442F9ABC8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19F0"/>
    <w:pPr>
      <w:spacing w:after="160" w:line="259"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19F0"/>
    <w:pPr>
      <w:tabs>
        <w:tab w:val="center" w:pos="4513"/>
        <w:tab w:val="right" w:pos="9026"/>
      </w:tabs>
    </w:pPr>
  </w:style>
  <w:style w:type="character" w:customStyle="1" w:styleId="HeaderChar">
    <w:name w:val="Header Char"/>
    <w:basedOn w:val="DefaultParagraphFont"/>
    <w:link w:val="Header"/>
    <w:uiPriority w:val="99"/>
    <w:rsid w:val="00D319F0"/>
  </w:style>
  <w:style w:type="paragraph" w:styleId="Footer">
    <w:name w:val="footer"/>
    <w:basedOn w:val="Normal"/>
    <w:link w:val="FooterChar"/>
    <w:uiPriority w:val="99"/>
    <w:unhideWhenUsed/>
    <w:rsid w:val="00D319F0"/>
    <w:pPr>
      <w:tabs>
        <w:tab w:val="center" w:pos="4513"/>
        <w:tab w:val="right" w:pos="9026"/>
      </w:tabs>
    </w:pPr>
  </w:style>
  <w:style w:type="character" w:customStyle="1" w:styleId="FooterChar">
    <w:name w:val="Footer Char"/>
    <w:basedOn w:val="DefaultParagraphFont"/>
    <w:link w:val="Footer"/>
    <w:uiPriority w:val="99"/>
    <w:rsid w:val="00D319F0"/>
  </w:style>
  <w:style w:type="character" w:styleId="PageNumber">
    <w:name w:val="page number"/>
    <w:basedOn w:val="DefaultParagraphFont"/>
    <w:uiPriority w:val="99"/>
    <w:semiHidden/>
    <w:unhideWhenUsed/>
    <w:rsid w:val="00D319F0"/>
  </w:style>
  <w:style w:type="table" w:styleId="TableGrid">
    <w:name w:val="Table Grid"/>
    <w:basedOn w:val="TableNormal"/>
    <w:uiPriority w:val="39"/>
    <w:rsid w:val="00D319F0"/>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066E"/>
    <w:pPr>
      <w:ind w:left="720"/>
      <w:contextualSpacing/>
    </w:pPr>
  </w:style>
  <w:style w:type="character" w:styleId="Hyperlink">
    <w:name w:val="Hyperlink"/>
    <w:basedOn w:val="DefaultParagraphFont"/>
    <w:uiPriority w:val="99"/>
    <w:unhideWhenUsed/>
    <w:rsid w:val="006459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3206251">
      <w:bodyDiv w:val="1"/>
      <w:marLeft w:val="0"/>
      <w:marRight w:val="0"/>
      <w:marTop w:val="0"/>
      <w:marBottom w:val="0"/>
      <w:divBdr>
        <w:top w:val="none" w:sz="0" w:space="0" w:color="auto"/>
        <w:left w:val="none" w:sz="0" w:space="0" w:color="auto"/>
        <w:bottom w:val="none" w:sz="0" w:space="0" w:color="auto"/>
        <w:right w:val="none" w:sz="0" w:space="0" w:color="auto"/>
      </w:divBdr>
    </w:div>
    <w:div w:id="346057477">
      <w:bodyDiv w:val="1"/>
      <w:marLeft w:val="0"/>
      <w:marRight w:val="0"/>
      <w:marTop w:val="0"/>
      <w:marBottom w:val="0"/>
      <w:divBdr>
        <w:top w:val="none" w:sz="0" w:space="0" w:color="auto"/>
        <w:left w:val="none" w:sz="0" w:space="0" w:color="auto"/>
        <w:bottom w:val="none" w:sz="0" w:space="0" w:color="auto"/>
        <w:right w:val="none" w:sz="0" w:space="0" w:color="auto"/>
      </w:divBdr>
    </w:div>
    <w:div w:id="953749303">
      <w:bodyDiv w:val="1"/>
      <w:marLeft w:val="0"/>
      <w:marRight w:val="0"/>
      <w:marTop w:val="0"/>
      <w:marBottom w:val="0"/>
      <w:divBdr>
        <w:top w:val="none" w:sz="0" w:space="0" w:color="auto"/>
        <w:left w:val="none" w:sz="0" w:space="0" w:color="auto"/>
        <w:bottom w:val="none" w:sz="0" w:space="0" w:color="auto"/>
        <w:right w:val="none" w:sz="0" w:space="0" w:color="auto"/>
      </w:divBdr>
    </w:div>
    <w:div w:id="1049308110">
      <w:bodyDiv w:val="1"/>
      <w:marLeft w:val="0"/>
      <w:marRight w:val="0"/>
      <w:marTop w:val="0"/>
      <w:marBottom w:val="0"/>
      <w:divBdr>
        <w:top w:val="none" w:sz="0" w:space="0" w:color="auto"/>
        <w:left w:val="none" w:sz="0" w:space="0" w:color="auto"/>
        <w:bottom w:val="none" w:sz="0" w:space="0" w:color="auto"/>
        <w:right w:val="none" w:sz="0" w:space="0" w:color="auto"/>
      </w:divBdr>
      <w:divsChild>
        <w:div w:id="1824470171">
          <w:marLeft w:val="0"/>
          <w:marRight w:val="0"/>
          <w:marTop w:val="0"/>
          <w:marBottom w:val="0"/>
          <w:divBdr>
            <w:top w:val="none" w:sz="0" w:space="0" w:color="auto"/>
            <w:left w:val="none" w:sz="0" w:space="0" w:color="auto"/>
            <w:bottom w:val="none" w:sz="0" w:space="0" w:color="auto"/>
            <w:right w:val="none" w:sz="0" w:space="0" w:color="auto"/>
          </w:divBdr>
          <w:divsChild>
            <w:div w:id="341665582">
              <w:marLeft w:val="0"/>
              <w:marRight w:val="0"/>
              <w:marTop w:val="0"/>
              <w:marBottom w:val="0"/>
              <w:divBdr>
                <w:top w:val="none" w:sz="0" w:space="0" w:color="auto"/>
                <w:left w:val="none" w:sz="0" w:space="0" w:color="auto"/>
                <w:bottom w:val="none" w:sz="0" w:space="0" w:color="auto"/>
                <w:right w:val="none" w:sz="0" w:space="0" w:color="auto"/>
              </w:divBdr>
              <w:divsChild>
                <w:div w:id="1249802029">
                  <w:marLeft w:val="0"/>
                  <w:marRight w:val="0"/>
                  <w:marTop w:val="0"/>
                  <w:marBottom w:val="0"/>
                  <w:divBdr>
                    <w:top w:val="none" w:sz="0" w:space="0" w:color="auto"/>
                    <w:left w:val="none" w:sz="0" w:space="0" w:color="auto"/>
                    <w:bottom w:val="none" w:sz="0" w:space="0" w:color="auto"/>
                    <w:right w:val="none" w:sz="0" w:space="0" w:color="auto"/>
                  </w:divBdr>
                  <w:divsChild>
                    <w:div w:id="934165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184069">
      <w:bodyDiv w:val="1"/>
      <w:marLeft w:val="0"/>
      <w:marRight w:val="0"/>
      <w:marTop w:val="0"/>
      <w:marBottom w:val="0"/>
      <w:divBdr>
        <w:top w:val="none" w:sz="0" w:space="0" w:color="auto"/>
        <w:left w:val="none" w:sz="0" w:space="0" w:color="auto"/>
        <w:bottom w:val="none" w:sz="0" w:space="0" w:color="auto"/>
        <w:right w:val="none" w:sz="0" w:space="0" w:color="auto"/>
      </w:divBdr>
    </w:div>
    <w:div w:id="1387338979">
      <w:bodyDiv w:val="1"/>
      <w:marLeft w:val="0"/>
      <w:marRight w:val="0"/>
      <w:marTop w:val="0"/>
      <w:marBottom w:val="0"/>
      <w:divBdr>
        <w:top w:val="none" w:sz="0" w:space="0" w:color="auto"/>
        <w:left w:val="none" w:sz="0" w:space="0" w:color="auto"/>
        <w:bottom w:val="none" w:sz="0" w:space="0" w:color="auto"/>
        <w:right w:val="none" w:sz="0" w:space="0" w:color="auto"/>
      </w:divBdr>
      <w:divsChild>
        <w:div w:id="1987199156">
          <w:marLeft w:val="0"/>
          <w:marRight w:val="0"/>
          <w:marTop w:val="0"/>
          <w:marBottom w:val="0"/>
          <w:divBdr>
            <w:top w:val="none" w:sz="0" w:space="0" w:color="auto"/>
            <w:left w:val="none" w:sz="0" w:space="0" w:color="auto"/>
            <w:bottom w:val="none" w:sz="0" w:space="0" w:color="auto"/>
            <w:right w:val="none" w:sz="0" w:space="0" w:color="auto"/>
          </w:divBdr>
          <w:divsChild>
            <w:div w:id="948511282">
              <w:marLeft w:val="0"/>
              <w:marRight w:val="0"/>
              <w:marTop w:val="0"/>
              <w:marBottom w:val="0"/>
              <w:divBdr>
                <w:top w:val="none" w:sz="0" w:space="0" w:color="auto"/>
                <w:left w:val="none" w:sz="0" w:space="0" w:color="auto"/>
                <w:bottom w:val="none" w:sz="0" w:space="0" w:color="auto"/>
                <w:right w:val="none" w:sz="0" w:space="0" w:color="auto"/>
              </w:divBdr>
              <w:divsChild>
                <w:div w:id="462505383">
                  <w:marLeft w:val="0"/>
                  <w:marRight w:val="0"/>
                  <w:marTop w:val="0"/>
                  <w:marBottom w:val="0"/>
                  <w:divBdr>
                    <w:top w:val="none" w:sz="0" w:space="0" w:color="auto"/>
                    <w:left w:val="none" w:sz="0" w:space="0" w:color="auto"/>
                    <w:bottom w:val="none" w:sz="0" w:space="0" w:color="auto"/>
                    <w:right w:val="none" w:sz="0" w:space="0" w:color="auto"/>
                  </w:divBdr>
                  <w:divsChild>
                    <w:div w:id="157156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9980821">
      <w:bodyDiv w:val="1"/>
      <w:marLeft w:val="0"/>
      <w:marRight w:val="0"/>
      <w:marTop w:val="0"/>
      <w:marBottom w:val="0"/>
      <w:divBdr>
        <w:top w:val="none" w:sz="0" w:space="0" w:color="auto"/>
        <w:left w:val="none" w:sz="0" w:space="0" w:color="auto"/>
        <w:bottom w:val="none" w:sz="0" w:space="0" w:color="auto"/>
        <w:right w:val="none" w:sz="0" w:space="0" w:color="auto"/>
      </w:divBdr>
    </w:div>
    <w:div w:id="1568221850">
      <w:bodyDiv w:val="1"/>
      <w:marLeft w:val="0"/>
      <w:marRight w:val="0"/>
      <w:marTop w:val="0"/>
      <w:marBottom w:val="0"/>
      <w:divBdr>
        <w:top w:val="none" w:sz="0" w:space="0" w:color="auto"/>
        <w:left w:val="none" w:sz="0" w:space="0" w:color="auto"/>
        <w:bottom w:val="none" w:sz="0" w:space="0" w:color="auto"/>
        <w:right w:val="none" w:sz="0" w:space="0" w:color="auto"/>
      </w:divBdr>
    </w:div>
    <w:div w:id="1632444877">
      <w:bodyDiv w:val="1"/>
      <w:marLeft w:val="0"/>
      <w:marRight w:val="0"/>
      <w:marTop w:val="0"/>
      <w:marBottom w:val="0"/>
      <w:divBdr>
        <w:top w:val="none" w:sz="0" w:space="0" w:color="auto"/>
        <w:left w:val="none" w:sz="0" w:space="0" w:color="auto"/>
        <w:bottom w:val="none" w:sz="0" w:space="0" w:color="auto"/>
        <w:right w:val="none" w:sz="0" w:space="0" w:color="auto"/>
      </w:divBdr>
    </w:div>
    <w:div w:id="1813475177">
      <w:bodyDiv w:val="1"/>
      <w:marLeft w:val="0"/>
      <w:marRight w:val="0"/>
      <w:marTop w:val="0"/>
      <w:marBottom w:val="0"/>
      <w:divBdr>
        <w:top w:val="none" w:sz="0" w:space="0" w:color="auto"/>
        <w:left w:val="none" w:sz="0" w:space="0" w:color="auto"/>
        <w:bottom w:val="none" w:sz="0" w:space="0" w:color="auto"/>
        <w:right w:val="none" w:sz="0" w:space="0" w:color="auto"/>
      </w:divBdr>
    </w:div>
    <w:div w:id="1871919322">
      <w:bodyDiv w:val="1"/>
      <w:marLeft w:val="0"/>
      <w:marRight w:val="0"/>
      <w:marTop w:val="0"/>
      <w:marBottom w:val="0"/>
      <w:divBdr>
        <w:top w:val="none" w:sz="0" w:space="0" w:color="auto"/>
        <w:left w:val="none" w:sz="0" w:space="0" w:color="auto"/>
        <w:bottom w:val="none" w:sz="0" w:space="0" w:color="auto"/>
        <w:right w:val="none" w:sz="0" w:space="0" w:color="auto"/>
      </w:divBdr>
    </w:div>
    <w:div w:id="1974166995">
      <w:bodyDiv w:val="1"/>
      <w:marLeft w:val="0"/>
      <w:marRight w:val="0"/>
      <w:marTop w:val="0"/>
      <w:marBottom w:val="0"/>
      <w:divBdr>
        <w:top w:val="none" w:sz="0" w:space="0" w:color="auto"/>
        <w:left w:val="none" w:sz="0" w:space="0" w:color="auto"/>
        <w:bottom w:val="none" w:sz="0" w:space="0" w:color="auto"/>
        <w:right w:val="none" w:sz="0" w:space="0" w:color="auto"/>
      </w:divBdr>
    </w:div>
    <w:div w:id="1976374189">
      <w:bodyDiv w:val="1"/>
      <w:marLeft w:val="0"/>
      <w:marRight w:val="0"/>
      <w:marTop w:val="0"/>
      <w:marBottom w:val="0"/>
      <w:divBdr>
        <w:top w:val="none" w:sz="0" w:space="0" w:color="auto"/>
        <w:left w:val="none" w:sz="0" w:space="0" w:color="auto"/>
        <w:bottom w:val="none" w:sz="0" w:space="0" w:color="auto"/>
        <w:right w:val="none" w:sz="0" w:space="0" w:color="auto"/>
      </w:divBdr>
    </w:div>
    <w:div w:id="2131585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playwales.org.uk/eng/walesplaypolic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209</TotalTime>
  <Pages>9</Pages>
  <Words>3287</Words>
  <Characters>18741</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Darby (1906195)</dc:creator>
  <cp:keywords/>
  <dc:description/>
  <cp:lastModifiedBy>Mia Darby (1906195)</cp:lastModifiedBy>
  <cp:revision>19</cp:revision>
  <dcterms:created xsi:type="dcterms:W3CDTF">2020-02-20T12:18:00Z</dcterms:created>
  <dcterms:modified xsi:type="dcterms:W3CDTF">2020-02-22T13:59:00Z</dcterms:modified>
</cp:coreProperties>
</file>