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8C497F" w14:textId="0312892B" w:rsidR="00507499" w:rsidRPr="00757C3C" w:rsidRDefault="009860D4" w:rsidP="00757C3C">
      <w:pPr>
        <w:jc w:val="center"/>
        <w:rPr>
          <w:u w:val="single"/>
        </w:rPr>
      </w:pPr>
      <w:r w:rsidRPr="009860D4">
        <w:rPr>
          <w:u w:val="single"/>
        </w:rPr>
        <w:t>“In Latin literature Alexander acts as a model to avoid following, not a model to emulate”. Discuss with reference to specific examples from Latin texts.</w:t>
      </w:r>
    </w:p>
    <w:p w14:paraId="58566A82" w14:textId="2502B9A9" w:rsidR="0047732D" w:rsidRDefault="00507499" w:rsidP="00507499">
      <w:r>
        <w:t xml:space="preserve">It is uncontested that Alexander was successful </w:t>
      </w:r>
      <w:r w:rsidR="0047732D">
        <w:t xml:space="preserve">in his military conquests, </w:t>
      </w:r>
      <w:r>
        <w:t xml:space="preserve">but some episodes within </w:t>
      </w:r>
      <w:r w:rsidR="0047732D">
        <w:t>the Latin literature</w:t>
      </w:r>
      <w:r>
        <w:t xml:space="preserve"> were not always so </w:t>
      </w:r>
      <w:r w:rsidR="0047732D">
        <w:t>successfu</w:t>
      </w:r>
      <w:r>
        <w:t>l.</w:t>
      </w:r>
      <w:r w:rsidR="0047732D">
        <w:t xml:space="preserve"> Alexander was only in his thirties when he died but he had already conquered Greece, Egypt, Persia and parts of Asia expanding his territory considerably. His skills as a tactician and strategist have been praised by </w:t>
      </w:r>
      <w:r w:rsidR="004962D2">
        <w:t>authors such as Quintus Curtius Rufus</w:t>
      </w:r>
      <w:r w:rsidR="00DE456C">
        <w:rPr>
          <w:rStyle w:val="FootnoteReference"/>
        </w:rPr>
        <w:footnoteReference w:id="1"/>
      </w:r>
      <w:r w:rsidR="004962D2">
        <w:t xml:space="preserve"> and Justin</w:t>
      </w:r>
      <w:r w:rsidR="00DE456C">
        <w:rPr>
          <w:rStyle w:val="FootnoteReference"/>
        </w:rPr>
        <w:footnoteReference w:id="2"/>
      </w:r>
      <w:r w:rsidR="0047732D">
        <w:t>. Roman Latin literature has presented detailed histories</w:t>
      </w:r>
      <w:r w:rsidR="00166731">
        <w:t xml:space="preserve"> of Alexander’s exploits however, within the victories and clever conquests lie murders, mutinies and failures of leadership. While Alexander was undoubtedly a successful military leader his character was shown, occasionally, as lacking in the morality one would expect of a role model.</w:t>
      </w:r>
    </w:p>
    <w:p w14:paraId="61119A56" w14:textId="66837100" w:rsidR="00483AF9" w:rsidRDefault="007452EB" w:rsidP="00507499">
      <w:r>
        <w:t>The idea that he might not be considered a great leader is controversial.</w:t>
      </w:r>
      <w:r w:rsidR="00166731" w:rsidRPr="00166731">
        <w:t xml:space="preserve"> </w:t>
      </w:r>
      <w:r w:rsidR="00166731">
        <w:t>Every leader has faults so Alexander could be seen as an example to follow despite these failings. Part of his appeal might even be that he represents a type of ‘every man’. He drinks, he quarrels with his family and friends and makes mistakes. The Amazon queen Talestris, did after all describe him a ‘middling’.</w:t>
      </w:r>
      <w:r w:rsidR="00DE456C">
        <w:rPr>
          <w:rStyle w:val="FootnoteReference"/>
        </w:rPr>
        <w:footnoteReference w:id="3"/>
      </w:r>
      <w:r w:rsidR="00483AF9">
        <w:t xml:space="preserve"> It is important to remember that one must be careful of applying modern morality and ideals to the interpretation of what Alexander did. Ancient leaders such as Julius Caesar and Augustus were both impressed by Alexander and </w:t>
      </w:r>
      <w:r w:rsidR="00483AF9">
        <w:lastRenderedPageBreak/>
        <w:t>admired his success.</w:t>
      </w:r>
      <w:r w:rsidR="00750280">
        <w:t xml:space="preserve"> </w:t>
      </w:r>
      <w:r w:rsidR="00483AF9">
        <w:t>Modern military leaders too have taken inspiration from Alexander’s leadership</w:t>
      </w:r>
      <w:r w:rsidR="00750280">
        <w:t xml:space="preserve">, such as Napoleon and his ability to evoke </w:t>
      </w:r>
      <w:r w:rsidR="00D25645">
        <w:t>his army’s faith much in the same way Alexander was able to</w:t>
      </w:r>
      <w:r w:rsidR="004B2074">
        <w:t>.</w:t>
      </w:r>
      <w:r w:rsidR="00D25645">
        <w:rPr>
          <w:rStyle w:val="FootnoteReference"/>
        </w:rPr>
        <w:footnoteReference w:id="4"/>
      </w:r>
      <w:r w:rsidR="00483AF9">
        <w:t xml:space="preserve"> Alexander’s influence as a successful leader has bled into other </w:t>
      </w:r>
      <w:r w:rsidR="00F64DBF">
        <w:t>areas such as the world of business where corporate training programs reference Alexander’s example.</w:t>
      </w:r>
      <w:r w:rsidR="006A28A9">
        <w:rPr>
          <w:rStyle w:val="FootnoteReference"/>
        </w:rPr>
        <w:footnoteReference w:id="5"/>
      </w:r>
    </w:p>
    <w:p w14:paraId="7EF480AE" w14:textId="35231358" w:rsidR="00507499" w:rsidRDefault="00F64DBF" w:rsidP="00507499">
      <w:r>
        <w:t>There is a d</w:t>
      </w:r>
      <w:r w:rsidR="0047732D">
        <w:t>ifference between military success and moral leadership</w:t>
      </w:r>
      <w:r>
        <w:t xml:space="preserve">, however, that is important to note, and the Medieval Latin texts show this in their depiction of Alexander. </w:t>
      </w:r>
      <w:r w:rsidR="00507499">
        <w:t>Medieval Latin texts written within a Christian context may be more critical of the pagan Alexander who promoted himself as divine</w:t>
      </w:r>
      <w:r w:rsidR="004962D2">
        <w:t>.</w:t>
      </w:r>
      <w:r w:rsidR="004962D2">
        <w:rPr>
          <w:rStyle w:val="FootnoteReference"/>
        </w:rPr>
        <w:footnoteReference w:id="6"/>
      </w:r>
      <w:r w:rsidR="004962D2">
        <w:t xml:space="preserve"> </w:t>
      </w:r>
      <w:r>
        <w:t>Latin texts spanned hundreds of years so it is not surprising that there would be differences in the presentation of Alexander over time.</w:t>
      </w:r>
      <w:r w:rsidR="004962D2">
        <w:t xml:space="preserve"> </w:t>
      </w:r>
      <w:r w:rsidR="00DB27CA">
        <w:t xml:space="preserve">Every time period has their own version of what Alexander </w:t>
      </w:r>
      <w:r>
        <w:t xml:space="preserve">is and needs to be. This essay in itself is a product of ongoing analysis of Alexander’s behaviour and reflects </w:t>
      </w:r>
      <w:r w:rsidR="00A536CF">
        <w:t>the post-colonial views that society now holds.</w:t>
      </w:r>
      <w:r>
        <w:t xml:space="preserve"> </w:t>
      </w:r>
      <w:r w:rsidR="00DB27CA">
        <w:t xml:space="preserve">Alexander presents a model of </w:t>
      </w:r>
      <w:r w:rsidR="00A536CF">
        <w:t xml:space="preserve">military </w:t>
      </w:r>
      <w:r w:rsidR="00DB27CA">
        <w:t xml:space="preserve">leadership </w:t>
      </w:r>
      <w:r w:rsidR="00A536CF">
        <w:t xml:space="preserve">that still has much </w:t>
      </w:r>
      <w:r w:rsidR="004962D2">
        <w:t>appeal,</w:t>
      </w:r>
      <w:r w:rsidR="00A536CF">
        <w:t xml:space="preserve"> </w:t>
      </w:r>
      <w:r w:rsidR="00DB27CA">
        <w:t xml:space="preserve">but </w:t>
      </w:r>
      <w:r w:rsidR="00A536CF">
        <w:t>the Latin texts arguably do not provide a good role model of moral leadership in Alexander. In many ways he is</w:t>
      </w:r>
      <w:r w:rsidR="00DB27CA">
        <w:t xml:space="preserve"> not a real role</w:t>
      </w:r>
      <w:r w:rsidR="003B520E">
        <w:t xml:space="preserve"> </w:t>
      </w:r>
      <w:r w:rsidR="00DB27CA">
        <w:t>model as his representation has been twisted and manipulated for countless cultural and political ends</w:t>
      </w:r>
      <w:r w:rsidR="00A536CF">
        <w:t xml:space="preserve"> in the literature</w:t>
      </w:r>
      <w:r w:rsidR="00DB27CA">
        <w:t>.</w:t>
      </w:r>
    </w:p>
    <w:p w14:paraId="55157422" w14:textId="00885952" w:rsidR="009750BD" w:rsidRDefault="00580C89" w:rsidP="00DD308F">
      <w:r w:rsidRPr="00373CC5">
        <w:t>Alexander was not universally successful</w:t>
      </w:r>
      <w:r w:rsidR="009750BD">
        <w:t xml:space="preserve">. </w:t>
      </w:r>
      <w:r>
        <w:t>Several examples exist</w:t>
      </w:r>
      <w:r w:rsidR="009750BD">
        <w:t xml:space="preserve"> such as the m</w:t>
      </w:r>
      <w:r w:rsidR="005A3A52">
        <w:t>utiny at Opis</w:t>
      </w:r>
      <w:r w:rsidR="006A28A9">
        <w:t xml:space="preserve"> and</w:t>
      </w:r>
      <w:r w:rsidR="00D52A2A">
        <w:t xml:space="preserve"> </w:t>
      </w:r>
      <w:r w:rsidR="009750BD">
        <w:t>the trials in the</w:t>
      </w:r>
      <w:r w:rsidR="005A3A52">
        <w:t xml:space="preserve"> Gedrosian desert</w:t>
      </w:r>
      <w:r w:rsidR="006A28A9">
        <w:t>.</w:t>
      </w:r>
      <w:r w:rsidR="00373CC5">
        <w:t xml:space="preserve"> </w:t>
      </w:r>
      <w:r w:rsidR="005A04D3" w:rsidRPr="00373CC5">
        <w:t>The m</w:t>
      </w:r>
      <w:r w:rsidR="009750BD" w:rsidRPr="00373CC5">
        <w:t>utiny</w:t>
      </w:r>
      <w:r w:rsidR="005A04D3" w:rsidRPr="00373CC5">
        <w:t xml:space="preserve"> at Opis shows that during his life Alexander was not always </w:t>
      </w:r>
      <w:r w:rsidR="005A04D3" w:rsidRPr="00373CC5">
        <w:lastRenderedPageBreak/>
        <w:t>loved and followed loyally by his troops</w:t>
      </w:r>
      <w:r w:rsidR="005A04D3">
        <w:t xml:space="preserve">. </w:t>
      </w:r>
      <w:r w:rsidR="00D25645">
        <w:t>Quintus Curtius Rufus describes what happens in detail as Alexander tried to deal with his uncooperative troops.</w:t>
      </w:r>
      <w:r w:rsidR="00663A60">
        <w:rPr>
          <w:rStyle w:val="FootnoteReference"/>
        </w:rPr>
        <w:footnoteReference w:id="7"/>
      </w:r>
      <w:r w:rsidR="00D25645">
        <w:t xml:space="preserve"> It seems that no amount of talk will satisfy the soldiers discontent at Alexander sending some of the veterans home. Even reminding the soldiers what they have achieved does not calm them with Alexander asking “</w:t>
      </w:r>
      <w:r w:rsidR="00A14EBA">
        <w:t>Are you sick of Asia, where your glorious achievements have made you the equals of the gods?</w:t>
      </w:r>
      <w:r w:rsidR="00D25645">
        <w:t>”</w:t>
      </w:r>
      <w:r w:rsidR="00D25645">
        <w:rPr>
          <w:rStyle w:val="FootnoteReference"/>
        </w:rPr>
        <w:footnoteReference w:id="8"/>
      </w:r>
      <w:r w:rsidR="00663A60">
        <w:t xml:space="preserve"> The lack of a positive response causes </w:t>
      </w:r>
      <w:r w:rsidR="00A14EBA">
        <w:t xml:space="preserve">Alexander </w:t>
      </w:r>
      <w:r w:rsidR="00663A60">
        <w:t xml:space="preserve">to </w:t>
      </w:r>
      <w:r w:rsidR="00A14EBA">
        <w:t>“leap from the dais” and seizes the men “one by one”</w:t>
      </w:r>
      <w:r w:rsidR="00663A60">
        <w:t>.</w:t>
      </w:r>
      <w:r w:rsidR="00663A60">
        <w:rPr>
          <w:rStyle w:val="FootnoteReference"/>
        </w:rPr>
        <w:footnoteReference w:id="9"/>
      </w:r>
      <w:r w:rsidR="00FF5F98">
        <w:t xml:space="preserve"> </w:t>
      </w:r>
      <w:r w:rsidR="00663A60">
        <w:t>Justin give a similar telling of the story, adding in a few extra details such as the remaining soldiers saying that experience is worth more than age</w:t>
      </w:r>
      <w:r w:rsidR="00FF5F98">
        <w:rPr>
          <w:rStyle w:val="FootnoteReference"/>
        </w:rPr>
        <w:footnoteReference w:id="10"/>
      </w:r>
      <w:r w:rsidR="00663A60">
        <w:t xml:space="preserve"> and that Alexander can go to war by himself as he has no respect for them.</w:t>
      </w:r>
      <w:r w:rsidR="00FF5F98">
        <w:rPr>
          <w:rStyle w:val="FootnoteReference"/>
        </w:rPr>
        <w:footnoteReference w:id="11"/>
      </w:r>
      <w:r w:rsidR="00663A60">
        <w:t xml:space="preserve"> An interesting detail that is added by Justin is the number of </w:t>
      </w:r>
      <w:r w:rsidR="00FF5F98">
        <w:t>people Alexander takes into custody (“seized thirteen of them with his own hands”</w:t>
      </w:r>
      <w:r w:rsidR="00FF5F98">
        <w:rPr>
          <w:rStyle w:val="FootnoteReference"/>
        </w:rPr>
        <w:footnoteReference w:id="12"/>
      </w:r>
      <w:r w:rsidR="00FF5F98">
        <w:t>) with the addition that he has them executed.</w:t>
      </w:r>
      <w:r w:rsidR="00FF5F98">
        <w:rPr>
          <w:rStyle w:val="FootnoteReference"/>
        </w:rPr>
        <w:footnoteReference w:id="13"/>
      </w:r>
      <w:r w:rsidR="00FF5F98">
        <w:t xml:space="preserve"> Heckel claims that this mutiny is the </w:t>
      </w:r>
      <w:r w:rsidR="00395FD0">
        <w:t xml:space="preserve">result of years of discontent within the army and </w:t>
      </w:r>
      <w:r w:rsidR="00FF5F98">
        <w:t xml:space="preserve">displays </w:t>
      </w:r>
      <w:r w:rsidR="00395FD0">
        <w:t>the gap between soldiers and Alexander</w:t>
      </w:r>
      <w:r w:rsidR="00FF5F98">
        <w:t>.</w:t>
      </w:r>
      <w:r w:rsidR="00FF5F98">
        <w:rPr>
          <w:rStyle w:val="FootnoteReference"/>
        </w:rPr>
        <w:footnoteReference w:id="14"/>
      </w:r>
      <w:r w:rsidR="00373CC5">
        <w:t xml:space="preserve"> </w:t>
      </w:r>
      <w:r w:rsidR="005A04D3" w:rsidRPr="00373CC5">
        <w:t>The terrible fate that the soldiers of Alexander suffered in the Gedrosian d</w:t>
      </w:r>
      <w:r w:rsidR="009750BD" w:rsidRPr="00373CC5">
        <w:t>esert</w:t>
      </w:r>
      <w:r w:rsidR="005A04D3" w:rsidRPr="00373CC5">
        <w:t xml:space="preserve"> is perhaps the most woeful failure of leadership of Alexander ever</w:t>
      </w:r>
      <w:r w:rsidR="005A04D3">
        <w:t xml:space="preserve">. Although Alexander shows compassion for the suffering of his men it is </w:t>
      </w:r>
      <w:r w:rsidR="00EF26F0">
        <w:t>clear that he is entirely responsible for their situation.</w:t>
      </w:r>
      <w:r w:rsidR="006A28A9">
        <w:t xml:space="preserve"> </w:t>
      </w:r>
      <w:r w:rsidR="007D732E">
        <w:t xml:space="preserve">In reference to this incident </w:t>
      </w:r>
      <w:r w:rsidR="009750BD">
        <w:t>Q</w:t>
      </w:r>
      <w:r w:rsidR="007D732E">
        <w:t xml:space="preserve">uintus </w:t>
      </w:r>
      <w:r w:rsidR="009750BD">
        <w:t>C</w:t>
      </w:r>
      <w:r w:rsidR="007D732E">
        <w:t xml:space="preserve">urtius </w:t>
      </w:r>
      <w:r w:rsidR="009750BD">
        <w:t>R</w:t>
      </w:r>
      <w:r w:rsidR="007D732E">
        <w:t>ufus describes how</w:t>
      </w:r>
      <w:r w:rsidR="009750BD">
        <w:t xml:space="preserve"> </w:t>
      </w:r>
      <w:r w:rsidR="00C129EA">
        <w:t xml:space="preserve">“the plains were strewn with almost as </w:t>
      </w:r>
      <w:r w:rsidR="00C129EA">
        <w:lastRenderedPageBreak/>
        <w:t>many half-alive bodies as dead ones”</w:t>
      </w:r>
      <w:r w:rsidR="007D732E">
        <w:t>.</w:t>
      </w:r>
      <w:r w:rsidR="00F716C5">
        <w:rPr>
          <w:rStyle w:val="FootnoteReference"/>
        </w:rPr>
        <w:footnoteReference w:id="15"/>
      </w:r>
      <w:r w:rsidR="00F716C5">
        <w:t xml:space="preserve"> Any soldiers who collapsed were left and the ones who were able to keep going did not look behind.</w:t>
      </w:r>
      <w:r w:rsidR="00F716C5">
        <w:rPr>
          <w:rStyle w:val="FootnoteReference"/>
        </w:rPr>
        <w:footnoteReference w:id="16"/>
      </w:r>
      <w:r w:rsidR="00F716C5">
        <w:t xml:space="preserve"> Curtius Rufus claims that </w:t>
      </w:r>
      <w:r w:rsidR="00C129EA">
        <w:t>Alexander felt shame and grief for being responsible for such a fate</w:t>
      </w:r>
      <w:r w:rsidR="00F716C5">
        <w:t>.</w:t>
      </w:r>
      <w:r w:rsidR="00F716C5">
        <w:rPr>
          <w:rStyle w:val="FootnoteReference"/>
        </w:rPr>
        <w:footnoteReference w:id="17"/>
      </w:r>
      <w:r w:rsidR="00F716C5">
        <w:t xml:space="preserve"> This is interesting as it shows that Alexander is aware that he has made a mistake in the actions he decided to take. </w:t>
      </w:r>
      <w:r w:rsidR="009750BD">
        <w:t>Justin</w:t>
      </w:r>
      <w:r w:rsidR="00DE4085">
        <w:t xml:space="preserve"> has one, very brief passage in reference to the gedrosian desert, simply stating that Alexander walked through the desert and that he ordered wells to be dug along the way son they could return to Babylonia.</w:t>
      </w:r>
      <w:r w:rsidR="00DE4085">
        <w:rPr>
          <w:rStyle w:val="FootnoteReference"/>
        </w:rPr>
        <w:footnoteReference w:id="18"/>
      </w:r>
      <w:r w:rsidR="00DE4085">
        <w:t xml:space="preserve"> He offers the idea that “copious quantities of sweet water were found”.</w:t>
      </w:r>
      <w:r w:rsidR="00DE4085">
        <w:rPr>
          <w:rStyle w:val="FootnoteReference"/>
        </w:rPr>
        <w:footnoteReference w:id="19"/>
      </w:r>
      <w:r w:rsidR="00DE4085">
        <w:t xml:space="preserve"> This is the opposite to what other histories claim as they say there was little water available.</w:t>
      </w:r>
      <w:r w:rsidR="00DE4085">
        <w:rPr>
          <w:rStyle w:val="FootnoteReference"/>
        </w:rPr>
        <w:footnoteReference w:id="20"/>
      </w:r>
      <w:r w:rsidR="006A28A9">
        <w:t xml:space="preserve"> </w:t>
      </w:r>
      <w:r w:rsidR="00DE4085">
        <w:t>Dreyer believes that Alexander may have made the decision to cross the desert in an attempt to compete with Cyrus.</w:t>
      </w:r>
      <w:r w:rsidR="00DE4085">
        <w:rPr>
          <w:rStyle w:val="FootnoteReference"/>
        </w:rPr>
        <w:footnoteReference w:id="21"/>
      </w:r>
      <w:r w:rsidR="00DE4085">
        <w:t xml:space="preserve"> This wanting to be better than another leader would explain why a leader who was supposed to </w:t>
      </w:r>
      <w:r w:rsidR="006E78A4">
        <w:t>be tactically smart would make such an unintelligent decision, showing that Alexander’s ego and wanting to be the best could outweigh his logical thinking.</w:t>
      </w:r>
    </w:p>
    <w:p w14:paraId="576A55D9" w14:textId="3CBF96FC" w:rsidR="00EF26F0" w:rsidRDefault="005A04D3" w:rsidP="00DD308F">
      <w:r w:rsidRPr="00373CC5">
        <w:t>The</w:t>
      </w:r>
      <w:r w:rsidR="009750BD" w:rsidRPr="00373CC5">
        <w:t xml:space="preserve"> mistakes and episodes that can be deemed unsuccessful were</w:t>
      </w:r>
      <w:r w:rsidRPr="00373CC5">
        <w:t>, however,</w:t>
      </w:r>
      <w:r w:rsidR="009750BD" w:rsidRPr="00373CC5">
        <w:t xml:space="preserve"> relatively few and far between when compared to the huge successes </w:t>
      </w:r>
      <w:r w:rsidR="00DD308F" w:rsidRPr="00373CC5">
        <w:t>and achievements</w:t>
      </w:r>
      <w:r w:rsidR="009750BD" w:rsidRPr="00373CC5">
        <w:t>.</w:t>
      </w:r>
      <w:r w:rsidR="00DD308F">
        <w:t xml:space="preserve"> </w:t>
      </w:r>
      <w:r w:rsidR="007D732E">
        <w:t>The majority seem to appear near the end of his life, after he had successfully conquered most of the known east. The way any unsuccessful events are written is done in such a way that it can be d</w:t>
      </w:r>
      <w:r w:rsidR="00EF26F0">
        <w:t xml:space="preserve">ifficult to find these episodes and they are </w:t>
      </w:r>
      <w:r w:rsidR="00EF26F0">
        <w:lastRenderedPageBreak/>
        <w:t xml:space="preserve">presented from </w:t>
      </w:r>
      <w:r w:rsidR="004B2074">
        <w:t xml:space="preserve">an </w:t>
      </w:r>
      <w:r w:rsidR="00EF26F0">
        <w:t>almost apologist stance that seeks to defend Alexander’s behaviour.</w:t>
      </w:r>
      <w:r w:rsidR="007D732E">
        <w:t xml:space="preserve"> </w:t>
      </w:r>
      <w:r w:rsidR="008B3A88">
        <w:t>This can be seen particularly in Quintus Curtius Rufus’ account of the disaster in the Gedrosian Desert.</w:t>
      </w:r>
      <w:r w:rsidR="008B3A88">
        <w:rPr>
          <w:rStyle w:val="FootnoteReference"/>
        </w:rPr>
        <w:footnoteReference w:id="22"/>
      </w:r>
      <w:r w:rsidR="008B3A88">
        <w:t xml:space="preserve"> He writes little of the events of the journey and the suffering of the soldiers, simply noting </w:t>
      </w:r>
      <w:r w:rsidR="008B3A88" w:rsidRPr="00373CC5">
        <w:t>that they left the</w:t>
      </w:r>
      <w:r w:rsidR="00373CC5" w:rsidRPr="00373CC5">
        <w:t xml:space="preserve"> </w:t>
      </w:r>
      <w:r w:rsidR="008B3A88" w:rsidRPr="00373CC5">
        <w:t>dead behind</w:t>
      </w:r>
      <w:r w:rsidR="008B3A88">
        <w:t>.</w:t>
      </w:r>
      <w:r w:rsidR="008B3A88">
        <w:rPr>
          <w:rStyle w:val="FootnoteReference"/>
        </w:rPr>
        <w:footnoteReference w:id="23"/>
      </w:r>
      <w:r w:rsidR="008B3A88">
        <w:t xml:space="preserve"> Instead, he devotes the majority of the passage to Alexander’s expressions of remorse and regret thereby drawing sympathy for Alexander rather than his men.</w:t>
      </w:r>
      <w:r w:rsidR="00373CC5">
        <w:t xml:space="preserve"> </w:t>
      </w:r>
      <w:r w:rsidR="007D732E">
        <w:t>As well as this the</w:t>
      </w:r>
      <w:r w:rsidR="008B3A88">
        <w:t xml:space="preserve"> unsuccessful episodes</w:t>
      </w:r>
      <w:r w:rsidR="007D732E">
        <w:t xml:space="preserve"> seem to appear primarily in the Roman Latin texts and not at all within the Medieval texts</w:t>
      </w:r>
      <w:r w:rsidR="008B3A88">
        <w:t xml:space="preserve"> beyond a very brief passing mention</w:t>
      </w:r>
      <w:r w:rsidR="007D732E">
        <w:t>. The reasoning behind this may be the context in which each text is written.</w:t>
      </w:r>
      <w:r w:rsidR="00627016">
        <w:t xml:space="preserve"> The medieval Latin texts present more clearly as poetry or story telling rather than as attempts at an accurate history. </w:t>
      </w:r>
    </w:p>
    <w:p w14:paraId="352AF246" w14:textId="0E99DF4C" w:rsidR="00545C2F" w:rsidRPr="00373CC5" w:rsidRDefault="00EF26F0" w:rsidP="00563A4E">
      <w:pPr>
        <w:rPr>
          <w:b/>
          <w:bCs/>
        </w:rPr>
      </w:pPr>
      <w:r w:rsidRPr="00373CC5">
        <w:t>Not all the Latin texts present Alexander as a hero.</w:t>
      </w:r>
      <w:r w:rsidR="00FF5F98">
        <w:rPr>
          <w:b/>
          <w:bCs/>
        </w:rPr>
        <w:t xml:space="preserve"> </w:t>
      </w:r>
      <w:r w:rsidR="00580C89" w:rsidRPr="00EF26F0">
        <w:t>The Latin texts spanned hundreds of years from Roman to Medieval times and as such interpretation of the story changes to meet the needs of different cultural contexts.</w:t>
      </w:r>
      <w:r w:rsidR="002C16D6">
        <w:t xml:space="preserve"> </w:t>
      </w:r>
      <w:r w:rsidR="00580C89">
        <w:t>The medieval period was sta</w:t>
      </w:r>
      <w:r>
        <w:t>un</w:t>
      </w:r>
      <w:r w:rsidR="00580C89">
        <w:t>chly Christian in its character and morality and therefore this would impact interpretations of Alexander’s behaviour. Godliness and piety would be important characteristics for a medieval leader.</w:t>
      </w:r>
      <w:r w:rsidR="00FF4ECB">
        <w:t xml:space="preserve"> I</w:t>
      </w:r>
      <w:r w:rsidR="002C16D6">
        <w:t xml:space="preserve">n </w:t>
      </w:r>
      <w:r w:rsidR="00FF4ECB">
        <w:t xml:space="preserve">the medieval Latin text the </w:t>
      </w:r>
      <w:r w:rsidR="002C16D6" w:rsidRPr="00FF4ECB">
        <w:rPr>
          <w:i/>
          <w:iCs/>
        </w:rPr>
        <w:t>Historia</w:t>
      </w:r>
      <w:r w:rsidR="00FF4ECB">
        <w:rPr>
          <w:i/>
          <w:iCs/>
        </w:rPr>
        <w:t xml:space="preserve"> de Preliis, </w:t>
      </w:r>
      <w:r w:rsidR="00FF4ECB" w:rsidRPr="00FF4ECB">
        <w:t>the interaction between Alexander and the Amazon queen Talistris is conducted through the exchange of letters.</w:t>
      </w:r>
      <w:r w:rsidR="00627016">
        <w:rPr>
          <w:rStyle w:val="FootnoteReference"/>
        </w:rPr>
        <w:footnoteReference w:id="24"/>
      </w:r>
      <w:r w:rsidR="00FF4ECB" w:rsidRPr="00FF4ECB">
        <w:t xml:space="preserve"> </w:t>
      </w:r>
      <w:r w:rsidR="00FF4ECB">
        <w:t xml:space="preserve">In his first letter Alexander introduces himself with a string of lofty titles.  </w:t>
      </w:r>
      <w:r w:rsidR="00563A4E">
        <w:t xml:space="preserve">‘Alexander, king of kings, son of the god Hammon and Queen Olympias, </w:t>
      </w:r>
      <w:r w:rsidR="00563A4E">
        <w:lastRenderedPageBreak/>
        <w:t>sends greetings to Talistris, queen of the Amazons.’</w:t>
      </w:r>
      <w:r w:rsidR="00FF4ECB">
        <w:rPr>
          <w:rStyle w:val="FootnoteReference"/>
        </w:rPr>
        <w:footnoteReference w:id="25"/>
      </w:r>
      <w:r w:rsidR="00FF4ECB">
        <w:t xml:space="preserve"> </w:t>
      </w:r>
      <w:r w:rsidR="00527F3C">
        <w:t xml:space="preserve">His introduction shows that he thinks highly of himself, particularly with the reference of himself as the son of a god. The statement that he considers himself ‘king of kings’ </w:t>
      </w:r>
      <w:r w:rsidR="007E56D0">
        <w:t>shows that he views himself as superior to all other rulers. In a medieval Christian context this sort of messaging has a particular significance. Alexander is giving himself the same title as Christ and is claiming ancestry from a pagan god. Both of these claims would be considered blasphemous in medieval Europe and the characterisation of A</w:t>
      </w:r>
      <w:r w:rsidR="00FD581B">
        <w:t>l</w:t>
      </w:r>
      <w:r w:rsidR="007E56D0">
        <w:t xml:space="preserve">exander is clearly that he is arrogant and full of exaggerated self-pride. This </w:t>
      </w:r>
      <w:r w:rsidR="00FD581B">
        <w:t xml:space="preserve">arrogance and </w:t>
      </w:r>
      <w:r w:rsidR="007E56D0">
        <w:t xml:space="preserve">exaggeration can be seen in the </w:t>
      </w:r>
      <w:r w:rsidR="00FD581B" w:rsidRPr="00FD581B">
        <w:rPr>
          <w:i/>
          <w:iCs/>
        </w:rPr>
        <w:t>Alexandreis</w:t>
      </w:r>
      <w:r w:rsidR="00FD581B">
        <w:t xml:space="preserve"> by Walter de Chatillon </w:t>
      </w:r>
      <w:r w:rsidR="00B2028C">
        <w:t>in the mocking tones of some of the passages.</w:t>
      </w:r>
      <w:r w:rsidR="00BD657B">
        <w:t xml:space="preserve"> To some scholars, the Alexandreis is an </w:t>
      </w:r>
      <w:r w:rsidR="00BD657B" w:rsidRPr="00BD657B">
        <w:rPr>
          <w:i/>
          <w:iCs/>
        </w:rPr>
        <w:t>exempla</w:t>
      </w:r>
      <w:r w:rsidR="00BD657B">
        <w:t xml:space="preserve">, with Alexander as an </w:t>
      </w:r>
      <w:r w:rsidR="00BD657B" w:rsidRPr="00BD657B">
        <w:rPr>
          <w:i/>
          <w:iCs/>
        </w:rPr>
        <w:t>exemplum</w:t>
      </w:r>
      <w:r w:rsidR="00BD657B">
        <w:t xml:space="preserve"> for crusading kings</w:t>
      </w:r>
      <w:r w:rsidR="00214D96">
        <w:t>.</w:t>
      </w:r>
      <w:r w:rsidR="00BD657B">
        <w:rPr>
          <w:rStyle w:val="FootnoteReference"/>
        </w:rPr>
        <w:footnoteReference w:id="26"/>
      </w:r>
      <w:r w:rsidR="00214D96">
        <w:t xml:space="preserve"> However, this is not necessarily the case when you take a closer look at the poem. His arrogance has caused some scholars, such as Ratkowitsch and Meter, to see Alexander as an example of </w:t>
      </w:r>
      <w:r w:rsidR="00214D96">
        <w:rPr>
          <w:i/>
          <w:iCs/>
        </w:rPr>
        <w:t>hybris</w:t>
      </w:r>
      <w:r w:rsidR="00214D96">
        <w:t xml:space="preserve"> and therefore one to avoid emulating.</w:t>
      </w:r>
      <w:r w:rsidR="00214D96">
        <w:rPr>
          <w:rStyle w:val="FootnoteReference"/>
        </w:rPr>
        <w:footnoteReference w:id="27"/>
      </w:r>
      <w:r w:rsidR="00373CC5">
        <w:rPr>
          <w:b/>
          <w:bCs/>
        </w:rPr>
        <w:t xml:space="preserve"> </w:t>
      </w:r>
      <w:r w:rsidR="0087132B">
        <w:t>In the final book of the Alexandreis there is an episode in the underworld in which Leviath</w:t>
      </w:r>
      <w:r w:rsidR="009E4254">
        <w:t>a</w:t>
      </w:r>
      <w:r w:rsidR="0087132B">
        <w:t xml:space="preserve">n, a </w:t>
      </w:r>
      <w:r w:rsidR="009E4254">
        <w:t xml:space="preserve">powerful sea </w:t>
      </w:r>
      <w:r w:rsidR="0087132B">
        <w:t>monster</w:t>
      </w:r>
      <w:r w:rsidR="009E4254">
        <w:rPr>
          <w:rStyle w:val="FootnoteReference"/>
        </w:rPr>
        <w:footnoteReference w:id="28"/>
      </w:r>
      <w:r w:rsidR="0087132B">
        <w:t>, questions whether Alexander could be the ‘New Man’ of prophesy who would conquer death.</w:t>
      </w:r>
      <w:r w:rsidR="00545C2F">
        <w:rPr>
          <w:rStyle w:val="FootnoteReference"/>
        </w:rPr>
        <w:footnoteReference w:id="29"/>
      </w:r>
      <w:r w:rsidR="0087132B">
        <w:t xml:space="preserve"> This reference is clearly about the coming of Christ and reveals the theme that has been running through the Alexandreis, that </w:t>
      </w:r>
      <w:r w:rsidR="00545C2F">
        <w:t>Alexander, while great is his earthly achievements, falls short of matching the greatness of Christ.</w:t>
      </w:r>
      <w:r w:rsidR="009E4254">
        <w:t xml:space="preserve"> </w:t>
      </w:r>
      <w:r w:rsidR="00545C2F">
        <w:t xml:space="preserve">Lafferty </w:t>
      </w:r>
      <w:r w:rsidR="00A07A6A">
        <w:t xml:space="preserve">argues that in the Alexandreis Alexander challenges the laws of nature and tries to push </w:t>
      </w:r>
      <w:r w:rsidR="00A07A6A">
        <w:lastRenderedPageBreak/>
        <w:t>the boundaries of human limitations</w:t>
      </w:r>
      <w:r w:rsidR="00ED09C8">
        <w:rPr>
          <w:rStyle w:val="FootnoteReference"/>
        </w:rPr>
        <w:footnoteReference w:id="30"/>
      </w:r>
      <w:r w:rsidR="00A07A6A">
        <w:t>. It seems as if Alexander wants to surpass all men and is almost a would-be Christ character. This Latin text shows all Alexander’s achievements but ends on the note that he is not the example to follo</w:t>
      </w:r>
      <w:r w:rsidR="00ED09C8">
        <w:t xml:space="preserve">w. Alexander cannot achieve salvation because he is </w:t>
      </w:r>
      <w:r w:rsidR="009E4254">
        <w:t xml:space="preserve">a </w:t>
      </w:r>
      <w:r w:rsidR="00ED09C8">
        <w:t xml:space="preserve">pagan </w:t>
      </w:r>
      <w:r w:rsidR="009E4254">
        <w:t>who believes himself to be superior and wants to posses</w:t>
      </w:r>
      <w:r w:rsidR="00627016">
        <w:t>s</w:t>
      </w:r>
      <w:r w:rsidR="009E4254">
        <w:t xml:space="preserve"> the known world for himself.</w:t>
      </w:r>
      <w:r w:rsidR="00A14EBA">
        <w:t xml:space="preserve"> The only way it is possible to achieve salvation and go to heaven is to follow </w:t>
      </w:r>
      <w:r w:rsidR="00ED09C8">
        <w:t xml:space="preserve">the true example </w:t>
      </w:r>
      <w:r w:rsidR="00A14EBA">
        <w:t xml:space="preserve">of </w:t>
      </w:r>
      <w:r w:rsidR="00ED09C8">
        <w:t>Christ.</w:t>
      </w:r>
      <w:r w:rsidR="00A14EBA">
        <w:t xml:space="preserve"> </w:t>
      </w:r>
      <w:r w:rsidR="00ED09C8">
        <w:t xml:space="preserve">It is important not to underestimate the wider context of the Christian medieval world with its holy wars and powerful church in terms of the messaging that pervades texts such as the </w:t>
      </w:r>
      <w:r w:rsidR="00ED09C8" w:rsidRPr="00ED09C8">
        <w:rPr>
          <w:i/>
          <w:iCs/>
        </w:rPr>
        <w:t>Historia de Preliis</w:t>
      </w:r>
      <w:r w:rsidR="00ED09C8">
        <w:t xml:space="preserve"> and the </w:t>
      </w:r>
      <w:r w:rsidR="00ED09C8" w:rsidRPr="00ED09C8">
        <w:rPr>
          <w:i/>
          <w:iCs/>
        </w:rPr>
        <w:t>Alexandreis</w:t>
      </w:r>
      <w:r w:rsidR="00ED09C8">
        <w:t>.</w:t>
      </w:r>
    </w:p>
    <w:p w14:paraId="34B1AD89" w14:textId="7CBCB803" w:rsidR="00CC4457" w:rsidRDefault="00580C89" w:rsidP="00FF5F98">
      <w:r w:rsidRPr="00373CC5">
        <w:t>In</w:t>
      </w:r>
      <w:r w:rsidR="002C16D6" w:rsidRPr="00373CC5">
        <w:t xml:space="preserve"> Roman</w:t>
      </w:r>
      <w:r w:rsidRPr="00373CC5">
        <w:t xml:space="preserve"> Latin texts Alexander </w:t>
      </w:r>
      <w:r w:rsidR="00513F60" w:rsidRPr="00373CC5">
        <w:t xml:space="preserve">fulfils the hero role in the </w:t>
      </w:r>
      <w:r w:rsidR="004B2074" w:rsidRPr="00373CC5">
        <w:t xml:space="preserve">narrative </w:t>
      </w:r>
      <w:r w:rsidR="002C16D6" w:rsidRPr="00373CC5">
        <w:t>overriding any minor failures</w:t>
      </w:r>
      <w:r w:rsidR="00513F60" w:rsidRPr="00373CC5">
        <w:t>.</w:t>
      </w:r>
      <w:r w:rsidR="00513F60">
        <w:t xml:space="preserve"> The role includes troubles, trials and difficulties along the </w:t>
      </w:r>
      <w:r w:rsidR="005A3A52">
        <w:t>way,</w:t>
      </w:r>
      <w:r w:rsidR="00513F60">
        <w:t xml:space="preserve"> but it is the ultimate achievement of destiny that marks out a hero. Alexander achieves this</w:t>
      </w:r>
      <w:r w:rsidR="002C16D6">
        <w:t xml:space="preserve"> and to a Roman audience this is likely to transcend the character flaws</w:t>
      </w:r>
      <w:r w:rsidR="00513F60">
        <w:t>.</w:t>
      </w:r>
      <w:r w:rsidR="00FF5F98">
        <w:t xml:space="preserve"> </w:t>
      </w:r>
      <w:r w:rsidR="00C42581">
        <w:t xml:space="preserve">The idea of a hero can be found in ancient Greek texts such as the epics of Homer and the poetry of Pindar. According to Miller </w:t>
      </w:r>
      <w:r w:rsidR="00CC4457">
        <w:t>Homer uses ‘hero’ to mean “any free man” or any man who has a significant role in epic</w:t>
      </w:r>
      <w:r w:rsidR="00C42581">
        <w:t>.</w:t>
      </w:r>
      <w:r w:rsidR="00552B32">
        <w:rPr>
          <w:rStyle w:val="FootnoteReference"/>
        </w:rPr>
        <w:footnoteReference w:id="31"/>
      </w:r>
      <w:r w:rsidR="00C42581">
        <w:t xml:space="preserve"> </w:t>
      </w:r>
      <w:r w:rsidR="00CC4457">
        <w:t>Pindar</w:t>
      </w:r>
      <w:r w:rsidR="00C42581">
        <w:t>, on the other hand,</w:t>
      </w:r>
      <w:r w:rsidR="00CC4457">
        <w:t xml:space="preserve"> uses hero to mean a semi-divine being, somewhere between men and the gods</w:t>
      </w:r>
      <w:r w:rsidR="00C42581">
        <w:t>.</w:t>
      </w:r>
      <w:r w:rsidR="00552B32">
        <w:rPr>
          <w:rStyle w:val="FootnoteReference"/>
        </w:rPr>
        <w:footnoteReference w:id="32"/>
      </w:r>
      <w:r w:rsidR="00C42581">
        <w:t xml:space="preserve"> Alexander fits both of these criteria because he is the significant central figure of </w:t>
      </w:r>
      <w:r w:rsidR="006000A2">
        <w:t xml:space="preserve">myths and also because is presented as having divine parentage. His mother was allegedly visited by Zeus and impregnated. A Roman audience would recognise that Alexander fitted the role of hero and this is helped along </w:t>
      </w:r>
      <w:r w:rsidR="006000A2">
        <w:lastRenderedPageBreak/>
        <w:t xml:space="preserve">by the inclusion of details common to other hero narratives which reinforce the image. An example of this is the reference to and similarities with the Achilles myths. Just like Achilles, Alexander sulks in his tent when he does not get what he wants. Worthington </w:t>
      </w:r>
      <w:r w:rsidR="004D042B">
        <w:t>comments on one incident in which Alexander wants to fight and his soldiers object as they are tired towards the end of a long campaign. Alexander addresses them in strong terms and then goes into his tent and sulks for three days.</w:t>
      </w:r>
      <w:r w:rsidR="004D042B">
        <w:rPr>
          <w:rStyle w:val="FootnoteReference"/>
        </w:rPr>
        <w:footnoteReference w:id="33"/>
      </w:r>
      <w:r w:rsidR="00FF5F98">
        <w:t xml:space="preserve"> </w:t>
      </w:r>
      <w:r w:rsidR="004D042B">
        <w:t xml:space="preserve">This event is found in the </w:t>
      </w:r>
      <w:r w:rsidR="004D042B" w:rsidRPr="004D042B">
        <w:rPr>
          <w:i/>
          <w:iCs/>
        </w:rPr>
        <w:t>History of Alexander</w:t>
      </w:r>
      <w:r w:rsidR="004D042B">
        <w:t xml:space="preserve"> by Quintus Curtius Rufus.</w:t>
      </w:r>
      <w:r w:rsidR="00452553">
        <w:t xml:space="preserve"> </w:t>
      </w:r>
      <w:r w:rsidR="00CC4457">
        <w:t>“Two days were devoted to his anger and on the third he emerged from his tent to issue instructions”</w:t>
      </w:r>
      <w:r w:rsidR="004D042B">
        <w:t>.</w:t>
      </w:r>
      <w:r w:rsidR="004D042B">
        <w:rPr>
          <w:rStyle w:val="FootnoteReference"/>
        </w:rPr>
        <w:footnoteReference w:id="34"/>
      </w:r>
      <w:r w:rsidR="004D042B">
        <w:t xml:space="preserve"> This sort of behaviour is also a found in the Iliad when Achilles sulks in his tent after arguing with Agamemnon over Briseis.</w:t>
      </w:r>
      <w:r w:rsidR="004D042B">
        <w:rPr>
          <w:rStyle w:val="FootnoteReference"/>
        </w:rPr>
        <w:footnoteReference w:id="35"/>
      </w:r>
      <w:r w:rsidR="004D042B">
        <w:t xml:space="preserve"> </w:t>
      </w:r>
      <w:r w:rsidR="00342DD1">
        <w:t xml:space="preserve">Achilles, of course, was also semi-divine and the similarity in the way they are portrayed reinforces the hero status on Alexander. Heroes are expected to face trials, overcome difficulties and even make the occasional </w:t>
      </w:r>
      <w:r w:rsidR="00FF5F98">
        <w:t>mistake;</w:t>
      </w:r>
      <w:r w:rsidR="00342DD1">
        <w:t xml:space="preserve"> however</w:t>
      </w:r>
      <w:r w:rsidR="007324FB">
        <w:t>,</w:t>
      </w:r>
      <w:r w:rsidR="00342DD1">
        <w:t xml:space="preserve"> this only serves to reinforce the ultimate achievement of their destiny.</w:t>
      </w:r>
    </w:p>
    <w:p w14:paraId="6C807CF6" w14:textId="359B3CF1" w:rsidR="00513F60" w:rsidRDefault="00F71713" w:rsidP="00580C89">
      <w:r w:rsidRPr="00373CC5">
        <w:t xml:space="preserve">The true nature of Alexander’s character may well be </w:t>
      </w:r>
      <w:r w:rsidR="0093146E" w:rsidRPr="00373CC5">
        <w:t xml:space="preserve">distorted or </w:t>
      </w:r>
      <w:r w:rsidRPr="00373CC5">
        <w:t>hidden from a modern audience through the process of translation.</w:t>
      </w:r>
      <w:r>
        <w:t xml:space="preserve"> </w:t>
      </w:r>
      <w:r w:rsidR="00513F60">
        <w:t xml:space="preserve">The process of translation can skew the meaning and even result in a different interpretation. </w:t>
      </w:r>
      <w:r w:rsidR="0093146E">
        <w:t>C</w:t>
      </w:r>
      <w:r w:rsidR="00513F60">
        <w:t xml:space="preserve">hoices made by </w:t>
      </w:r>
      <w:r w:rsidR="0093146E">
        <w:t xml:space="preserve">a </w:t>
      </w:r>
      <w:r w:rsidR="00513F60">
        <w:t>translator, for poetic</w:t>
      </w:r>
      <w:r w:rsidR="0093146E">
        <w:t xml:space="preserve"> or other </w:t>
      </w:r>
      <w:r w:rsidR="00513F60">
        <w:t xml:space="preserve">reasons, </w:t>
      </w:r>
      <w:r w:rsidR="0093146E">
        <w:t xml:space="preserve">can </w:t>
      </w:r>
      <w:r>
        <w:t>create</w:t>
      </w:r>
      <w:r w:rsidR="00513F60">
        <w:t xml:space="preserve"> ambiguity in the </w:t>
      </w:r>
      <w:r w:rsidR="0093146E">
        <w:t xml:space="preserve">interpretation of a </w:t>
      </w:r>
      <w:r w:rsidR="00513F60">
        <w:t>precise section of work</w:t>
      </w:r>
      <w:r>
        <w:t xml:space="preserve">. </w:t>
      </w:r>
      <w:r w:rsidR="0093146E">
        <w:t>A negative reader response to aspects of Alexander’s behaviour may be unintentionally triggered by a particular choice or selection of word by a translator.</w:t>
      </w:r>
      <w:r w:rsidR="007E2691">
        <w:t xml:space="preserve"> For example</w:t>
      </w:r>
      <w:r w:rsidR="00373CC5">
        <w:t>,</w:t>
      </w:r>
      <w:r w:rsidR="007E2691">
        <w:t xml:space="preserve"> in Book 9 </w:t>
      </w:r>
      <w:r w:rsidR="00E02C73">
        <w:t xml:space="preserve">Curtius Rufus </w:t>
      </w:r>
      <w:r w:rsidR="00E02C73">
        <w:lastRenderedPageBreak/>
        <w:t>writes “Biduum irae datum est” when alexander and his troops are in India.</w:t>
      </w:r>
      <w:r w:rsidR="00E02C73">
        <w:rPr>
          <w:rStyle w:val="FootnoteReference"/>
        </w:rPr>
        <w:footnoteReference w:id="36"/>
      </w:r>
      <w:r w:rsidR="00E02C73">
        <w:t xml:space="preserve"> In Loeb J.C. Rolfe translates this as “Two days were spent in anger” to describe the time that Alexander spent brooding in his tent. The word “irae” for anger can also be translated as ire, wrath, resentment, indignation, rage, fury, violence or bad blood.</w:t>
      </w:r>
      <w:r w:rsidR="00E02C73">
        <w:rPr>
          <w:rStyle w:val="FootnoteReference"/>
        </w:rPr>
        <w:footnoteReference w:id="37"/>
      </w:r>
      <w:r w:rsidR="00E02C73">
        <w:t xml:space="preserve"> These words have different connotations for a modern audience and so a different choice could imply pettiness or sulky </w:t>
      </w:r>
      <w:r w:rsidR="00313F1D">
        <w:t>behaviour as opposed to manly brooding or even imply that Alexander bore an ugly grudge. A translator, therefore, has the power to skew the meaning of the words and the portrayal of Alexander’s character.</w:t>
      </w:r>
    </w:p>
    <w:p w14:paraId="26344306" w14:textId="0DACB4A8" w:rsidR="00373CC5" w:rsidRDefault="00373CC5" w:rsidP="00580C89">
      <w:r w:rsidRPr="00373CC5">
        <w:t>Modern interpretations of some episodes may well be very different to Roman ones.</w:t>
      </w:r>
      <w:r>
        <w:t xml:space="preserve"> Issues of translation aside, a modern audience comes from a very different social world and is likely to respond very differently to the text compared to a Roman audience. Murder for political reasons might be seen as a positive display of strength in leadership battles in a world where there was no automatic rule of succession for leaders. The question of Alexander’s sexuality has also been an issue for modern audiences as can be seen in the long-running and ongoing scholarly debate.</w:t>
      </w:r>
      <w:r>
        <w:rPr>
          <w:rStyle w:val="FootnoteReference"/>
        </w:rPr>
        <w:footnoteReference w:id="38"/>
      </w:r>
      <w:r>
        <w:t xml:space="preserve"> According to Ogden it was as early as 1948 when Tarn attempted to “straighten the matter out”</w:t>
      </w:r>
      <w:r>
        <w:rPr>
          <w:rStyle w:val="FootnoteReference"/>
        </w:rPr>
        <w:footnoteReference w:id="39"/>
      </w:r>
      <w:r>
        <w:t xml:space="preserve"> and present a wholesome heterosexual Alexander that the Victorian audience, with their “good Christian family values” could follow. This shows a difference to the sensibilities of a Roman audience for whom such matters may not be so important. </w:t>
      </w:r>
    </w:p>
    <w:p w14:paraId="0DE8B9F9" w14:textId="1C556877" w:rsidR="005A3A52" w:rsidRPr="0037642A" w:rsidRDefault="00513F60" w:rsidP="00820A26">
      <w:r w:rsidRPr="00373CC5">
        <w:lastRenderedPageBreak/>
        <w:t>Some modern scholars are beginning to question the uncritical tone of hero-worship in many traditional accounts and narratives of Alexander.</w:t>
      </w:r>
      <w:r w:rsidR="00F716C5">
        <w:t xml:space="preserve"> The praise of Alexander started after his death and only increased with the more literature that was written. The most </w:t>
      </w:r>
      <w:r w:rsidR="00820A26">
        <w:t xml:space="preserve">obvious </w:t>
      </w:r>
      <w:r w:rsidR="00F716C5">
        <w:t>form of praise is the addition of ‘the great’ to his name. This</w:t>
      </w:r>
      <w:r w:rsidR="00820A26">
        <w:t xml:space="preserve"> addition</w:t>
      </w:r>
      <w:r w:rsidR="00F716C5">
        <w:t xml:space="preserve"> can be seen in some Greek texts from after his death but </w:t>
      </w:r>
      <w:r w:rsidR="00820A26">
        <w:t xml:space="preserve">one of </w:t>
      </w:r>
      <w:r w:rsidR="00F716C5">
        <w:t>the most</w:t>
      </w:r>
      <w:r w:rsidR="00820A26">
        <w:t xml:space="preserve"> notable </w:t>
      </w:r>
      <w:r w:rsidR="007324FB">
        <w:t xml:space="preserve">Latin </w:t>
      </w:r>
      <w:r w:rsidR="00820A26">
        <w:t>examples is Quintus Curtius Rufus calling his work “</w:t>
      </w:r>
      <w:r w:rsidR="00820A26" w:rsidRPr="00820A26">
        <w:rPr>
          <w:i/>
          <w:iCs/>
        </w:rPr>
        <w:t>Historiarum Alexandri Magni Macedonis</w:t>
      </w:r>
      <w:r w:rsidR="00820A26">
        <w:t>” (</w:t>
      </w:r>
      <w:r w:rsidR="00820A26">
        <w:rPr>
          <w:i/>
          <w:iCs/>
        </w:rPr>
        <w:t>History of Alexander the Great of Macedon</w:t>
      </w:r>
      <w:r w:rsidR="00820A26">
        <w:t>).</w:t>
      </w:r>
      <w:r w:rsidR="00820A26">
        <w:rPr>
          <w:rStyle w:val="FootnoteReference"/>
        </w:rPr>
        <w:footnoteReference w:id="40"/>
      </w:r>
      <w:r w:rsidR="00820A26">
        <w:t xml:space="preserve"> This early focus on Alexander being a powerful and incredible leader are, most likely, part of the reason scholars</w:t>
      </w:r>
      <w:r w:rsidR="00507A48">
        <w:t xml:space="preserve"> have believed him to be such a great leader without challenging this view.</w:t>
      </w:r>
      <w:r w:rsidR="0037642A">
        <w:t xml:space="preserve"> </w:t>
      </w:r>
      <w:r w:rsidR="007324FB">
        <w:t xml:space="preserve">Stoneman offers a criticism of early Alexander scholars with a specific focus on Tarn </w:t>
      </w:r>
      <w:r w:rsidR="00313F1D">
        <w:t>who, Stoneman argues,</w:t>
      </w:r>
      <w:r w:rsidR="007324FB">
        <w:t xml:space="preserve"> does not admit to the majority of Alexander’s faults </w:t>
      </w:r>
      <w:r w:rsidR="00313F1D">
        <w:t>but claims</w:t>
      </w:r>
      <w:r w:rsidR="007324FB">
        <w:t xml:space="preserve"> that Alexander tried to make a “brotherhood of mankind”.</w:t>
      </w:r>
      <w:r w:rsidR="007324FB">
        <w:rPr>
          <w:rStyle w:val="FootnoteReference"/>
        </w:rPr>
        <w:footnoteReference w:id="41"/>
      </w:r>
    </w:p>
    <w:p w14:paraId="6522921C" w14:textId="288F6818" w:rsidR="0093146E" w:rsidRDefault="00513F60" w:rsidP="007324FB">
      <w:r w:rsidRPr="00373CC5">
        <w:t>The fusion of real history and myth in the Alexander</w:t>
      </w:r>
      <w:r w:rsidR="00A17FF7" w:rsidRPr="00373CC5">
        <w:t xml:space="preserve"> stories make it difficult to properly evaluate his behaviour and leadership style.</w:t>
      </w:r>
      <w:r w:rsidR="00A17FF7">
        <w:t xml:space="preserve"> </w:t>
      </w:r>
      <w:r w:rsidR="00342DD1">
        <w:t>Evidence of this can be found in the persistent inclusion of the incident with the Amazon Queen Talistris. This is generally accepted as a fictional encounter by modern scholars despite regularly appearing in ‘histories’ of Alexander.</w:t>
      </w:r>
      <w:r w:rsidR="00342DD1">
        <w:rPr>
          <w:rStyle w:val="FootnoteReference"/>
        </w:rPr>
        <w:footnoteReference w:id="42"/>
      </w:r>
      <w:r w:rsidR="00342DD1">
        <w:t xml:space="preserve"> </w:t>
      </w:r>
      <w:r w:rsidR="00A17FF7">
        <w:t>Q</w:t>
      </w:r>
      <w:r w:rsidR="00342DD1">
        <w:t xml:space="preserve">uintus </w:t>
      </w:r>
      <w:r w:rsidR="00A17FF7">
        <w:t>C</w:t>
      </w:r>
      <w:r w:rsidR="00342DD1">
        <w:t xml:space="preserve">urtius </w:t>
      </w:r>
      <w:r w:rsidR="00A17FF7">
        <w:t>R</w:t>
      </w:r>
      <w:r w:rsidR="00342DD1">
        <w:t>ufus</w:t>
      </w:r>
      <w:r w:rsidR="00A17FF7">
        <w:t xml:space="preserve"> </w:t>
      </w:r>
      <w:r w:rsidR="00342DD1">
        <w:t xml:space="preserve">includes a brief account of </w:t>
      </w:r>
      <w:r w:rsidR="00A81E0F">
        <w:t>A</w:t>
      </w:r>
      <w:r w:rsidR="00342DD1">
        <w:t>lexander and the</w:t>
      </w:r>
      <w:r w:rsidR="00A17FF7">
        <w:t xml:space="preserve"> Amazons</w:t>
      </w:r>
      <w:r w:rsidR="00A81E0F">
        <w:t xml:space="preserve"> in his </w:t>
      </w:r>
      <w:r w:rsidR="00A81E0F" w:rsidRPr="007324FB">
        <w:rPr>
          <w:i/>
          <w:iCs/>
        </w:rPr>
        <w:t>History of Alexander</w:t>
      </w:r>
      <w:r w:rsidR="00A81E0F">
        <w:t>.</w:t>
      </w:r>
      <w:r w:rsidR="00A17FF7">
        <w:t xml:space="preserve"> </w:t>
      </w:r>
      <w:r w:rsidR="00A81E0F">
        <w:t xml:space="preserve">Scholars have offered different arguments for the inclusion of this episode. One view is that it serves to mark the beginning of </w:t>
      </w:r>
      <w:r w:rsidR="00A81E0F">
        <w:lastRenderedPageBreak/>
        <w:t>Alexander’s downfall.</w:t>
      </w:r>
      <w:r w:rsidR="00A81E0F">
        <w:rPr>
          <w:rStyle w:val="FootnoteReference"/>
        </w:rPr>
        <w:footnoteReference w:id="43"/>
      </w:r>
      <w:r w:rsidR="00A81E0F">
        <w:t xml:space="preserve"> From this point on, </w:t>
      </w:r>
      <w:r w:rsidR="00006FBA">
        <w:t>the Latin texts note that</w:t>
      </w:r>
      <w:r w:rsidR="00A81E0F">
        <w:t xml:space="preserve"> Alexander begins to wear Persian clothes and he appears to lose his initial ambition and vision.</w:t>
      </w:r>
      <w:r w:rsidR="00006FBA">
        <w:rPr>
          <w:rStyle w:val="FootnoteReference"/>
        </w:rPr>
        <w:footnoteReference w:id="44"/>
      </w:r>
      <w:r w:rsidR="00A81E0F">
        <w:t xml:space="preserve"> It is as if he becomes contaminated by his contact with the barbarian queen and is seduced by the world of the senses. The military values and aims he once gave priority to take second place to earthly desires. An alternative view makes the inclusion </w:t>
      </w:r>
      <w:r w:rsidR="00313F1D">
        <w:t xml:space="preserve">of the </w:t>
      </w:r>
      <w:r w:rsidR="00A81E0F">
        <w:t xml:space="preserve">Amazon episode important for </w:t>
      </w:r>
      <w:r w:rsidR="00304C36">
        <w:t xml:space="preserve">showing </w:t>
      </w:r>
      <w:r w:rsidR="00A81E0F">
        <w:t xml:space="preserve">the </w:t>
      </w:r>
      <w:r w:rsidR="00304C36">
        <w:t xml:space="preserve">contrast between the civilised Greeks and the chaotic world of the barbarians. </w:t>
      </w:r>
      <w:r w:rsidR="00313F1D">
        <w:t>Kaplanis</w:t>
      </w:r>
      <w:r w:rsidR="00304C36">
        <w:t xml:space="preserve"> comments that the Amazons feature on the metopes o</w:t>
      </w:r>
      <w:r w:rsidR="00313F1D">
        <w:t>f</w:t>
      </w:r>
      <w:r w:rsidR="00304C36">
        <w:t xml:space="preserve"> the Parthenon in Athens alongside centaurs and other monsters as forces of chaos that have to be subdued by the order of the Athenian polis.</w:t>
      </w:r>
      <w:r w:rsidR="00304C36">
        <w:rPr>
          <w:rStyle w:val="FootnoteReference"/>
        </w:rPr>
        <w:footnoteReference w:id="45"/>
      </w:r>
    </w:p>
    <w:p w14:paraId="2363D266" w14:textId="292E8471" w:rsidR="00513F60" w:rsidRDefault="009A485D" w:rsidP="00B41F5E">
      <w:r>
        <w:t>If we take Alexander’s story as one of part history, part fiction, the unsuccessful events that happen throughout could be considered relics of the true historical events that took place</w:t>
      </w:r>
      <w:r w:rsidR="00313F1D">
        <w:t xml:space="preserve"> as a fictional hero story is perhaps unlikely to include unflattering episodes.</w:t>
      </w:r>
      <w:r>
        <w:t xml:space="preserve"> </w:t>
      </w:r>
      <w:r w:rsidR="0093146E">
        <w:t>The</w:t>
      </w:r>
      <w:r w:rsidR="00B1430F">
        <w:t xml:space="preserve"> </w:t>
      </w:r>
      <w:r w:rsidR="00313F1D">
        <w:t xml:space="preserve">Latin texts from both the Roman and Medieval periods are likely to be a </w:t>
      </w:r>
      <w:r w:rsidR="00A17FF7">
        <w:t>mer</w:t>
      </w:r>
      <w:r w:rsidR="00313F1D">
        <w:t>ging</w:t>
      </w:r>
      <w:r w:rsidR="00A17FF7">
        <w:t xml:space="preserve"> of historical </w:t>
      </w:r>
      <w:r w:rsidR="00B1430F">
        <w:t xml:space="preserve">accounts </w:t>
      </w:r>
      <w:r w:rsidR="00A17FF7">
        <w:t>and exaggerated hero story</w:t>
      </w:r>
      <w:r w:rsidR="007324FB">
        <w:t>.</w:t>
      </w:r>
    </w:p>
    <w:p w14:paraId="59CB6B25" w14:textId="15271C09" w:rsidR="00CC640E" w:rsidRDefault="00CC640E" w:rsidP="00CC640E">
      <w:r>
        <w:t xml:space="preserve">Alexander </w:t>
      </w:r>
      <w:r>
        <w:t>has always been remembered as a great</w:t>
      </w:r>
      <w:r>
        <w:t xml:space="preserve"> military leader </w:t>
      </w:r>
      <w:r>
        <w:t>and it is this aspect of him that has been most enduring. The</w:t>
      </w:r>
      <w:r>
        <w:t xml:space="preserve"> Latin texts </w:t>
      </w:r>
      <w:r>
        <w:t>may</w:t>
      </w:r>
      <w:r>
        <w:t xml:space="preserve"> not </w:t>
      </w:r>
      <w:r>
        <w:t>present him as</w:t>
      </w:r>
      <w:r>
        <w:t xml:space="preserve"> a good moral role model </w:t>
      </w:r>
      <w:r>
        <w:t>but</w:t>
      </w:r>
      <w:r>
        <w:t xml:space="preserve"> </w:t>
      </w:r>
      <w:r w:rsidR="00426754">
        <w:t>the many ways</w:t>
      </w:r>
      <w:r>
        <w:t xml:space="preserve"> his representation has been twisted and manipulated </w:t>
      </w:r>
      <w:r w:rsidR="00426754">
        <w:t>must be taken into account.</w:t>
      </w:r>
      <w:r w:rsidR="006A28A9">
        <w:t xml:space="preserve"> </w:t>
      </w:r>
      <w:r>
        <w:t>Alexander has been almost universally hailed as a remarkable leader, despite his few faults and failings.</w:t>
      </w:r>
      <w:r w:rsidR="0032128E">
        <w:t xml:space="preserve"> Hi over-riding successes </w:t>
      </w:r>
      <w:r w:rsidR="0032128E">
        <w:lastRenderedPageBreak/>
        <w:t>eclipse the few negative episodes of his adventures such as the murders and mutinies. The historical contexts of the Latin texts have a huge impact on his representation and while, in the Roman texts he confidently fulfils the hero role of the narrative, his status as a hero is challenged under the Christian ideology of the medieval period. Whether or not Alexander is a leader to follow depends largely on the social and historical context and may also be influenced by the choices made in the process of translation. There has been a tendency to hero-worship Alexander but new trends in scholarship are challenging this. The true character of Alexander may never be known as historical facts and fictional legend have become tangled.</w:t>
      </w:r>
    </w:p>
    <w:p w14:paraId="6BDA51D7" w14:textId="658CE6F6" w:rsidR="00CC640E" w:rsidRDefault="00CC640E" w:rsidP="00CC640E"/>
    <w:p w14:paraId="5399163F" w14:textId="77777777" w:rsidR="00552B32" w:rsidRDefault="00552B32" w:rsidP="00CC640E"/>
    <w:p w14:paraId="555FE5B7" w14:textId="77777777" w:rsidR="00552B32" w:rsidRDefault="00552B32" w:rsidP="00CC640E"/>
    <w:p w14:paraId="212445DA" w14:textId="77777777" w:rsidR="00552B32" w:rsidRDefault="00552B32" w:rsidP="00CC640E"/>
    <w:p w14:paraId="02705814" w14:textId="77777777" w:rsidR="00552B32" w:rsidRDefault="00552B32" w:rsidP="00CC640E"/>
    <w:p w14:paraId="44E98A0E" w14:textId="77777777" w:rsidR="00552B32" w:rsidRDefault="00552B32" w:rsidP="00CC640E"/>
    <w:p w14:paraId="23A15B95" w14:textId="77777777" w:rsidR="00552B32" w:rsidRDefault="00552B32" w:rsidP="00CC640E"/>
    <w:p w14:paraId="2B9B6964" w14:textId="77777777" w:rsidR="00552B32" w:rsidRDefault="00552B32" w:rsidP="00CC640E"/>
    <w:p w14:paraId="6605C61C" w14:textId="77777777" w:rsidR="00552B32" w:rsidRDefault="00552B32" w:rsidP="00CC640E"/>
    <w:p w14:paraId="11E4FDEF" w14:textId="77777777" w:rsidR="00552B32" w:rsidRDefault="00552B32" w:rsidP="00CC640E"/>
    <w:p w14:paraId="0FFA9C98" w14:textId="77777777" w:rsidR="00552B32" w:rsidRDefault="00552B32" w:rsidP="00CC640E"/>
    <w:p w14:paraId="3AA26071" w14:textId="77777777" w:rsidR="0010382B" w:rsidRDefault="0010382B" w:rsidP="00CC640E"/>
    <w:p w14:paraId="6985534A" w14:textId="1BBCF226" w:rsidR="00552B32" w:rsidRDefault="00552B32" w:rsidP="00CC640E">
      <w:pPr>
        <w:rPr>
          <w:u w:val="single"/>
        </w:rPr>
      </w:pPr>
      <w:bookmarkStart w:id="0" w:name="_GoBack"/>
      <w:bookmarkEnd w:id="0"/>
      <w:r w:rsidRPr="008F7B04">
        <w:rPr>
          <w:u w:val="single"/>
        </w:rPr>
        <w:lastRenderedPageBreak/>
        <w:t>Bibliography</w:t>
      </w:r>
    </w:p>
    <w:p w14:paraId="21A93F38" w14:textId="77777777" w:rsidR="0010382B" w:rsidRDefault="0010382B" w:rsidP="008F7B04">
      <w:r>
        <w:t xml:space="preserve">Baynham, E. (2001) ‘Alexander and the Amazons’, </w:t>
      </w:r>
      <w:r>
        <w:rPr>
          <w:i/>
          <w:iCs/>
        </w:rPr>
        <w:t xml:space="preserve">The Classical Quarterly, </w:t>
      </w:r>
      <w:r>
        <w:t>51(1), pp.115-126</w:t>
      </w:r>
    </w:p>
    <w:p w14:paraId="74EB1B09" w14:textId="77777777" w:rsidR="0010382B" w:rsidRDefault="0010382B" w:rsidP="00CC640E">
      <w:r>
        <w:t xml:space="preserve">Dreyer, B. (2009) ‘Heroes, Cults and Divinity’ in Heckel, W. and Tritle, L. (ed.) </w:t>
      </w:r>
      <w:r>
        <w:rPr>
          <w:i/>
          <w:iCs/>
        </w:rPr>
        <w:t xml:space="preserve">Alexander the Great: A New History, </w:t>
      </w:r>
      <w:r>
        <w:t>New Jersey: Blackwell Publishing Ltd</w:t>
      </w:r>
    </w:p>
    <w:p w14:paraId="7A792459" w14:textId="77777777" w:rsidR="0010382B" w:rsidRDefault="0010382B" w:rsidP="00CC640E">
      <w:r>
        <w:t xml:space="preserve">Heckel, W. (1997) </w:t>
      </w:r>
      <w:r>
        <w:rPr>
          <w:i/>
          <w:iCs/>
        </w:rPr>
        <w:t xml:space="preserve">Epitome of the Philippic History of Pompeius Trogus: Volume 1 Books 11-12: Alexander the Great, </w:t>
      </w:r>
      <w:r>
        <w:t>Oxford: Oxford University Press</w:t>
      </w:r>
    </w:p>
    <w:p w14:paraId="147462BF" w14:textId="77777777" w:rsidR="0010382B" w:rsidRDefault="0010382B" w:rsidP="008F7B04">
      <w:r>
        <w:t xml:space="preserve">Kaplanis, T. A. (2009) ‘The Inverted World of the Amazons: Aspects of a Persistent Myth in Early Modern Greek Literature’ in Rossetto, M et al. (ed.) </w:t>
      </w:r>
      <w:r w:rsidRPr="00921734">
        <w:rPr>
          <w:i/>
          <w:iCs/>
        </w:rPr>
        <w:t>Greek Research in Australia: Proceedings of the Eighth Biennial International Conference of Greek Studies, Flinders University June 2009</w:t>
      </w:r>
      <w:r>
        <w:rPr>
          <w:i/>
          <w:iCs/>
        </w:rPr>
        <w:t xml:space="preserve">, </w:t>
      </w:r>
      <w:r>
        <w:t xml:space="preserve">Available at: </w:t>
      </w:r>
      <w:r w:rsidRPr="0010382B">
        <w:t>https://dspace2.flinders.edu.au/xmlui/bitstream/handle/2328/25198/Kaplanis_2009.pdf?sequence=1</w:t>
      </w:r>
      <w:r>
        <w:t xml:space="preserve"> (Accessed: 05/02/2020)</w:t>
      </w:r>
    </w:p>
    <w:p w14:paraId="4FFCE8F7" w14:textId="77777777" w:rsidR="0010382B" w:rsidRDefault="0010382B" w:rsidP="00CC640E">
      <w:r>
        <w:t xml:space="preserve">Lafferty, M. (1994) ‘Mapping Human Limitations: The Tomb Ecphrases in Walter of Chatillon’s “Alexandreis”’, </w:t>
      </w:r>
      <w:r>
        <w:rPr>
          <w:i/>
          <w:iCs/>
        </w:rPr>
        <w:t xml:space="preserve">The Journal of Medieval Latin, </w:t>
      </w:r>
      <w:r>
        <w:t>4, pp.64-81</w:t>
      </w:r>
    </w:p>
    <w:p w14:paraId="348232AF" w14:textId="77777777" w:rsidR="0010382B" w:rsidRPr="00603907" w:rsidRDefault="0010382B" w:rsidP="00CC640E">
      <w:r>
        <w:t xml:space="preserve">Lafferty, M. (2011) ‘Walter of Chatillon’s “Alexandreis”’ in Zuwiyya, Z. D. (ed.) </w:t>
      </w:r>
      <w:r>
        <w:rPr>
          <w:i/>
          <w:iCs/>
        </w:rPr>
        <w:t xml:space="preserve">A Companion to Alexander Literature in the Middle Ages, </w:t>
      </w:r>
      <w:r>
        <w:t>Leiden: Koninklijke Brill NV</w:t>
      </w:r>
    </w:p>
    <w:p w14:paraId="01DF2D15" w14:textId="77777777" w:rsidR="0010382B" w:rsidRDefault="0010382B" w:rsidP="008F7B04">
      <w:r>
        <w:t xml:space="preserve">Latin Dictionary (2003) </w:t>
      </w:r>
      <w:r>
        <w:rPr>
          <w:i/>
          <w:iCs/>
        </w:rPr>
        <w:t xml:space="preserve">Ira, </w:t>
      </w:r>
      <w:r>
        <w:t>Available at:</w:t>
      </w:r>
      <w:r w:rsidRPr="00921734">
        <w:t xml:space="preserve"> </w:t>
      </w:r>
      <w:r w:rsidRPr="0010382B">
        <w:t>https://www.online-latin-dictionary.com/latin-english-dictionary.php?parola=ira</w:t>
      </w:r>
      <w:r>
        <w:t xml:space="preserve"> (Accessed: 05/02/2020)</w:t>
      </w:r>
    </w:p>
    <w:p w14:paraId="69D1395F" w14:textId="77777777" w:rsidR="0010382B" w:rsidRDefault="0010382B" w:rsidP="00CC640E">
      <w:r>
        <w:lastRenderedPageBreak/>
        <w:t xml:space="preserve">Miller, D. A. (2000) </w:t>
      </w:r>
      <w:r>
        <w:rPr>
          <w:i/>
          <w:iCs/>
        </w:rPr>
        <w:t xml:space="preserve">The Epic Hero, </w:t>
      </w:r>
      <w:r>
        <w:t>Baltimore: The Johns Hopkins University Press</w:t>
      </w:r>
    </w:p>
    <w:p w14:paraId="1A92DAF1" w14:textId="77777777" w:rsidR="0010382B" w:rsidRDefault="0010382B" w:rsidP="008F7B04">
      <w:r>
        <w:t xml:space="preserve">Munding, M. (2011) </w:t>
      </w:r>
      <w:r>
        <w:rPr>
          <w:i/>
          <w:iCs/>
        </w:rPr>
        <w:t xml:space="preserve">Alexander and the Amazon Queen, </w:t>
      </w:r>
      <w:r>
        <w:t xml:space="preserve">Available at: </w:t>
      </w:r>
      <w:r w:rsidRPr="0010382B">
        <w:t>https://digilib.phil.muni.cz/bitstream/handle/11222.digilib/118192/1_GraecoLatinaBrunensia_16-2011-2_9.pdf</w:t>
      </w:r>
      <w:r>
        <w:t xml:space="preserve"> (Accessed: 05/02/2020)</w:t>
      </w:r>
    </w:p>
    <w:p w14:paraId="0EE60979" w14:textId="77777777" w:rsidR="0010382B" w:rsidRDefault="0010382B" w:rsidP="008F7B04">
      <w:r>
        <w:t xml:space="preserve">Ogden, D (2009) ‘Alexander’s Sex Life’ in Heckel, W. and Tritle, L. A. (ed.) </w:t>
      </w:r>
      <w:r>
        <w:rPr>
          <w:i/>
          <w:iCs/>
        </w:rPr>
        <w:t xml:space="preserve">Alexander the Great: A New History, </w:t>
      </w:r>
      <w:r>
        <w:t>New Jersey: Blackwell Publishing Ltd</w:t>
      </w:r>
    </w:p>
    <w:p w14:paraId="2A062A18" w14:textId="77777777" w:rsidR="0010382B" w:rsidRPr="0010382B" w:rsidRDefault="0010382B" w:rsidP="008F7B04">
      <w:r>
        <w:t xml:space="preserve">Santos, J. (2017) </w:t>
      </w:r>
      <w:r w:rsidRPr="0010382B">
        <w:rPr>
          <w:i/>
          <w:iCs/>
        </w:rPr>
        <w:t>Leadership insights of Alexander the Great: Applications in business</w:t>
      </w:r>
      <w:r>
        <w:rPr>
          <w:i/>
          <w:iCs/>
        </w:rPr>
        <w:t xml:space="preserve">, </w:t>
      </w:r>
      <w:r>
        <w:t xml:space="preserve">Available at: </w:t>
      </w:r>
      <w:r w:rsidRPr="0010382B">
        <w:t>https://business.inquirer.net/233730/leadership-insights-alexander-great-applications-business</w:t>
      </w:r>
      <w:r w:rsidRPr="0010382B">
        <w:t xml:space="preserve"> (Accessed</w:t>
      </w:r>
      <w:r>
        <w:t>: 06/02/2020)</w:t>
      </w:r>
    </w:p>
    <w:p w14:paraId="4989AAF7" w14:textId="77777777" w:rsidR="0010382B" w:rsidRDefault="0010382B" w:rsidP="008F7B04">
      <w:r>
        <w:t xml:space="preserve">Stoneman, R. (1997) </w:t>
      </w:r>
      <w:r>
        <w:rPr>
          <w:i/>
          <w:iCs/>
        </w:rPr>
        <w:t xml:space="preserve">Alexander the Great, </w:t>
      </w:r>
      <w:r>
        <w:t>Abingdon: Routledge</w:t>
      </w:r>
    </w:p>
    <w:p w14:paraId="4170B42D" w14:textId="77777777" w:rsidR="0010382B" w:rsidRDefault="0010382B" w:rsidP="008F7B04">
      <w:r>
        <w:t>Worthington, I. (1999)</w:t>
      </w:r>
      <w:r>
        <w:rPr>
          <w:i/>
          <w:iCs/>
        </w:rPr>
        <w:t xml:space="preserve"> How ‘Great’ Was Alexander? </w:t>
      </w:r>
      <w:r>
        <w:t xml:space="preserve">Available at: </w:t>
      </w:r>
      <w:r w:rsidRPr="0010382B">
        <w:t>http://m-hosseini.ir/esk-solk/articles-1/10.pdf</w:t>
      </w:r>
      <w:r>
        <w:t xml:space="preserve"> (Accessed: 05/02/2020)</w:t>
      </w:r>
    </w:p>
    <w:p w14:paraId="29A79865" w14:textId="77777777" w:rsidR="00F36C6D" w:rsidRDefault="00F36C6D" w:rsidP="00F36C6D">
      <w:pPr>
        <w:rPr>
          <w:u w:val="single"/>
        </w:rPr>
      </w:pPr>
      <w:r>
        <w:rPr>
          <w:u w:val="single"/>
        </w:rPr>
        <w:t>Ancient Sources</w:t>
      </w:r>
    </w:p>
    <w:p w14:paraId="1D8E2553" w14:textId="77777777" w:rsidR="00F36C6D" w:rsidRPr="00F36C6D" w:rsidRDefault="00F36C6D" w:rsidP="00F36C6D">
      <w:pPr>
        <w:rPr>
          <w:u w:val="single"/>
        </w:rPr>
      </w:pPr>
      <w:r>
        <w:t xml:space="preserve">Homer. </w:t>
      </w:r>
      <w:r>
        <w:rPr>
          <w:i/>
          <w:iCs/>
        </w:rPr>
        <w:t xml:space="preserve">Iliad. </w:t>
      </w:r>
      <w:r>
        <w:t>E.V. Rieu (trans). 1950. London: Penguin Books Ltd.</w:t>
      </w:r>
    </w:p>
    <w:p w14:paraId="713A9154" w14:textId="77777777" w:rsidR="00F36C6D" w:rsidRDefault="00F36C6D" w:rsidP="00F36C6D">
      <w:pPr>
        <w:pStyle w:val="FootnoteText"/>
      </w:pPr>
      <w:r>
        <w:t xml:space="preserve">Justin. </w:t>
      </w:r>
      <w:r>
        <w:rPr>
          <w:i/>
          <w:iCs/>
        </w:rPr>
        <w:t xml:space="preserve">Epitome of the Philippic History of Pompeius Trogus. </w:t>
      </w:r>
      <w:r>
        <w:t>J. Yardley (trans). 1997. Oxford: Oxford University Press</w:t>
      </w:r>
    </w:p>
    <w:p w14:paraId="6EE63BD9" w14:textId="77777777" w:rsidR="00F36C6D" w:rsidRDefault="00F36C6D" w:rsidP="00F36C6D">
      <w:pPr>
        <w:pStyle w:val="FootnoteText"/>
      </w:pPr>
    </w:p>
    <w:p w14:paraId="1192E93F" w14:textId="77777777" w:rsidR="00F36C6D" w:rsidRDefault="00F36C6D" w:rsidP="00F36C6D">
      <w:pPr>
        <w:pStyle w:val="FootnoteText"/>
      </w:pPr>
      <w:r>
        <w:t xml:space="preserve">Quintus Curtius Rufus. </w:t>
      </w:r>
      <w:r>
        <w:rPr>
          <w:i/>
          <w:iCs/>
        </w:rPr>
        <w:t xml:space="preserve">The History of Alexander. </w:t>
      </w:r>
      <w:r>
        <w:t>J. Yardley (trans). 1984. London: Penguin Books Ltd</w:t>
      </w:r>
    </w:p>
    <w:p w14:paraId="4C0AE1A4" w14:textId="77777777" w:rsidR="00F36C6D" w:rsidRDefault="00F36C6D" w:rsidP="00F36C6D"/>
    <w:p w14:paraId="587F1C8E" w14:textId="77777777" w:rsidR="00F36C6D" w:rsidRPr="00F36C6D" w:rsidRDefault="00F36C6D" w:rsidP="00F36C6D">
      <w:r>
        <w:t xml:space="preserve">Telfryn. </w:t>
      </w:r>
      <w:r w:rsidRPr="00F36C6D">
        <w:rPr>
          <w:i/>
          <w:iCs/>
        </w:rPr>
        <w:t>Historia de prelii</w:t>
      </w:r>
      <w:r>
        <w:rPr>
          <w:i/>
          <w:iCs/>
        </w:rPr>
        <w:t xml:space="preserve">s. </w:t>
      </w:r>
      <w:r>
        <w:t>R. Pritchard (trans). 1992. Toronto: Pontifical Institute of Mediaeval Studies</w:t>
      </w:r>
    </w:p>
    <w:p w14:paraId="1F775478" w14:textId="77777777" w:rsidR="00F36C6D" w:rsidRDefault="00F36C6D" w:rsidP="00F36C6D">
      <w:pPr>
        <w:rPr>
          <w:rFonts w:ascii="Arial" w:hAnsi="Arial"/>
          <w:shd w:val="clear" w:color="auto" w:fill="FFFFFF"/>
        </w:rPr>
      </w:pPr>
      <w:r>
        <w:rPr>
          <w:rFonts w:ascii="Arial" w:hAnsi="Arial"/>
          <w:shd w:val="clear" w:color="auto" w:fill="FFFFFF"/>
        </w:rPr>
        <w:t xml:space="preserve">The Bible. </w:t>
      </w:r>
      <w:r w:rsidRPr="00F36C6D">
        <w:rPr>
          <w:rFonts w:ascii="Arial" w:hAnsi="Arial"/>
          <w:i/>
          <w:iCs/>
          <w:shd w:val="clear" w:color="auto" w:fill="FFFFFF"/>
        </w:rPr>
        <w:t>Job 41:1–34</w:t>
      </w:r>
      <w:r>
        <w:rPr>
          <w:rFonts w:ascii="Arial" w:hAnsi="Arial"/>
          <w:shd w:val="clear" w:color="auto" w:fill="FFFFFF"/>
        </w:rPr>
        <w:t>. The Gideons International (trans). 1996. Lutterworth: International Bible Society</w:t>
      </w:r>
    </w:p>
    <w:p w14:paraId="2C007C26" w14:textId="4EE402F5" w:rsidR="00F36C6D" w:rsidRPr="00507499" w:rsidRDefault="00F36C6D" w:rsidP="008F7B04">
      <w:r>
        <w:lastRenderedPageBreak/>
        <w:t>W</w:t>
      </w:r>
      <w:r w:rsidR="00EF4342">
        <w:t>alter</w:t>
      </w:r>
      <w:r>
        <w:t xml:space="preserve"> of Chatillon. </w:t>
      </w:r>
      <w:r>
        <w:rPr>
          <w:i/>
          <w:iCs/>
        </w:rPr>
        <w:t xml:space="preserve">Alexandreis. </w:t>
      </w:r>
      <w:r>
        <w:t>D. Townsend (trans). 1996. Philadelphia: University of Pennsylvanis Press</w:t>
      </w:r>
    </w:p>
    <w:sectPr w:rsidR="00F36C6D" w:rsidRPr="005074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023DF6" w14:textId="77777777" w:rsidR="00B32E82" w:rsidRDefault="00B32E82" w:rsidP="004962D2">
      <w:pPr>
        <w:spacing w:after="0" w:line="240" w:lineRule="auto"/>
      </w:pPr>
      <w:r>
        <w:separator/>
      </w:r>
    </w:p>
  </w:endnote>
  <w:endnote w:type="continuationSeparator" w:id="0">
    <w:p w14:paraId="1058B71B" w14:textId="77777777" w:rsidR="00B32E82" w:rsidRDefault="00B32E82" w:rsidP="00496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82DD7" w14:textId="77777777" w:rsidR="00B32E82" w:rsidRDefault="00B32E82" w:rsidP="004962D2">
      <w:pPr>
        <w:spacing w:after="0" w:line="240" w:lineRule="auto"/>
      </w:pPr>
      <w:r>
        <w:separator/>
      </w:r>
    </w:p>
  </w:footnote>
  <w:footnote w:type="continuationSeparator" w:id="0">
    <w:p w14:paraId="016AC75A" w14:textId="77777777" w:rsidR="00B32E82" w:rsidRDefault="00B32E82" w:rsidP="004962D2">
      <w:pPr>
        <w:spacing w:after="0" w:line="240" w:lineRule="auto"/>
      </w:pPr>
      <w:r>
        <w:continuationSeparator/>
      </w:r>
    </w:p>
  </w:footnote>
  <w:footnote w:id="1">
    <w:p w14:paraId="05C91622" w14:textId="4648BFCF" w:rsidR="00820A26" w:rsidRPr="00373CC5" w:rsidRDefault="00820A26">
      <w:pPr>
        <w:pStyle w:val="FootnoteText"/>
      </w:pPr>
      <w:r>
        <w:rPr>
          <w:rStyle w:val="FootnoteReference"/>
        </w:rPr>
        <w:footnoteRef/>
      </w:r>
      <w:r>
        <w:t xml:space="preserve"> </w:t>
      </w:r>
      <w:r w:rsidR="00373CC5">
        <w:t xml:space="preserve">Curt. </w:t>
      </w:r>
      <w:r w:rsidR="00373CC5">
        <w:rPr>
          <w:i/>
          <w:iCs/>
        </w:rPr>
        <w:t xml:space="preserve">History of Alexander. </w:t>
      </w:r>
    </w:p>
  </w:footnote>
  <w:footnote w:id="2">
    <w:p w14:paraId="74994BAD" w14:textId="786B5F70" w:rsidR="00820A26" w:rsidRPr="00373CC5" w:rsidRDefault="00820A26">
      <w:pPr>
        <w:pStyle w:val="FootnoteText"/>
        <w:rPr>
          <w:i/>
          <w:iCs/>
        </w:rPr>
      </w:pPr>
      <w:r>
        <w:rPr>
          <w:rStyle w:val="FootnoteReference"/>
        </w:rPr>
        <w:footnoteRef/>
      </w:r>
      <w:r>
        <w:t xml:space="preserve"> Just</w:t>
      </w:r>
      <w:r w:rsidR="00373CC5">
        <w:t xml:space="preserve">. Epit. </w:t>
      </w:r>
      <w:r w:rsidR="00373CC5">
        <w:rPr>
          <w:i/>
          <w:iCs/>
        </w:rPr>
        <w:t xml:space="preserve">Epitome of the Philippic </w:t>
      </w:r>
      <w:r w:rsidR="00684F24">
        <w:rPr>
          <w:i/>
          <w:iCs/>
        </w:rPr>
        <w:t>History of Pompeius Trogus</w:t>
      </w:r>
    </w:p>
  </w:footnote>
  <w:footnote w:id="3">
    <w:p w14:paraId="0068D3F0" w14:textId="0C438C82" w:rsidR="00820A26" w:rsidRPr="00684F24" w:rsidRDefault="00820A26">
      <w:pPr>
        <w:pStyle w:val="FootnoteText"/>
      </w:pPr>
      <w:r>
        <w:rPr>
          <w:rStyle w:val="FootnoteReference"/>
        </w:rPr>
        <w:footnoteRef/>
      </w:r>
      <w:r>
        <w:t xml:space="preserve"> </w:t>
      </w:r>
      <w:r w:rsidR="00684F24">
        <w:t>W</w:t>
      </w:r>
      <w:r w:rsidR="00EF4342">
        <w:t>alter</w:t>
      </w:r>
      <w:r w:rsidR="00684F24">
        <w:t xml:space="preserve"> of Chatillon. </w:t>
      </w:r>
      <w:r w:rsidR="00684F24">
        <w:rPr>
          <w:i/>
          <w:iCs/>
        </w:rPr>
        <w:t xml:space="preserve">Alexandreis. </w:t>
      </w:r>
      <w:r w:rsidR="00684F24">
        <w:t>8.39</w:t>
      </w:r>
    </w:p>
  </w:footnote>
  <w:footnote w:id="4">
    <w:p w14:paraId="28AE6F8E" w14:textId="0F04DA0E" w:rsidR="00820A26" w:rsidRDefault="00820A26">
      <w:pPr>
        <w:pStyle w:val="FootnoteText"/>
      </w:pPr>
      <w:r>
        <w:rPr>
          <w:rStyle w:val="FootnoteReference"/>
        </w:rPr>
        <w:footnoteRef/>
      </w:r>
      <w:r>
        <w:t xml:space="preserve"> Wilcken,</w:t>
      </w:r>
      <w:r w:rsidR="00684F24">
        <w:t xml:space="preserve"> 1967,</w:t>
      </w:r>
      <w:r>
        <w:t xml:space="preserve"> p.244</w:t>
      </w:r>
    </w:p>
  </w:footnote>
  <w:footnote w:id="5">
    <w:p w14:paraId="5B930D80" w14:textId="45F401D0" w:rsidR="006A28A9" w:rsidRDefault="006A28A9">
      <w:pPr>
        <w:pStyle w:val="FootnoteText"/>
      </w:pPr>
      <w:r>
        <w:rPr>
          <w:rStyle w:val="FootnoteReference"/>
        </w:rPr>
        <w:footnoteRef/>
      </w:r>
      <w:r>
        <w:t xml:space="preserve"> </w:t>
      </w:r>
      <w:r w:rsidR="00684F24">
        <w:t>Santos, 2017</w:t>
      </w:r>
    </w:p>
  </w:footnote>
  <w:footnote w:id="6">
    <w:p w14:paraId="174BB855" w14:textId="715848BB" w:rsidR="00820A26" w:rsidRDefault="00820A26">
      <w:pPr>
        <w:pStyle w:val="FootnoteText"/>
      </w:pPr>
      <w:r>
        <w:rPr>
          <w:rStyle w:val="FootnoteReference"/>
        </w:rPr>
        <w:footnoteRef/>
      </w:r>
      <w:r>
        <w:t xml:space="preserve"> </w:t>
      </w:r>
      <w:r w:rsidR="00684F24">
        <w:t>Historia de preliis book III .82</w:t>
      </w:r>
    </w:p>
  </w:footnote>
  <w:footnote w:id="7">
    <w:p w14:paraId="427959E2" w14:textId="0192CF3D" w:rsidR="00820A26" w:rsidRDefault="00820A26">
      <w:pPr>
        <w:pStyle w:val="FootnoteText"/>
      </w:pPr>
      <w:r>
        <w:rPr>
          <w:rStyle w:val="FootnoteReference"/>
        </w:rPr>
        <w:footnoteRef/>
      </w:r>
      <w:r>
        <w:t xml:space="preserve"> </w:t>
      </w:r>
      <w:r w:rsidR="00405432">
        <w:t xml:space="preserve">Curt. </w:t>
      </w:r>
      <w:r w:rsidR="00405432">
        <w:rPr>
          <w:i/>
          <w:iCs/>
        </w:rPr>
        <w:t>History of Alexander.</w:t>
      </w:r>
      <w:r>
        <w:t xml:space="preserve"> 10.2.12-30</w:t>
      </w:r>
    </w:p>
  </w:footnote>
  <w:footnote w:id="8">
    <w:p w14:paraId="14704F1E" w14:textId="66131E60" w:rsidR="00820A26" w:rsidRDefault="00820A26">
      <w:pPr>
        <w:pStyle w:val="FootnoteText"/>
      </w:pPr>
      <w:r>
        <w:rPr>
          <w:rStyle w:val="FootnoteReference"/>
        </w:rPr>
        <w:footnoteRef/>
      </w:r>
      <w:r>
        <w:t xml:space="preserve"> </w:t>
      </w:r>
      <w:r w:rsidR="00405432">
        <w:t xml:space="preserve">Curt. </w:t>
      </w:r>
      <w:r w:rsidR="00405432">
        <w:rPr>
          <w:i/>
          <w:iCs/>
        </w:rPr>
        <w:t>History of Alexander.</w:t>
      </w:r>
      <w:r>
        <w:t xml:space="preserve"> 10.2.25</w:t>
      </w:r>
    </w:p>
  </w:footnote>
  <w:footnote w:id="9">
    <w:p w14:paraId="2044EEDE" w14:textId="7CFF7DE9" w:rsidR="00820A26" w:rsidRDefault="00820A26">
      <w:pPr>
        <w:pStyle w:val="FootnoteText"/>
      </w:pPr>
      <w:r>
        <w:rPr>
          <w:rStyle w:val="FootnoteReference"/>
        </w:rPr>
        <w:footnoteRef/>
      </w:r>
      <w:r>
        <w:t xml:space="preserve"> </w:t>
      </w:r>
      <w:r w:rsidR="00405432">
        <w:t xml:space="preserve">Curt. </w:t>
      </w:r>
      <w:r w:rsidR="00405432">
        <w:rPr>
          <w:i/>
          <w:iCs/>
        </w:rPr>
        <w:t>History of Alexander.</w:t>
      </w:r>
      <w:r>
        <w:t xml:space="preserve"> 10.2.30</w:t>
      </w:r>
    </w:p>
  </w:footnote>
  <w:footnote w:id="10">
    <w:p w14:paraId="353B01EC" w14:textId="11F2F103" w:rsidR="00820A26" w:rsidRDefault="00820A26">
      <w:pPr>
        <w:pStyle w:val="FootnoteText"/>
      </w:pPr>
      <w:r>
        <w:rPr>
          <w:rStyle w:val="FootnoteReference"/>
        </w:rPr>
        <w:footnoteRef/>
      </w:r>
      <w:r>
        <w:t xml:space="preserve"> Just</w:t>
      </w:r>
      <w:r w:rsidR="00967A48">
        <w:t>. Epit.</w:t>
      </w:r>
      <w:r>
        <w:t xml:space="preserve"> 12.11.</w:t>
      </w:r>
      <w:r w:rsidR="00967A48">
        <w:t>5</w:t>
      </w:r>
    </w:p>
  </w:footnote>
  <w:footnote w:id="11">
    <w:p w14:paraId="60F1158A" w14:textId="564EBA61" w:rsidR="00820A26" w:rsidRDefault="00820A26">
      <w:pPr>
        <w:pStyle w:val="FootnoteText"/>
      </w:pPr>
      <w:r>
        <w:rPr>
          <w:rStyle w:val="FootnoteReference"/>
        </w:rPr>
        <w:footnoteRef/>
      </w:r>
      <w:r>
        <w:t xml:space="preserve"> Just</w:t>
      </w:r>
      <w:r w:rsidR="00967A48">
        <w:t xml:space="preserve">. Epit. </w:t>
      </w:r>
      <w:r w:rsidR="00405432">
        <w:t>12.11.6</w:t>
      </w:r>
    </w:p>
  </w:footnote>
  <w:footnote w:id="12">
    <w:p w14:paraId="613A4220" w14:textId="18966365" w:rsidR="00820A26" w:rsidRDefault="00820A26">
      <w:pPr>
        <w:pStyle w:val="FootnoteText"/>
      </w:pPr>
      <w:r>
        <w:rPr>
          <w:rStyle w:val="FootnoteReference"/>
        </w:rPr>
        <w:footnoteRef/>
      </w:r>
      <w:r>
        <w:t xml:space="preserve"> Just</w:t>
      </w:r>
      <w:r w:rsidR="00405432">
        <w:t>. Epit. 12.11.8</w:t>
      </w:r>
    </w:p>
  </w:footnote>
  <w:footnote w:id="13">
    <w:p w14:paraId="0C98920F" w14:textId="272E3039" w:rsidR="00820A26" w:rsidRDefault="00820A26">
      <w:pPr>
        <w:pStyle w:val="FootnoteText"/>
      </w:pPr>
      <w:r>
        <w:rPr>
          <w:rStyle w:val="FootnoteReference"/>
        </w:rPr>
        <w:footnoteRef/>
      </w:r>
      <w:r>
        <w:t xml:space="preserve"> Just</w:t>
      </w:r>
      <w:r w:rsidR="00405432">
        <w:t>. Epit. 12.11.9</w:t>
      </w:r>
    </w:p>
  </w:footnote>
  <w:footnote w:id="14">
    <w:p w14:paraId="17F3ADA7" w14:textId="509C4C35" w:rsidR="00820A26" w:rsidRDefault="00820A26">
      <w:pPr>
        <w:pStyle w:val="FootnoteText"/>
      </w:pPr>
      <w:r>
        <w:rPr>
          <w:rStyle w:val="FootnoteReference"/>
        </w:rPr>
        <w:footnoteRef/>
      </w:r>
      <w:r>
        <w:t xml:space="preserve"> Heckel,</w:t>
      </w:r>
      <w:r w:rsidR="00405432">
        <w:t xml:space="preserve"> 1997,</w:t>
      </w:r>
      <w:r>
        <w:t xml:space="preserve"> p.272</w:t>
      </w:r>
      <w:r w:rsidR="0037642A">
        <w:t>-27</w:t>
      </w:r>
      <w:r>
        <w:t>3</w:t>
      </w:r>
    </w:p>
  </w:footnote>
  <w:footnote w:id="15">
    <w:p w14:paraId="05BE3407" w14:textId="736FE17E" w:rsidR="00820A26" w:rsidRDefault="00820A26">
      <w:pPr>
        <w:pStyle w:val="FootnoteText"/>
      </w:pPr>
      <w:r>
        <w:rPr>
          <w:rStyle w:val="FootnoteReference"/>
        </w:rPr>
        <w:footnoteRef/>
      </w:r>
      <w:r>
        <w:t xml:space="preserve"> </w:t>
      </w:r>
      <w:r w:rsidR="00405432">
        <w:t xml:space="preserve">Curt. </w:t>
      </w:r>
      <w:r w:rsidR="00405432">
        <w:rPr>
          <w:i/>
          <w:iCs/>
        </w:rPr>
        <w:t xml:space="preserve">History of Alexander. </w:t>
      </w:r>
      <w:r>
        <w:t>9.10.14</w:t>
      </w:r>
    </w:p>
  </w:footnote>
  <w:footnote w:id="16">
    <w:p w14:paraId="55D3D182" w14:textId="62B51096" w:rsidR="00820A26" w:rsidRPr="00405432" w:rsidRDefault="00820A26">
      <w:pPr>
        <w:pStyle w:val="FootnoteText"/>
      </w:pPr>
      <w:r>
        <w:rPr>
          <w:rStyle w:val="FootnoteReference"/>
        </w:rPr>
        <w:footnoteRef/>
      </w:r>
      <w:r>
        <w:t xml:space="preserve"> </w:t>
      </w:r>
      <w:r w:rsidR="00405432">
        <w:t xml:space="preserve">Curt. </w:t>
      </w:r>
      <w:r w:rsidR="00405432">
        <w:rPr>
          <w:i/>
          <w:iCs/>
        </w:rPr>
        <w:t xml:space="preserve">History of Alexander. </w:t>
      </w:r>
      <w:r w:rsidR="00405432">
        <w:t>9.10.15</w:t>
      </w:r>
    </w:p>
  </w:footnote>
  <w:footnote w:id="17">
    <w:p w14:paraId="51CB3F4F" w14:textId="339D3F7C" w:rsidR="00820A26" w:rsidRPr="00405432" w:rsidRDefault="00820A26">
      <w:pPr>
        <w:pStyle w:val="FootnoteText"/>
      </w:pPr>
      <w:r>
        <w:rPr>
          <w:rStyle w:val="FootnoteReference"/>
        </w:rPr>
        <w:footnoteRef/>
      </w:r>
      <w:r>
        <w:t xml:space="preserve"> </w:t>
      </w:r>
      <w:r w:rsidR="00405432">
        <w:t xml:space="preserve">Curt. </w:t>
      </w:r>
      <w:r w:rsidR="00405432">
        <w:rPr>
          <w:i/>
          <w:iCs/>
        </w:rPr>
        <w:t xml:space="preserve">History of Alexander. </w:t>
      </w:r>
      <w:r w:rsidR="00405432">
        <w:t>9.10.17</w:t>
      </w:r>
    </w:p>
  </w:footnote>
  <w:footnote w:id="18">
    <w:p w14:paraId="7E9951B5" w14:textId="14B2B15C" w:rsidR="00DE4085" w:rsidRDefault="00DE4085">
      <w:pPr>
        <w:pStyle w:val="FootnoteText"/>
      </w:pPr>
      <w:r>
        <w:rPr>
          <w:rStyle w:val="FootnoteReference"/>
        </w:rPr>
        <w:footnoteRef/>
      </w:r>
      <w:r>
        <w:t xml:space="preserve"> Just</w:t>
      </w:r>
      <w:r w:rsidR="00405432">
        <w:t>. Epit.</w:t>
      </w:r>
      <w:r>
        <w:t xml:space="preserve"> 12.10.7</w:t>
      </w:r>
    </w:p>
  </w:footnote>
  <w:footnote w:id="19">
    <w:p w14:paraId="195310FC" w14:textId="25048385" w:rsidR="00DE4085" w:rsidRDefault="00DE4085">
      <w:pPr>
        <w:pStyle w:val="FootnoteText"/>
      </w:pPr>
      <w:r>
        <w:rPr>
          <w:rStyle w:val="FootnoteReference"/>
        </w:rPr>
        <w:footnoteRef/>
      </w:r>
      <w:r>
        <w:t xml:space="preserve"> Just</w:t>
      </w:r>
      <w:r w:rsidR="00405432">
        <w:t>. Epit.</w:t>
      </w:r>
      <w:r>
        <w:t xml:space="preserve"> 12.10.7</w:t>
      </w:r>
    </w:p>
  </w:footnote>
  <w:footnote w:id="20">
    <w:p w14:paraId="30D431FD" w14:textId="2CBBFC8A" w:rsidR="00DE4085" w:rsidRDefault="00DE4085">
      <w:pPr>
        <w:pStyle w:val="FootnoteText"/>
      </w:pPr>
      <w:r>
        <w:rPr>
          <w:rStyle w:val="FootnoteReference"/>
        </w:rPr>
        <w:footnoteRef/>
      </w:r>
      <w:r>
        <w:t xml:space="preserve"> </w:t>
      </w:r>
      <w:r w:rsidR="00405432">
        <w:t>Heckel</w:t>
      </w:r>
      <w:r>
        <w:t>,</w:t>
      </w:r>
      <w:r w:rsidR="00405432">
        <w:t xml:space="preserve"> 1997,</w:t>
      </w:r>
      <w:r>
        <w:t xml:space="preserve"> p.268</w:t>
      </w:r>
    </w:p>
  </w:footnote>
  <w:footnote w:id="21">
    <w:p w14:paraId="2337373E" w14:textId="1E064AE5" w:rsidR="00DE4085" w:rsidRDefault="00DE4085">
      <w:pPr>
        <w:pStyle w:val="FootnoteText"/>
      </w:pPr>
      <w:r>
        <w:rPr>
          <w:rStyle w:val="FootnoteReference"/>
        </w:rPr>
        <w:footnoteRef/>
      </w:r>
      <w:r>
        <w:t xml:space="preserve"> Dreyer,</w:t>
      </w:r>
      <w:r w:rsidR="00552B32">
        <w:t xml:space="preserve"> 2009,</w:t>
      </w:r>
      <w:r>
        <w:t xml:space="preserve"> p.220 </w:t>
      </w:r>
    </w:p>
  </w:footnote>
  <w:footnote w:id="22">
    <w:p w14:paraId="0B46374D" w14:textId="4868AE92" w:rsidR="008B3A88" w:rsidRPr="00552B32" w:rsidRDefault="008B3A88">
      <w:pPr>
        <w:pStyle w:val="FootnoteText"/>
      </w:pPr>
      <w:r>
        <w:rPr>
          <w:rStyle w:val="FootnoteReference"/>
        </w:rPr>
        <w:footnoteRef/>
      </w:r>
      <w:r>
        <w:t xml:space="preserve"> </w:t>
      </w:r>
      <w:r w:rsidR="00552B32">
        <w:t xml:space="preserve">Curt. </w:t>
      </w:r>
      <w:r w:rsidR="00552B32">
        <w:rPr>
          <w:i/>
          <w:iCs/>
        </w:rPr>
        <w:t xml:space="preserve">History of Alexander. </w:t>
      </w:r>
      <w:r w:rsidR="00552B32">
        <w:t>9.10.14-17</w:t>
      </w:r>
    </w:p>
  </w:footnote>
  <w:footnote w:id="23">
    <w:p w14:paraId="15CAFEAB" w14:textId="2294E50F" w:rsidR="008B3A88" w:rsidRPr="00552B32" w:rsidRDefault="008B3A88">
      <w:pPr>
        <w:pStyle w:val="FootnoteText"/>
      </w:pPr>
      <w:r>
        <w:rPr>
          <w:rStyle w:val="FootnoteReference"/>
        </w:rPr>
        <w:footnoteRef/>
      </w:r>
      <w:r>
        <w:t xml:space="preserve"> </w:t>
      </w:r>
      <w:r w:rsidR="00552B32">
        <w:t xml:space="preserve">Curt. </w:t>
      </w:r>
      <w:r w:rsidR="00552B32">
        <w:rPr>
          <w:i/>
          <w:iCs/>
        </w:rPr>
        <w:t xml:space="preserve">History of Alexander. </w:t>
      </w:r>
      <w:r w:rsidR="00552B32">
        <w:t>9.10.14</w:t>
      </w:r>
    </w:p>
  </w:footnote>
  <w:footnote w:id="24">
    <w:p w14:paraId="532612FF" w14:textId="55A4A71B" w:rsidR="00627016" w:rsidRDefault="00627016">
      <w:pPr>
        <w:pStyle w:val="FootnoteText"/>
      </w:pPr>
      <w:r>
        <w:rPr>
          <w:rStyle w:val="FootnoteReference"/>
        </w:rPr>
        <w:footnoteRef/>
      </w:r>
      <w:r>
        <w:t xml:space="preserve"> </w:t>
      </w:r>
      <w:r w:rsidR="00552B32">
        <w:t>Historia de preliis book III .82</w:t>
      </w:r>
    </w:p>
  </w:footnote>
  <w:footnote w:id="25">
    <w:p w14:paraId="71B3D638" w14:textId="0CB70C75" w:rsidR="00820A26" w:rsidRDefault="00820A26">
      <w:pPr>
        <w:pStyle w:val="FootnoteText"/>
      </w:pPr>
      <w:r>
        <w:rPr>
          <w:rStyle w:val="FootnoteReference"/>
        </w:rPr>
        <w:footnoteRef/>
      </w:r>
      <w:r>
        <w:t xml:space="preserve"> Historia de preliis book III .82</w:t>
      </w:r>
    </w:p>
  </w:footnote>
  <w:footnote w:id="26">
    <w:p w14:paraId="7DF6F99D" w14:textId="67F02B27" w:rsidR="00820A26" w:rsidRDefault="00820A26">
      <w:pPr>
        <w:pStyle w:val="FootnoteText"/>
      </w:pPr>
      <w:r>
        <w:rPr>
          <w:rStyle w:val="FootnoteReference"/>
        </w:rPr>
        <w:footnoteRef/>
      </w:r>
      <w:r>
        <w:t xml:space="preserve"> Laf</w:t>
      </w:r>
      <w:r w:rsidR="00603907">
        <w:t>f</w:t>
      </w:r>
      <w:r>
        <w:t xml:space="preserve">erty, </w:t>
      </w:r>
      <w:r w:rsidR="00552B32">
        <w:t xml:space="preserve">2011, </w:t>
      </w:r>
      <w:r>
        <w:t>p.197</w:t>
      </w:r>
    </w:p>
  </w:footnote>
  <w:footnote w:id="27">
    <w:p w14:paraId="6BFF0896" w14:textId="288122CC" w:rsidR="00820A26" w:rsidRDefault="00820A26">
      <w:pPr>
        <w:pStyle w:val="FootnoteText"/>
      </w:pPr>
      <w:r>
        <w:rPr>
          <w:rStyle w:val="FootnoteReference"/>
        </w:rPr>
        <w:footnoteRef/>
      </w:r>
      <w:r>
        <w:t xml:space="preserve"> Laf</w:t>
      </w:r>
      <w:r w:rsidR="00603907">
        <w:t>f</w:t>
      </w:r>
      <w:r>
        <w:t xml:space="preserve">erty, </w:t>
      </w:r>
      <w:r w:rsidR="00552B32">
        <w:t xml:space="preserve">2011, </w:t>
      </w:r>
      <w:r>
        <w:t>p.197</w:t>
      </w:r>
    </w:p>
  </w:footnote>
  <w:footnote w:id="28">
    <w:p w14:paraId="2E6F3276" w14:textId="45D2F869" w:rsidR="00820A26" w:rsidRDefault="00820A26">
      <w:pPr>
        <w:pStyle w:val="FootnoteText"/>
      </w:pPr>
      <w:r>
        <w:rPr>
          <w:rStyle w:val="FootnoteReference"/>
        </w:rPr>
        <w:footnoteRef/>
      </w:r>
      <w:r>
        <w:t xml:space="preserve"> </w:t>
      </w:r>
      <w:r>
        <w:rPr>
          <w:rFonts w:ascii="Arial" w:hAnsi="Arial"/>
          <w:shd w:val="clear" w:color="auto" w:fill="FFFFFF"/>
        </w:rPr>
        <w:t>Job 41:1–34</w:t>
      </w:r>
    </w:p>
  </w:footnote>
  <w:footnote w:id="29">
    <w:p w14:paraId="12CED745" w14:textId="147DE385" w:rsidR="00820A26" w:rsidRDefault="00820A26">
      <w:pPr>
        <w:pStyle w:val="FootnoteText"/>
      </w:pPr>
      <w:r>
        <w:rPr>
          <w:rStyle w:val="FootnoteReference"/>
        </w:rPr>
        <w:footnoteRef/>
      </w:r>
      <w:r>
        <w:t xml:space="preserve"> </w:t>
      </w:r>
      <w:r w:rsidR="00552B32">
        <w:t>W</w:t>
      </w:r>
      <w:r w:rsidR="00EF4342">
        <w:t>alter</w:t>
      </w:r>
      <w:r w:rsidR="00552B32">
        <w:t xml:space="preserve"> of Chatillon. </w:t>
      </w:r>
      <w:r w:rsidRPr="00552B32">
        <w:rPr>
          <w:i/>
          <w:iCs/>
        </w:rPr>
        <w:t>Alexandreis</w:t>
      </w:r>
      <w:r w:rsidR="00552B32">
        <w:t>.</w:t>
      </w:r>
      <w:r>
        <w:t xml:space="preserve"> 10.154-163</w:t>
      </w:r>
    </w:p>
  </w:footnote>
  <w:footnote w:id="30">
    <w:p w14:paraId="3934FE3F" w14:textId="28C5FD61" w:rsidR="00820A26" w:rsidRDefault="00820A26">
      <w:pPr>
        <w:pStyle w:val="FootnoteText"/>
      </w:pPr>
      <w:r>
        <w:rPr>
          <w:rStyle w:val="FootnoteReference"/>
        </w:rPr>
        <w:footnoteRef/>
      </w:r>
      <w:r>
        <w:t xml:space="preserve"> Lafferty</w:t>
      </w:r>
      <w:r w:rsidR="00552B32">
        <w:t>, 1994, p.65</w:t>
      </w:r>
    </w:p>
  </w:footnote>
  <w:footnote w:id="31">
    <w:p w14:paraId="5C58091E" w14:textId="06D3792A" w:rsidR="00552B32" w:rsidRDefault="00552B32">
      <w:pPr>
        <w:pStyle w:val="FootnoteText"/>
      </w:pPr>
      <w:r>
        <w:rPr>
          <w:rStyle w:val="FootnoteReference"/>
        </w:rPr>
        <w:footnoteRef/>
      </w:r>
      <w:r>
        <w:t xml:space="preserve"> Miller, 2000, p.3</w:t>
      </w:r>
    </w:p>
  </w:footnote>
  <w:footnote w:id="32">
    <w:p w14:paraId="01B0FFAF" w14:textId="7FC23ED4" w:rsidR="00552B32" w:rsidRDefault="00552B32">
      <w:pPr>
        <w:pStyle w:val="FootnoteText"/>
      </w:pPr>
      <w:r>
        <w:rPr>
          <w:rStyle w:val="FootnoteReference"/>
        </w:rPr>
        <w:footnoteRef/>
      </w:r>
      <w:r>
        <w:t xml:space="preserve"> Miller, 2000, p.3</w:t>
      </w:r>
    </w:p>
  </w:footnote>
  <w:footnote w:id="33">
    <w:p w14:paraId="31323B52" w14:textId="5F765700" w:rsidR="00820A26" w:rsidRDefault="00820A26">
      <w:pPr>
        <w:pStyle w:val="FootnoteText"/>
      </w:pPr>
      <w:r>
        <w:rPr>
          <w:rStyle w:val="FootnoteReference"/>
        </w:rPr>
        <w:footnoteRef/>
      </w:r>
      <w:r>
        <w:t xml:space="preserve"> Worthington, p.4</w:t>
      </w:r>
    </w:p>
  </w:footnote>
  <w:footnote w:id="34">
    <w:p w14:paraId="61093D35" w14:textId="13A81F29" w:rsidR="00820A26" w:rsidRDefault="00820A26">
      <w:pPr>
        <w:pStyle w:val="FootnoteText"/>
      </w:pPr>
      <w:r>
        <w:rPr>
          <w:rStyle w:val="FootnoteReference"/>
        </w:rPr>
        <w:footnoteRef/>
      </w:r>
      <w:r>
        <w:t xml:space="preserve"> </w:t>
      </w:r>
      <w:r w:rsidR="00552B32">
        <w:t xml:space="preserve">Curt. </w:t>
      </w:r>
      <w:r w:rsidR="00552B32">
        <w:rPr>
          <w:i/>
          <w:iCs/>
        </w:rPr>
        <w:t>History of Alexander.</w:t>
      </w:r>
      <w:r>
        <w:t xml:space="preserve"> 9.3.19</w:t>
      </w:r>
    </w:p>
  </w:footnote>
  <w:footnote w:id="35">
    <w:p w14:paraId="17303DB2" w14:textId="7BA0541D" w:rsidR="00820A26" w:rsidRPr="0037642A" w:rsidRDefault="00820A26">
      <w:pPr>
        <w:pStyle w:val="FootnoteText"/>
      </w:pPr>
      <w:r>
        <w:rPr>
          <w:rStyle w:val="FootnoteReference"/>
        </w:rPr>
        <w:footnoteRef/>
      </w:r>
      <w:r>
        <w:t xml:space="preserve"> </w:t>
      </w:r>
      <w:r w:rsidR="0037642A">
        <w:t xml:space="preserve">Hom. </w:t>
      </w:r>
      <w:r w:rsidR="0037642A">
        <w:rPr>
          <w:i/>
          <w:iCs/>
        </w:rPr>
        <w:t xml:space="preserve">Iliad. </w:t>
      </w:r>
      <w:r w:rsidR="0037642A">
        <w:t>1.349</w:t>
      </w:r>
    </w:p>
  </w:footnote>
  <w:footnote w:id="36">
    <w:p w14:paraId="29352F18" w14:textId="36FF809E" w:rsidR="00E02C73" w:rsidRPr="0037642A" w:rsidRDefault="00E02C73" w:rsidP="00E02C73">
      <w:pPr>
        <w:pStyle w:val="FootnoteText"/>
      </w:pPr>
      <w:r>
        <w:rPr>
          <w:rStyle w:val="FootnoteReference"/>
        </w:rPr>
        <w:footnoteRef/>
      </w:r>
      <w:r>
        <w:t xml:space="preserve"> </w:t>
      </w:r>
      <w:r w:rsidR="0037642A">
        <w:t xml:space="preserve">Curt. </w:t>
      </w:r>
      <w:r w:rsidR="0037642A">
        <w:rPr>
          <w:i/>
          <w:iCs/>
        </w:rPr>
        <w:t xml:space="preserve">History of Alexander. </w:t>
      </w:r>
      <w:r w:rsidR="0037642A">
        <w:t>9.3.19</w:t>
      </w:r>
    </w:p>
  </w:footnote>
  <w:footnote w:id="37">
    <w:p w14:paraId="4E55FA5C" w14:textId="5295C729" w:rsidR="00E02C73" w:rsidRDefault="00E02C73">
      <w:pPr>
        <w:pStyle w:val="FootnoteText"/>
      </w:pPr>
      <w:r>
        <w:rPr>
          <w:rStyle w:val="FootnoteReference"/>
        </w:rPr>
        <w:footnoteRef/>
      </w:r>
      <w:r>
        <w:t xml:space="preserve"> </w:t>
      </w:r>
      <w:r w:rsidR="0037642A">
        <w:t>L</w:t>
      </w:r>
      <w:r>
        <w:t xml:space="preserve">atin </w:t>
      </w:r>
      <w:r w:rsidR="0037642A">
        <w:t>D</w:t>
      </w:r>
      <w:r>
        <w:t>ictionary</w:t>
      </w:r>
      <w:r w:rsidR="0037642A">
        <w:t>, 2003</w:t>
      </w:r>
    </w:p>
  </w:footnote>
  <w:footnote w:id="38">
    <w:p w14:paraId="0A0C1800" w14:textId="46F53589" w:rsidR="00373CC5" w:rsidRDefault="00373CC5" w:rsidP="00373CC5">
      <w:pPr>
        <w:pStyle w:val="FootnoteText"/>
      </w:pPr>
      <w:r>
        <w:rPr>
          <w:rStyle w:val="FootnoteReference"/>
        </w:rPr>
        <w:footnoteRef/>
      </w:r>
      <w:r>
        <w:t xml:space="preserve"> Ogden</w:t>
      </w:r>
      <w:r w:rsidR="0037642A">
        <w:t>,</w:t>
      </w:r>
      <w:r>
        <w:t xml:space="preserve"> 2009</w:t>
      </w:r>
      <w:r w:rsidR="0037642A">
        <w:t>,</w:t>
      </w:r>
      <w:r>
        <w:t xml:space="preserve"> p</w:t>
      </w:r>
      <w:r w:rsidR="0037642A">
        <w:t>.</w:t>
      </w:r>
      <w:r>
        <w:t>203-217</w:t>
      </w:r>
    </w:p>
  </w:footnote>
  <w:footnote w:id="39">
    <w:p w14:paraId="0D018089" w14:textId="372F084B" w:rsidR="00373CC5" w:rsidRDefault="00373CC5" w:rsidP="00373CC5">
      <w:pPr>
        <w:pStyle w:val="FootnoteText"/>
      </w:pPr>
      <w:r>
        <w:rPr>
          <w:rStyle w:val="FootnoteReference"/>
        </w:rPr>
        <w:footnoteRef/>
      </w:r>
      <w:r>
        <w:t xml:space="preserve"> Ogden</w:t>
      </w:r>
      <w:r w:rsidR="0037642A">
        <w:t>,</w:t>
      </w:r>
      <w:r>
        <w:t xml:space="preserve"> 2009</w:t>
      </w:r>
      <w:r w:rsidR="0037642A">
        <w:t>,</w:t>
      </w:r>
      <w:r>
        <w:t xml:space="preserve"> p</w:t>
      </w:r>
      <w:r w:rsidR="0037642A">
        <w:t>.</w:t>
      </w:r>
      <w:r>
        <w:t>203</w:t>
      </w:r>
    </w:p>
  </w:footnote>
  <w:footnote w:id="40">
    <w:p w14:paraId="47E452B4" w14:textId="1E059FEB" w:rsidR="00820A26" w:rsidRPr="0037642A" w:rsidRDefault="00820A26">
      <w:pPr>
        <w:pStyle w:val="FootnoteText"/>
      </w:pPr>
      <w:r>
        <w:rPr>
          <w:rStyle w:val="FootnoteReference"/>
        </w:rPr>
        <w:footnoteRef/>
      </w:r>
      <w:r>
        <w:t xml:space="preserve"> </w:t>
      </w:r>
      <w:r w:rsidR="0037642A">
        <w:t xml:space="preserve">Curt. </w:t>
      </w:r>
      <w:r w:rsidR="0037642A">
        <w:rPr>
          <w:i/>
          <w:iCs/>
        </w:rPr>
        <w:t xml:space="preserve">History of Alexander. </w:t>
      </w:r>
    </w:p>
  </w:footnote>
  <w:footnote w:id="41">
    <w:p w14:paraId="70716443" w14:textId="27EBDC2F" w:rsidR="007324FB" w:rsidRDefault="007324FB">
      <w:pPr>
        <w:pStyle w:val="FootnoteText"/>
      </w:pPr>
      <w:r>
        <w:rPr>
          <w:rStyle w:val="FootnoteReference"/>
        </w:rPr>
        <w:footnoteRef/>
      </w:r>
      <w:r>
        <w:t xml:space="preserve"> Stoneman, </w:t>
      </w:r>
      <w:r w:rsidR="0037642A">
        <w:t xml:space="preserve">1997, </w:t>
      </w:r>
      <w:r>
        <w:t>p.9</w:t>
      </w:r>
    </w:p>
  </w:footnote>
  <w:footnote w:id="42">
    <w:p w14:paraId="0B809527" w14:textId="15CF8C51" w:rsidR="00820A26" w:rsidRDefault="00820A26">
      <w:pPr>
        <w:pStyle w:val="FootnoteText"/>
      </w:pPr>
      <w:r>
        <w:rPr>
          <w:rStyle w:val="FootnoteReference"/>
        </w:rPr>
        <w:footnoteRef/>
      </w:r>
      <w:r>
        <w:t xml:space="preserve"> </w:t>
      </w:r>
      <w:r w:rsidR="0037642A">
        <w:t>Baynham, 2001, p.115</w:t>
      </w:r>
    </w:p>
  </w:footnote>
  <w:footnote w:id="43">
    <w:p w14:paraId="5C13EA5B" w14:textId="5B306676" w:rsidR="00820A26" w:rsidRPr="00744FEE" w:rsidRDefault="00820A26">
      <w:pPr>
        <w:pStyle w:val="FootnoteText"/>
        <w:rPr>
          <w:i/>
          <w:iCs/>
        </w:rPr>
      </w:pPr>
      <w:r>
        <w:rPr>
          <w:rStyle w:val="FootnoteReference"/>
        </w:rPr>
        <w:footnoteRef/>
      </w:r>
      <w:r>
        <w:t xml:space="preserve"> </w:t>
      </w:r>
      <w:r w:rsidR="00E0065F">
        <w:t xml:space="preserve">Munding, </w:t>
      </w:r>
      <w:r w:rsidR="0037642A">
        <w:t xml:space="preserve">2011, </w:t>
      </w:r>
      <w:r w:rsidR="00E0065F">
        <w:t>p.141</w:t>
      </w:r>
      <w:r w:rsidR="00744FEE">
        <w:t xml:space="preserve"> </w:t>
      </w:r>
      <w:r w:rsidR="00744FEE">
        <w:rPr>
          <w:i/>
          <w:iCs/>
        </w:rPr>
        <w:t>This is particularly seen in Curtius Rufus as he shows doubt for Alexander’s self-control and moderation following this episode.</w:t>
      </w:r>
    </w:p>
  </w:footnote>
  <w:footnote w:id="44">
    <w:p w14:paraId="480E3689" w14:textId="594EC999" w:rsidR="00006FBA" w:rsidRDefault="00006FBA">
      <w:pPr>
        <w:pStyle w:val="FootnoteText"/>
      </w:pPr>
      <w:r>
        <w:rPr>
          <w:rStyle w:val="FootnoteReference"/>
        </w:rPr>
        <w:footnoteRef/>
      </w:r>
      <w:r>
        <w:t xml:space="preserve"> </w:t>
      </w:r>
      <w:r w:rsidR="00E0065F">
        <w:t xml:space="preserve">Munding, </w:t>
      </w:r>
      <w:r w:rsidR="0037642A">
        <w:t xml:space="preserve">2011, </w:t>
      </w:r>
      <w:r w:rsidR="00E0065F">
        <w:t>p.139</w:t>
      </w:r>
    </w:p>
  </w:footnote>
  <w:footnote w:id="45">
    <w:p w14:paraId="4D6E53D2" w14:textId="44E7D3C8" w:rsidR="00820A26" w:rsidRDefault="00820A26">
      <w:pPr>
        <w:pStyle w:val="FootnoteText"/>
      </w:pPr>
      <w:r>
        <w:rPr>
          <w:rStyle w:val="FootnoteReference"/>
        </w:rPr>
        <w:footnoteRef/>
      </w:r>
      <w:r>
        <w:t xml:space="preserve"> </w:t>
      </w:r>
      <w:r w:rsidR="008F7B04">
        <w:t>Kaplanis, 2009, p.293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155C"/>
    <w:multiLevelType w:val="hybridMultilevel"/>
    <w:tmpl w:val="E60CE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00644"/>
    <w:multiLevelType w:val="hybridMultilevel"/>
    <w:tmpl w:val="0B2AC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0399A"/>
    <w:multiLevelType w:val="hybridMultilevel"/>
    <w:tmpl w:val="140C7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B38D8"/>
    <w:multiLevelType w:val="hybridMultilevel"/>
    <w:tmpl w:val="F01053A2"/>
    <w:lvl w:ilvl="0" w:tplc="D18ED5DE">
      <w:numFmt w:val="bullet"/>
      <w:lvlText w:val="–"/>
      <w:lvlJc w:val="left"/>
      <w:pPr>
        <w:ind w:left="720" w:hanging="360"/>
      </w:pPr>
      <w:rPr>
        <w:rFonts w:ascii="Verdana" w:eastAsiaTheme="minorHAnsi" w:hAnsi="Verdan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E25FF"/>
    <w:multiLevelType w:val="hybridMultilevel"/>
    <w:tmpl w:val="525AB4CA"/>
    <w:lvl w:ilvl="0" w:tplc="D18ED5DE">
      <w:numFmt w:val="bullet"/>
      <w:lvlText w:val="–"/>
      <w:lvlJc w:val="left"/>
      <w:pPr>
        <w:ind w:left="720" w:hanging="360"/>
      </w:pPr>
      <w:rPr>
        <w:rFonts w:ascii="Verdana" w:eastAsiaTheme="minorHAnsi" w:hAnsi="Verdan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0458D"/>
    <w:multiLevelType w:val="hybridMultilevel"/>
    <w:tmpl w:val="C8E4524C"/>
    <w:lvl w:ilvl="0" w:tplc="D18ED5DE">
      <w:numFmt w:val="bullet"/>
      <w:lvlText w:val="–"/>
      <w:lvlJc w:val="left"/>
      <w:pPr>
        <w:ind w:left="720" w:hanging="360"/>
      </w:pPr>
      <w:rPr>
        <w:rFonts w:ascii="Verdana" w:eastAsiaTheme="minorHAnsi" w:hAnsi="Verdan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287E5A"/>
    <w:multiLevelType w:val="hybridMultilevel"/>
    <w:tmpl w:val="3988811A"/>
    <w:lvl w:ilvl="0" w:tplc="D18ED5DE">
      <w:numFmt w:val="bullet"/>
      <w:lvlText w:val="–"/>
      <w:lvlJc w:val="left"/>
      <w:pPr>
        <w:ind w:left="1440" w:hanging="360"/>
      </w:pPr>
      <w:rPr>
        <w:rFonts w:ascii="Verdana" w:eastAsiaTheme="minorHAnsi" w:hAnsi="Verdana"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07A7940"/>
    <w:multiLevelType w:val="hybridMultilevel"/>
    <w:tmpl w:val="9B1CE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5A1111"/>
    <w:multiLevelType w:val="hybridMultilevel"/>
    <w:tmpl w:val="CEB23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B8400E"/>
    <w:multiLevelType w:val="hybridMultilevel"/>
    <w:tmpl w:val="2F02B560"/>
    <w:lvl w:ilvl="0" w:tplc="D18ED5DE">
      <w:numFmt w:val="bullet"/>
      <w:lvlText w:val="–"/>
      <w:lvlJc w:val="left"/>
      <w:pPr>
        <w:ind w:left="720" w:hanging="360"/>
      </w:pPr>
      <w:rPr>
        <w:rFonts w:ascii="Verdana" w:eastAsiaTheme="minorHAnsi" w:hAnsi="Verdan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DE3B2B"/>
    <w:multiLevelType w:val="hybridMultilevel"/>
    <w:tmpl w:val="5A54B6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10"/>
  </w:num>
  <w:num w:numId="4">
    <w:abstractNumId w:val="1"/>
  </w:num>
  <w:num w:numId="5">
    <w:abstractNumId w:val="2"/>
  </w:num>
  <w:num w:numId="6">
    <w:abstractNumId w:val="8"/>
  </w:num>
  <w:num w:numId="7">
    <w:abstractNumId w:val="4"/>
  </w:num>
  <w:num w:numId="8">
    <w:abstractNumId w:val="6"/>
  </w:num>
  <w:num w:numId="9">
    <w:abstractNumId w:val="9"/>
  </w:num>
  <w:num w:numId="10">
    <w:abstractNumId w:val="5"/>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0D4"/>
    <w:rsid w:val="00004161"/>
    <w:rsid w:val="00006FBA"/>
    <w:rsid w:val="000E6BF6"/>
    <w:rsid w:val="0010382B"/>
    <w:rsid w:val="0013271D"/>
    <w:rsid w:val="00145F03"/>
    <w:rsid w:val="00166731"/>
    <w:rsid w:val="00187437"/>
    <w:rsid w:val="00214D96"/>
    <w:rsid w:val="002938C9"/>
    <w:rsid w:val="002B77C0"/>
    <w:rsid w:val="002C16D6"/>
    <w:rsid w:val="002E7BCB"/>
    <w:rsid w:val="00304C36"/>
    <w:rsid w:val="00313F1D"/>
    <w:rsid w:val="0032128E"/>
    <w:rsid w:val="00342DD1"/>
    <w:rsid w:val="0036282C"/>
    <w:rsid w:val="003673E6"/>
    <w:rsid w:val="00373CC5"/>
    <w:rsid w:val="0037642A"/>
    <w:rsid w:val="00395FD0"/>
    <w:rsid w:val="003B520E"/>
    <w:rsid w:val="003E7535"/>
    <w:rsid w:val="00405432"/>
    <w:rsid w:val="00426754"/>
    <w:rsid w:val="00452553"/>
    <w:rsid w:val="0047732D"/>
    <w:rsid w:val="00483AF9"/>
    <w:rsid w:val="004962D2"/>
    <w:rsid w:val="004B2074"/>
    <w:rsid w:val="004D042B"/>
    <w:rsid w:val="004D782B"/>
    <w:rsid w:val="00507499"/>
    <w:rsid w:val="00507A48"/>
    <w:rsid w:val="00513F60"/>
    <w:rsid w:val="005216B6"/>
    <w:rsid w:val="00527F3C"/>
    <w:rsid w:val="00545C2F"/>
    <w:rsid w:val="00552B32"/>
    <w:rsid w:val="00563A4E"/>
    <w:rsid w:val="00580C89"/>
    <w:rsid w:val="005A04D3"/>
    <w:rsid w:val="005A3A52"/>
    <w:rsid w:val="006000A2"/>
    <w:rsid w:val="00603907"/>
    <w:rsid w:val="00627016"/>
    <w:rsid w:val="006338DF"/>
    <w:rsid w:val="00663A60"/>
    <w:rsid w:val="00684F24"/>
    <w:rsid w:val="006A28A9"/>
    <w:rsid w:val="006E78A4"/>
    <w:rsid w:val="007324FB"/>
    <w:rsid w:val="007374DF"/>
    <w:rsid w:val="00744FEE"/>
    <w:rsid w:val="007452EB"/>
    <w:rsid w:val="00750280"/>
    <w:rsid w:val="00757C3C"/>
    <w:rsid w:val="007D732E"/>
    <w:rsid w:val="007E2691"/>
    <w:rsid w:val="007E56D0"/>
    <w:rsid w:val="00820A26"/>
    <w:rsid w:val="0087132B"/>
    <w:rsid w:val="008B3A88"/>
    <w:rsid w:val="008F7B04"/>
    <w:rsid w:val="00905E27"/>
    <w:rsid w:val="00921734"/>
    <w:rsid w:val="0093146E"/>
    <w:rsid w:val="0094284E"/>
    <w:rsid w:val="00967A48"/>
    <w:rsid w:val="009750BD"/>
    <w:rsid w:val="009860D4"/>
    <w:rsid w:val="009A485D"/>
    <w:rsid w:val="009B0C84"/>
    <w:rsid w:val="009C54EF"/>
    <w:rsid w:val="009E4254"/>
    <w:rsid w:val="00A07A6A"/>
    <w:rsid w:val="00A14EBA"/>
    <w:rsid w:val="00A17FF7"/>
    <w:rsid w:val="00A536CF"/>
    <w:rsid w:val="00A675BA"/>
    <w:rsid w:val="00A81E0F"/>
    <w:rsid w:val="00A97201"/>
    <w:rsid w:val="00AF0122"/>
    <w:rsid w:val="00B1430F"/>
    <w:rsid w:val="00B2028C"/>
    <w:rsid w:val="00B32E82"/>
    <w:rsid w:val="00B366D4"/>
    <w:rsid w:val="00B41F5E"/>
    <w:rsid w:val="00BD657B"/>
    <w:rsid w:val="00C129EA"/>
    <w:rsid w:val="00C42581"/>
    <w:rsid w:val="00CC4457"/>
    <w:rsid w:val="00CC640E"/>
    <w:rsid w:val="00CD3448"/>
    <w:rsid w:val="00D25645"/>
    <w:rsid w:val="00D52A2A"/>
    <w:rsid w:val="00D7306D"/>
    <w:rsid w:val="00DB27CA"/>
    <w:rsid w:val="00DD308F"/>
    <w:rsid w:val="00DE4085"/>
    <w:rsid w:val="00DE456C"/>
    <w:rsid w:val="00E0065F"/>
    <w:rsid w:val="00E02C73"/>
    <w:rsid w:val="00E4439A"/>
    <w:rsid w:val="00EB6920"/>
    <w:rsid w:val="00ED09C8"/>
    <w:rsid w:val="00EF26F0"/>
    <w:rsid w:val="00EF4342"/>
    <w:rsid w:val="00F36C6D"/>
    <w:rsid w:val="00F64DBF"/>
    <w:rsid w:val="00F716C5"/>
    <w:rsid w:val="00F71713"/>
    <w:rsid w:val="00FD581B"/>
    <w:rsid w:val="00FF4ECB"/>
    <w:rsid w:val="00FF5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3ACAA"/>
  <w15:chartTrackingRefBased/>
  <w15:docId w15:val="{AFF55422-1B3E-4F0B-B3FE-35F51E97E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Verdana" w:eastAsiaTheme="minorHAnsi" w:hAnsi="Verdana" w:cs="Arial"/>
        <w:color w:val="222222"/>
        <w:spacing w:val="20"/>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4439A"/>
    <w:pPr>
      <w:spacing w:before="100" w:beforeAutospacing="1" w:after="100" w:afterAutospacing="1" w:line="240" w:lineRule="auto"/>
      <w:outlineLvl w:val="0"/>
    </w:pPr>
    <w:rPr>
      <w:rFonts w:ascii="Times New Roman" w:eastAsia="Times New Roman" w:hAnsi="Times New Roman" w:cs="Times New Roman"/>
      <w:b/>
      <w:bCs/>
      <w:color w:val="auto"/>
      <w:spacing w:val="0"/>
      <w:kern w:val="36"/>
      <w:sz w:val="48"/>
      <w:szCs w:val="48"/>
      <w:lang w:eastAsia="en-GB"/>
    </w:rPr>
  </w:style>
  <w:style w:type="paragraph" w:styleId="Heading3">
    <w:name w:val="heading 3"/>
    <w:basedOn w:val="Normal"/>
    <w:next w:val="Normal"/>
    <w:link w:val="Heading3Char"/>
    <w:uiPriority w:val="9"/>
    <w:semiHidden/>
    <w:unhideWhenUsed/>
    <w:qFormat/>
    <w:rsid w:val="00820A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7499"/>
    <w:pPr>
      <w:ind w:left="720"/>
      <w:contextualSpacing/>
    </w:pPr>
  </w:style>
  <w:style w:type="paragraph" w:styleId="FootnoteText">
    <w:name w:val="footnote text"/>
    <w:basedOn w:val="Normal"/>
    <w:link w:val="FootnoteTextChar"/>
    <w:uiPriority w:val="99"/>
    <w:unhideWhenUsed/>
    <w:rsid w:val="004962D2"/>
    <w:pPr>
      <w:spacing w:after="0" w:line="240" w:lineRule="auto"/>
    </w:pPr>
    <w:rPr>
      <w:sz w:val="20"/>
      <w:szCs w:val="20"/>
    </w:rPr>
  </w:style>
  <w:style w:type="character" w:customStyle="1" w:styleId="FootnoteTextChar">
    <w:name w:val="Footnote Text Char"/>
    <w:basedOn w:val="DefaultParagraphFont"/>
    <w:link w:val="FootnoteText"/>
    <w:uiPriority w:val="99"/>
    <w:rsid w:val="004962D2"/>
    <w:rPr>
      <w:sz w:val="20"/>
      <w:szCs w:val="20"/>
    </w:rPr>
  </w:style>
  <w:style w:type="character" w:styleId="FootnoteReference">
    <w:name w:val="footnote reference"/>
    <w:basedOn w:val="DefaultParagraphFont"/>
    <w:uiPriority w:val="99"/>
    <w:semiHidden/>
    <w:unhideWhenUsed/>
    <w:rsid w:val="004962D2"/>
    <w:rPr>
      <w:vertAlign w:val="superscript"/>
    </w:rPr>
  </w:style>
  <w:style w:type="character" w:customStyle="1" w:styleId="Heading1Char">
    <w:name w:val="Heading 1 Char"/>
    <w:basedOn w:val="DefaultParagraphFont"/>
    <w:link w:val="Heading1"/>
    <w:uiPriority w:val="9"/>
    <w:rsid w:val="00E4439A"/>
    <w:rPr>
      <w:rFonts w:ascii="Times New Roman" w:eastAsia="Times New Roman" w:hAnsi="Times New Roman" w:cs="Times New Roman"/>
      <w:b/>
      <w:bCs/>
      <w:color w:val="auto"/>
      <w:spacing w:val="0"/>
      <w:kern w:val="36"/>
      <w:sz w:val="48"/>
      <w:szCs w:val="48"/>
      <w:lang w:eastAsia="en-GB"/>
    </w:rPr>
  </w:style>
  <w:style w:type="character" w:customStyle="1" w:styleId="Heading3Char">
    <w:name w:val="Heading 3 Char"/>
    <w:basedOn w:val="DefaultParagraphFont"/>
    <w:link w:val="Heading3"/>
    <w:uiPriority w:val="9"/>
    <w:semiHidden/>
    <w:rsid w:val="00820A26"/>
    <w:rPr>
      <w:rFonts w:asciiTheme="majorHAnsi" w:eastAsiaTheme="majorEastAsia" w:hAnsiTheme="majorHAnsi" w:cstheme="majorBidi"/>
      <w:color w:val="1F3763" w:themeColor="accent1" w:themeShade="7F"/>
      <w:sz w:val="24"/>
      <w:szCs w:val="24"/>
    </w:rPr>
  </w:style>
  <w:style w:type="character" w:customStyle="1" w:styleId="ac">
    <w:name w:val="ac"/>
    <w:basedOn w:val="DefaultParagraphFont"/>
    <w:rsid w:val="00820A26"/>
  </w:style>
  <w:style w:type="character" w:styleId="Hyperlink">
    <w:name w:val="Hyperlink"/>
    <w:basedOn w:val="DefaultParagraphFont"/>
    <w:uiPriority w:val="99"/>
    <w:unhideWhenUsed/>
    <w:rsid w:val="00603907"/>
    <w:rPr>
      <w:color w:val="0000FF"/>
      <w:u w:val="single"/>
    </w:rPr>
  </w:style>
  <w:style w:type="character" w:styleId="UnresolvedMention">
    <w:name w:val="Unresolved Mention"/>
    <w:basedOn w:val="DefaultParagraphFont"/>
    <w:uiPriority w:val="99"/>
    <w:semiHidden/>
    <w:unhideWhenUsed/>
    <w:rsid w:val="001038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95303">
      <w:bodyDiv w:val="1"/>
      <w:marLeft w:val="0"/>
      <w:marRight w:val="0"/>
      <w:marTop w:val="0"/>
      <w:marBottom w:val="0"/>
      <w:divBdr>
        <w:top w:val="none" w:sz="0" w:space="0" w:color="auto"/>
        <w:left w:val="none" w:sz="0" w:space="0" w:color="auto"/>
        <w:bottom w:val="none" w:sz="0" w:space="0" w:color="auto"/>
        <w:right w:val="none" w:sz="0" w:space="0" w:color="auto"/>
      </w:divBdr>
    </w:div>
    <w:div w:id="765152081">
      <w:bodyDiv w:val="1"/>
      <w:marLeft w:val="0"/>
      <w:marRight w:val="0"/>
      <w:marTop w:val="0"/>
      <w:marBottom w:val="0"/>
      <w:divBdr>
        <w:top w:val="none" w:sz="0" w:space="0" w:color="auto"/>
        <w:left w:val="none" w:sz="0" w:space="0" w:color="auto"/>
        <w:bottom w:val="none" w:sz="0" w:space="0" w:color="auto"/>
        <w:right w:val="none" w:sz="0" w:space="0" w:color="auto"/>
      </w:divBdr>
    </w:div>
    <w:div w:id="1805124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1FE35-B788-444D-9F20-B048BEC70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1768</TotalTime>
  <Pages>15</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Watts-robinson (1801842)</dc:creator>
  <cp:keywords/>
  <dc:description/>
  <cp:lastModifiedBy>Rhiannon Watts-robinson (1801842)</cp:lastModifiedBy>
  <cp:revision>30</cp:revision>
  <dcterms:created xsi:type="dcterms:W3CDTF">2020-01-06T14:13:00Z</dcterms:created>
  <dcterms:modified xsi:type="dcterms:W3CDTF">2020-02-06T21:25:00Z</dcterms:modified>
</cp:coreProperties>
</file>