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977AFB" w14:textId="77777777" w:rsidR="009235A9" w:rsidRPr="00036177" w:rsidRDefault="00036177" w:rsidP="00036177">
      <w:pPr>
        <w:pStyle w:val="ListParagraph"/>
        <w:spacing w:line="360" w:lineRule="auto"/>
        <w:ind w:left="0"/>
        <w:jc w:val="both"/>
        <w:rPr>
          <w:rFonts w:ascii="Times New Roman" w:hAnsi="Times New Roman" w:cs="Times New Roman"/>
          <w:b/>
          <w:bCs/>
          <w:sz w:val="24"/>
          <w:szCs w:val="24"/>
          <w:lang w:val="en-US"/>
        </w:rPr>
      </w:pPr>
      <w:r w:rsidRPr="00036177">
        <w:rPr>
          <w:rFonts w:ascii="Times New Roman" w:hAnsi="Times New Roman" w:cs="Times New Roman"/>
          <w:b/>
          <w:bCs/>
          <w:sz w:val="24"/>
          <w:szCs w:val="24"/>
          <w:lang w:val="en-US"/>
        </w:rPr>
        <w:t xml:space="preserve">Contract Law </w:t>
      </w:r>
      <w:r w:rsidR="00565982" w:rsidRPr="00036177">
        <w:rPr>
          <w:rFonts w:ascii="Times New Roman" w:hAnsi="Times New Roman" w:cs="Times New Roman"/>
          <w:b/>
          <w:bCs/>
          <w:sz w:val="24"/>
          <w:szCs w:val="24"/>
          <w:lang w:val="en-US"/>
        </w:rPr>
        <w:t>Assignment 1</w:t>
      </w:r>
    </w:p>
    <w:p w14:paraId="2655C953" w14:textId="77777777" w:rsidR="00565982" w:rsidRPr="00036177" w:rsidRDefault="00036177" w:rsidP="00036177">
      <w:pPr>
        <w:pStyle w:val="ListParagraph"/>
        <w:spacing w:line="360" w:lineRule="auto"/>
        <w:ind w:left="0"/>
        <w:jc w:val="both"/>
        <w:rPr>
          <w:rFonts w:ascii="Times New Roman" w:hAnsi="Times New Roman" w:cs="Times New Roman"/>
          <w:b/>
          <w:bCs/>
          <w:sz w:val="24"/>
          <w:szCs w:val="24"/>
          <w:lang w:val="en-US"/>
        </w:rPr>
      </w:pPr>
      <w:r w:rsidRPr="00036177">
        <w:rPr>
          <w:rFonts w:ascii="Times New Roman" w:hAnsi="Times New Roman" w:cs="Times New Roman"/>
          <w:b/>
          <w:bCs/>
          <w:sz w:val="24"/>
          <w:szCs w:val="24"/>
          <w:lang w:val="en-US"/>
        </w:rPr>
        <w:t>Name: Nurin Athirah Kamaludin</w:t>
      </w:r>
    </w:p>
    <w:p w14:paraId="44193C56" w14:textId="77777777" w:rsidR="00565982" w:rsidRPr="00036177" w:rsidRDefault="00036177" w:rsidP="00036177">
      <w:pPr>
        <w:pStyle w:val="ListParagraph"/>
        <w:spacing w:line="360" w:lineRule="auto"/>
        <w:ind w:left="0"/>
        <w:jc w:val="both"/>
        <w:rPr>
          <w:rFonts w:ascii="Times New Roman" w:hAnsi="Times New Roman" w:cs="Times New Roman"/>
          <w:b/>
          <w:bCs/>
          <w:sz w:val="24"/>
          <w:szCs w:val="24"/>
          <w:lang w:val="en-US"/>
        </w:rPr>
      </w:pPr>
      <w:r w:rsidRPr="00036177">
        <w:rPr>
          <w:rFonts w:ascii="Times New Roman" w:hAnsi="Times New Roman" w:cs="Times New Roman"/>
          <w:b/>
          <w:bCs/>
          <w:sz w:val="24"/>
          <w:szCs w:val="24"/>
          <w:lang w:val="en-US"/>
        </w:rPr>
        <w:t>Student ID: 2026698</w:t>
      </w:r>
    </w:p>
    <w:p w14:paraId="172C7826" w14:textId="77777777" w:rsidR="009235A9" w:rsidRPr="00036177" w:rsidRDefault="009235A9" w:rsidP="00036177">
      <w:pPr>
        <w:pStyle w:val="ListParagraph"/>
        <w:spacing w:line="360" w:lineRule="auto"/>
        <w:jc w:val="both"/>
        <w:rPr>
          <w:rFonts w:ascii="Times New Roman" w:hAnsi="Times New Roman" w:cs="Times New Roman"/>
          <w:b/>
          <w:bCs/>
          <w:sz w:val="24"/>
          <w:szCs w:val="24"/>
          <w:lang w:val="en-US"/>
        </w:rPr>
      </w:pPr>
    </w:p>
    <w:p w14:paraId="200A1988" w14:textId="014E1F21" w:rsidR="00565982" w:rsidRPr="00036177" w:rsidRDefault="00036177" w:rsidP="00036177">
      <w:pPr>
        <w:pStyle w:val="ListParagraph"/>
        <w:spacing w:line="360" w:lineRule="auto"/>
        <w:ind w:left="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    </w:t>
      </w:r>
      <w:r w:rsidRPr="00036177">
        <w:rPr>
          <w:rFonts w:ascii="Times New Roman" w:hAnsi="Times New Roman" w:cs="Times New Roman"/>
          <w:b/>
          <w:bCs/>
          <w:sz w:val="24"/>
          <w:szCs w:val="24"/>
          <w:lang w:val="en-US"/>
        </w:rPr>
        <w:t>Question A</w:t>
      </w:r>
    </w:p>
    <w:p w14:paraId="3E823413" w14:textId="747012B1" w:rsidR="00BD2525" w:rsidRPr="00036177" w:rsidRDefault="00036177" w:rsidP="00036177">
      <w:pPr>
        <w:pStyle w:val="ListParagraph"/>
        <w:spacing w:line="360" w:lineRule="auto"/>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The term ‘P</w:t>
      </w:r>
      <w:r w:rsidR="00671851" w:rsidRPr="00036177">
        <w:rPr>
          <w:rFonts w:ascii="Times New Roman" w:hAnsi="Times New Roman" w:cs="Times New Roman"/>
          <w:sz w:val="24"/>
          <w:szCs w:val="24"/>
          <w:lang w:val="en-US"/>
        </w:rPr>
        <w:t>rivity of contract</w:t>
      </w:r>
      <w:r w:rsidRPr="00036177">
        <w:rPr>
          <w:rFonts w:ascii="Times New Roman" w:hAnsi="Times New Roman" w:cs="Times New Roman"/>
          <w:sz w:val="24"/>
          <w:szCs w:val="24"/>
          <w:lang w:val="en-US"/>
        </w:rPr>
        <w:t>’</w:t>
      </w:r>
      <w:r w:rsidR="00671851" w:rsidRPr="00036177">
        <w:rPr>
          <w:rFonts w:ascii="Times New Roman" w:hAnsi="Times New Roman" w:cs="Times New Roman"/>
          <w:sz w:val="24"/>
          <w:szCs w:val="24"/>
          <w:lang w:val="en-US"/>
        </w:rPr>
        <w:t xml:space="preserve"> </w:t>
      </w:r>
      <w:r w:rsidRPr="00036177">
        <w:rPr>
          <w:rFonts w:ascii="Times New Roman" w:hAnsi="Times New Roman" w:cs="Times New Roman"/>
          <w:sz w:val="24"/>
          <w:szCs w:val="24"/>
          <w:lang w:val="en-US"/>
        </w:rPr>
        <w:t xml:space="preserve">refers to the fact that only a party to the contract may sue or be sued on it. </w:t>
      </w:r>
      <w:r w:rsidR="00364CE6" w:rsidRPr="00036177">
        <w:rPr>
          <w:rFonts w:ascii="Times New Roman" w:hAnsi="Times New Roman" w:cs="Times New Roman"/>
          <w:sz w:val="24"/>
          <w:szCs w:val="24"/>
          <w:lang w:val="en-US"/>
        </w:rPr>
        <w:t xml:space="preserve">If you are not a party to a contract, hence, you cannot benefit from it or be held accountable for its obligations as stated from common law doctrine of privity of contract. </w:t>
      </w:r>
      <w:r w:rsidRPr="00036177">
        <w:rPr>
          <w:rFonts w:ascii="Times New Roman" w:hAnsi="Times New Roman" w:cs="Times New Roman"/>
          <w:sz w:val="24"/>
          <w:szCs w:val="24"/>
          <w:lang w:val="en-US"/>
        </w:rPr>
        <w:t>Tweddl</w:t>
      </w:r>
      <w:r w:rsidRPr="00036177">
        <w:rPr>
          <w:rFonts w:ascii="Times New Roman" w:hAnsi="Times New Roman" w:cs="Times New Roman"/>
          <w:sz w:val="24"/>
          <w:szCs w:val="24"/>
          <w:lang w:val="en-US"/>
        </w:rPr>
        <w:t>e v Atkinson (1861) EWHC J57, 1 B&amp;S 393, is regarded as authoritative for the existence of privity of contract. In this scenario, a claimant must typically establish that he provided consideration for the commitment in order to sue and enforce it. A contra</w:t>
      </w:r>
      <w:r w:rsidRPr="00036177">
        <w:rPr>
          <w:rFonts w:ascii="Times New Roman" w:hAnsi="Times New Roman" w:cs="Times New Roman"/>
          <w:sz w:val="24"/>
          <w:szCs w:val="24"/>
          <w:lang w:val="en-US"/>
        </w:rPr>
        <w:t>ct cannot impose a burden on a third party, according to another regulation.</w:t>
      </w:r>
      <w:r w:rsidR="00C538F4" w:rsidRPr="00036177">
        <w:rPr>
          <w:rFonts w:ascii="Times New Roman" w:hAnsi="Times New Roman" w:cs="Times New Roman"/>
          <w:sz w:val="24"/>
          <w:szCs w:val="24"/>
          <w:lang w:val="en-US"/>
        </w:rPr>
        <w:t xml:space="preserve"> </w:t>
      </w:r>
      <w:r w:rsidR="0054603E" w:rsidRPr="00036177">
        <w:rPr>
          <w:rFonts w:ascii="Times New Roman" w:hAnsi="Times New Roman" w:cs="Times New Roman"/>
          <w:sz w:val="24"/>
          <w:szCs w:val="24"/>
          <w:lang w:val="en-US"/>
        </w:rPr>
        <w:t>The idea of privity of contract was confirmed in the case of Dunlop Pneumatic Tyre Co Ltd v Selfridge &amp; Co Ltd [1915] AC 847. It is commonly considered as a validation of the notion of privity in this situation. The lawsuit was rejected on the basis of the "fundamental" concept that "only a person who is a party to a contract can sue based on it" (Merkin, 2013).</w:t>
      </w:r>
    </w:p>
    <w:p w14:paraId="24148330" w14:textId="77777777" w:rsidR="0054603E" w:rsidRPr="00036177" w:rsidRDefault="0054603E" w:rsidP="00036177">
      <w:pPr>
        <w:pStyle w:val="ListParagraph"/>
        <w:spacing w:line="360" w:lineRule="auto"/>
        <w:jc w:val="both"/>
        <w:rPr>
          <w:rFonts w:ascii="Times New Roman" w:hAnsi="Times New Roman" w:cs="Times New Roman"/>
          <w:sz w:val="24"/>
          <w:szCs w:val="24"/>
          <w:lang w:val="en-US"/>
        </w:rPr>
      </w:pPr>
    </w:p>
    <w:p w14:paraId="41F98A73" w14:textId="091A96F1" w:rsidR="00565982" w:rsidRPr="00036177" w:rsidRDefault="00036177" w:rsidP="00036177">
      <w:pPr>
        <w:pStyle w:val="ListParagraph"/>
        <w:spacing w:line="360" w:lineRule="auto"/>
        <w:ind w:left="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     </w:t>
      </w:r>
      <w:r w:rsidRPr="00036177">
        <w:rPr>
          <w:rFonts w:ascii="Times New Roman" w:hAnsi="Times New Roman" w:cs="Times New Roman"/>
          <w:b/>
          <w:bCs/>
          <w:sz w:val="24"/>
          <w:szCs w:val="24"/>
          <w:lang w:val="en-US"/>
        </w:rPr>
        <w:t>Question B</w:t>
      </w:r>
    </w:p>
    <w:p w14:paraId="1D413898" w14:textId="77777777" w:rsidR="00BD2525" w:rsidRPr="00036177" w:rsidRDefault="00036177" w:rsidP="00036177">
      <w:pPr>
        <w:pStyle w:val="ListParagraph"/>
        <w:spacing w:line="360" w:lineRule="auto"/>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In law, past consideration is not a positive factor. If consideration is required to establish a contract, it must be 'provided' at the time of formation. If it was supplied before that time, it was not given at the t</w:t>
      </w:r>
      <w:r w:rsidRPr="00036177">
        <w:rPr>
          <w:rFonts w:ascii="Times New Roman" w:hAnsi="Times New Roman" w:cs="Times New Roman"/>
          <w:sz w:val="24"/>
          <w:szCs w:val="24"/>
          <w:lang w:val="en-US"/>
        </w:rPr>
        <w:t>ime of exchange, hence it is considered 'past'. As demonstrated in the case of Roscorla v Thomas (1842) 3 QB 234, authority for existing or former commitments cannot be used to justify new promises. However, if the act is conducted at the request of the pr</w:t>
      </w:r>
      <w:r w:rsidRPr="00036177">
        <w:rPr>
          <w:rFonts w:ascii="Times New Roman" w:hAnsi="Times New Roman" w:cs="Times New Roman"/>
          <w:sz w:val="24"/>
          <w:szCs w:val="24"/>
          <w:lang w:val="en-US"/>
        </w:rPr>
        <w:t>omisor, such as in a commercial situation, it may be considered valid consideration.</w:t>
      </w:r>
      <w:r w:rsidRPr="00036177">
        <w:rPr>
          <w:rFonts w:ascii="Times New Roman" w:hAnsi="Times New Roman" w:cs="Times New Roman"/>
          <w:sz w:val="24"/>
          <w:szCs w:val="24"/>
          <w:lang w:val="en-US"/>
        </w:rPr>
        <w:t xml:space="preserve"> </w:t>
      </w:r>
      <w:r w:rsidRPr="00036177">
        <w:rPr>
          <w:rFonts w:ascii="Times New Roman" w:hAnsi="Times New Roman" w:cs="Times New Roman"/>
          <w:sz w:val="24"/>
          <w:szCs w:val="24"/>
          <w:lang w:val="en-US"/>
        </w:rPr>
        <w:t>Casey consented to promote several inventions held by Stewart in the case of Re Casey's Patents [1892] 1 CH 104, which extended the doctrine to the commercial realm. Two y</w:t>
      </w:r>
      <w:r w:rsidRPr="00036177">
        <w:rPr>
          <w:rFonts w:ascii="Times New Roman" w:hAnsi="Times New Roman" w:cs="Times New Roman"/>
          <w:sz w:val="24"/>
          <w:szCs w:val="24"/>
          <w:lang w:val="en-US"/>
        </w:rPr>
        <w:t xml:space="preserve">ears later, Stewart drafted a letter guaranteeing a one-third stake in the patents, which was found to be enforceable since the parties understood that the effort would be compensated. [1979] Pao On v Lau Yin Long 3 All ER 65 upheld the notion of implicit </w:t>
      </w:r>
      <w:r w:rsidRPr="00036177">
        <w:rPr>
          <w:rFonts w:ascii="Times New Roman" w:hAnsi="Times New Roman" w:cs="Times New Roman"/>
          <w:sz w:val="24"/>
          <w:szCs w:val="24"/>
          <w:lang w:val="en-US"/>
        </w:rPr>
        <w:t>assumpsit, which states that an act performed before a promise to provide a payment or impart some other benefit might sometimes be considered a consideration for the promise.</w:t>
      </w:r>
      <w:r w:rsidRPr="00036177">
        <w:rPr>
          <w:rFonts w:ascii="Times New Roman" w:hAnsi="Times New Roman" w:cs="Times New Roman"/>
          <w:sz w:val="24"/>
          <w:szCs w:val="24"/>
          <w:lang w:val="en-US"/>
        </w:rPr>
        <w:t xml:space="preserve"> </w:t>
      </w:r>
      <w:r w:rsidRPr="00036177">
        <w:rPr>
          <w:rFonts w:ascii="Times New Roman" w:hAnsi="Times New Roman" w:cs="Times New Roman"/>
          <w:sz w:val="24"/>
          <w:szCs w:val="24"/>
          <w:lang w:val="en-US"/>
        </w:rPr>
        <w:t>An act must have been done at the request of the promisor if parties knew the co</w:t>
      </w:r>
      <w:r w:rsidRPr="00036177">
        <w:rPr>
          <w:rFonts w:ascii="Times New Roman" w:hAnsi="Times New Roman" w:cs="Times New Roman"/>
          <w:sz w:val="24"/>
          <w:szCs w:val="24"/>
          <w:lang w:val="en-US"/>
        </w:rPr>
        <w:t xml:space="preserve">nduct must be remunerated by payment/benefit, </w:t>
      </w:r>
      <w:r w:rsidRPr="00036177">
        <w:rPr>
          <w:rFonts w:ascii="Times New Roman" w:hAnsi="Times New Roman" w:cs="Times New Roman"/>
          <w:sz w:val="24"/>
          <w:szCs w:val="24"/>
          <w:lang w:val="en-US"/>
        </w:rPr>
        <w:lastRenderedPageBreak/>
        <w:t>and if payment/benefit should be enforceable are the three exceptions where previous consideration is a legitimate consideration.</w:t>
      </w:r>
    </w:p>
    <w:p w14:paraId="6A24D863" w14:textId="77777777" w:rsidR="0054603E" w:rsidRPr="00036177" w:rsidRDefault="0054603E" w:rsidP="00036177">
      <w:pPr>
        <w:pStyle w:val="ListParagraph"/>
        <w:spacing w:line="360" w:lineRule="auto"/>
        <w:jc w:val="both"/>
        <w:rPr>
          <w:rFonts w:ascii="Times New Roman" w:hAnsi="Times New Roman" w:cs="Times New Roman"/>
          <w:sz w:val="24"/>
          <w:szCs w:val="24"/>
          <w:lang w:val="en-US"/>
        </w:rPr>
      </w:pPr>
    </w:p>
    <w:p w14:paraId="228E3E82" w14:textId="549673AD" w:rsidR="00636378" w:rsidRPr="00036177" w:rsidRDefault="00036177" w:rsidP="00036177">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    </w:t>
      </w:r>
      <w:r w:rsidRPr="00036177">
        <w:rPr>
          <w:rFonts w:ascii="Times New Roman" w:hAnsi="Times New Roman" w:cs="Times New Roman"/>
          <w:b/>
          <w:bCs/>
          <w:sz w:val="24"/>
          <w:szCs w:val="24"/>
          <w:lang w:val="en-US"/>
        </w:rPr>
        <w:t>Question C</w:t>
      </w:r>
    </w:p>
    <w:p w14:paraId="4600D452" w14:textId="63577C1D" w:rsidR="0054603E" w:rsidRPr="00036177" w:rsidRDefault="00036177" w:rsidP="00036177">
      <w:pPr>
        <w:pStyle w:val="ListParagraph"/>
        <w:spacing w:line="360" w:lineRule="auto"/>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When both parties have fulfilled their contractual responsibilities,</w:t>
      </w:r>
      <w:r w:rsidRPr="00036177">
        <w:rPr>
          <w:rFonts w:ascii="Times New Roman" w:hAnsi="Times New Roman" w:cs="Times New Roman"/>
          <w:sz w:val="24"/>
          <w:szCs w:val="24"/>
          <w:lang w:val="en-US"/>
        </w:rPr>
        <w:t xml:space="preserve"> a contract is discharged by performance.</w:t>
      </w:r>
      <w:r w:rsidR="00364CE6" w:rsidRPr="00036177">
        <w:rPr>
          <w:rFonts w:ascii="Times New Roman" w:hAnsi="Times New Roman" w:cs="Times New Roman"/>
          <w:sz w:val="24"/>
          <w:szCs w:val="24"/>
          <w:lang w:val="en-US"/>
        </w:rPr>
        <w:t xml:space="preserve"> It will be considered as a breach of contract if one party flops the deal, </w:t>
      </w:r>
      <w:r w:rsidRPr="00036177">
        <w:rPr>
          <w:rFonts w:ascii="Times New Roman" w:hAnsi="Times New Roman" w:cs="Times New Roman"/>
          <w:sz w:val="24"/>
          <w:szCs w:val="24"/>
          <w:lang w:val="en-US"/>
        </w:rPr>
        <w:t>and the other party may be entitled to damages unless the contract has been frustrated. The opposite party will be freed from the</w:t>
      </w:r>
      <w:r w:rsidRPr="00036177">
        <w:rPr>
          <w:rFonts w:ascii="Times New Roman" w:hAnsi="Times New Roman" w:cs="Times New Roman"/>
          <w:sz w:val="24"/>
          <w:szCs w:val="24"/>
          <w:lang w:val="en-US"/>
        </w:rPr>
        <w:t>ir duties if the non-performance amounts to a repudiatory breach (breach of condition). When the price of a contract is payable upon completion, it is usually necessary to complete the contract in order to discharge it. This is frequently articulated in te</w:t>
      </w:r>
      <w:r w:rsidRPr="00036177">
        <w:rPr>
          <w:rFonts w:ascii="Times New Roman" w:hAnsi="Times New Roman" w:cs="Times New Roman"/>
          <w:sz w:val="24"/>
          <w:szCs w:val="24"/>
          <w:lang w:val="en-US"/>
        </w:rPr>
        <w:t>rms of being a prerequisite. If you don't finish, you won't be able to pay: if you don't finish, you won't be able to pay.</w:t>
      </w:r>
    </w:p>
    <w:p w14:paraId="28DE387D" w14:textId="77777777" w:rsidR="0054603E" w:rsidRPr="00036177" w:rsidRDefault="00036177" w:rsidP="00036177">
      <w:pPr>
        <w:pStyle w:val="ListParagraph"/>
        <w:spacing w:line="360" w:lineRule="auto"/>
        <w:ind w:firstLine="360"/>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The entire performance criterion has various exceptions. The notion of substantial performance might apply if a party has done substa</w:t>
      </w:r>
      <w:r w:rsidRPr="00036177">
        <w:rPr>
          <w:rFonts w:ascii="Times New Roman" w:hAnsi="Times New Roman" w:cs="Times New Roman"/>
          <w:sz w:val="24"/>
          <w:szCs w:val="24"/>
          <w:lang w:val="en-US"/>
        </w:rPr>
        <w:t>ntially what was needed under the contract. The party can recover the sum that corresponds to the work performed under the contract. The claimant's suit to enforce the payment failed in the case of Bolton v. Mahadeva [1972] 1 WLR 1009 because the court fou</w:t>
      </w:r>
      <w:r w:rsidRPr="00036177">
        <w:rPr>
          <w:rFonts w:ascii="Times New Roman" w:hAnsi="Times New Roman" w:cs="Times New Roman"/>
          <w:sz w:val="24"/>
          <w:szCs w:val="24"/>
          <w:lang w:val="en-US"/>
        </w:rPr>
        <w:t>nd there was no significant performance.</w:t>
      </w:r>
    </w:p>
    <w:p w14:paraId="7029E00F" w14:textId="77777777" w:rsidR="0054603E" w:rsidRPr="00036177" w:rsidRDefault="00036177" w:rsidP="00036177">
      <w:pPr>
        <w:pStyle w:val="ListParagraph"/>
        <w:spacing w:line="360" w:lineRule="auto"/>
        <w:ind w:firstLine="360"/>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 xml:space="preserve">Next, a severable contract is one in which payment is required at several stages of performance rather than in one lump sum at the end. This is how most major construction </w:t>
      </w:r>
      <w:proofErr w:type="gramStart"/>
      <w:r w:rsidRPr="00036177">
        <w:rPr>
          <w:rFonts w:ascii="Times New Roman" w:hAnsi="Times New Roman" w:cs="Times New Roman"/>
          <w:sz w:val="24"/>
          <w:szCs w:val="24"/>
          <w:lang w:val="en-US"/>
        </w:rPr>
        <w:t>project</w:t>
      </w:r>
      <w:r w:rsidRPr="00036177">
        <w:rPr>
          <w:rFonts w:ascii="Times New Roman" w:hAnsi="Times New Roman" w:cs="Times New Roman"/>
          <w:sz w:val="24"/>
          <w:szCs w:val="24"/>
          <w:lang w:val="en-US"/>
        </w:rPr>
        <w:t>s</w:t>
      </w:r>
      <w:proofErr w:type="gramEnd"/>
      <w:r w:rsidRPr="00036177">
        <w:rPr>
          <w:rFonts w:ascii="Times New Roman" w:hAnsi="Times New Roman" w:cs="Times New Roman"/>
          <w:sz w:val="24"/>
          <w:szCs w:val="24"/>
          <w:lang w:val="en-US"/>
        </w:rPr>
        <w:t xml:space="preserve"> </w:t>
      </w:r>
      <w:r w:rsidRPr="00036177">
        <w:rPr>
          <w:rFonts w:ascii="Times New Roman" w:hAnsi="Times New Roman" w:cs="Times New Roman"/>
          <w:sz w:val="24"/>
          <w:szCs w:val="24"/>
          <w:lang w:val="en-US"/>
        </w:rPr>
        <w:t>function. The contract might be broken into different sections, according to the decision of Ritchie v Atkinson (1808) 10 East 295, because the parties had agreed on a price per tonne. As a result, the claimant was entitled to payment for the amount carrie</w:t>
      </w:r>
      <w:r w:rsidRPr="00036177">
        <w:rPr>
          <w:rFonts w:ascii="Times New Roman" w:hAnsi="Times New Roman" w:cs="Times New Roman"/>
          <w:sz w:val="24"/>
          <w:szCs w:val="24"/>
          <w:lang w:val="en-US"/>
        </w:rPr>
        <w:t>d, while the defendant was entitled to damages for non-performance of the amount not carried.</w:t>
      </w:r>
    </w:p>
    <w:p w14:paraId="27FA56CC" w14:textId="77777777" w:rsidR="00036177" w:rsidRDefault="00036177" w:rsidP="00036177">
      <w:pPr>
        <w:pStyle w:val="ListParagraph"/>
        <w:spacing w:line="360" w:lineRule="auto"/>
        <w:ind w:firstLine="360"/>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In addition</w:t>
      </w:r>
      <w:r w:rsidR="00D04E2F" w:rsidRPr="00036177">
        <w:rPr>
          <w:rFonts w:ascii="Times New Roman" w:hAnsi="Times New Roman" w:cs="Times New Roman"/>
          <w:sz w:val="24"/>
          <w:szCs w:val="24"/>
          <w:lang w:val="en-US"/>
        </w:rPr>
        <w:t xml:space="preserve">, </w:t>
      </w:r>
      <w:r w:rsidRPr="00036177">
        <w:rPr>
          <w:rFonts w:ascii="Times New Roman" w:hAnsi="Times New Roman" w:cs="Times New Roman"/>
          <w:sz w:val="24"/>
          <w:szCs w:val="24"/>
          <w:lang w:val="en-US"/>
        </w:rPr>
        <w:t xml:space="preserve">acceptance of partial performance, in which the promisor may claim quantum meruit, a fair sum for the advantage provided by the partial performance, </w:t>
      </w:r>
      <w:r w:rsidRPr="00036177">
        <w:rPr>
          <w:rFonts w:ascii="Times New Roman" w:hAnsi="Times New Roman" w:cs="Times New Roman"/>
          <w:sz w:val="24"/>
          <w:szCs w:val="24"/>
          <w:lang w:val="en-US"/>
        </w:rPr>
        <w:t xml:space="preserve">where one of the parties has partially completed the contract. This might happen when there is a delay in the delivery of products or when a service is not completed completely. The claimant's case was </w:t>
      </w:r>
      <w:r w:rsidR="00364CE6" w:rsidRPr="00036177">
        <w:rPr>
          <w:rFonts w:ascii="Times New Roman" w:hAnsi="Times New Roman" w:cs="Times New Roman"/>
          <w:sz w:val="24"/>
          <w:szCs w:val="24"/>
          <w:lang w:val="en-US"/>
        </w:rPr>
        <w:t>terminated</w:t>
      </w:r>
      <w:r w:rsidRPr="00036177">
        <w:rPr>
          <w:rFonts w:ascii="Times New Roman" w:hAnsi="Times New Roman" w:cs="Times New Roman"/>
          <w:sz w:val="24"/>
          <w:szCs w:val="24"/>
          <w:lang w:val="en-US"/>
        </w:rPr>
        <w:t xml:space="preserve"> in Sumpter v Hedges [1898] 1 QB 673. The def</w:t>
      </w:r>
      <w:r w:rsidRPr="00036177">
        <w:rPr>
          <w:rFonts w:ascii="Times New Roman" w:hAnsi="Times New Roman" w:cs="Times New Roman"/>
          <w:sz w:val="24"/>
          <w:szCs w:val="24"/>
          <w:lang w:val="en-US"/>
        </w:rPr>
        <w:t>endant had no choice but to accept incomplete performance because he was left with a half-finished house on his property, according to the court.</w:t>
      </w:r>
    </w:p>
    <w:p w14:paraId="2CB46C97" w14:textId="77777777" w:rsidR="00036177" w:rsidRDefault="00036177" w:rsidP="00036177">
      <w:pPr>
        <w:pStyle w:val="ListParagraph"/>
        <w:spacing w:line="360" w:lineRule="auto"/>
        <w:ind w:firstLine="360"/>
        <w:jc w:val="both"/>
        <w:rPr>
          <w:rFonts w:ascii="Times New Roman" w:hAnsi="Times New Roman" w:cs="Times New Roman"/>
          <w:sz w:val="24"/>
          <w:szCs w:val="24"/>
          <w:lang w:val="en-US"/>
        </w:rPr>
      </w:pPr>
    </w:p>
    <w:p w14:paraId="0FA779E8" w14:textId="2AB63FA5" w:rsidR="00B271DA" w:rsidRPr="00036177" w:rsidRDefault="00C2104D" w:rsidP="00036177">
      <w:pPr>
        <w:pStyle w:val="ListParagraph"/>
        <w:spacing w:line="360" w:lineRule="auto"/>
        <w:ind w:left="0" w:firstLine="360"/>
        <w:jc w:val="both"/>
        <w:rPr>
          <w:rFonts w:ascii="Times New Roman" w:hAnsi="Times New Roman" w:cs="Times New Roman"/>
          <w:sz w:val="24"/>
          <w:szCs w:val="24"/>
          <w:lang w:val="en-US"/>
        </w:rPr>
      </w:pPr>
      <w:r w:rsidRPr="00036177">
        <w:rPr>
          <w:rFonts w:ascii="Times New Roman" w:hAnsi="Times New Roman" w:cs="Times New Roman"/>
          <w:b/>
          <w:bCs/>
          <w:sz w:val="24"/>
          <w:szCs w:val="24"/>
          <w:lang w:val="en-US"/>
        </w:rPr>
        <w:t>Question D</w:t>
      </w:r>
    </w:p>
    <w:p w14:paraId="26FC82CA" w14:textId="77777777" w:rsidR="00DE2E0A" w:rsidRPr="00036177" w:rsidRDefault="00036177" w:rsidP="00036177">
      <w:pPr>
        <w:spacing w:line="360" w:lineRule="auto"/>
        <w:ind w:left="720"/>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There is no legal definition of a contract in English law. The law of contract can be loosely defined as the area of law that decides whether a promise is legally binding on the person who makes it (McKendrick and Lunney, 2014). While no widely accepted de</w:t>
      </w:r>
      <w:r w:rsidRPr="00036177">
        <w:rPr>
          <w:rFonts w:ascii="Times New Roman" w:hAnsi="Times New Roman" w:cs="Times New Roman"/>
          <w:sz w:val="24"/>
          <w:szCs w:val="24"/>
          <w:lang w:val="en-US"/>
        </w:rPr>
        <w:t>finition of a contract exists, the fundamental concepts of contract law may be stated with a high degree of clarity.</w:t>
      </w:r>
      <w:r w:rsidRPr="00036177">
        <w:rPr>
          <w:rFonts w:ascii="Times New Roman" w:hAnsi="Times New Roman" w:cs="Times New Roman"/>
          <w:sz w:val="24"/>
          <w:szCs w:val="24"/>
          <w:lang w:val="en-US"/>
        </w:rPr>
        <w:t xml:space="preserve"> </w:t>
      </w:r>
      <w:r w:rsidR="002E3498" w:rsidRPr="00036177">
        <w:rPr>
          <w:rFonts w:ascii="Times New Roman" w:hAnsi="Times New Roman" w:cs="Times New Roman"/>
          <w:sz w:val="24"/>
          <w:szCs w:val="24"/>
          <w:lang w:val="en-US"/>
        </w:rPr>
        <w:t xml:space="preserve">In order </w:t>
      </w:r>
      <w:r w:rsidR="00C2104D" w:rsidRPr="00036177">
        <w:rPr>
          <w:rFonts w:ascii="Times New Roman" w:hAnsi="Times New Roman" w:cs="Times New Roman"/>
          <w:sz w:val="24"/>
          <w:szCs w:val="24"/>
          <w:lang w:val="en-US"/>
        </w:rPr>
        <w:t>for Arthur to</w:t>
      </w:r>
      <w:r w:rsidR="002E3498" w:rsidRPr="00036177">
        <w:rPr>
          <w:rFonts w:ascii="Times New Roman" w:hAnsi="Times New Roman" w:cs="Times New Roman"/>
          <w:sz w:val="24"/>
          <w:szCs w:val="24"/>
          <w:lang w:val="en-US"/>
        </w:rPr>
        <w:t xml:space="preserve"> conclude a </w:t>
      </w:r>
      <w:r w:rsidR="00C2104D" w:rsidRPr="00036177">
        <w:rPr>
          <w:rFonts w:ascii="Times New Roman" w:hAnsi="Times New Roman" w:cs="Times New Roman"/>
          <w:sz w:val="24"/>
          <w:szCs w:val="24"/>
          <w:lang w:val="en-US"/>
        </w:rPr>
        <w:t xml:space="preserve">valid </w:t>
      </w:r>
      <w:r w:rsidR="002E3498" w:rsidRPr="00036177">
        <w:rPr>
          <w:rFonts w:ascii="Times New Roman" w:hAnsi="Times New Roman" w:cs="Times New Roman"/>
          <w:sz w:val="24"/>
          <w:szCs w:val="24"/>
          <w:lang w:val="en-US"/>
        </w:rPr>
        <w:t>contract</w:t>
      </w:r>
      <w:r w:rsidR="00C2104D" w:rsidRPr="00036177">
        <w:rPr>
          <w:rFonts w:ascii="Times New Roman" w:hAnsi="Times New Roman" w:cs="Times New Roman"/>
          <w:sz w:val="24"/>
          <w:szCs w:val="24"/>
          <w:lang w:val="en-US"/>
        </w:rPr>
        <w:t xml:space="preserve"> between Ben, Christine, and Dennis</w:t>
      </w:r>
      <w:r w:rsidR="002E3498" w:rsidRPr="00036177">
        <w:rPr>
          <w:rFonts w:ascii="Times New Roman" w:hAnsi="Times New Roman" w:cs="Times New Roman"/>
          <w:sz w:val="24"/>
          <w:szCs w:val="24"/>
          <w:lang w:val="en-US"/>
        </w:rPr>
        <w:t xml:space="preserve">, </w:t>
      </w:r>
      <w:r w:rsidR="00C2104D" w:rsidRPr="00036177">
        <w:rPr>
          <w:rFonts w:ascii="Times New Roman" w:hAnsi="Times New Roman" w:cs="Times New Roman"/>
          <w:sz w:val="24"/>
          <w:szCs w:val="24"/>
          <w:lang w:val="en-US"/>
        </w:rPr>
        <w:t>it</w:t>
      </w:r>
      <w:r w:rsidR="002E3498" w:rsidRPr="00036177">
        <w:rPr>
          <w:rFonts w:ascii="Times New Roman" w:hAnsi="Times New Roman" w:cs="Times New Roman"/>
          <w:sz w:val="24"/>
          <w:szCs w:val="24"/>
          <w:lang w:val="en-US"/>
        </w:rPr>
        <w:t xml:space="preserve"> must reach an agreement</w:t>
      </w:r>
      <w:r w:rsidR="00C2104D" w:rsidRPr="00036177">
        <w:rPr>
          <w:rFonts w:ascii="Times New Roman" w:hAnsi="Times New Roman" w:cs="Times New Roman"/>
          <w:sz w:val="24"/>
          <w:szCs w:val="24"/>
          <w:lang w:val="en-US"/>
        </w:rPr>
        <w:t xml:space="preserve"> where </w:t>
      </w:r>
      <w:r w:rsidR="002E3498" w:rsidRPr="00036177">
        <w:rPr>
          <w:rFonts w:ascii="Times New Roman" w:hAnsi="Times New Roman" w:cs="Times New Roman"/>
          <w:sz w:val="24"/>
          <w:szCs w:val="24"/>
          <w:lang w:val="en-US"/>
        </w:rPr>
        <w:t xml:space="preserve">the agreement must be supported by consideration and there must be an intention to create legal relations. </w:t>
      </w:r>
      <w:r w:rsidRPr="00036177">
        <w:rPr>
          <w:rFonts w:ascii="Times New Roman" w:hAnsi="Times New Roman" w:cs="Times New Roman"/>
          <w:sz w:val="24"/>
          <w:szCs w:val="24"/>
          <w:lang w:val="en-US"/>
        </w:rPr>
        <w:t>In general, the courts determine whether an agreement has been established by searching for an offer made by one party to the other and accepted by t</w:t>
      </w:r>
      <w:r w:rsidRPr="00036177">
        <w:rPr>
          <w:rFonts w:ascii="Times New Roman" w:hAnsi="Times New Roman" w:cs="Times New Roman"/>
          <w:sz w:val="24"/>
          <w:szCs w:val="24"/>
          <w:lang w:val="en-US"/>
        </w:rPr>
        <w:t>hat other party. If the acceptance is to be considered valid, it must be a mirror image of the offer. The norm is that the agreement must be backed by consideration and explained further. The notion of consideration is a distinguishing, albeit elusive, asp</w:t>
      </w:r>
      <w:r w:rsidRPr="00036177">
        <w:rPr>
          <w:rFonts w:ascii="Times New Roman" w:hAnsi="Times New Roman" w:cs="Times New Roman"/>
          <w:sz w:val="24"/>
          <w:szCs w:val="24"/>
          <w:lang w:val="en-US"/>
        </w:rPr>
        <w:t>ect of English contract law. The principle of consideration is that something must be offered in exchange for a promise in order for that promise to be legally binding.</w:t>
      </w:r>
      <w:r w:rsidRPr="00036177">
        <w:rPr>
          <w:rFonts w:ascii="Times New Roman" w:hAnsi="Times New Roman" w:cs="Times New Roman"/>
          <w:sz w:val="24"/>
          <w:szCs w:val="24"/>
          <w:lang w:val="en-US"/>
        </w:rPr>
        <w:t xml:space="preserve"> </w:t>
      </w:r>
      <w:r w:rsidRPr="00036177">
        <w:rPr>
          <w:rFonts w:ascii="Times New Roman" w:hAnsi="Times New Roman" w:cs="Times New Roman"/>
          <w:sz w:val="24"/>
          <w:szCs w:val="24"/>
          <w:lang w:val="en-US"/>
        </w:rPr>
        <w:t>Furthermore, the need that there to be a desire to establish legal connections raises a</w:t>
      </w:r>
      <w:r w:rsidRPr="00036177">
        <w:rPr>
          <w:rFonts w:ascii="Times New Roman" w:hAnsi="Times New Roman" w:cs="Times New Roman"/>
          <w:sz w:val="24"/>
          <w:szCs w:val="24"/>
          <w:lang w:val="en-US"/>
        </w:rPr>
        <w:t xml:space="preserve"> few practical issues. This is due to the strong presumption in a business setting that the parties intended to establish legal relations.</w:t>
      </w:r>
    </w:p>
    <w:p w14:paraId="40323A20" w14:textId="77777777" w:rsidR="007E7C7E" w:rsidRPr="00036177" w:rsidRDefault="00036177" w:rsidP="00036177">
      <w:pPr>
        <w:spacing w:line="360" w:lineRule="auto"/>
        <w:ind w:left="720" w:firstLine="720"/>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From this scenario, we can see that Arthur is making a bilateral advertisement which would be an</w:t>
      </w:r>
      <w:r w:rsidR="000218F3" w:rsidRPr="00036177">
        <w:rPr>
          <w:rFonts w:ascii="Times New Roman" w:hAnsi="Times New Roman" w:cs="Times New Roman"/>
          <w:sz w:val="24"/>
          <w:szCs w:val="24"/>
          <w:lang w:val="en-US"/>
        </w:rPr>
        <w:t xml:space="preserve"> </w:t>
      </w:r>
      <w:r w:rsidRPr="00036177">
        <w:rPr>
          <w:rFonts w:ascii="Times New Roman" w:hAnsi="Times New Roman" w:cs="Times New Roman"/>
          <w:sz w:val="24"/>
          <w:szCs w:val="24"/>
          <w:lang w:val="en-US"/>
        </w:rPr>
        <w:t>invitation</w:t>
      </w:r>
      <w:r w:rsidR="000218F3" w:rsidRPr="00036177">
        <w:rPr>
          <w:rFonts w:ascii="Times New Roman" w:hAnsi="Times New Roman" w:cs="Times New Roman"/>
          <w:sz w:val="24"/>
          <w:szCs w:val="24"/>
          <w:lang w:val="en-US"/>
        </w:rPr>
        <w:t xml:space="preserve"> to treat. </w:t>
      </w:r>
      <w:r w:rsidR="00DE2E0A" w:rsidRPr="00036177">
        <w:rPr>
          <w:rFonts w:ascii="Times New Roman" w:hAnsi="Times New Roman" w:cs="Times New Roman"/>
          <w:sz w:val="24"/>
          <w:szCs w:val="24"/>
          <w:lang w:val="en-US"/>
        </w:rPr>
        <w:t>Partridge v. Crittenden [1968] 2 A11 ER 421 agreed with Fisher v. Bell [1961] 1 QB 394 that decent advertising in a newspaper or magazine is not an offer but an invitation to treat. A simple act of promoting products in a newspaper provides a chance for prospective purchasers to make an offer to purchase the advertised commodity. The facts plainly show that Arthur's advertising was not an offer, but rather an invitation to an offer. The court decided in Pharmaceutical Society of Great Britain v Boots Cash Chemists (Southern) Ltd [1953] 1 QB 401 that "the display of goods in a store is an invitation to treat and not a contractual offer." The usual rule is that ads for a bilateral contract constitute an invitation to treat, but marketing for a unilateral contract may constitute an offer.</w:t>
      </w:r>
    </w:p>
    <w:p w14:paraId="61ECC70C" w14:textId="77777777" w:rsidR="001F132B" w:rsidRPr="00036177" w:rsidRDefault="00036177" w:rsidP="00036177">
      <w:pPr>
        <w:spacing w:line="360" w:lineRule="auto"/>
        <w:ind w:left="720" w:firstLine="720"/>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 xml:space="preserve">Ben wrote Arthur a letter on the 4th of May stating that he would purchase the watch for the full amount of £15,000, but the letter arrived at Arthur's residence on the </w:t>
      </w:r>
      <w:r w:rsidRPr="00036177">
        <w:rPr>
          <w:rFonts w:ascii="Times New Roman" w:hAnsi="Times New Roman" w:cs="Times New Roman"/>
          <w:sz w:val="24"/>
          <w:szCs w:val="24"/>
          <w:lang w:val="en-US"/>
        </w:rPr>
        <w:lastRenderedPageBreak/>
        <w:t>7th of May. Based on the facts, Ben is making a genuine o</w:t>
      </w:r>
      <w:r w:rsidRPr="00036177">
        <w:rPr>
          <w:rFonts w:ascii="Times New Roman" w:hAnsi="Times New Roman" w:cs="Times New Roman"/>
          <w:sz w:val="24"/>
          <w:szCs w:val="24"/>
          <w:lang w:val="en-US"/>
        </w:rPr>
        <w:t xml:space="preserve">ffer, but because the acceptance is not expressed, there is no binding contract. Ben is just making an offer and communicating with the offeror by mail. Because Ben is mailing a letter of acceptance, the postal regulation is not being followed. The postal </w:t>
      </w:r>
      <w:r w:rsidRPr="00036177">
        <w:rPr>
          <w:rFonts w:ascii="Times New Roman" w:hAnsi="Times New Roman" w:cs="Times New Roman"/>
          <w:sz w:val="24"/>
          <w:szCs w:val="24"/>
          <w:lang w:val="en-US"/>
        </w:rPr>
        <w:t>rule is an exemption to the usual rule that acceptance must be notified to the other party.</w:t>
      </w:r>
      <w:r w:rsidRPr="00036177">
        <w:rPr>
          <w:rFonts w:ascii="Times New Roman" w:hAnsi="Times New Roman" w:cs="Times New Roman"/>
          <w:sz w:val="24"/>
          <w:szCs w:val="24"/>
          <w:lang w:val="en-US"/>
        </w:rPr>
        <w:t xml:space="preserve"> </w:t>
      </w:r>
      <w:r w:rsidRPr="00036177">
        <w:rPr>
          <w:rFonts w:ascii="Times New Roman" w:hAnsi="Times New Roman" w:cs="Times New Roman"/>
          <w:sz w:val="24"/>
          <w:szCs w:val="24"/>
          <w:lang w:val="en-US"/>
        </w:rPr>
        <w:t xml:space="preserve">Acceptance is notified as soon as the letter is mailed, even if the letter is delayed or never reaches the intended person, according to postal laws. To understand </w:t>
      </w:r>
      <w:r w:rsidRPr="00036177">
        <w:rPr>
          <w:rFonts w:ascii="Times New Roman" w:hAnsi="Times New Roman" w:cs="Times New Roman"/>
          <w:sz w:val="24"/>
          <w:szCs w:val="24"/>
          <w:lang w:val="en-US"/>
        </w:rPr>
        <w:t>why the facts of the current instances do not qualify for the postal rule of acceptance envisioned in Adams v Lindsell [1818] 1B &amp; A1d 681. In this scenario, a legitimate contract was formed the minute the letter of acceptance was put in the post box. It c</w:t>
      </w:r>
      <w:r w:rsidRPr="00036177">
        <w:rPr>
          <w:rFonts w:ascii="Times New Roman" w:hAnsi="Times New Roman" w:cs="Times New Roman"/>
          <w:sz w:val="24"/>
          <w:szCs w:val="24"/>
          <w:lang w:val="en-US"/>
        </w:rPr>
        <w:t xml:space="preserve">reated the postal rule because it applies where a post is the agreed-upon method of contact between the parties and the letter of acceptance is properly addressed and has the appropriate postage stamp. </w:t>
      </w:r>
      <w:r w:rsidRPr="00036177">
        <w:rPr>
          <w:rFonts w:ascii="Times New Roman" w:hAnsi="Times New Roman" w:cs="Times New Roman"/>
          <w:sz w:val="24"/>
          <w:szCs w:val="24"/>
          <w:lang w:val="en-US"/>
        </w:rPr>
        <w:t>When the letter is posted, t</w:t>
      </w:r>
      <w:r w:rsidRPr="00036177">
        <w:rPr>
          <w:rFonts w:ascii="Times New Roman" w:hAnsi="Times New Roman" w:cs="Times New Roman"/>
          <w:sz w:val="24"/>
          <w:szCs w:val="24"/>
          <w:lang w:val="en-US"/>
        </w:rPr>
        <w:t>he acceptance becomes effe</w:t>
      </w:r>
      <w:r w:rsidRPr="00036177">
        <w:rPr>
          <w:rFonts w:ascii="Times New Roman" w:hAnsi="Times New Roman" w:cs="Times New Roman"/>
          <w:sz w:val="24"/>
          <w:szCs w:val="24"/>
          <w:lang w:val="en-US"/>
        </w:rPr>
        <w:t>ctive.</w:t>
      </w:r>
    </w:p>
    <w:p w14:paraId="539D0700" w14:textId="77777777" w:rsidR="00DA1CD7" w:rsidRPr="00036177" w:rsidRDefault="00036177" w:rsidP="00036177">
      <w:pPr>
        <w:spacing w:line="360" w:lineRule="auto"/>
        <w:ind w:left="720" w:firstLine="720"/>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 xml:space="preserve">Christine emailed Arthur on the 5th of May after seeing the advertising, asking whether the watch was still available and if he would accept £11,000 for it, to which she made an offer. There is no legal acceptance if an offeree seeks to accept an </w:t>
      </w:r>
      <w:r w:rsidRPr="00036177">
        <w:rPr>
          <w:rFonts w:ascii="Times New Roman" w:hAnsi="Times New Roman" w:cs="Times New Roman"/>
          <w:sz w:val="24"/>
          <w:szCs w:val="24"/>
          <w:lang w:val="en-US"/>
        </w:rPr>
        <w:t>offer but adds a new term of their own (qualified acceptance). According to Hyde v Wrench (1840) 49 ER 132, since the counteroffer impliedly rejected the earlier offer, which had now been destroyed, Hyde had no choice but to accept it. In this case, Arthur</w:t>
      </w:r>
      <w:r w:rsidRPr="00036177">
        <w:rPr>
          <w:rFonts w:ascii="Times New Roman" w:hAnsi="Times New Roman" w:cs="Times New Roman"/>
          <w:sz w:val="24"/>
          <w:szCs w:val="24"/>
          <w:lang w:val="en-US"/>
        </w:rPr>
        <w:t xml:space="preserve"> responded the following day, stating that the watch was still for sale and that he would accept £13,000.</w:t>
      </w:r>
      <w:r w:rsidRPr="00036177">
        <w:rPr>
          <w:rFonts w:ascii="Times New Roman" w:hAnsi="Times New Roman" w:cs="Times New Roman"/>
          <w:sz w:val="24"/>
          <w:szCs w:val="24"/>
          <w:lang w:val="en-US"/>
        </w:rPr>
        <w:t xml:space="preserve"> </w:t>
      </w:r>
      <w:r w:rsidR="00286C2B" w:rsidRPr="00036177">
        <w:rPr>
          <w:rFonts w:ascii="Times New Roman" w:hAnsi="Times New Roman" w:cs="Times New Roman"/>
          <w:sz w:val="24"/>
          <w:szCs w:val="24"/>
          <w:lang w:val="en-US"/>
        </w:rPr>
        <w:t>This resulted in to counteroffer as the mirror image rule is not being applied.</w:t>
      </w:r>
      <w:r w:rsidR="004C1287" w:rsidRPr="00036177">
        <w:rPr>
          <w:rFonts w:ascii="Times New Roman" w:hAnsi="Times New Roman" w:cs="Times New Roman"/>
          <w:sz w:val="24"/>
          <w:szCs w:val="24"/>
          <w:lang w:val="en-US"/>
        </w:rPr>
        <w:t xml:space="preserve"> </w:t>
      </w:r>
      <w:r w:rsidRPr="00036177">
        <w:rPr>
          <w:rFonts w:ascii="Times New Roman" w:hAnsi="Times New Roman" w:cs="Times New Roman"/>
          <w:sz w:val="24"/>
          <w:szCs w:val="24"/>
          <w:lang w:val="en-US"/>
        </w:rPr>
        <w:t>Christine, on the other hand, stated that she could pay £11,000 now an</w:t>
      </w:r>
      <w:r w:rsidRPr="00036177">
        <w:rPr>
          <w:rFonts w:ascii="Times New Roman" w:hAnsi="Times New Roman" w:cs="Times New Roman"/>
          <w:sz w:val="24"/>
          <w:szCs w:val="24"/>
          <w:lang w:val="en-US"/>
        </w:rPr>
        <w:t>d £2,000 later at the end of the month. As a result, if a response is made to the offer that does not seek to change the conditions of the offer, it is only a request for information. It is not a counteroffer because it does not reject the conditions of th</w:t>
      </w:r>
      <w:r w:rsidRPr="00036177">
        <w:rPr>
          <w:rFonts w:ascii="Times New Roman" w:hAnsi="Times New Roman" w:cs="Times New Roman"/>
          <w:sz w:val="24"/>
          <w:szCs w:val="24"/>
          <w:lang w:val="en-US"/>
        </w:rPr>
        <w:t>e offer. As a result, the offeree can still accept it. This is similar to the case of Stevenson Jaques &amp; Co. v McLean (1880) 5 QBD 346, in which a simple request for information is considered differently from a counter offer. In this scenario, it was merel</w:t>
      </w:r>
      <w:r w:rsidRPr="00036177">
        <w:rPr>
          <w:rFonts w:ascii="Times New Roman" w:hAnsi="Times New Roman" w:cs="Times New Roman"/>
          <w:sz w:val="24"/>
          <w:szCs w:val="24"/>
          <w:lang w:val="en-US"/>
        </w:rPr>
        <w:t>y a question that should have been addressed, not a rejection of the offer.</w:t>
      </w:r>
      <w:r w:rsidRPr="00036177">
        <w:rPr>
          <w:rFonts w:ascii="Times New Roman" w:hAnsi="Times New Roman" w:cs="Times New Roman"/>
          <w:sz w:val="24"/>
          <w:szCs w:val="24"/>
          <w:lang w:val="en-US"/>
        </w:rPr>
        <w:t xml:space="preserve"> </w:t>
      </w:r>
      <w:r w:rsidRPr="00036177">
        <w:rPr>
          <w:rFonts w:ascii="Times New Roman" w:hAnsi="Times New Roman" w:cs="Times New Roman"/>
          <w:sz w:val="24"/>
          <w:szCs w:val="24"/>
          <w:lang w:val="en-US"/>
        </w:rPr>
        <w:t xml:space="preserve">Christine wrote an email accepting the offer during office hours on May 6th at 2 pm, resulting in the existence of a legitimate contract. As a result, this will be in reference to </w:t>
      </w:r>
      <w:r w:rsidRPr="00036177">
        <w:rPr>
          <w:rFonts w:ascii="Times New Roman" w:hAnsi="Times New Roman" w:cs="Times New Roman"/>
          <w:sz w:val="24"/>
          <w:szCs w:val="24"/>
          <w:lang w:val="en-US"/>
        </w:rPr>
        <w:t xml:space="preserve">the current manner of acceptance, where the acceptance of the offer will be legitimate upon receipt. Entores v. Miles Far East </w:t>
      </w:r>
      <w:r w:rsidRPr="00036177">
        <w:rPr>
          <w:rFonts w:ascii="Times New Roman" w:hAnsi="Times New Roman" w:cs="Times New Roman"/>
          <w:sz w:val="24"/>
          <w:szCs w:val="24"/>
          <w:lang w:val="en-US"/>
        </w:rPr>
        <w:lastRenderedPageBreak/>
        <w:t>Corp. [1955] 2 QB 327 and Brinkibon Ltd v. Stahag Stahl GmbH [1983] 2AC 34 stated that acceptance must be sent by any instantaneo</w:t>
      </w:r>
      <w:r w:rsidRPr="00036177">
        <w:rPr>
          <w:rFonts w:ascii="Times New Roman" w:hAnsi="Times New Roman" w:cs="Times New Roman"/>
          <w:sz w:val="24"/>
          <w:szCs w:val="24"/>
          <w:lang w:val="en-US"/>
        </w:rPr>
        <w:t>us method of communication (Email).</w:t>
      </w:r>
    </w:p>
    <w:p w14:paraId="4A227D91" w14:textId="47CA781B" w:rsidR="00256156" w:rsidRPr="00036177" w:rsidRDefault="00036177" w:rsidP="00036177">
      <w:pPr>
        <w:spacing w:line="360" w:lineRule="auto"/>
        <w:ind w:left="720" w:firstLine="720"/>
        <w:jc w:val="both"/>
        <w:rPr>
          <w:rFonts w:ascii="Times New Roman" w:hAnsi="Times New Roman" w:cs="Times New Roman"/>
          <w:color w:val="ED7D31" w:themeColor="accent2"/>
          <w:sz w:val="24"/>
          <w:szCs w:val="24"/>
          <w:lang w:val="en-US"/>
        </w:rPr>
      </w:pPr>
      <w:r w:rsidRPr="00036177">
        <w:rPr>
          <w:rFonts w:ascii="Times New Roman" w:hAnsi="Times New Roman" w:cs="Times New Roman"/>
          <w:sz w:val="24"/>
          <w:szCs w:val="24"/>
          <w:lang w:val="en-US"/>
        </w:rPr>
        <w:t>Dennis wrote Arthur at 11 a.m. on May 6th, expressing his interest in purchasing the watch, and Arthur responded by claiming that he wanted £13,000 for the watch. Based on Dennis's circumstance, where he accepts the offe</w:t>
      </w:r>
      <w:r w:rsidRPr="00036177">
        <w:rPr>
          <w:rFonts w:ascii="Times New Roman" w:hAnsi="Times New Roman" w:cs="Times New Roman"/>
          <w:sz w:val="24"/>
          <w:szCs w:val="24"/>
          <w:lang w:val="en-US"/>
        </w:rPr>
        <w:t xml:space="preserve">r at the required price, this is regarded acceptance by current ways of communication, where it is transmitted by email with reception criteria. Dennis is able to retrieve the seller's acknowledgment of receipt, and both parties accept the offer. To prove </w:t>
      </w:r>
      <w:r w:rsidRPr="00036177">
        <w:rPr>
          <w:rFonts w:ascii="Times New Roman" w:hAnsi="Times New Roman" w:cs="Times New Roman"/>
          <w:sz w:val="24"/>
          <w:szCs w:val="24"/>
          <w:lang w:val="en-US"/>
        </w:rPr>
        <w:t>a genuine offer, the offeror must convey the offer to the offeree where</w:t>
      </w:r>
      <w:r w:rsidRPr="00036177">
        <w:rPr>
          <w:rFonts w:ascii="Times New Roman" w:hAnsi="Times New Roman" w:cs="Times New Roman"/>
          <w:sz w:val="24"/>
          <w:szCs w:val="24"/>
          <w:lang w:val="en-US"/>
        </w:rPr>
        <w:t xml:space="preserve"> an offeree cannot accept an offer of which they are not aware.</w:t>
      </w:r>
      <w:r w:rsidRPr="00036177">
        <w:rPr>
          <w:rFonts w:ascii="Times New Roman" w:hAnsi="Times New Roman" w:cs="Times New Roman"/>
          <w:sz w:val="24"/>
          <w:szCs w:val="24"/>
          <w:lang w:val="en-US"/>
        </w:rPr>
        <w:t xml:space="preserve"> </w:t>
      </w:r>
      <w:r w:rsidRPr="00036177">
        <w:rPr>
          <w:rFonts w:ascii="Times New Roman" w:hAnsi="Times New Roman" w:cs="Times New Roman"/>
          <w:sz w:val="24"/>
          <w:szCs w:val="24"/>
          <w:lang w:val="en-US"/>
        </w:rPr>
        <w:t>There was no contract in Taylor v Laird [1856] 25 LJ Ex 329 because the claimant had not transmitted the offer to the offeree.</w:t>
      </w:r>
      <w:r w:rsidRPr="00036177">
        <w:rPr>
          <w:rFonts w:ascii="Times New Roman" w:hAnsi="Times New Roman" w:cs="Times New Roman"/>
          <w:sz w:val="24"/>
          <w:szCs w:val="24"/>
          <w:lang w:val="en-US"/>
        </w:rPr>
        <w:t xml:space="preserve"> In the case of Dennis, however, acceptance of the offer results in a legitimate contract with no counteroffer.</w:t>
      </w:r>
    </w:p>
    <w:p w14:paraId="2837F31A" w14:textId="77777777" w:rsidR="00B017A5" w:rsidRPr="00036177" w:rsidRDefault="00036177" w:rsidP="00036177">
      <w:pPr>
        <w:spacing w:line="360" w:lineRule="auto"/>
        <w:ind w:left="720" w:firstLine="720"/>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In a conclusion, a valid contract existed between Arthur and Christine</w:t>
      </w:r>
      <w:r w:rsidR="00C2104D" w:rsidRPr="00036177">
        <w:rPr>
          <w:rFonts w:ascii="Times New Roman" w:hAnsi="Times New Roman" w:cs="Times New Roman"/>
          <w:sz w:val="24"/>
          <w:szCs w:val="24"/>
          <w:lang w:val="en-US"/>
        </w:rPr>
        <w:t xml:space="preserve"> as well as </w:t>
      </w:r>
      <w:r w:rsidRPr="00036177">
        <w:rPr>
          <w:rFonts w:ascii="Times New Roman" w:hAnsi="Times New Roman" w:cs="Times New Roman"/>
          <w:sz w:val="24"/>
          <w:szCs w:val="24"/>
          <w:lang w:val="en-US"/>
        </w:rPr>
        <w:t xml:space="preserve">Arthur with Dennis. </w:t>
      </w:r>
    </w:p>
    <w:p w14:paraId="0575F49B" w14:textId="77777777" w:rsidR="00471DB8" w:rsidRPr="00036177" w:rsidRDefault="00471DB8" w:rsidP="00036177">
      <w:pPr>
        <w:pStyle w:val="ListParagraph"/>
        <w:spacing w:line="360" w:lineRule="auto"/>
        <w:ind w:left="1080"/>
        <w:jc w:val="both"/>
        <w:rPr>
          <w:rFonts w:ascii="Times New Roman" w:hAnsi="Times New Roman" w:cs="Times New Roman"/>
          <w:sz w:val="24"/>
          <w:szCs w:val="24"/>
        </w:rPr>
      </w:pPr>
    </w:p>
    <w:p w14:paraId="19358EB7" w14:textId="77777777" w:rsidR="00471DB8" w:rsidRPr="00036177" w:rsidRDefault="00471DB8" w:rsidP="00036177">
      <w:pPr>
        <w:pStyle w:val="ListParagraph"/>
        <w:spacing w:line="360" w:lineRule="auto"/>
        <w:ind w:left="1080"/>
        <w:jc w:val="both"/>
        <w:rPr>
          <w:rFonts w:ascii="Times New Roman" w:hAnsi="Times New Roman" w:cs="Times New Roman"/>
          <w:sz w:val="24"/>
          <w:szCs w:val="24"/>
        </w:rPr>
      </w:pPr>
    </w:p>
    <w:p w14:paraId="36B0C2FF" w14:textId="77777777" w:rsidR="00471DB8" w:rsidRPr="00036177" w:rsidRDefault="00471DB8" w:rsidP="00036177">
      <w:pPr>
        <w:pStyle w:val="ListParagraph"/>
        <w:spacing w:line="360" w:lineRule="auto"/>
        <w:ind w:left="1080"/>
        <w:jc w:val="both"/>
        <w:rPr>
          <w:rFonts w:ascii="Times New Roman" w:hAnsi="Times New Roman" w:cs="Times New Roman"/>
          <w:sz w:val="24"/>
          <w:szCs w:val="24"/>
        </w:rPr>
      </w:pPr>
    </w:p>
    <w:p w14:paraId="3635732D" w14:textId="77777777" w:rsidR="00471DB8" w:rsidRPr="00036177" w:rsidRDefault="00471DB8" w:rsidP="00036177">
      <w:pPr>
        <w:pStyle w:val="ListParagraph"/>
        <w:spacing w:line="360" w:lineRule="auto"/>
        <w:ind w:left="1080"/>
        <w:jc w:val="both"/>
        <w:rPr>
          <w:rFonts w:ascii="Times New Roman" w:hAnsi="Times New Roman" w:cs="Times New Roman"/>
          <w:sz w:val="24"/>
          <w:szCs w:val="24"/>
        </w:rPr>
      </w:pPr>
    </w:p>
    <w:p w14:paraId="3B904437" w14:textId="77777777" w:rsidR="00471DB8" w:rsidRPr="00036177" w:rsidRDefault="00471DB8" w:rsidP="00036177">
      <w:pPr>
        <w:pStyle w:val="ListParagraph"/>
        <w:spacing w:line="360" w:lineRule="auto"/>
        <w:ind w:left="1080"/>
        <w:jc w:val="both"/>
        <w:rPr>
          <w:rFonts w:ascii="Times New Roman" w:hAnsi="Times New Roman" w:cs="Times New Roman"/>
          <w:sz w:val="24"/>
          <w:szCs w:val="24"/>
        </w:rPr>
      </w:pPr>
    </w:p>
    <w:p w14:paraId="2895B4AB" w14:textId="77777777" w:rsidR="006C433D" w:rsidRPr="00036177" w:rsidRDefault="006C433D" w:rsidP="00036177">
      <w:pPr>
        <w:spacing w:line="360" w:lineRule="auto"/>
        <w:ind w:left="1440"/>
        <w:jc w:val="both"/>
        <w:rPr>
          <w:rFonts w:ascii="Times New Roman" w:hAnsi="Times New Roman" w:cs="Times New Roman"/>
          <w:sz w:val="24"/>
          <w:szCs w:val="24"/>
          <w:lang w:val="en-US"/>
        </w:rPr>
      </w:pPr>
    </w:p>
    <w:p w14:paraId="1240D0ED" w14:textId="77777777" w:rsidR="00565982" w:rsidRPr="00036177" w:rsidRDefault="00565982" w:rsidP="00036177">
      <w:pPr>
        <w:spacing w:line="360" w:lineRule="auto"/>
        <w:ind w:left="1440"/>
        <w:jc w:val="both"/>
        <w:rPr>
          <w:rFonts w:ascii="Times New Roman" w:hAnsi="Times New Roman" w:cs="Times New Roman"/>
          <w:sz w:val="24"/>
          <w:szCs w:val="24"/>
          <w:lang w:val="en-US"/>
        </w:rPr>
      </w:pPr>
    </w:p>
    <w:p w14:paraId="5B9BCE8A" w14:textId="77777777" w:rsidR="00565982" w:rsidRPr="00036177" w:rsidRDefault="00565982" w:rsidP="00036177">
      <w:pPr>
        <w:spacing w:line="360" w:lineRule="auto"/>
        <w:ind w:left="1440"/>
        <w:jc w:val="both"/>
        <w:rPr>
          <w:rFonts w:ascii="Times New Roman" w:hAnsi="Times New Roman" w:cs="Times New Roman"/>
          <w:sz w:val="24"/>
          <w:szCs w:val="24"/>
          <w:lang w:val="en-US"/>
        </w:rPr>
      </w:pPr>
    </w:p>
    <w:p w14:paraId="034F780D" w14:textId="77777777" w:rsidR="00565982" w:rsidRPr="00036177" w:rsidRDefault="00565982" w:rsidP="00036177">
      <w:pPr>
        <w:spacing w:line="360" w:lineRule="auto"/>
        <w:ind w:left="1440"/>
        <w:jc w:val="both"/>
        <w:rPr>
          <w:rFonts w:ascii="Times New Roman" w:hAnsi="Times New Roman" w:cs="Times New Roman"/>
          <w:sz w:val="24"/>
          <w:szCs w:val="24"/>
          <w:lang w:val="en-US"/>
        </w:rPr>
      </w:pPr>
    </w:p>
    <w:p w14:paraId="1ABD3E20" w14:textId="77777777" w:rsidR="00565982" w:rsidRPr="00036177" w:rsidRDefault="00565982" w:rsidP="00036177">
      <w:pPr>
        <w:spacing w:line="360" w:lineRule="auto"/>
        <w:ind w:left="1440"/>
        <w:jc w:val="both"/>
        <w:rPr>
          <w:rFonts w:ascii="Times New Roman" w:hAnsi="Times New Roman" w:cs="Times New Roman"/>
          <w:sz w:val="24"/>
          <w:szCs w:val="24"/>
          <w:lang w:val="en-US"/>
        </w:rPr>
      </w:pPr>
    </w:p>
    <w:p w14:paraId="69051C54" w14:textId="77777777" w:rsidR="00565982" w:rsidRPr="00036177" w:rsidRDefault="00565982" w:rsidP="00036177">
      <w:pPr>
        <w:spacing w:line="360" w:lineRule="auto"/>
        <w:ind w:left="1440"/>
        <w:jc w:val="both"/>
        <w:rPr>
          <w:rFonts w:ascii="Times New Roman" w:hAnsi="Times New Roman" w:cs="Times New Roman"/>
          <w:sz w:val="24"/>
          <w:szCs w:val="24"/>
          <w:lang w:val="en-US"/>
        </w:rPr>
      </w:pPr>
    </w:p>
    <w:p w14:paraId="041CB708" w14:textId="77777777" w:rsidR="00267882" w:rsidRPr="00036177" w:rsidRDefault="00267882" w:rsidP="00036177">
      <w:pPr>
        <w:spacing w:line="360" w:lineRule="auto"/>
        <w:ind w:left="1440"/>
        <w:jc w:val="both"/>
        <w:rPr>
          <w:rFonts w:ascii="Times New Roman" w:hAnsi="Times New Roman" w:cs="Times New Roman"/>
          <w:sz w:val="24"/>
          <w:szCs w:val="24"/>
          <w:lang w:val="en-US"/>
        </w:rPr>
      </w:pPr>
    </w:p>
    <w:p w14:paraId="5CA672B0" w14:textId="77777777" w:rsidR="00DA1CD7" w:rsidRPr="00036177" w:rsidRDefault="00DA1CD7" w:rsidP="00036177">
      <w:pPr>
        <w:spacing w:line="360" w:lineRule="auto"/>
        <w:ind w:left="1440"/>
        <w:jc w:val="both"/>
        <w:rPr>
          <w:rFonts w:ascii="Times New Roman" w:hAnsi="Times New Roman" w:cs="Times New Roman"/>
          <w:sz w:val="24"/>
          <w:szCs w:val="24"/>
          <w:lang w:val="en-US"/>
        </w:rPr>
      </w:pPr>
    </w:p>
    <w:p w14:paraId="788AC065" w14:textId="77777777" w:rsidR="00DA1CD7" w:rsidRPr="00036177" w:rsidRDefault="00DA1CD7" w:rsidP="00036177">
      <w:pPr>
        <w:spacing w:line="360" w:lineRule="auto"/>
        <w:ind w:left="1440"/>
        <w:jc w:val="both"/>
        <w:rPr>
          <w:rFonts w:ascii="Times New Roman" w:hAnsi="Times New Roman" w:cs="Times New Roman"/>
          <w:sz w:val="24"/>
          <w:szCs w:val="24"/>
          <w:lang w:val="en-US"/>
        </w:rPr>
      </w:pPr>
    </w:p>
    <w:p w14:paraId="3DBA9405" w14:textId="77777777" w:rsidR="006A620D" w:rsidRPr="00036177" w:rsidRDefault="006A620D" w:rsidP="00036177">
      <w:pPr>
        <w:spacing w:line="360" w:lineRule="auto"/>
        <w:jc w:val="both"/>
        <w:rPr>
          <w:rFonts w:ascii="Times New Roman" w:hAnsi="Times New Roman" w:cs="Times New Roman"/>
          <w:sz w:val="24"/>
          <w:szCs w:val="24"/>
          <w:lang w:val="en-US"/>
        </w:rPr>
      </w:pPr>
    </w:p>
    <w:p w14:paraId="39CD5411" w14:textId="77777777" w:rsidR="006F2545" w:rsidRPr="00036177" w:rsidRDefault="00036177" w:rsidP="00036177">
      <w:pPr>
        <w:spacing w:line="360" w:lineRule="auto"/>
        <w:jc w:val="both"/>
        <w:rPr>
          <w:rFonts w:ascii="Times New Roman" w:hAnsi="Times New Roman" w:cs="Times New Roman"/>
          <w:b/>
          <w:bCs/>
          <w:sz w:val="24"/>
          <w:szCs w:val="24"/>
          <w:lang w:val="en-US"/>
        </w:rPr>
      </w:pPr>
      <w:r w:rsidRPr="00036177">
        <w:rPr>
          <w:rFonts w:ascii="Times New Roman" w:hAnsi="Times New Roman" w:cs="Times New Roman"/>
          <w:b/>
          <w:bCs/>
          <w:sz w:val="24"/>
          <w:szCs w:val="24"/>
          <w:lang w:val="en-US"/>
        </w:rPr>
        <w:lastRenderedPageBreak/>
        <w:t>References</w:t>
      </w:r>
    </w:p>
    <w:p w14:paraId="151ED842" w14:textId="77777777" w:rsidR="00DA1CD7" w:rsidRPr="00036177" w:rsidRDefault="00036177" w:rsidP="00036177">
      <w:pPr>
        <w:spacing w:line="360" w:lineRule="auto"/>
        <w:ind w:left="720" w:hanging="720"/>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McKendrick, E. and Lunney, M., 2014. Contract Law: Text, Cases, and Materials. 6th ed. United Kingdom: Oxford University Press, pp.3-5.</w:t>
      </w:r>
    </w:p>
    <w:p w14:paraId="5B5B2BC6" w14:textId="77777777" w:rsidR="00DA1CD7" w:rsidRPr="00036177" w:rsidRDefault="00036177" w:rsidP="00036177">
      <w:pPr>
        <w:spacing w:line="360" w:lineRule="auto"/>
        <w:ind w:left="720" w:hanging="720"/>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Merkin, R., 2013. Privity of Contract. Taylor &amp; Francis, pp.15-16.</w:t>
      </w:r>
    </w:p>
    <w:p w14:paraId="53AB35ED" w14:textId="77777777" w:rsidR="00DA1CD7" w:rsidRPr="00036177" w:rsidRDefault="00DA1CD7" w:rsidP="00036177">
      <w:pPr>
        <w:spacing w:line="360" w:lineRule="auto"/>
        <w:ind w:left="720" w:hanging="720"/>
        <w:jc w:val="both"/>
        <w:rPr>
          <w:rFonts w:ascii="Times New Roman" w:hAnsi="Times New Roman" w:cs="Times New Roman"/>
          <w:sz w:val="24"/>
          <w:szCs w:val="24"/>
          <w:lang w:val="en-US"/>
        </w:rPr>
      </w:pPr>
    </w:p>
    <w:p w14:paraId="6A40AD9F" w14:textId="77777777" w:rsidR="00DA1CD7" w:rsidRPr="00036177" w:rsidRDefault="00036177" w:rsidP="00036177">
      <w:pPr>
        <w:spacing w:line="360" w:lineRule="auto"/>
        <w:jc w:val="both"/>
        <w:rPr>
          <w:rFonts w:ascii="Times New Roman" w:hAnsi="Times New Roman" w:cs="Times New Roman"/>
          <w:b/>
          <w:bCs/>
          <w:sz w:val="24"/>
          <w:szCs w:val="24"/>
          <w:lang w:val="en-US"/>
        </w:rPr>
      </w:pPr>
      <w:r w:rsidRPr="00036177">
        <w:rPr>
          <w:rFonts w:ascii="Times New Roman" w:hAnsi="Times New Roman" w:cs="Times New Roman"/>
          <w:b/>
          <w:bCs/>
          <w:sz w:val="24"/>
          <w:szCs w:val="24"/>
          <w:lang w:val="en-US"/>
        </w:rPr>
        <w:t>Table of cases</w:t>
      </w:r>
    </w:p>
    <w:p w14:paraId="4E519583" w14:textId="77777777" w:rsidR="00DA1CD7" w:rsidRPr="00036177" w:rsidRDefault="00036177" w:rsidP="00036177">
      <w:pPr>
        <w:spacing w:line="360" w:lineRule="auto"/>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 xml:space="preserve">Adams v Lindsell [1818] 1B &amp; A1d </w:t>
      </w:r>
      <w:r w:rsidRPr="00036177">
        <w:rPr>
          <w:rFonts w:ascii="Times New Roman" w:hAnsi="Times New Roman" w:cs="Times New Roman"/>
          <w:sz w:val="24"/>
          <w:szCs w:val="24"/>
          <w:lang w:val="en-US"/>
        </w:rPr>
        <w:t>681</w:t>
      </w:r>
    </w:p>
    <w:p w14:paraId="2AE199E2" w14:textId="77777777" w:rsidR="00DA1CD7" w:rsidRPr="00036177" w:rsidRDefault="00036177" w:rsidP="00036177">
      <w:pPr>
        <w:spacing w:line="360" w:lineRule="auto"/>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Bolton v. Mahadeva [1972] 1 WLR 1009</w:t>
      </w:r>
    </w:p>
    <w:p w14:paraId="2BD93E08" w14:textId="77777777" w:rsidR="00DA1CD7" w:rsidRPr="00036177" w:rsidRDefault="00036177" w:rsidP="00036177">
      <w:pPr>
        <w:spacing w:line="360" w:lineRule="auto"/>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Brinkibon Ltd v. Stahag Stahl GmbH [1983] 2AC 34</w:t>
      </w:r>
    </w:p>
    <w:p w14:paraId="482D84F5" w14:textId="77777777" w:rsidR="00DA1CD7" w:rsidRPr="00036177" w:rsidRDefault="00036177" w:rsidP="00036177">
      <w:pPr>
        <w:spacing w:line="360" w:lineRule="auto"/>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Dunlop Pneumatic Tyre Co Ltd v Selfridge &amp; Co Ltd [1915] AC 847</w:t>
      </w:r>
    </w:p>
    <w:p w14:paraId="155292DC" w14:textId="77777777" w:rsidR="00DA1CD7" w:rsidRPr="00036177" w:rsidRDefault="00036177" w:rsidP="00036177">
      <w:pPr>
        <w:spacing w:line="360" w:lineRule="auto"/>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 xml:space="preserve">Entores v. Miles Far East Corp. [1955] 2 QB 327 </w:t>
      </w:r>
    </w:p>
    <w:p w14:paraId="1BD8ABF6" w14:textId="77777777" w:rsidR="00DA1CD7" w:rsidRPr="00036177" w:rsidRDefault="00036177" w:rsidP="00036177">
      <w:pPr>
        <w:spacing w:line="360" w:lineRule="auto"/>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Fisher v. Bell [1961] 1 QB 394</w:t>
      </w:r>
    </w:p>
    <w:p w14:paraId="6249AC05" w14:textId="77777777" w:rsidR="00DA1CD7" w:rsidRPr="00036177" w:rsidRDefault="00036177" w:rsidP="00036177">
      <w:pPr>
        <w:spacing w:line="360" w:lineRule="auto"/>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Hyde v Wrench (1840) 4</w:t>
      </w:r>
      <w:r w:rsidRPr="00036177">
        <w:rPr>
          <w:rFonts w:ascii="Times New Roman" w:hAnsi="Times New Roman" w:cs="Times New Roman"/>
          <w:sz w:val="24"/>
          <w:szCs w:val="24"/>
          <w:lang w:val="en-US"/>
        </w:rPr>
        <w:t>9 ER 132</w:t>
      </w:r>
    </w:p>
    <w:p w14:paraId="3F5929BD" w14:textId="77777777" w:rsidR="00DA1CD7" w:rsidRPr="00036177" w:rsidRDefault="00036177" w:rsidP="00036177">
      <w:pPr>
        <w:spacing w:line="360" w:lineRule="auto"/>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Pao On v Lau Yin Long [1979] 3 All ER 65</w:t>
      </w:r>
    </w:p>
    <w:p w14:paraId="5AA2FD0B" w14:textId="77777777" w:rsidR="00DA1CD7" w:rsidRPr="00036177" w:rsidRDefault="00036177" w:rsidP="00036177">
      <w:pPr>
        <w:spacing w:line="360" w:lineRule="auto"/>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Partridge v. Crittenden [1968] 2 A11 ER 421</w:t>
      </w:r>
    </w:p>
    <w:p w14:paraId="39D2707A" w14:textId="77777777" w:rsidR="00DA1CD7" w:rsidRPr="00036177" w:rsidRDefault="00036177" w:rsidP="00036177">
      <w:pPr>
        <w:spacing w:line="360" w:lineRule="auto"/>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Pharmaceutical Society of Great Britain v Boots Cash Chemists (Southern) Ltd [1953] 1 QB 401</w:t>
      </w:r>
    </w:p>
    <w:p w14:paraId="5931DE39" w14:textId="77777777" w:rsidR="00DA1CD7" w:rsidRPr="00036177" w:rsidRDefault="00036177" w:rsidP="00036177">
      <w:pPr>
        <w:spacing w:line="360" w:lineRule="auto"/>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Re Casey’s Patents [1892]</w:t>
      </w:r>
      <w:r w:rsidRPr="00036177">
        <w:rPr>
          <w:rFonts w:ascii="Times New Roman" w:hAnsi="Times New Roman" w:cs="Times New Roman"/>
          <w:sz w:val="24"/>
          <w:szCs w:val="24"/>
        </w:rPr>
        <w:t xml:space="preserve"> </w:t>
      </w:r>
      <w:r w:rsidRPr="00036177">
        <w:rPr>
          <w:rFonts w:ascii="Times New Roman" w:hAnsi="Times New Roman" w:cs="Times New Roman"/>
          <w:sz w:val="24"/>
          <w:szCs w:val="24"/>
          <w:lang w:val="en-US"/>
        </w:rPr>
        <w:t>1 CH 104</w:t>
      </w:r>
    </w:p>
    <w:p w14:paraId="69270BBE" w14:textId="77777777" w:rsidR="00DA1CD7" w:rsidRPr="00036177" w:rsidRDefault="00036177" w:rsidP="00036177">
      <w:pPr>
        <w:spacing w:line="360" w:lineRule="auto"/>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 xml:space="preserve">Ritchie v Atkinson (1808) 10 East </w:t>
      </w:r>
      <w:r w:rsidRPr="00036177">
        <w:rPr>
          <w:rFonts w:ascii="Times New Roman" w:hAnsi="Times New Roman" w:cs="Times New Roman"/>
          <w:sz w:val="24"/>
          <w:szCs w:val="24"/>
          <w:lang w:val="en-US"/>
        </w:rPr>
        <w:t>295</w:t>
      </w:r>
    </w:p>
    <w:p w14:paraId="19FA6C77" w14:textId="77777777" w:rsidR="00DA1CD7" w:rsidRPr="00036177" w:rsidRDefault="00036177" w:rsidP="00036177">
      <w:pPr>
        <w:spacing w:line="360" w:lineRule="auto"/>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Roscorla v Thomas (1842) 3 QB 234</w:t>
      </w:r>
    </w:p>
    <w:p w14:paraId="371FCF0C" w14:textId="77777777" w:rsidR="00DA1CD7" w:rsidRPr="00036177" w:rsidRDefault="00036177" w:rsidP="00036177">
      <w:pPr>
        <w:spacing w:line="360" w:lineRule="auto"/>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Stevenson Jaques &amp; Co. v McLean (1880) 5 QBD 346</w:t>
      </w:r>
    </w:p>
    <w:p w14:paraId="5A56D394" w14:textId="77777777" w:rsidR="00DA1CD7" w:rsidRPr="00036177" w:rsidRDefault="00036177" w:rsidP="00036177">
      <w:pPr>
        <w:spacing w:line="360" w:lineRule="auto"/>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Taylor v Laird (1856) 25 LJ Ex 329</w:t>
      </w:r>
    </w:p>
    <w:p w14:paraId="4FFFB4E6" w14:textId="77777777" w:rsidR="00DA1CD7" w:rsidRPr="00036177" w:rsidRDefault="00036177" w:rsidP="00036177">
      <w:pPr>
        <w:spacing w:line="360" w:lineRule="auto"/>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Sumpter v Hedges [1898] 1 QB 673</w:t>
      </w:r>
    </w:p>
    <w:p w14:paraId="1FCBB71F" w14:textId="77777777" w:rsidR="00DA1CD7" w:rsidRPr="00FA30FC" w:rsidRDefault="00036177" w:rsidP="00036177">
      <w:pPr>
        <w:spacing w:line="360" w:lineRule="auto"/>
        <w:jc w:val="both"/>
        <w:rPr>
          <w:rFonts w:ascii="Times New Roman" w:hAnsi="Times New Roman" w:cs="Times New Roman"/>
          <w:sz w:val="24"/>
          <w:szCs w:val="24"/>
          <w:lang w:val="en-US"/>
        </w:rPr>
      </w:pPr>
      <w:r w:rsidRPr="00036177">
        <w:rPr>
          <w:rFonts w:ascii="Times New Roman" w:hAnsi="Times New Roman" w:cs="Times New Roman"/>
          <w:sz w:val="24"/>
          <w:szCs w:val="24"/>
          <w:lang w:val="en-US"/>
        </w:rPr>
        <w:t>Tweddle v Atkinson (1861) EWHC J57, 1 B&amp;S 3</w:t>
      </w:r>
      <w:r w:rsidRPr="00FA30FC">
        <w:rPr>
          <w:rFonts w:ascii="Times New Roman" w:hAnsi="Times New Roman" w:cs="Times New Roman"/>
          <w:sz w:val="24"/>
          <w:szCs w:val="24"/>
          <w:lang w:val="en-US"/>
        </w:rPr>
        <w:t>93</w:t>
      </w:r>
    </w:p>
    <w:sectPr w:rsidR="00DA1CD7" w:rsidRPr="00FA30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B4388"/>
    <w:multiLevelType w:val="hybridMultilevel"/>
    <w:tmpl w:val="6762B1A6"/>
    <w:lvl w:ilvl="0" w:tplc="A9EA0460">
      <w:start w:val="3"/>
      <w:numFmt w:val="bullet"/>
      <w:lvlText w:val="-"/>
      <w:lvlJc w:val="left"/>
      <w:pPr>
        <w:ind w:left="1080" w:hanging="360"/>
      </w:pPr>
      <w:rPr>
        <w:rFonts w:ascii="Times New Roman" w:eastAsiaTheme="minorHAnsi" w:hAnsi="Times New Roman" w:cs="Times New Roman" w:hint="default"/>
      </w:rPr>
    </w:lvl>
    <w:lvl w:ilvl="1" w:tplc="36166E2E" w:tentative="1">
      <w:start w:val="1"/>
      <w:numFmt w:val="bullet"/>
      <w:lvlText w:val="o"/>
      <w:lvlJc w:val="left"/>
      <w:pPr>
        <w:ind w:left="1800" w:hanging="360"/>
      </w:pPr>
      <w:rPr>
        <w:rFonts w:ascii="Courier New" w:hAnsi="Courier New" w:cs="Courier New" w:hint="default"/>
      </w:rPr>
    </w:lvl>
    <w:lvl w:ilvl="2" w:tplc="7DA83052" w:tentative="1">
      <w:start w:val="1"/>
      <w:numFmt w:val="bullet"/>
      <w:lvlText w:val=""/>
      <w:lvlJc w:val="left"/>
      <w:pPr>
        <w:ind w:left="2520" w:hanging="360"/>
      </w:pPr>
      <w:rPr>
        <w:rFonts w:ascii="Wingdings" w:hAnsi="Wingdings" w:hint="default"/>
      </w:rPr>
    </w:lvl>
    <w:lvl w:ilvl="3" w:tplc="36420DB0" w:tentative="1">
      <w:start w:val="1"/>
      <w:numFmt w:val="bullet"/>
      <w:lvlText w:val=""/>
      <w:lvlJc w:val="left"/>
      <w:pPr>
        <w:ind w:left="3240" w:hanging="360"/>
      </w:pPr>
      <w:rPr>
        <w:rFonts w:ascii="Symbol" w:hAnsi="Symbol" w:hint="default"/>
      </w:rPr>
    </w:lvl>
    <w:lvl w:ilvl="4" w:tplc="77186A1A" w:tentative="1">
      <w:start w:val="1"/>
      <w:numFmt w:val="bullet"/>
      <w:lvlText w:val="o"/>
      <w:lvlJc w:val="left"/>
      <w:pPr>
        <w:ind w:left="3960" w:hanging="360"/>
      </w:pPr>
      <w:rPr>
        <w:rFonts w:ascii="Courier New" w:hAnsi="Courier New" w:cs="Courier New" w:hint="default"/>
      </w:rPr>
    </w:lvl>
    <w:lvl w:ilvl="5" w:tplc="E21E4DE2" w:tentative="1">
      <w:start w:val="1"/>
      <w:numFmt w:val="bullet"/>
      <w:lvlText w:val=""/>
      <w:lvlJc w:val="left"/>
      <w:pPr>
        <w:ind w:left="4680" w:hanging="360"/>
      </w:pPr>
      <w:rPr>
        <w:rFonts w:ascii="Wingdings" w:hAnsi="Wingdings" w:hint="default"/>
      </w:rPr>
    </w:lvl>
    <w:lvl w:ilvl="6" w:tplc="5F7CB76A" w:tentative="1">
      <w:start w:val="1"/>
      <w:numFmt w:val="bullet"/>
      <w:lvlText w:val=""/>
      <w:lvlJc w:val="left"/>
      <w:pPr>
        <w:ind w:left="5400" w:hanging="360"/>
      </w:pPr>
      <w:rPr>
        <w:rFonts w:ascii="Symbol" w:hAnsi="Symbol" w:hint="default"/>
      </w:rPr>
    </w:lvl>
    <w:lvl w:ilvl="7" w:tplc="E5161A34" w:tentative="1">
      <w:start w:val="1"/>
      <w:numFmt w:val="bullet"/>
      <w:lvlText w:val="o"/>
      <w:lvlJc w:val="left"/>
      <w:pPr>
        <w:ind w:left="6120" w:hanging="360"/>
      </w:pPr>
      <w:rPr>
        <w:rFonts w:ascii="Courier New" w:hAnsi="Courier New" w:cs="Courier New" w:hint="default"/>
      </w:rPr>
    </w:lvl>
    <w:lvl w:ilvl="8" w:tplc="A3F20D1A" w:tentative="1">
      <w:start w:val="1"/>
      <w:numFmt w:val="bullet"/>
      <w:lvlText w:val=""/>
      <w:lvlJc w:val="left"/>
      <w:pPr>
        <w:ind w:left="6840" w:hanging="360"/>
      </w:pPr>
      <w:rPr>
        <w:rFonts w:ascii="Wingdings" w:hAnsi="Wingdings" w:hint="default"/>
      </w:rPr>
    </w:lvl>
  </w:abstractNum>
  <w:abstractNum w:abstractNumId="1" w15:restartNumberingAfterBreak="0">
    <w:nsid w:val="3F3D472F"/>
    <w:multiLevelType w:val="hybridMultilevel"/>
    <w:tmpl w:val="CDC456EC"/>
    <w:lvl w:ilvl="0" w:tplc="10CE2A18">
      <w:start w:val="1"/>
      <w:numFmt w:val="lowerLetter"/>
      <w:lvlText w:val="%1)"/>
      <w:lvlJc w:val="left"/>
      <w:pPr>
        <w:ind w:left="1080" w:hanging="360"/>
      </w:pPr>
    </w:lvl>
    <w:lvl w:ilvl="1" w:tplc="475A9A9C">
      <w:start w:val="1"/>
      <w:numFmt w:val="lowerLetter"/>
      <w:lvlText w:val="%2."/>
      <w:lvlJc w:val="left"/>
      <w:pPr>
        <w:ind w:left="1800" w:hanging="360"/>
      </w:pPr>
    </w:lvl>
    <w:lvl w:ilvl="2" w:tplc="BA0CF6EE">
      <w:start w:val="1"/>
      <w:numFmt w:val="lowerRoman"/>
      <w:lvlText w:val="%3."/>
      <w:lvlJc w:val="right"/>
      <w:pPr>
        <w:ind w:left="2520" w:hanging="180"/>
      </w:pPr>
    </w:lvl>
    <w:lvl w:ilvl="3" w:tplc="AB84540C">
      <w:start w:val="1"/>
      <w:numFmt w:val="decimal"/>
      <w:lvlText w:val="%4."/>
      <w:lvlJc w:val="left"/>
      <w:pPr>
        <w:ind w:left="3240" w:hanging="360"/>
      </w:pPr>
    </w:lvl>
    <w:lvl w:ilvl="4" w:tplc="E7EE4950">
      <w:start w:val="1"/>
      <w:numFmt w:val="lowerLetter"/>
      <w:lvlText w:val="%5."/>
      <w:lvlJc w:val="left"/>
      <w:pPr>
        <w:ind w:left="3960" w:hanging="360"/>
      </w:pPr>
    </w:lvl>
    <w:lvl w:ilvl="5" w:tplc="D6309DC2">
      <w:start w:val="1"/>
      <w:numFmt w:val="lowerRoman"/>
      <w:lvlText w:val="%6."/>
      <w:lvlJc w:val="right"/>
      <w:pPr>
        <w:ind w:left="4680" w:hanging="180"/>
      </w:pPr>
    </w:lvl>
    <w:lvl w:ilvl="6" w:tplc="8416D4E2">
      <w:start w:val="1"/>
      <w:numFmt w:val="decimal"/>
      <w:lvlText w:val="%7."/>
      <w:lvlJc w:val="left"/>
      <w:pPr>
        <w:ind w:left="5400" w:hanging="360"/>
      </w:pPr>
    </w:lvl>
    <w:lvl w:ilvl="7" w:tplc="85324178">
      <w:start w:val="1"/>
      <w:numFmt w:val="lowerLetter"/>
      <w:lvlText w:val="%8."/>
      <w:lvlJc w:val="left"/>
      <w:pPr>
        <w:ind w:left="6120" w:hanging="360"/>
      </w:pPr>
    </w:lvl>
    <w:lvl w:ilvl="8" w:tplc="26C01594">
      <w:start w:val="1"/>
      <w:numFmt w:val="lowerRoman"/>
      <w:lvlText w:val="%9."/>
      <w:lvlJc w:val="right"/>
      <w:pPr>
        <w:ind w:left="6840" w:hanging="180"/>
      </w:pPr>
    </w:lvl>
  </w:abstractNum>
  <w:abstractNum w:abstractNumId="2" w15:restartNumberingAfterBreak="0">
    <w:nsid w:val="5C6F4697"/>
    <w:multiLevelType w:val="hybridMultilevel"/>
    <w:tmpl w:val="109EDFC4"/>
    <w:lvl w:ilvl="0" w:tplc="9FF622E6">
      <w:start w:val="1"/>
      <w:numFmt w:val="lowerLetter"/>
      <w:lvlText w:val="%1)"/>
      <w:lvlJc w:val="left"/>
      <w:pPr>
        <w:ind w:left="720" w:hanging="360"/>
      </w:pPr>
      <w:rPr>
        <w:rFonts w:hint="default"/>
      </w:rPr>
    </w:lvl>
    <w:lvl w:ilvl="1" w:tplc="326CAB3A" w:tentative="1">
      <w:start w:val="1"/>
      <w:numFmt w:val="lowerLetter"/>
      <w:lvlText w:val="%2."/>
      <w:lvlJc w:val="left"/>
      <w:pPr>
        <w:ind w:left="1440" w:hanging="360"/>
      </w:pPr>
    </w:lvl>
    <w:lvl w:ilvl="2" w:tplc="5D667F92" w:tentative="1">
      <w:start w:val="1"/>
      <w:numFmt w:val="lowerRoman"/>
      <w:lvlText w:val="%3."/>
      <w:lvlJc w:val="right"/>
      <w:pPr>
        <w:ind w:left="2160" w:hanging="180"/>
      </w:pPr>
    </w:lvl>
    <w:lvl w:ilvl="3" w:tplc="6A5CB4CA" w:tentative="1">
      <w:start w:val="1"/>
      <w:numFmt w:val="decimal"/>
      <w:lvlText w:val="%4."/>
      <w:lvlJc w:val="left"/>
      <w:pPr>
        <w:ind w:left="2880" w:hanging="360"/>
      </w:pPr>
    </w:lvl>
    <w:lvl w:ilvl="4" w:tplc="48508CE8" w:tentative="1">
      <w:start w:val="1"/>
      <w:numFmt w:val="lowerLetter"/>
      <w:lvlText w:val="%5."/>
      <w:lvlJc w:val="left"/>
      <w:pPr>
        <w:ind w:left="3600" w:hanging="360"/>
      </w:pPr>
    </w:lvl>
    <w:lvl w:ilvl="5" w:tplc="038C5FB6" w:tentative="1">
      <w:start w:val="1"/>
      <w:numFmt w:val="lowerRoman"/>
      <w:lvlText w:val="%6."/>
      <w:lvlJc w:val="right"/>
      <w:pPr>
        <w:ind w:left="4320" w:hanging="180"/>
      </w:pPr>
    </w:lvl>
    <w:lvl w:ilvl="6" w:tplc="66C060C6" w:tentative="1">
      <w:start w:val="1"/>
      <w:numFmt w:val="decimal"/>
      <w:lvlText w:val="%7."/>
      <w:lvlJc w:val="left"/>
      <w:pPr>
        <w:ind w:left="5040" w:hanging="360"/>
      </w:pPr>
    </w:lvl>
    <w:lvl w:ilvl="7" w:tplc="03CE7588" w:tentative="1">
      <w:start w:val="1"/>
      <w:numFmt w:val="lowerLetter"/>
      <w:lvlText w:val="%8."/>
      <w:lvlJc w:val="left"/>
      <w:pPr>
        <w:ind w:left="5760" w:hanging="360"/>
      </w:pPr>
    </w:lvl>
    <w:lvl w:ilvl="8" w:tplc="4C802C20" w:tentative="1">
      <w:start w:val="1"/>
      <w:numFmt w:val="lowerRoman"/>
      <w:lvlText w:val="%9."/>
      <w:lvlJc w:val="right"/>
      <w:pPr>
        <w:ind w:left="6480" w:hanging="180"/>
      </w:pPr>
    </w:lvl>
  </w:abstractNum>
  <w:num w:numId="1">
    <w:abstractNumId w:val="2"/>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5E8"/>
    <w:rsid w:val="000032AE"/>
    <w:rsid w:val="000218F3"/>
    <w:rsid w:val="00034FF5"/>
    <w:rsid w:val="00036177"/>
    <w:rsid w:val="000369F4"/>
    <w:rsid w:val="000835E8"/>
    <w:rsid w:val="000F04B6"/>
    <w:rsid w:val="001B39FD"/>
    <w:rsid w:val="001F132B"/>
    <w:rsid w:val="00256156"/>
    <w:rsid w:val="00267882"/>
    <w:rsid w:val="00286C2B"/>
    <w:rsid w:val="00287333"/>
    <w:rsid w:val="00297CD0"/>
    <w:rsid w:val="002E3498"/>
    <w:rsid w:val="00337603"/>
    <w:rsid w:val="00364CE6"/>
    <w:rsid w:val="003B3716"/>
    <w:rsid w:val="00426FA5"/>
    <w:rsid w:val="00445B7F"/>
    <w:rsid w:val="00471DB8"/>
    <w:rsid w:val="004C1287"/>
    <w:rsid w:val="004E7B8E"/>
    <w:rsid w:val="0054334E"/>
    <w:rsid w:val="00545D08"/>
    <w:rsid w:val="0054603E"/>
    <w:rsid w:val="00565982"/>
    <w:rsid w:val="00636378"/>
    <w:rsid w:val="00671851"/>
    <w:rsid w:val="006A620D"/>
    <w:rsid w:val="006C433D"/>
    <w:rsid w:val="006F2545"/>
    <w:rsid w:val="007072C2"/>
    <w:rsid w:val="00782171"/>
    <w:rsid w:val="007E7C7E"/>
    <w:rsid w:val="00800C3A"/>
    <w:rsid w:val="0082672E"/>
    <w:rsid w:val="008E25A6"/>
    <w:rsid w:val="008E4387"/>
    <w:rsid w:val="009137EE"/>
    <w:rsid w:val="009235A9"/>
    <w:rsid w:val="00936F8E"/>
    <w:rsid w:val="009D7392"/>
    <w:rsid w:val="00A03838"/>
    <w:rsid w:val="00AE74EF"/>
    <w:rsid w:val="00B017A5"/>
    <w:rsid w:val="00B271DA"/>
    <w:rsid w:val="00B51FE9"/>
    <w:rsid w:val="00BD2525"/>
    <w:rsid w:val="00C2104D"/>
    <w:rsid w:val="00C21BC8"/>
    <w:rsid w:val="00C538F4"/>
    <w:rsid w:val="00C7389B"/>
    <w:rsid w:val="00C73BB2"/>
    <w:rsid w:val="00C75C6D"/>
    <w:rsid w:val="00CF2271"/>
    <w:rsid w:val="00D002C2"/>
    <w:rsid w:val="00D04E2F"/>
    <w:rsid w:val="00D14954"/>
    <w:rsid w:val="00D57CF1"/>
    <w:rsid w:val="00D9407B"/>
    <w:rsid w:val="00DA1CD7"/>
    <w:rsid w:val="00DB51D4"/>
    <w:rsid w:val="00DD46C4"/>
    <w:rsid w:val="00DE2E0A"/>
    <w:rsid w:val="00E12713"/>
    <w:rsid w:val="00E13CB7"/>
    <w:rsid w:val="00F534F4"/>
    <w:rsid w:val="00FA30FC"/>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00DA8"/>
  <w15:chartTrackingRefBased/>
  <w15:docId w15:val="{319A840C-6F4C-4BE0-ABEF-EC4A3B2C9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35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1804</Words>
  <Characters>10289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nurin athira</dc:creator>
  <cp:lastModifiedBy>nurin athira</cp:lastModifiedBy>
  <cp:revision>2</cp:revision>
  <dcterms:created xsi:type="dcterms:W3CDTF">2022-03-04T00:38:00Z</dcterms:created>
  <dcterms:modified xsi:type="dcterms:W3CDTF">2022-03-04T00:38:00Z</dcterms:modified>
</cp:coreProperties>
</file>