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B069C6E" w:rsidP="4B069C6E" w:rsidRDefault="4B069C6E" w14:paraId="6F8F515A" w14:textId="40CB8FDF">
      <w:pPr>
        <w:pStyle w:val="Normal"/>
        <w:spacing w:line="480" w:lineRule="auto"/>
        <w:jc w:val="both"/>
      </w:pPr>
      <w:r w:rsidRPr="4B069C6E" w:rsidR="4B069C6E">
        <w:rPr>
          <w:rFonts w:ascii="Arial" w:hAnsi="Arial" w:eastAsia="Arial" w:cs="Arial"/>
          <w:sz w:val="24"/>
          <w:szCs w:val="24"/>
        </w:rPr>
        <w:t xml:space="preserve">Throughout this reflective account I will be using the Gibbs reflective model. I have chosen Gibs because it is a simple model to use, effective and it allows you to explain how you are feeling (2.mmu, 2018). </w:t>
      </w:r>
      <w:r w:rsidRPr="4B069C6E" w:rsidR="4B069C6E">
        <w:rPr>
          <w:rFonts w:ascii="Arial" w:hAnsi="Arial" w:eastAsia="Arial" w:cs="Arial"/>
          <w:sz w:val="24"/>
          <w:szCs w:val="24"/>
        </w:rPr>
        <w:t xml:space="preserve">As part of an assessment for the Youth and Community course </w:t>
      </w:r>
      <w:r w:rsidRPr="4B069C6E" w:rsidR="4B069C6E">
        <w:rPr>
          <w:rFonts w:ascii="Arial" w:hAnsi="Arial" w:eastAsia="Arial" w:cs="Arial"/>
          <w:sz w:val="24"/>
          <w:szCs w:val="24"/>
        </w:rPr>
        <w:t xml:space="preserve">at </w:t>
      </w:r>
      <w:r w:rsidRPr="4B069C6E" w:rsidR="4B069C6E">
        <w:rPr>
          <w:rFonts w:ascii="Arial" w:hAnsi="Arial" w:eastAsia="Arial" w:cs="Arial"/>
          <w:sz w:val="24"/>
          <w:szCs w:val="24"/>
        </w:rPr>
        <w:t xml:space="preserve">level five </w:t>
      </w:r>
      <w:r w:rsidRPr="4B069C6E" w:rsidR="4B069C6E">
        <w:rPr>
          <w:rFonts w:ascii="Arial" w:hAnsi="Arial" w:eastAsia="Arial" w:cs="Arial"/>
          <w:sz w:val="24"/>
          <w:szCs w:val="24"/>
        </w:rPr>
        <w:t>in</w:t>
      </w:r>
      <w:r w:rsidRPr="4B069C6E" w:rsidR="4B069C6E">
        <w:rPr>
          <w:rFonts w:ascii="Arial" w:hAnsi="Arial" w:eastAsia="Arial" w:cs="Arial"/>
          <w:sz w:val="24"/>
          <w:szCs w:val="24"/>
        </w:rPr>
        <w:t xml:space="preserve"> university, the students were required to present a thirty-minute activity session on self-esteem and present it to the other students on the course. The students were put into groups of three by the lecturer. I will refer to the members in the group as member one and member two for the purpose of this reflective account. When I was put into the group, I felt uncomfortable because myself and member one was not on speaking terms at this stage. I couldn’t help thinking, how this is going to work and feeling a little anxious. As the time went on and all group members were given time to engage and plan their activity, there was a lot of silence and members on their mobile phones, no one engaging in the activity. One afternoon I went for lunch with members from other groups and member one came along too,  I decided to talk to member one and try and clear our differences, I explained that working within a group task involves all members to engage and communicate together. I explained that it is important to be professional adult</w:t>
      </w:r>
      <w:r w:rsidRPr="4B069C6E" w:rsidR="4B069C6E">
        <w:rPr>
          <w:rFonts w:ascii="Arial" w:hAnsi="Arial" w:eastAsia="Arial" w:cs="Arial"/>
          <w:sz w:val="24"/>
          <w:szCs w:val="24"/>
        </w:rPr>
        <w:t>s and set the differences aside. After this discussion I felt relived and there was less tension within the group. According to National Occupation Standards for Youth Work, (2014) w</w:t>
      </w:r>
      <w:r w:rsidRPr="4B069C6E" w:rsidR="4B069C6E">
        <w:rPr>
          <w:rFonts w:ascii="Arial" w:hAnsi="Arial" w:eastAsia="Arial" w:cs="Arial"/>
          <w:sz w:val="24"/>
          <w:szCs w:val="24"/>
        </w:rPr>
        <w:t xml:space="preserve">hen working within groups it is important for young people to control any conflict positively. This is the same for adults to remain professional and focus on the task. As the weeks were passing by and still no practicing for the group work activity was done, all group members were busy with their personal lives and other commitments. I was starting to worry as the activity date was getting closer, all group members decided to come into university and practice the week before the activity. However, I received a text message off member one saying she would not make it in due to ill health. Member two sent a text message to explain he were in another country and would not make it into practice. I felt anxious and very nervous at this point as I had not practiced for the activity and lacking in confidence presenting, I began to worry. I am a single mother with a large family of four children, the week before the activity all children became unwell and all off school leaving no time to practice as I had to attend to all their need's day and night. I felt exhausted and run down, this was a valuable lesson not to leave everything to last minute and use the time provided wisely. The morning of the activity came member two had messaged to say he would also not be taking part in presenting the activity as he was not going to make it back in time, I felt very nervous about presenting alone, I was physically shaking. I knew I would have to do this activity alone, I looked at this as I was working with young people and if I didn’t present the activity then I would be letting them down. I started to present the activity on self-esteem, asking everyone to gather in a circle. I introduced myself and explained that the activity was completely voluntary, I then explained that I would like someone to hold a ball, introduce themselves, say two positive things about themselves and then throw the ball to the next person until everyone has introduced themselves. Then I put them into pairs, I asked them to come up with a rap or a song, they would then present this to the others. Everyone appeared to be having fun and participating apart from one group member, he looked a little uncomfortable, I reassured him that he did not have to carry on with the activity if he was feeling uncomfortable, he insisted to continue with the activity. At the end of the activity </w:t>
      </w:r>
      <w:r w:rsidRPr="4B069C6E" w:rsidR="4B069C6E">
        <w:rPr>
          <w:rFonts w:ascii="Arial" w:hAnsi="Arial" w:eastAsia="Arial" w:cs="Arial"/>
          <w:sz w:val="24"/>
          <w:szCs w:val="24"/>
        </w:rPr>
        <w:t>he</w:t>
      </w:r>
      <w:r w:rsidRPr="4B069C6E" w:rsidR="4B069C6E">
        <w:rPr>
          <w:rFonts w:ascii="Arial" w:hAnsi="Arial" w:eastAsia="Arial" w:cs="Arial"/>
          <w:sz w:val="24"/>
          <w:szCs w:val="24"/>
        </w:rPr>
        <w:t xml:space="preserve"> was also enjoying, laughing and having fun. I felt happy and confident that I decided to present this activity alone</w:t>
      </w:r>
      <w:r w:rsidRPr="4B069C6E" w:rsidR="4B069C6E">
        <w:rPr>
          <w:rFonts w:ascii="Arial" w:hAnsi="Arial" w:eastAsia="Arial" w:cs="Arial"/>
          <w:sz w:val="24"/>
          <w:szCs w:val="24"/>
        </w:rPr>
        <w:t>. I</w:t>
      </w:r>
      <w:r w:rsidRPr="4B069C6E" w:rsidR="4B069C6E">
        <w:rPr>
          <w:rFonts w:ascii="Arial" w:hAnsi="Arial" w:eastAsia="Arial" w:cs="Arial"/>
          <w:sz w:val="24"/>
          <w:szCs w:val="24"/>
        </w:rPr>
        <w:t xml:space="preserve">t was clear that stepping out of that comfort zone is good for self-esteem. I did an evaluation at the end of the activity </w:t>
      </w:r>
      <w:r w:rsidRPr="4B069C6E" w:rsidR="4B069C6E">
        <w:rPr>
          <w:rFonts w:ascii="Arial" w:hAnsi="Arial" w:eastAsia="Arial" w:cs="Arial"/>
          <w:sz w:val="24"/>
          <w:szCs w:val="24"/>
        </w:rPr>
        <w:t>using</w:t>
      </w:r>
      <w:r w:rsidRPr="4B069C6E" w:rsidR="4B069C6E">
        <w:rPr>
          <w:rFonts w:ascii="Arial" w:hAnsi="Arial" w:eastAsia="Arial" w:cs="Arial"/>
          <w:sz w:val="24"/>
          <w:szCs w:val="24"/>
        </w:rPr>
        <w:t xml:space="preserve"> four </w:t>
      </w:r>
      <w:r w:rsidRPr="4B069C6E" w:rsidR="4B069C6E">
        <w:rPr>
          <w:rFonts w:ascii="Arial" w:hAnsi="Arial" w:eastAsia="Arial" w:cs="Arial"/>
          <w:sz w:val="24"/>
          <w:szCs w:val="24"/>
        </w:rPr>
        <w:t xml:space="preserve">pieces of </w:t>
      </w:r>
      <w:r w:rsidRPr="4B069C6E" w:rsidR="4B069C6E">
        <w:rPr>
          <w:rFonts w:ascii="Arial" w:hAnsi="Arial" w:eastAsia="Arial" w:cs="Arial"/>
          <w:sz w:val="24"/>
          <w:szCs w:val="24"/>
        </w:rPr>
        <w:t>coloured</w:t>
      </w:r>
      <w:r w:rsidRPr="4B069C6E" w:rsidR="4B069C6E">
        <w:rPr>
          <w:rFonts w:ascii="Arial" w:hAnsi="Arial" w:eastAsia="Arial" w:cs="Arial"/>
          <w:sz w:val="24"/>
          <w:szCs w:val="24"/>
        </w:rPr>
        <w:t xml:space="preserve"> </w:t>
      </w:r>
      <w:r w:rsidRPr="4B069C6E" w:rsidR="4B069C6E">
        <w:rPr>
          <w:rFonts w:ascii="Arial" w:hAnsi="Arial" w:eastAsia="Arial" w:cs="Arial"/>
          <w:sz w:val="24"/>
          <w:szCs w:val="24"/>
        </w:rPr>
        <w:t>card and posted note</w:t>
      </w:r>
      <w:r w:rsidRPr="4B069C6E" w:rsidR="4B069C6E">
        <w:rPr>
          <w:rFonts w:ascii="Arial" w:hAnsi="Arial" w:eastAsia="Arial" w:cs="Arial"/>
          <w:sz w:val="24"/>
          <w:szCs w:val="24"/>
        </w:rPr>
        <w:t xml:space="preserve">s, </w:t>
      </w:r>
      <w:r w:rsidRPr="4B069C6E" w:rsidR="4B069C6E">
        <w:rPr>
          <w:rFonts w:ascii="Arial" w:hAnsi="Arial" w:eastAsia="Arial" w:cs="Arial"/>
          <w:sz w:val="24"/>
          <w:szCs w:val="24"/>
        </w:rPr>
        <w:t xml:space="preserve">asking everyone what </w:t>
      </w:r>
      <w:r w:rsidRPr="4B069C6E" w:rsidR="4B069C6E">
        <w:rPr>
          <w:rFonts w:ascii="Arial" w:hAnsi="Arial" w:eastAsia="Arial" w:cs="Arial"/>
          <w:sz w:val="24"/>
          <w:szCs w:val="24"/>
        </w:rPr>
        <w:t xml:space="preserve">did </w:t>
      </w:r>
      <w:r w:rsidRPr="4B069C6E" w:rsidR="4B069C6E">
        <w:rPr>
          <w:rFonts w:ascii="Arial" w:hAnsi="Arial" w:eastAsia="Arial" w:cs="Arial"/>
          <w:sz w:val="24"/>
          <w:szCs w:val="24"/>
        </w:rPr>
        <w:t xml:space="preserve">they like about the activity? What would they have changed about the activity? Did they have fun? And how are they feeling? I then </w:t>
      </w:r>
      <w:r w:rsidRPr="4B069C6E" w:rsidR="4B069C6E">
        <w:rPr>
          <w:rFonts w:ascii="Arial" w:hAnsi="Arial" w:eastAsia="Arial" w:cs="Arial"/>
          <w:sz w:val="24"/>
          <w:szCs w:val="24"/>
        </w:rPr>
        <w:t>said thank you to</w:t>
      </w:r>
      <w:r w:rsidRPr="4B069C6E" w:rsidR="4B069C6E">
        <w:rPr>
          <w:rFonts w:ascii="Arial" w:hAnsi="Arial" w:eastAsia="Arial" w:cs="Arial"/>
          <w:sz w:val="24"/>
          <w:szCs w:val="24"/>
        </w:rPr>
        <w:t xml:space="preserve"> everyone for participating and for their </w:t>
      </w:r>
      <w:r w:rsidRPr="4B069C6E" w:rsidR="4B069C6E">
        <w:rPr>
          <w:rFonts w:ascii="Arial" w:hAnsi="Arial" w:eastAsia="Arial" w:cs="Arial"/>
          <w:sz w:val="24"/>
          <w:szCs w:val="24"/>
        </w:rPr>
        <w:t xml:space="preserve">time, I also said thank you for their </w:t>
      </w:r>
      <w:r w:rsidRPr="4B069C6E" w:rsidR="4B069C6E">
        <w:rPr>
          <w:rFonts w:ascii="Arial" w:hAnsi="Arial" w:eastAsia="Arial" w:cs="Arial"/>
          <w:sz w:val="24"/>
          <w:szCs w:val="24"/>
        </w:rPr>
        <w:t>consent forms.  Reading the posed notes, on the evaluation cards and some of the lovely comments, I felt positive and confidant that the activity run smoothly, and everyone enjoyed</w:t>
      </w:r>
      <w:r w:rsidRPr="4B069C6E" w:rsidR="4B069C6E">
        <w:rPr>
          <w:rFonts w:ascii="Arial" w:hAnsi="Arial" w:eastAsia="Arial" w:cs="Arial"/>
          <w:sz w:val="24"/>
          <w:szCs w:val="24"/>
        </w:rPr>
        <w:t xml:space="preserve"> and had fun while learning</w:t>
      </w:r>
      <w:r w:rsidRPr="4B069C6E" w:rsidR="4B069C6E">
        <w:rPr>
          <w:rFonts w:ascii="Arial" w:hAnsi="Arial" w:eastAsia="Arial" w:cs="Arial"/>
          <w:sz w:val="24"/>
          <w:szCs w:val="24"/>
        </w:rPr>
        <w:t>. I felt I used a professional approach and helpful to all. The only thing I would have changed is, I would have practiced and timed the activity before presenting as I was very nervous of the timings because I did not practice</w:t>
      </w:r>
      <w:r w:rsidRPr="4B069C6E" w:rsidR="4B069C6E">
        <w:rPr>
          <w:rFonts w:ascii="Arial" w:hAnsi="Arial" w:eastAsia="Arial" w:cs="Arial"/>
          <w:sz w:val="24"/>
          <w:szCs w:val="24"/>
        </w:rPr>
        <w:t xml:space="preserve"> which I plan to do in the future.</w:t>
      </w:r>
    </w:p>
    <w:p w:rsidR="4B069C6E" w:rsidP="4B069C6E" w:rsidRDefault="4B069C6E" w14:paraId="563F9084" w14:textId="45F15473">
      <w:pPr>
        <w:pStyle w:val="Normal"/>
        <w:rPr>
          <w:rFonts w:ascii="Arial" w:hAnsi="Arial" w:eastAsia="Arial" w:cs="Arial"/>
          <w:sz w:val="24"/>
          <w:szCs w:val="24"/>
        </w:rPr>
      </w:pPr>
    </w:p>
    <w:p w:rsidR="4B069C6E" w:rsidP="4B069C6E" w:rsidRDefault="4B069C6E" w14:paraId="74E538AC" w14:textId="22B00257">
      <w:pPr>
        <w:pStyle w:val="Normal"/>
        <w:rPr>
          <w:rFonts w:ascii="Arial" w:hAnsi="Arial" w:eastAsia="Arial" w:cs="Arial"/>
          <w:sz w:val="24"/>
          <w:szCs w:val="24"/>
        </w:rPr>
      </w:pPr>
      <w:r w:rsidRPr="4B069C6E" w:rsidR="4B069C6E">
        <w:rPr>
          <w:rFonts w:ascii="Arial" w:hAnsi="Arial" w:eastAsia="Arial" w:cs="Arial"/>
          <w:sz w:val="24"/>
          <w:szCs w:val="24"/>
        </w:rPr>
        <w:t xml:space="preserve">Reference list </w:t>
      </w:r>
    </w:p>
    <w:p w:rsidR="4B069C6E" w:rsidP="4B069C6E" w:rsidRDefault="4B069C6E" w14:paraId="6743B691" w14:textId="6DBF2DDD">
      <w:pPr>
        <w:ind w:left="720" w:hanging="720"/>
      </w:pPr>
      <w:r w:rsidRPr="4B069C6E" w:rsidR="4B069C6E">
        <w:rPr>
          <w:rFonts w:ascii="Arial" w:hAnsi="Arial" w:eastAsia="Arial" w:cs="Arial"/>
          <w:noProof w:val="0"/>
          <w:sz w:val="24"/>
          <w:szCs w:val="24"/>
          <w:lang w:val="en-GB"/>
        </w:rPr>
        <w:t>2.mmu, (2018)</w:t>
      </w:r>
      <w:r w:rsidRPr="4B069C6E" w:rsidR="4B069C6E">
        <w:rPr>
          <w:rFonts w:ascii="Arial" w:hAnsi="Arial" w:eastAsia="Arial" w:cs="Arial"/>
          <w:i w:val="1"/>
          <w:iCs w:val="1"/>
          <w:noProof w:val="0"/>
          <w:sz w:val="24"/>
          <w:szCs w:val="24"/>
          <w:lang w:val="en-GB"/>
        </w:rPr>
        <w:t xml:space="preserve"> Applying the Gibbs’ Reflective Model. </w:t>
      </w:r>
      <w:r w:rsidRPr="4B069C6E" w:rsidR="4B069C6E">
        <w:rPr>
          <w:rFonts w:ascii="Arial" w:hAnsi="Arial" w:eastAsia="Arial" w:cs="Arial"/>
          <w:noProof w:val="0"/>
          <w:sz w:val="24"/>
          <w:szCs w:val="24"/>
          <w:lang w:val="en-GB"/>
        </w:rPr>
        <w:t xml:space="preserve">Available at: </w:t>
      </w:r>
      <w:hyperlink r:id="Rf7fd8985a6624ede">
        <w:r w:rsidRPr="4B069C6E" w:rsidR="4B069C6E">
          <w:rPr>
            <w:rStyle w:val="Hyperlink"/>
            <w:rFonts w:ascii="Arial" w:hAnsi="Arial" w:eastAsia="Arial" w:cs="Arial"/>
            <w:noProof w:val="0"/>
            <w:color w:val="0563C1"/>
            <w:sz w:val="24"/>
            <w:szCs w:val="24"/>
            <w:lang w:val="en-GB"/>
          </w:rPr>
          <w:t>https://www2.mmu.ac.uk/media/mmuacuk/content/documents/careers/Applying-the-Gibbs-Model-2018.pdf</w:t>
        </w:r>
      </w:hyperlink>
      <w:r w:rsidRPr="4B069C6E" w:rsidR="4B069C6E">
        <w:rPr>
          <w:rFonts w:ascii="Arial" w:hAnsi="Arial" w:eastAsia="Arial" w:cs="Arial"/>
          <w:noProof w:val="0"/>
          <w:color w:val="0563C1"/>
          <w:sz w:val="24"/>
          <w:szCs w:val="24"/>
          <w:lang w:val="en-GB"/>
        </w:rPr>
        <w:t xml:space="preserve"> </w:t>
      </w:r>
      <w:r w:rsidRPr="4B069C6E" w:rsidR="4B069C6E">
        <w:rPr>
          <w:rFonts w:ascii="Arial" w:hAnsi="Arial" w:eastAsia="Arial" w:cs="Arial"/>
          <w:noProof w:val="0"/>
          <w:color w:val="auto"/>
          <w:sz w:val="24"/>
          <w:szCs w:val="24"/>
          <w:lang w:val="en-GB"/>
        </w:rPr>
        <w:t>(Accessed: 14</w:t>
      </w:r>
      <w:r w:rsidRPr="4B069C6E" w:rsidR="4B069C6E">
        <w:rPr>
          <w:rFonts w:ascii="Arial" w:hAnsi="Arial" w:eastAsia="Arial" w:cs="Arial"/>
          <w:noProof w:val="0"/>
          <w:color w:val="auto"/>
          <w:sz w:val="19"/>
          <w:szCs w:val="19"/>
          <w:vertAlign w:val="superscript"/>
          <w:lang w:val="en-GB"/>
        </w:rPr>
        <w:t>th</w:t>
      </w:r>
      <w:r w:rsidRPr="4B069C6E" w:rsidR="4B069C6E">
        <w:rPr>
          <w:rFonts w:ascii="Arial" w:hAnsi="Arial" w:eastAsia="Arial" w:cs="Arial"/>
          <w:noProof w:val="0"/>
          <w:color w:val="auto"/>
          <w:sz w:val="24"/>
          <w:szCs w:val="24"/>
          <w:lang w:val="en-GB"/>
        </w:rPr>
        <w:t xml:space="preserve"> </w:t>
      </w:r>
      <w:r w:rsidRPr="4B069C6E" w:rsidR="4B069C6E">
        <w:rPr>
          <w:rFonts w:ascii="Arial" w:hAnsi="Arial" w:eastAsia="Arial" w:cs="Arial"/>
          <w:noProof w:val="0"/>
          <w:sz w:val="24"/>
          <w:szCs w:val="24"/>
          <w:lang w:val="en-GB"/>
        </w:rPr>
        <w:t xml:space="preserve">December 2019). </w:t>
      </w:r>
    </w:p>
    <w:p w:rsidR="4B069C6E" w:rsidP="4B069C6E" w:rsidRDefault="4B069C6E" w14:paraId="21842656" w14:textId="5C0D4089">
      <w:pPr>
        <w:ind w:left="720" w:hanging="720"/>
      </w:pPr>
      <w:r w:rsidRPr="4B069C6E" w:rsidR="4B069C6E">
        <w:rPr>
          <w:rFonts w:ascii="Arial" w:hAnsi="Arial" w:eastAsia="Arial" w:cs="Arial"/>
          <w:noProof w:val="0"/>
          <w:sz w:val="24"/>
          <w:szCs w:val="24"/>
          <w:lang w:val="en-GB"/>
        </w:rPr>
        <w:t xml:space="preserve">National Occupational Standards for </w:t>
      </w:r>
      <w:r w:rsidRPr="4B069C6E" w:rsidR="4B069C6E">
        <w:rPr>
          <w:rFonts w:ascii="Arial" w:hAnsi="Arial" w:eastAsia="Arial" w:cs="Arial"/>
          <w:noProof w:val="0"/>
          <w:sz w:val="24"/>
          <w:szCs w:val="24"/>
          <w:lang w:val="en-GB"/>
        </w:rPr>
        <w:t xml:space="preserve">Youth Work, (2014) </w:t>
      </w:r>
      <w:r w:rsidRPr="4B069C6E" w:rsidR="4B069C6E">
        <w:rPr>
          <w:rFonts w:ascii="Arial" w:hAnsi="Arial" w:eastAsia="Arial" w:cs="Arial"/>
          <w:i w:val="1"/>
          <w:iCs w:val="1"/>
          <w:noProof w:val="0"/>
          <w:sz w:val="24"/>
          <w:szCs w:val="24"/>
          <w:lang w:val="en-GB"/>
        </w:rPr>
        <w:t>Youth Work National Occupational Standards Introduction.</w:t>
      </w:r>
      <w:r w:rsidRPr="4B069C6E" w:rsidR="4B069C6E">
        <w:rPr>
          <w:rFonts w:ascii="Arial" w:hAnsi="Arial" w:eastAsia="Arial" w:cs="Arial"/>
          <w:noProof w:val="0"/>
          <w:sz w:val="24"/>
          <w:szCs w:val="24"/>
          <w:lang w:val="en-GB"/>
        </w:rPr>
        <w:t xml:space="preserve"> Available at: </w:t>
      </w:r>
      <w:hyperlink r:id="Rdcf07df90f4f4aa9">
        <w:r w:rsidRPr="4B069C6E" w:rsidR="4B069C6E">
          <w:rPr>
            <w:rStyle w:val="Hyperlink"/>
            <w:rFonts w:ascii="Arial" w:hAnsi="Arial" w:eastAsia="Arial" w:cs="Arial"/>
            <w:noProof w:val="0"/>
            <w:color w:val="0563C1"/>
            <w:sz w:val="24"/>
            <w:szCs w:val="24"/>
            <w:lang w:val="en-GB"/>
          </w:rPr>
          <w:t>http://www.nya.org.uk/wp-content/uploads/2014/06/National-Occupation-Standards-for-Youth-Work.pdf</w:t>
        </w:r>
      </w:hyperlink>
      <w:r w:rsidRPr="4B069C6E" w:rsidR="4B069C6E">
        <w:rPr>
          <w:rFonts w:ascii="Arial" w:hAnsi="Arial" w:eastAsia="Arial" w:cs="Arial"/>
          <w:noProof w:val="0"/>
          <w:color w:val="0563C1"/>
          <w:sz w:val="24"/>
          <w:szCs w:val="24"/>
          <w:lang w:val="en-GB"/>
        </w:rPr>
        <w:t xml:space="preserve"> </w:t>
      </w:r>
      <w:r w:rsidRPr="4B069C6E" w:rsidR="4B069C6E">
        <w:rPr>
          <w:rFonts w:ascii="Arial" w:hAnsi="Arial" w:eastAsia="Arial" w:cs="Arial"/>
          <w:noProof w:val="0"/>
          <w:color w:val="auto"/>
          <w:sz w:val="24"/>
          <w:szCs w:val="24"/>
          <w:lang w:val="en-GB"/>
        </w:rPr>
        <w:t>(Accessed: 14</w:t>
      </w:r>
      <w:r w:rsidRPr="4B069C6E" w:rsidR="4B069C6E">
        <w:rPr>
          <w:rFonts w:ascii="Arial" w:hAnsi="Arial" w:eastAsia="Arial" w:cs="Arial"/>
          <w:noProof w:val="0"/>
          <w:color w:val="auto"/>
          <w:sz w:val="19"/>
          <w:szCs w:val="19"/>
          <w:vertAlign w:val="superscript"/>
          <w:lang w:val="en-GB"/>
        </w:rPr>
        <w:t>th</w:t>
      </w:r>
      <w:r w:rsidRPr="4B069C6E" w:rsidR="4B069C6E">
        <w:rPr>
          <w:rFonts w:ascii="Arial" w:hAnsi="Arial" w:eastAsia="Arial" w:cs="Arial"/>
          <w:noProof w:val="0"/>
          <w:color w:val="auto"/>
          <w:sz w:val="24"/>
          <w:szCs w:val="24"/>
          <w:lang w:val="en-GB"/>
        </w:rPr>
        <w:t xml:space="preserve"> </w:t>
      </w:r>
      <w:r w:rsidRPr="4B069C6E" w:rsidR="4B069C6E">
        <w:rPr>
          <w:rFonts w:ascii="Arial" w:hAnsi="Arial" w:eastAsia="Arial" w:cs="Arial"/>
          <w:noProof w:val="0"/>
          <w:sz w:val="24"/>
          <w:szCs w:val="24"/>
          <w:lang w:val="en-GB"/>
        </w:rPr>
        <w:t>December 2019).</w:t>
      </w:r>
    </w:p>
    <w:p w:rsidR="4B069C6E" w:rsidP="4B069C6E" w:rsidRDefault="4B069C6E" w14:paraId="4BD072B4" w14:textId="567C4DB9">
      <w:pPr>
        <w:pStyle w:val="Normal"/>
        <w:ind w:left="720" w:hanging="720"/>
        <w:rPr>
          <w:rFonts w:ascii="Arial" w:hAnsi="Arial" w:eastAsia="Arial" w:cs="Arial"/>
          <w:noProof w:val="0"/>
          <w:sz w:val="24"/>
          <w:szCs w:val="24"/>
          <w:lang w:val="en-GB"/>
        </w:rPr>
      </w:pPr>
    </w:p>
    <w:p w:rsidR="4B069C6E" w:rsidP="4B069C6E" w:rsidRDefault="4B069C6E" w14:paraId="6B823B77" w14:textId="6BBB1F5E">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63349a785556499a"/>
      <w:footerReference w:type="default" r:id="R12dbc7733f9041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B069C6E" w:rsidTr="4B069C6E" w14:paraId="04EF6BF4">
      <w:tc>
        <w:tcPr>
          <w:tcW w:w="3009" w:type="dxa"/>
          <w:tcMar/>
        </w:tcPr>
        <w:p w:rsidR="4B069C6E" w:rsidP="4B069C6E" w:rsidRDefault="4B069C6E" w14:paraId="250224D2" w14:textId="7518A3AA">
          <w:pPr>
            <w:pStyle w:val="Header"/>
            <w:bidi w:val="0"/>
            <w:ind w:left="-115"/>
            <w:jc w:val="left"/>
          </w:pPr>
        </w:p>
      </w:tc>
      <w:tc>
        <w:tcPr>
          <w:tcW w:w="3009" w:type="dxa"/>
          <w:tcMar/>
        </w:tcPr>
        <w:p w:rsidR="4B069C6E" w:rsidP="4B069C6E" w:rsidRDefault="4B069C6E" w14:paraId="018A66CF" w14:textId="2C6AF27D">
          <w:pPr>
            <w:pStyle w:val="Header"/>
            <w:bidi w:val="0"/>
            <w:jc w:val="center"/>
          </w:pPr>
        </w:p>
      </w:tc>
      <w:tc>
        <w:tcPr>
          <w:tcW w:w="3009" w:type="dxa"/>
          <w:tcMar/>
        </w:tcPr>
        <w:p w:rsidR="4B069C6E" w:rsidP="4B069C6E" w:rsidRDefault="4B069C6E" w14:paraId="1F2497CD" w14:textId="2D3BE0D7">
          <w:pPr>
            <w:pStyle w:val="Header"/>
            <w:bidi w:val="0"/>
            <w:ind w:right="-115"/>
            <w:jc w:val="right"/>
          </w:pPr>
        </w:p>
      </w:tc>
    </w:tr>
  </w:tbl>
  <w:p w:rsidR="4B069C6E" w:rsidP="4B069C6E" w:rsidRDefault="4B069C6E" w14:paraId="70D45FB6" w14:textId="5D90D55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B069C6E" w:rsidTr="4B069C6E" w14:paraId="5320E463">
      <w:tc>
        <w:tcPr>
          <w:tcW w:w="3009" w:type="dxa"/>
          <w:tcMar/>
        </w:tcPr>
        <w:p w:rsidR="4B069C6E" w:rsidP="4B069C6E" w:rsidRDefault="4B069C6E" w14:paraId="2BA00781" w14:textId="65B269B6">
          <w:pPr>
            <w:pStyle w:val="Header"/>
            <w:bidi w:val="0"/>
            <w:ind w:left="-115"/>
            <w:jc w:val="left"/>
          </w:pPr>
          <w:r w:rsidR="4B069C6E">
            <w:rPr/>
            <w:t>1810378</w:t>
          </w:r>
        </w:p>
      </w:tc>
      <w:tc>
        <w:tcPr>
          <w:tcW w:w="3009" w:type="dxa"/>
          <w:tcMar/>
        </w:tcPr>
        <w:p w:rsidR="4B069C6E" w:rsidP="4B069C6E" w:rsidRDefault="4B069C6E" w14:paraId="70CAE22D" w14:textId="2283E17B">
          <w:pPr>
            <w:pStyle w:val="Header"/>
            <w:bidi w:val="0"/>
            <w:jc w:val="center"/>
          </w:pPr>
        </w:p>
      </w:tc>
      <w:tc>
        <w:tcPr>
          <w:tcW w:w="3009" w:type="dxa"/>
          <w:tcMar/>
        </w:tcPr>
        <w:p w:rsidR="4B069C6E" w:rsidP="4B069C6E" w:rsidRDefault="4B069C6E" w14:paraId="3656296F" w14:textId="0D9FCA83">
          <w:pPr>
            <w:pStyle w:val="Header"/>
            <w:bidi w:val="0"/>
            <w:ind w:right="-115"/>
            <w:jc w:val="right"/>
          </w:pPr>
          <w:r w:rsidR="4B069C6E">
            <w:rPr/>
            <w:t>SJYW5009</w:t>
          </w:r>
        </w:p>
      </w:tc>
    </w:tr>
  </w:tbl>
  <w:p w:rsidR="4B069C6E" w:rsidP="4B069C6E" w:rsidRDefault="4B069C6E" w14:paraId="6411BE65" w14:textId="3442332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EC91573"/>
  <w15:docId w15:val="{ea302095-e9e3-470b-b77f-e20c7b1a26b5}"/>
  <w:rsids>
    <w:rsidRoot w:val="1EC91573"/>
    <w:rsid w:val="1EC91573"/>
    <w:rsid w:val="4B069C6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2.mmu.ac.uk/media/mmuacuk/content/documents/careers/Applying-the-Gibbs-Model-2018.pdf" TargetMode="External" Id="Rf7fd8985a6624ede" /><Relationship Type="http://schemas.openxmlformats.org/officeDocument/2006/relationships/hyperlink" Target="http://www.nya.org.uk/wp-content/uploads/2014/06/National-Occupation-Standards-for-Youth-Work.pdf" TargetMode="External" Id="Rdcf07df90f4f4aa9" /><Relationship Type="http://schemas.openxmlformats.org/officeDocument/2006/relationships/header" Target="/word/header.xml" Id="R63349a785556499a" /><Relationship Type="http://schemas.openxmlformats.org/officeDocument/2006/relationships/footer" Target="/word/footer.xml" Id="R12dbc7733f9041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Plant (1810378)</dc:creator>
  <keywords/>
  <dc:description/>
  <lastModifiedBy>Samantha Plant (1810378)</lastModifiedBy>
  <revision>2</revision>
  <dcterms:created xsi:type="dcterms:W3CDTF">2019-12-16T20:26:07.7636417Z</dcterms:created>
  <dcterms:modified xsi:type="dcterms:W3CDTF">2019-12-16T23:36:03.7252051Z</dcterms:modified>
</coreProperties>
</file>