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F4AC6" w14:textId="65C6F907" w:rsidR="00687D68" w:rsidRPr="00A615E4" w:rsidRDefault="007E0F21" w:rsidP="007E0F21">
      <w:pPr>
        <w:jc w:val="center"/>
        <w:rPr>
          <w:b/>
          <w:bCs/>
          <w:sz w:val="28"/>
          <w:szCs w:val="28"/>
          <w:u w:val="single"/>
        </w:rPr>
      </w:pPr>
      <w:r w:rsidRPr="00A615E4">
        <w:rPr>
          <w:b/>
          <w:bCs/>
          <w:sz w:val="28"/>
          <w:szCs w:val="28"/>
          <w:u w:val="single"/>
        </w:rPr>
        <w:t>Is the law governing homicide in England and Wales in need of a reform?</w:t>
      </w:r>
    </w:p>
    <w:p w14:paraId="56D528B6" w14:textId="2C91FBCF" w:rsidR="00F615B5" w:rsidRDefault="007E0F21" w:rsidP="007E0F21">
      <w:pPr>
        <w:rPr>
          <w:sz w:val="24"/>
          <w:szCs w:val="24"/>
        </w:rPr>
      </w:pPr>
      <w:r>
        <w:rPr>
          <w:sz w:val="24"/>
          <w:szCs w:val="24"/>
        </w:rPr>
        <w:t xml:space="preserve">Homicide </w:t>
      </w:r>
      <w:r w:rsidR="00033A5A">
        <w:rPr>
          <w:sz w:val="24"/>
          <w:szCs w:val="24"/>
        </w:rPr>
        <w:t xml:space="preserve">consists of two </w:t>
      </w:r>
      <w:r w:rsidR="00C01714">
        <w:rPr>
          <w:sz w:val="24"/>
          <w:szCs w:val="24"/>
        </w:rPr>
        <w:t>offenses;</w:t>
      </w:r>
      <w:r w:rsidR="00033A5A">
        <w:rPr>
          <w:sz w:val="24"/>
          <w:szCs w:val="24"/>
        </w:rPr>
        <w:t xml:space="preserve"> </w:t>
      </w:r>
      <w:r w:rsidR="00C01714">
        <w:rPr>
          <w:sz w:val="24"/>
          <w:szCs w:val="24"/>
        </w:rPr>
        <w:t>these</w:t>
      </w:r>
      <w:r w:rsidR="00033A5A">
        <w:rPr>
          <w:sz w:val="24"/>
          <w:szCs w:val="24"/>
        </w:rPr>
        <w:t xml:space="preserve"> are murder and manslaughter. Murder is the unlawful killing of a human being, under the Queen’s peace with intent to kill or to cause grievous bodily harm</w:t>
      </w:r>
      <w:r w:rsidR="00A615E4">
        <w:rPr>
          <w:sz w:val="24"/>
          <w:szCs w:val="24"/>
        </w:rPr>
        <w:t xml:space="preserve"> (GBH)</w:t>
      </w:r>
      <w:r w:rsidR="00033A5A">
        <w:rPr>
          <w:sz w:val="24"/>
          <w:szCs w:val="24"/>
        </w:rPr>
        <w:t>.</w:t>
      </w:r>
      <w:r w:rsidR="00C11ABC">
        <w:rPr>
          <w:sz w:val="24"/>
          <w:szCs w:val="24"/>
        </w:rPr>
        <w:t xml:space="preserve"> Murder is a common law.</w:t>
      </w:r>
      <w:r w:rsidR="00033A5A">
        <w:rPr>
          <w:sz w:val="24"/>
          <w:szCs w:val="24"/>
        </w:rPr>
        <w:t xml:space="preserve"> </w:t>
      </w:r>
      <w:r w:rsidR="00392A26">
        <w:rPr>
          <w:sz w:val="24"/>
          <w:szCs w:val="24"/>
        </w:rPr>
        <w:t>The current law on homicide includes external elements (actus reus) and mental elements (mens reus). If these two elements are satisfied with no suitable defence, then criminal liability can take place.</w:t>
      </w:r>
      <w:r w:rsidR="0077046A">
        <w:rPr>
          <w:sz w:val="24"/>
          <w:szCs w:val="24"/>
        </w:rPr>
        <w:t xml:space="preserve"> </w:t>
      </w:r>
      <w:r w:rsidR="00033A5A">
        <w:rPr>
          <w:sz w:val="24"/>
          <w:szCs w:val="24"/>
        </w:rPr>
        <w:t>Manslaughter</w:t>
      </w:r>
      <w:r w:rsidR="00113D77">
        <w:rPr>
          <w:sz w:val="24"/>
          <w:szCs w:val="24"/>
        </w:rPr>
        <w:t xml:space="preserve"> comes under two categories, voluntary manslaughter and involuntary manslaughter. Voluntary manslaughter</w:t>
      </w:r>
      <w:r w:rsidR="00033A5A">
        <w:rPr>
          <w:sz w:val="24"/>
          <w:szCs w:val="24"/>
        </w:rPr>
        <w:t xml:space="preserve"> is the killing with intention of murder, however where defences apply such as diminished responsibility and loss of control.</w:t>
      </w:r>
      <w:r w:rsidR="00033A5A" w:rsidRPr="00392A26">
        <w:rPr>
          <w:sz w:val="24"/>
          <w:szCs w:val="24"/>
        </w:rPr>
        <w:t xml:space="preserve"> </w:t>
      </w:r>
      <w:r w:rsidR="005C361D" w:rsidRPr="00A615E4">
        <w:rPr>
          <w:i/>
          <w:iCs/>
          <w:sz w:val="24"/>
          <w:szCs w:val="24"/>
        </w:rPr>
        <w:t>(Crown Prosecution Service, 2019)</w:t>
      </w:r>
      <w:r w:rsidR="005C361D">
        <w:rPr>
          <w:sz w:val="24"/>
          <w:szCs w:val="24"/>
        </w:rPr>
        <w:t xml:space="preserve">. </w:t>
      </w:r>
      <w:r w:rsidR="00392A26" w:rsidRPr="00392A26">
        <w:rPr>
          <w:sz w:val="24"/>
          <w:szCs w:val="24"/>
        </w:rPr>
        <w:t>Voluntary manslaughter was reformed by the Coroners and Justice Act 2009, S.54 and S.55.</w:t>
      </w:r>
      <w:r w:rsidR="00392A26">
        <w:rPr>
          <w:sz w:val="24"/>
          <w:szCs w:val="24"/>
        </w:rPr>
        <w:t xml:space="preserve"> </w:t>
      </w:r>
      <w:r w:rsidR="00392A26" w:rsidRPr="0077046A">
        <w:rPr>
          <w:i/>
          <w:iCs/>
          <w:sz w:val="24"/>
          <w:szCs w:val="24"/>
        </w:rPr>
        <w:t>(</w:t>
      </w:r>
      <w:r w:rsidR="0077046A" w:rsidRPr="0077046A">
        <w:rPr>
          <w:i/>
          <w:iCs/>
          <w:sz w:val="24"/>
          <w:szCs w:val="24"/>
        </w:rPr>
        <w:t>Homicide Act</w:t>
      </w:r>
      <w:r w:rsidR="0077046A">
        <w:rPr>
          <w:i/>
          <w:iCs/>
          <w:sz w:val="24"/>
          <w:szCs w:val="24"/>
        </w:rPr>
        <w:t>,</w:t>
      </w:r>
      <w:r w:rsidR="0077046A" w:rsidRPr="0077046A">
        <w:rPr>
          <w:i/>
          <w:iCs/>
          <w:sz w:val="24"/>
          <w:szCs w:val="24"/>
        </w:rPr>
        <w:t xml:space="preserve"> 1957)</w:t>
      </w:r>
      <w:r w:rsidR="0077046A">
        <w:rPr>
          <w:i/>
          <w:iCs/>
          <w:sz w:val="24"/>
          <w:szCs w:val="24"/>
        </w:rPr>
        <w:t>.</w:t>
      </w:r>
      <w:r w:rsidR="00AA2DAB">
        <w:rPr>
          <w:sz w:val="24"/>
          <w:szCs w:val="24"/>
        </w:rPr>
        <w:t xml:space="preserve"> </w:t>
      </w:r>
      <w:r w:rsidR="00113D77">
        <w:rPr>
          <w:sz w:val="24"/>
          <w:szCs w:val="24"/>
        </w:rPr>
        <w:t>Involuntary m</w:t>
      </w:r>
      <w:r w:rsidR="00033A5A">
        <w:rPr>
          <w:sz w:val="24"/>
          <w:szCs w:val="24"/>
        </w:rPr>
        <w:t xml:space="preserve">anslaughter </w:t>
      </w:r>
      <w:r w:rsidR="00113D77">
        <w:rPr>
          <w:sz w:val="24"/>
          <w:szCs w:val="24"/>
        </w:rPr>
        <w:t xml:space="preserve">comes </w:t>
      </w:r>
      <w:r w:rsidR="00033A5A">
        <w:rPr>
          <w:sz w:val="24"/>
          <w:szCs w:val="24"/>
        </w:rPr>
        <w:t>under act</w:t>
      </w:r>
      <w:r w:rsidR="00113D77">
        <w:rPr>
          <w:sz w:val="24"/>
          <w:szCs w:val="24"/>
        </w:rPr>
        <w:t>s</w:t>
      </w:r>
      <w:r w:rsidR="00033A5A">
        <w:rPr>
          <w:sz w:val="24"/>
          <w:szCs w:val="24"/>
        </w:rPr>
        <w:t xml:space="preserve"> which</w:t>
      </w:r>
      <w:r w:rsidR="00113D77">
        <w:rPr>
          <w:sz w:val="24"/>
          <w:szCs w:val="24"/>
        </w:rPr>
        <w:t xml:space="preserve"> are</w:t>
      </w:r>
      <w:r w:rsidR="00033A5A">
        <w:rPr>
          <w:sz w:val="24"/>
          <w:szCs w:val="24"/>
        </w:rPr>
        <w:t xml:space="preserve"> grossly negligent given risk of death, this is called </w:t>
      </w:r>
      <w:r w:rsidR="00A615E4">
        <w:rPr>
          <w:sz w:val="24"/>
          <w:szCs w:val="24"/>
        </w:rPr>
        <w:t>‘</w:t>
      </w:r>
      <w:r w:rsidR="00033A5A">
        <w:rPr>
          <w:sz w:val="24"/>
          <w:szCs w:val="24"/>
        </w:rPr>
        <w:t>gross negligence manslaughter</w:t>
      </w:r>
      <w:r w:rsidR="00A615E4">
        <w:rPr>
          <w:sz w:val="24"/>
          <w:szCs w:val="24"/>
        </w:rPr>
        <w:t>’</w:t>
      </w:r>
      <w:r w:rsidR="00033A5A">
        <w:rPr>
          <w:sz w:val="24"/>
          <w:szCs w:val="24"/>
        </w:rPr>
        <w:t xml:space="preserve">. </w:t>
      </w:r>
      <w:r w:rsidR="00113D77">
        <w:rPr>
          <w:sz w:val="24"/>
          <w:szCs w:val="24"/>
        </w:rPr>
        <w:t xml:space="preserve">Involuntary manslaughter also comes under </w:t>
      </w:r>
      <w:r w:rsidR="005C361D">
        <w:rPr>
          <w:sz w:val="24"/>
          <w:szCs w:val="24"/>
        </w:rPr>
        <w:t xml:space="preserve">intentional </w:t>
      </w:r>
      <w:r w:rsidR="00113D77">
        <w:rPr>
          <w:sz w:val="24"/>
          <w:szCs w:val="24"/>
        </w:rPr>
        <w:t xml:space="preserve">unlawful acts </w:t>
      </w:r>
      <w:r w:rsidR="005C361D">
        <w:rPr>
          <w:sz w:val="24"/>
          <w:szCs w:val="24"/>
        </w:rPr>
        <w:t xml:space="preserve">which a reasonable person would see puts the </w:t>
      </w:r>
      <w:r w:rsidR="00C01714">
        <w:rPr>
          <w:sz w:val="24"/>
          <w:szCs w:val="24"/>
        </w:rPr>
        <w:t>victim</w:t>
      </w:r>
      <w:r w:rsidR="005C361D">
        <w:rPr>
          <w:sz w:val="24"/>
          <w:szCs w:val="24"/>
        </w:rPr>
        <w:t xml:space="preserve"> in some sort </w:t>
      </w:r>
      <w:r w:rsidR="00113D77">
        <w:rPr>
          <w:sz w:val="24"/>
          <w:szCs w:val="24"/>
        </w:rPr>
        <w:t xml:space="preserve">of </w:t>
      </w:r>
      <w:r w:rsidR="005C361D">
        <w:rPr>
          <w:sz w:val="24"/>
          <w:szCs w:val="24"/>
        </w:rPr>
        <w:t>risk of harm w</w:t>
      </w:r>
      <w:r w:rsidR="00C01714">
        <w:rPr>
          <w:sz w:val="24"/>
          <w:szCs w:val="24"/>
        </w:rPr>
        <w:t>here</w:t>
      </w:r>
      <w:r w:rsidR="005C361D">
        <w:rPr>
          <w:sz w:val="24"/>
          <w:szCs w:val="24"/>
        </w:rPr>
        <w:t xml:space="preserve"> the V dies</w:t>
      </w:r>
      <w:r w:rsidR="00113D77">
        <w:rPr>
          <w:sz w:val="24"/>
          <w:szCs w:val="24"/>
        </w:rPr>
        <w:t>.</w:t>
      </w:r>
      <w:r w:rsidR="005C361D">
        <w:rPr>
          <w:sz w:val="24"/>
          <w:szCs w:val="24"/>
        </w:rPr>
        <w:t xml:space="preserve"> Involuntary manslaughter is a common law.</w:t>
      </w:r>
      <w:r w:rsidR="00AA2DAB">
        <w:rPr>
          <w:sz w:val="24"/>
          <w:szCs w:val="24"/>
        </w:rPr>
        <w:t xml:space="preserve"> </w:t>
      </w:r>
      <w:r w:rsidR="00AA2DAB" w:rsidRPr="00AA2DAB">
        <w:rPr>
          <w:i/>
          <w:iCs/>
          <w:sz w:val="24"/>
          <w:szCs w:val="24"/>
        </w:rPr>
        <w:t>(R v</w:t>
      </w:r>
      <w:r w:rsidR="00AA2DAB">
        <w:rPr>
          <w:sz w:val="24"/>
          <w:szCs w:val="24"/>
        </w:rPr>
        <w:t xml:space="preserve"> </w:t>
      </w:r>
      <w:r w:rsidR="00AA2DAB" w:rsidRPr="00AA2DAB">
        <w:rPr>
          <w:i/>
          <w:iCs/>
          <w:sz w:val="24"/>
          <w:szCs w:val="24"/>
        </w:rPr>
        <w:t>Larkin</w:t>
      </w:r>
      <w:r w:rsidR="00AA2DAB">
        <w:rPr>
          <w:i/>
          <w:iCs/>
          <w:sz w:val="24"/>
          <w:szCs w:val="24"/>
        </w:rPr>
        <w:t>,</w:t>
      </w:r>
      <w:r w:rsidR="00AA2DAB" w:rsidRPr="00AA2DAB">
        <w:rPr>
          <w:i/>
          <w:iCs/>
          <w:sz w:val="24"/>
          <w:szCs w:val="24"/>
        </w:rPr>
        <w:t xml:space="preserve"> 194</w:t>
      </w:r>
      <w:r w:rsidR="00AA33C2">
        <w:rPr>
          <w:i/>
          <w:iCs/>
          <w:sz w:val="24"/>
          <w:szCs w:val="24"/>
        </w:rPr>
        <w:t>2</w:t>
      </w:r>
      <w:r w:rsidR="00AA2DAB" w:rsidRPr="00AA2DAB">
        <w:rPr>
          <w:i/>
          <w:iCs/>
          <w:sz w:val="24"/>
          <w:szCs w:val="24"/>
        </w:rPr>
        <w:t>).</w:t>
      </w:r>
      <w:r w:rsidR="00AA2DAB" w:rsidRPr="00AA2DAB">
        <w:rPr>
          <w:sz w:val="24"/>
          <w:szCs w:val="24"/>
        </w:rPr>
        <w:t xml:space="preserve"> </w:t>
      </w:r>
      <w:r w:rsidR="00AA2DAB">
        <w:rPr>
          <w:sz w:val="24"/>
          <w:szCs w:val="24"/>
        </w:rPr>
        <w:t>For a case to be charged with manslaughter there must be a purposeful act, which is unlawful, dangerous and causes the death of the V</w:t>
      </w:r>
      <w:r w:rsidR="00AA33C2">
        <w:rPr>
          <w:sz w:val="24"/>
          <w:szCs w:val="24"/>
        </w:rPr>
        <w:t xml:space="preserve"> </w:t>
      </w:r>
      <w:r w:rsidR="00AA2DAB" w:rsidRPr="00AA2DAB">
        <w:rPr>
          <w:i/>
          <w:iCs/>
          <w:sz w:val="24"/>
          <w:szCs w:val="24"/>
        </w:rPr>
        <w:t>(</w:t>
      </w:r>
      <w:r w:rsidR="00AA2DAB" w:rsidRPr="00AA2DAB">
        <w:rPr>
          <w:i/>
          <w:iCs/>
          <w:sz w:val="24"/>
          <w:szCs w:val="24"/>
        </w:rPr>
        <w:t>DPP v Newbury</w:t>
      </w:r>
      <w:r w:rsidR="00AA2DAB">
        <w:rPr>
          <w:i/>
          <w:iCs/>
          <w:sz w:val="24"/>
          <w:szCs w:val="24"/>
        </w:rPr>
        <w:t>, 1977)</w:t>
      </w:r>
      <w:r w:rsidR="00AA33C2">
        <w:rPr>
          <w:sz w:val="24"/>
          <w:szCs w:val="24"/>
        </w:rPr>
        <w:t>. Gross negligence manslaughter is a common law, this is when a duty of care is breached, and that breach causes death of the V with gross negligence present</w:t>
      </w:r>
      <w:r w:rsidR="002E3221">
        <w:rPr>
          <w:sz w:val="24"/>
          <w:szCs w:val="24"/>
        </w:rPr>
        <w:t xml:space="preserve"> </w:t>
      </w:r>
      <w:r w:rsidR="002E3221" w:rsidRPr="002E3221">
        <w:rPr>
          <w:i/>
          <w:iCs/>
          <w:sz w:val="24"/>
          <w:szCs w:val="24"/>
        </w:rPr>
        <w:t>(Enable Law, 2019)</w:t>
      </w:r>
      <w:r w:rsidR="002E3221">
        <w:rPr>
          <w:sz w:val="24"/>
          <w:szCs w:val="24"/>
        </w:rPr>
        <w:t xml:space="preserve">. </w:t>
      </w:r>
      <w:r w:rsidR="002B0365">
        <w:rPr>
          <w:sz w:val="24"/>
          <w:szCs w:val="24"/>
        </w:rPr>
        <w:t>Homicide cases are dealt with under the common law or the Homicide act 1957</w:t>
      </w:r>
      <w:r w:rsidR="001A5852">
        <w:rPr>
          <w:sz w:val="24"/>
          <w:szCs w:val="24"/>
        </w:rPr>
        <w:t xml:space="preserve"> </w:t>
      </w:r>
      <w:r w:rsidR="007D2A7F" w:rsidRPr="007D2A7F">
        <w:rPr>
          <w:i/>
          <w:iCs/>
          <w:sz w:val="24"/>
          <w:szCs w:val="24"/>
        </w:rPr>
        <w:t>(Law Commission, 2015)</w:t>
      </w:r>
      <w:bookmarkStart w:id="0" w:name="_Hlk86315923"/>
      <w:r w:rsidR="001A5852">
        <w:rPr>
          <w:sz w:val="24"/>
          <w:szCs w:val="24"/>
        </w:rPr>
        <w:t>.</w:t>
      </w:r>
    </w:p>
    <w:bookmarkEnd w:id="0"/>
    <w:p w14:paraId="0B1E789A" w14:textId="77777777" w:rsidR="001A5852" w:rsidRDefault="001A5852" w:rsidP="007E0F21">
      <w:pPr>
        <w:rPr>
          <w:sz w:val="24"/>
          <w:szCs w:val="24"/>
        </w:rPr>
      </w:pPr>
    </w:p>
    <w:p w14:paraId="13AC92CE" w14:textId="77777777" w:rsidR="002D395C" w:rsidRDefault="007D2A7F" w:rsidP="007E0F21">
      <w:pPr>
        <w:rPr>
          <w:sz w:val="24"/>
          <w:szCs w:val="24"/>
        </w:rPr>
      </w:pPr>
      <w:r>
        <w:rPr>
          <w:sz w:val="24"/>
          <w:szCs w:val="24"/>
        </w:rPr>
        <w:t xml:space="preserve">According to </w:t>
      </w:r>
      <w:r w:rsidR="00AF3813">
        <w:rPr>
          <w:sz w:val="24"/>
          <w:szCs w:val="24"/>
        </w:rPr>
        <w:t xml:space="preserve">the Coroners and Justice Act, 2009 there are two main defences which the </w:t>
      </w:r>
      <w:r w:rsidR="001A5852">
        <w:rPr>
          <w:sz w:val="24"/>
          <w:szCs w:val="24"/>
        </w:rPr>
        <w:t>defendant(D)</w:t>
      </w:r>
      <w:r w:rsidR="00AF3813">
        <w:rPr>
          <w:sz w:val="24"/>
          <w:szCs w:val="24"/>
        </w:rPr>
        <w:t xml:space="preserve"> can make in court, these are diminished responsibility and loss of control. If these are present in a case, they can turn a charge from murder to voluntary manslaughter for example. For diminished responsibility to take place, the D has to have a recognised medical condition, which substantially impaired the D’s ability to understand the nature of conduct </w:t>
      </w:r>
      <w:r w:rsidR="00AF3813" w:rsidRPr="00301BD0">
        <w:rPr>
          <w:i/>
          <w:iCs/>
          <w:sz w:val="24"/>
          <w:szCs w:val="24"/>
        </w:rPr>
        <w:t>(S52 CorJA, 2009)</w:t>
      </w:r>
      <w:r w:rsidR="00AF3813">
        <w:rPr>
          <w:sz w:val="24"/>
          <w:szCs w:val="24"/>
        </w:rPr>
        <w:t xml:space="preserve">. Loss of control can be a defence if the D loses self-control, this being a qualifying trigger and if a reasonable person could have also lost control the same way. </w:t>
      </w:r>
      <w:r w:rsidR="00AF3813" w:rsidRPr="00D368E9">
        <w:rPr>
          <w:i/>
          <w:iCs/>
          <w:sz w:val="24"/>
          <w:szCs w:val="24"/>
        </w:rPr>
        <w:t>(S54 CorJA, 2009)</w:t>
      </w:r>
      <w:r w:rsidR="00AF3813">
        <w:rPr>
          <w:sz w:val="24"/>
          <w:szCs w:val="24"/>
        </w:rPr>
        <w:t>.</w:t>
      </w:r>
      <w:r w:rsidR="00890C5B">
        <w:rPr>
          <w:sz w:val="24"/>
          <w:szCs w:val="24"/>
        </w:rPr>
        <w:t xml:space="preserve"> The intent required for murder is the intention to kill or cause GBH. Foresight is evidence which can be inferred by a jury. </w:t>
      </w:r>
      <w:r w:rsidR="00890C5B" w:rsidRPr="00890C5B">
        <w:rPr>
          <w:i/>
          <w:iCs/>
          <w:sz w:val="24"/>
          <w:szCs w:val="24"/>
        </w:rPr>
        <w:t>(R v Woollin, 1999)</w:t>
      </w:r>
      <w:r w:rsidR="00890C5B">
        <w:rPr>
          <w:sz w:val="24"/>
          <w:szCs w:val="24"/>
        </w:rPr>
        <w:t xml:space="preserve">. If the D knows that death of </w:t>
      </w:r>
      <w:r w:rsidR="00331FAC">
        <w:rPr>
          <w:sz w:val="24"/>
          <w:szCs w:val="24"/>
        </w:rPr>
        <w:t xml:space="preserve">GBH is </w:t>
      </w:r>
      <w:r w:rsidR="00890C5B">
        <w:rPr>
          <w:sz w:val="24"/>
          <w:szCs w:val="24"/>
        </w:rPr>
        <w:t xml:space="preserve">virtually </w:t>
      </w:r>
      <w:r w:rsidR="00331FAC">
        <w:rPr>
          <w:sz w:val="24"/>
          <w:szCs w:val="24"/>
        </w:rPr>
        <w:t xml:space="preserve">certain from the result of their own actions, then intention can be found in the case. </w:t>
      </w:r>
      <w:r w:rsidR="00331FAC" w:rsidRPr="00331FAC">
        <w:rPr>
          <w:i/>
          <w:iCs/>
          <w:sz w:val="24"/>
          <w:szCs w:val="24"/>
        </w:rPr>
        <w:t>(R v Matthews, 2003)</w:t>
      </w:r>
      <w:r w:rsidR="00331FAC">
        <w:rPr>
          <w:i/>
          <w:iCs/>
          <w:sz w:val="24"/>
          <w:szCs w:val="24"/>
        </w:rPr>
        <w:t xml:space="preserve">. </w:t>
      </w:r>
      <w:r w:rsidR="002B0365">
        <w:rPr>
          <w:sz w:val="24"/>
          <w:szCs w:val="24"/>
        </w:rPr>
        <w:t>The controversy surround</w:t>
      </w:r>
      <w:r w:rsidR="00413BFE">
        <w:rPr>
          <w:sz w:val="24"/>
          <w:szCs w:val="24"/>
        </w:rPr>
        <w:t>ing</w:t>
      </w:r>
      <w:r w:rsidR="002B0365">
        <w:rPr>
          <w:sz w:val="24"/>
          <w:szCs w:val="24"/>
        </w:rPr>
        <w:t xml:space="preserve"> the intent for murder is </w:t>
      </w:r>
      <w:r w:rsidR="00413BFE">
        <w:rPr>
          <w:sz w:val="24"/>
          <w:szCs w:val="24"/>
        </w:rPr>
        <w:t xml:space="preserve">that it is not currently clear enough to decide if somebody meant to purposely kill or if they meant to cause them harm which resulted in death unintentionally but then still gets charged with murder and be sent to prison for life. The problem is that most people think that you should only be charged with murder if the intention was to kill. </w:t>
      </w:r>
      <w:r w:rsidR="00697CAB">
        <w:rPr>
          <w:sz w:val="24"/>
          <w:szCs w:val="24"/>
        </w:rPr>
        <w:t xml:space="preserve">The jury could decide the person who caused harm meant to kill whereas the public could </w:t>
      </w:r>
      <w:r w:rsidR="005D1093">
        <w:rPr>
          <w:sz w:val="24"/>
          <w:szCs w:val="24"/>
        </w:rPr>
        <w:t>disagree,</w:t>
      </w:r>
      <w:r w:rsidR="00697CAB">
        <w:rPr>
          <w:sz w:val="24"/>
          <w:szCs w:val="24"/>
        </w:rPr>
        <w:t xml:space="preserve"> but the D would still get charged for life on the count of murder. </w:t>
      </w:r>
      <w:r w:rsidR="005D1093" w:rsidRPr="005D1093">
        <w:rPr>
          <w:i/>
          <w:iCs/>
          <w:sz w:val="24"/>
          <w:szCs w:val="24"/>
        </w:rPr>
        <w:t>(The Law Commission: Murder, Manslaughter and Infanticide, 2006)</w:t>
      </w:r>
      <w:r w:rsidR="004A399F">
        <w:rPr>
          <w:i/>
          <w:iCs/>
          <w:sz w:val="24"/>
          <w:szCs w:val="24"/>
        </w:rPr>
        <w:t xml:space="preserve">. </w:t>
      </w:r>
      <w:r w:rsidR="004A399F">
        <w:rPr>
          <w:sz w:val="24"/>
          <w:szCs w:val="24"/>
        </w:rPr>
        <w:t xml:space="preserve">As stated by the Reforming the Law on Homicide Debate Pack in 2016, </w:t>
      </w:r>
      <w:r w:rsidR="005C7528">
        <w:rPr>
          <w:sz w:val="24"/>
          <w:szCs w:val="24"/>
        </w:rPr>
        <w:t>the breadth of manslaughter can be too broad. The debate pack claims that manslaughter covers a large amount of faulty and wrongly blamed cases as much as any o</w:t>
      </w:r>
      <w:r w:rsidR="001A5852">
        <w:rPr>
          <w:sz w:val="24"/>
          <w:szCs w:val="24"/>
        </w:rPr>
        <w:t>ther</w:t>
      </w:r>
      <w:r w:rsidR="005C7528">
        <w:rPr>
          <w:sz w:val="24"/>
          <w:szCs w:val="24"/>
        </w:rPr>
        <w:t xml:space="preserve"> crime in the law. The serious cases of involuntary manslaughter are often too </w:t>
      </w:r>
      <w:r w:rsidR="005C7528">
        <w:rPr>
          <w:sz w:val="24"/>
          <w:szCs w:val="24"/>
        </w:rPr>
        <w:lastRenderedPageBreak/>
        <w:t xml:space="preserve">generous to defendants </w:t>
      </w:r>
      <w:r w:rsidR="00341F9D">
        <w:rPr>
          <w:sz w:val="24"/>
          <w:szCs w:val="24"/>
        </w:rPr>
        <w:t>who</w:t>
      </w:r>
      <w:r w:rsidR="005C7528">
        <w:rPr>
          <w:sz w:val="24"/>
          <w:szCs w:val="24"/>
        </w:rPr>
        <w:t xml:space="preserve"> have killed by recklessness. </w:t>
      </w:r>
      <w:r w:rsidR="00521443">
        <w:rPr>
          <w:sz w:val="24"/>
          <w:szCs w:val="24"/>
        </w:rPr>
        <w:t xml:space="preserve">Killers can manipulate the system </w:t>
      </w:r>
      <w:r w:rsidR="00341F9D">
        <w:rPr>
          <w:sz w:val="24"/>
          <w:szCs w:val="24"/>
        </w:rPr>
        <w:t>by</w:t>
      </w:r>
      <w:r w:rsidR="00521443">
        <w:rPr>
          <w:sz w:val="24"/>
          <w:szCs w:val="24"/>
        </w:rPr>
        <w:t xml:space="preserve"> claim</w:t>
      </w:r>
      <w:r w:rsidR="00341F9D">
        <w:rPr>
          <w:sz w:val="24"/>
          <w:szCs w:val="24"/>
        </w:rPr>
        <w:t>ing</w:t>
      </w:r>
      <w:r w:rsidR="00521443">
        <w:rPr>
          <w:sz w:val="24"/>
          <w:szCs w:val="24"/>
        </w:rPr>
        <w:t xml:space="preserve"> to recklessness and not be convicted with murder. On the other hand, involuntary manslaughter crimes can </w:t>
      </w:r>
      <w:r w:rsidR="00341F9D">
        <w:rPr>
          <w:sz w:val="24"/>
          <w:szCs w:val="24"/>
        </w:rPr>
        <w:t xml:space="preserve">sometimes </w:t>
      </w:r>
      <w:r w:rsidR="00521443">
        <w:rPr>
          <w:sz w:val="24"/>
          <w:szCs w:val="24"/>
        </w:rPr>
        <w:t xml:space="preserve">be too harsh on the D where they have killed under </w:t>
      </w:r>
      <w:r w:rsidR="008F4221">
        <w:rPr>
          <w:sz w:val="24"/>
          <w:szCs w:val="24"/>
        </w:rPr>
        <w:t>an</w:t>
      </w:r>
      <w:r w:rsidR="00521443">
        <w:rPr>
          <w:sz w:val="24"/>
          <w:szCs w:val="24"/>
        </w:rPr>
        <w:t xml:space="preserve"> unlawful and dangerous act. </w:t>
      </w:r>
      <w:r w:rsidR="009B642D">
        <w:rPr>
          <w:sz w:val="24"/>
          <w:szCs w:val="24"/>
        </w:rPr>
        <w:t>Parliament has not adjusted the offense of murder for over 50 years, therefore a</w:t>
      </w:r>
      <w:r w:rsidR="008F2A76">
        <w:rPr>
          <w:sz w:val="24"/>
          <w:szCs w:val="24"/>
        </w:rPr>
        <w:t>nother problem with the current system is that</w:t>
      </w:r>
      <w:r w:rsidR="009B642D">
        <w:rPr>
          <w:sz w:val="24"/>
          <w:szCs w:val="24"/>
        </w:rPr>
        <w:t xml:space="preserve"> there are old, uncertain</w:t>
      </w:r>
      <w:r w:rsidR="008F2A76">
        <w:rPr>
          <w:sz w:val="24"/>
          <w:szCs w:val="24"/>
        </w:rPr>
        <w:t xml:space="preserve"> terms used to describe offenses </w:t>
      </w:r>
      <w:r w:rsidR="009B642D">
        <w:rPr>
          <w:sz w:val="24"/>
          <w:szCs w:val="24"/>
        </w:rPr>
        <w:t>such as</w:t>
      </w:r>
      <w:r w:rsidR="008F2A76">
        <w:rPr>
          <w:sz w:val="24"/>
          <w:szCs w:val="24"/>
        </w:rPr>
        <w:t xml:space="preserve"> ‘serious harm’ and ‘intention’</w:t>
      </w:r>
      <w:r w:rsidR="009B642D">
        <w:rPr>
          <w:sz w:val="24"/>
          <w:szCs w:val="24"/>
        </w:rPr>
        <w:t xml:space="preserve">. There is also a problem with the mens rea term ‘malice aforethought’ because it does not suggest there could be an intention to cause GBH but only the intention to kill. </w:t>
      </w:r>
      <w:r w:rsidR="007E7851">
        <w:rPr>
          <w:sz w:val="24"/>
          <w:szCs w:val="24"/>
        </w:rPr>
        <w:t>These terms are not defined in the Common law or Homicide Act 1957 so they can be open for interpretation</w:t>
      </w:r>
      <w:r w:rsidR="001A5852">
        <w:rPr>
          <w:sz w:val="24"/>
          <w:szCs w:val="24"/>
        </w:rPr>
        <w:t>,</w:t>
      </w:r>
      <w:r w:rsidR="007E7851">
        <w:rPr>
          <w:sz w:val="24"/>
          <w:szCs w:val="24"/>
        </w:rPr>
        <w:t xml:space="preserve"> making them subjective terms. </w:t>
      </w:r>
      <w:r w:rsidR="007E7851" w:rsidRPr="00215C32">
        <w:rPr>
          <w:i/>
          <w:iCs/>
          <w:sz w:val="24"/>
          <w:szCs w:val="24"/>
        </w:rPr>
        <w:t xml:space="preserve">(Electronic Immigration Network, </w:t>
      </w:r>
      <w:r w:rsidR="00215C32" w:rsidRPr="00215C32">
        <w:rPr>
          <w:i/>
          <w:iCs/>
          <w:sz w:val="24"/>
          <w:szCs w:val="24"/>
        </w:rPr>
        <w:t>Guest Blog, Michael Spencer)</w:t>
      </w:r>
      <w:r w:rsidR="00215C32">
        <w:rPr>
          <w:i/>
          <w:iCs/>
          <w:sz w:val="24"/>
          <w:szCs w:val="24"/>
        </w:rPr>
        <w:t>.</w:t>
      </w:r>
      <w:r w:rsidR="00215C32">
        <w:rPr>
          <w:sz w:val="24"/>
          <w:szCs w:val="24"/>
        </w:rPr>
        <w:t xml:space="preserve"> </w:t>
      </w:r>
      <w:r w:rsidR="0056071D">
        <w:rPr>
          <w:sz w:val="24"/>
          <w:szCs w:val="24"/>
        </w:rPr>
        <w:t>There is clearly problems with the current law governing homicide in England and Wales and as a result</w:t>
      </w:r>
      <w:r w:rsidR="001A5852">
        <w:rPr>
          <w:sz w:val="24"/>
          <w:szCs w:val="24"/>
        </w:rPr>
        <w:t>,</w:t>
      </w:r>
      <w:r w:rsidR="0056071D">
        <w:rPr>
          <w:sz w:val="24"/>
          <w:szCs w:val="24"/>
        </w:rPr>
        <w:t xml:space="preserve"> proposals have been put forward to change the current system. One of the main proposals put forward</w:t>
      </w:r>
      <w:r w:rsidR="009B642D">
        <w:rPr>
          <w:sz w:val="24"/>
          <w:szCs w:val="24"/>
        </w:rPr>
        <w:t xml:space="preserve"> by the Law Commission</w:t>
      </w:r>
      <w:r w:rsidR="0056071D">
        <w:rPr>
          <w:sz w:val="24"/>
          <w:szCs w:val="24"/>
        </w:rPr>
        <w:t xml:space="preserve"> is the three-tier system, this is a system that means there will be three different types of charges for murder and manslaughter. </w:t>
      </w:r>
      <w:r w:rsidR="00A131DF">
        <w:rPr>
          <w:sz w:val="24"/>
          <w:szCs w:val="24"/>
        </w:rPr>
        <w:t>The first and most serious offense being first degree murder. This is when the D intended to kill their victim</w:t>
      </w:r>
      <w:r w:rsidR="001A5852">
        <w:rPr>
          <w:sz w:val="24"/>
          <w:szCs w:val="24"/>
        </w:rPr>
        <w:t>,</w:t>
      </w:r>
      <w:r w:rsidR="00A131DF">
        <w:rPr>
          <w:sz w:val="24"/>
          <w:szCs w:val="24"/>
        </w:rPr>
        <w:t xml:space="preserve"> irrelevant to motive. The sentence for this would be life in prison. The second offense would be second degree murder, this is the unlawful killing where the D intended to cause serious harm. The sentence of this would be discretionary life sentence. The third tier of the system would be manslaughter, this covers cases such as </w:t>
      </w:r>
      <w:r w:rsidR="005722ED">
        <w:rPr>
          <w:sz w:val="24"/>
          <w:szCs w:val="24"/>
        </w:rPr>
        <w:t xml:space="preserve">gross negligence and killing a person by committing an act that causes harm or realising that it will cause harm. The act itself must also be a part of a criminal offense. The sentence for this again is discretionary life. </w:t>
      </w:r>
      <w:r w:rsidR="00341F9D">
        <w:rPr>
          <w:sz w:val="24"/>
          <w:szCs w:val="24"/>
        </w:rPr>
        <w:t xml:space="preserve">In this system there </w:t>
      </w:r>
      <w:r w:rsidR="00423CFC">
        <w:rPr>
          <w:sz w:val="24"/>
          <w:szCs w:val="24"/>
        </w:rPr>
        <w:t>is</w:t>
      </w:r>
      <w:r w:rsidR="00341F9D">
        <w:rPr>
          <w:sz w:val="24"/>
          <w:szCs w:val="24"/>
        </w:rPr>
        <w:t xml:space="preserve"> specific homicide offenses, th</w:t>
      </w:r>
      <w:r w:rsidR="00423CFC">
        <w:rPr>
          <w:sz w:val="24"/>
          <w:szCs w:val="24"/>
        </w:rPr>
        <w:t>ese</w:t>
      </w:r>
      <w:r w:rsidR="00341F9D">
        <w:rPr>
          <w:sz w:val="24"/>
          <w:szCs w:val="24"/>
        </w:rPr>
        <w:t xml:space="preserve"> would be used for cases like assisted suicides. </w:t>
      </w:r>
      <w:r w:rsidR="00215C32">
        <w:rPr>
          <w:sz w:val="24"/>
          <w:szCs w:val="24"/>
        </w:rPr>
        <w:t>This system would also make sure terms have clear definitions instead of the subjective ones used currently.</w:t>
      </w:r>
      <w:r w:rsidR="00215C32" w:rsidRPr="005D1093">
        <w:rPr>
          <w:i/>
          <w:iCs/>
          <w:sz w:val="24"/>
          <w:szCs w:val="24"/>
        </w:rPr>
        <w:t xml:space="preserve"> (</w:t>
      </w:r>
      <w:r w:rsidR="00341F9D" w:rsidRPr="005D1093">
        <w:rPr>
          <w:i/>
          <w:iCs/>
          <w:sz w:val="24"/>
          <w:szCs w:val="24"/>
        </w:rPr>
        <w:t>The Law Commission: Murder, Manslaughter and Infanticide, 2006</w:t>
      </w:r>
      <w:r w:rsidR="00341F9D">
        <w:rPr>
          <w:i/>
          <w:iCs/>
          <w:sz w:val="24"/>
          <w:szCs w:val="24"/>
        </w:rPr>
        <w:t>).</w:t>
      </w:r>
      <w:r w:rsidR="00EF0962">
        <w:rPr>
          <w:i/>
          <w:iCs/>
          <w:sz w:val="24"/>
          <w:szCs w:val="24"/>
        </w:rPr>
        <w:t xml:space="preserve"> </w:t>
      </w:r>
      <w:r w:rsidR="00EF0962">
        <w:rPr>
          <w:sz w:val="24"/>
          <w:szCs w:val="24"/>
        </w:rPr>
        <w:t xml:space="preserve">Another proposal put forward was the single offence of homicide. This was put forward by </w:t>
      </w:r>
      <w:r w:rsidR="00EF0962" w:rsidRPr="00EF0962">
        <w:rPr>
          <w:sz w:val="24"/>
          <w:szCs w:val="24"/>
        </w:rPr>
        <w:t xml:space="preserve">Louis Blom-Cooper </w:t>
      </w:r>
      <w:r w:rsidR="00EF0962">
        <w:rPr>
          <w:sz w:val="24"/>
          <w:szCs w:val="24"/>
        </w:rPr>
        <w:t xml:space="preserve">and would mean homicide is one offence that everybody would be trailed for in the same way. This would mean the judge would have to decide the sentence of the D, this would abolish the defences </w:t>
      </w:r>
      <w:r w:rsidR="00423CFC">
        <w:rPr>
          <w:sz w:val="24"/>
          <w:szCs w:val="24"/>
        </w:rPr>
        <w:t xml:space="preserve">diminished responsibility and </w:t>
      </w:r>
      <w:r w:rsidR="00EF0962">
        <w:rPr>
          <w:sz w:val="24"/>
          <w:szCs w:val="24"/>
        </w:rPr>
        <w:t>loss of control</w:t>
      </w:r>
      <w:r w:rsidR="002D395C">
        <w:rPr>
          <w:sz w:val="24"/>
          <w:szCs w:val="24"/>
        </w:rPr>
        <w:t>,</w:t>
      </w:r>
      <w:r w:rsidR="00EF0962">
        <w:rPr>
          <w:sz w:val="24"/>
          <w:szCs w:val="24"/>
        </w:rPr>
        <w:t xml:space="preserve"> </w:t>
      </w:r>
      <w:r w:rsidR="003B48D6">
        <w:rPr>
          <w:sz w:val="24"/>
          <w:szCs w:val="24"/>
        </w:rPr>
        <w:t xml:space="preserve">this would remove victim blaming. However, there are clear disadvantages to this proposal, people end up killing for many different reasons such as intentionally </w:t>
      </w:r>
      <w:r w:rsidR="002D395C">
        <w:rPr>
          <w:sz w:val="24"/>
          <w:szCs w:val="24"/>
        </w:rPr>
        <w:t>compared to a</w:t>
      </w:r>
      <w:r w:rsidR="003B48D6">
        <w:rPr>
          <w:sz w:val="24"/>
          <w:szCs w:val="24"/>
        </w:rPr>
        <w:t xml:space="preserve"> medical gross negligence case. The D </w:t>
      </w:r>
      <w:r w:rsidR="002D395C">
        <w:rPr>
          <w:sz w:val="24"/>
          <w:szCs w:val="24"/>
        </w:rPr>
        <w:t>could</w:t>
      </w:r>
      <w:r w:rsidR="003B48D6">
        <w:rPr>
          <w:sz w:val="24"/>
          <w:szCs w:val="24"/>
        </w:rPr>
        <w:t xml:space="preserve"> argue to lower the case and therefore still claim the defences of loss of control and diminished responsibility. </w:t>
      </w:r>
    </w:p>
    <w:p w14:paraId="5A4C8FB4" w14:textId="3D9C4DA8" w:rsidR="004570BA" w:rsidRDefault="00215C32" w:rsidP="007E0F21">
      <w:pPr>
        <w:rPr>
          <w:sz w:val="24"/>
          <w:szCs w:val="24"/>
        </w:rPr>
      </w:pPr>
      <w:r>
        <w:rPr>
          <w:sz w:val="24"/>
          <w:szCs w:val="24"/>
        </w:rPr>
        <w:t>In 2009</w:t>
      </w:r>
      <w:r w:rsidR="002D395C">
        <w:rPr>
          <w:sz w:val="24"/>
          <w:szCs w:val="24"/>
        </w:rPr>
        <w:t>,</w:t>
      </w:r>
      <w:r>
        <w:rPr>
          <w:sz w:val="24"/>
          <w:szCs w:val="24"/>
        </w:rPr>
        <w:t xml:space="preserve"> there was a reform on the law </w:t>
      </w:r>
      <w:r w:rsidR="00D05569">
        <w:rPr>
          <w:sz w:val="24"/>
          <w:szCs w:val="24"/>
        </w:rPr>
        <w:t xml:space="preserve">with the Coroners and Justice Act introducing the partial defences loss of control and diminished responsibility. This replaced the old partial defence with a more modern one. Parliament agreed with the law commission and saw that the partial defence system needed an update. </w:t>
      </w:r>
      <w:r w:rsidR="003576B4" w:rsidRPr="003576B4">
        <w:rPr>
          <w:i/>
          <w:iCs/>
          <w:sz w:val="24"/>
          <w:szCs w:val="24"/>
        </w:rPr>
        <w:t>(Ministry of Justice, 2010)</w:t>
      </w:r>
      <w:r w:rsidR="003576B4">
        <w:rPr>
          <w:i/>
          <w:iCs/>
          <w:sz w:val="24"/>
          <w:szCs w:val="24"/>
        </w:rPr>
        <w:t xml:space="preserve">. </w:t>
      </w:r>
      <w:r w:rsidR="003576B4">
        <w:rPr>
          <w:sz w:val="24"/>
          <w:szCs w:val="24"/>
        </w:rPr>
        <w:t xml:space="preserve">However, the </w:t>
      </w:r>
      <w:r w:rsidR="00F97831">
        <w:rPr>
          <w:sz w:val="24"/>
          <w:szCs w:val="24"/>
        </w:rPr>
        <w:t>three-tier</w:t>
      </w:r>
      <w:r w:rsidR="003576B4">
        <w:rPr>
          <w:sz w:val="24"/>
          <w:szCs w:val="24"/>
        </w:rPr>
        <w:t xml:space="preserve"> system was not i</w:t>
      </w:r>
      <w:r w:rsidR="00F97831">
        <w:rPr>
          <w:sz w:val="24"/>
          <w:szCs w:val="24"/>
        </w:rPr>
        <w:t>ntroduced</w:t>
      </w:r>
      <w:r w:rsidR="003576B4">
        <w:rPr>
          <w:sz w:val="24"/>
          <w:szCs w:val="24"/>
        </w:rPr>
        <w:t xml:space="preserve"> by the government</w:t>
      </w:r>
      <w:r w:rsidR="00F97831">
        <w:rPr>
          <w:sz w:val="24"/>
          <w:szCs w:val="24"/>
        </w:rPr>
        <w:t xml:space="preserve">, it was </w:t>
      </w:r>
      <w:r w:rsidR="002D395C">
        <w:rPr>
          <w:sz w:val="24"/>
          <w:szCs w:val="24"/>
        </w:rPr>
        <w:t xml:space="preserve">said to be </w:t>
      </w:r>
      <w:r w:rsidR="00F97831">
        <w:rPr>
          <w:sz w:val="24"/>
          <w:szCs w:val="24"/>
        </w:rPr>
        <w:t xml:space="preserve">not the correct time to introduce such a large change into the law. The reasonable man test </w:t>
      </w:r>
      <w:r w:rsidR="002D395C">
        <w:rPr>
          <w:sz w:val="24"/>
          <w:szCs w:val="24"/>
        </w:rPr>
        <w:t xml:space="preserve">was then introduced </w:t>
      </w:r>
      <w:r w:rsidR="00F97831">
        <w:rPr>
          <w:sz w:val="24"/>
          <w:szCs w:val="24"/>
        </w:rPr>
        <w:t>instead. The government said they ha</w:t>
      </w:r>
      <w:r w:rsidR="00FE7962">
        <w:rPr>
          <w:sz w:val="24"/>
          <w:szCs w:val="24"/>
        </w:rPr>
        <w:t xml:space="preserve">ve the same beliefs as the law commission when it comes to partial defence, </w:t>
      </w:r>
      <w:r w:rsidR="002D395C">
        <w:rPr>
          <w:sz w:val="24"/>
          <w:szCs w:val="24"/>
        </w:rPr>
        <w:t>that</w:t>
      </w:r>
      <w:r w:rsidR="00FE7962">
        <w:rPr>
          <w:sz w:val="24"/>
          <w:szCs w:val="24"/>
        </w:rPr>
        <w:t xml:space="preserve"> it should only apply if </w:t>
      </w:r>
      <w:r w:rsidR="00FE7962" w:rsidRPr="00FE7962">
        <w:rPr>
          <w:sz w:val="24"/>
          <w:szCs w:val="24"/>
        </w:rPr>
        <w:t xml:space="preserve">a </w:t>
      </w:r>
      <w:r w:rsidR="00FE7962">
        <w:rPr>
          <w:sz w:val="24"/>
          <w:szCs w:val="24"/>
        </w:rPr>
        <w:t xml:space="preserve">person of the same gender and age of the </w:t>
      </w:r>
      <w:r w:rsidR="002D395C">
        <w:rPr>
          <w:sz w:val="24"/>
          <w:szCs w:val="24"/>
        </w:rPr>
        <w:t>D, with</w:t>
      </w:r>
      <w:r w:rsidR="00FE7962">
        <w:rPr>
          <w:sz w:val="24"/>
          <w:szCs w:val="24"/>
        </w:rPr>
        <w:t xml:space="preserve"> a normal amount of tolerance and self-restraint </w:t>
      </w:r>
      <w:r w:rsidR="002D395C">
        <w:rPr>
          <w:sz w:val="24"/>
          <w:szCs w:val="24"/>
        </w:rPr>
        <w:t>put</w:t>
      </w:r>
      <w:r w:rsidR="00FE7962">
        <w:rPr>
          <w:sz w:val="24"/>
          <w:szCs w:val="24"/>
        </w:rPr>
        <w:t xml:space="preserve"> in the same circumstance of would have reacted in a similar way. </w:t>
      </w:r>
      <w:r w:rsidR="00FE7962" w:rsidRPr="00FE7962">
        <w:rPr>
          <w:i/>
          <w:iCs/>
          <w:sz w:val="24"/>
          <w:szCs w:val="24"/>
        </w:rPr>
        <w:t xml:space="preserve">(Law Commission, Partial Defences to </w:t>
      </w:r>
      <w:r w:rsidR="00FE7962" w:rsidRPr="00FE7962">
        <w:rPr>
          <w:i/>
          <w:iCs/>
          <w:sz w:val="24"/>
          <w:szCs w:val="24"/>
        </w:rPr>
        <w:lastRenderedPageBreak/>
        <w:t>Murder, 2004)</w:t>
      </w:r>
      <w:r w:rsidR="00FE7962">
        <w:rPr>
          <w:i/>
          <w:iCs/>
          <w:sz w:val="24"/>
          <w:szCs w:val="24"/>
        </w:rPr>
        <w:t xml:space="preserve">. </w:t>
      </w:r>
      <w:r w:rsidR="00CE6CC0">
        <w:rPr>
          <w:sz w:val="24"/>
          <w:szCs w:val="24"/>
        </w:rPr>
        <w:t xml:space="preserve">The new three tier system would not be perfect, therefore there has been arguments against reform. </w:t>
      </w:r>
      <w:r w:rsidR="000C6A6E">
        <w:rPr>
          <w:sz w:val="24"/>
          <w:szCs w:val="24"/>
        </w:rPr>
        <w:t xml:space="preserve">The </w:t>
      </w:r>
      <w:r w:rsidR="00666734">
        <w:rPr>
          <w:sz w:val="24"/>
          <w:szCs w:val="24"/>
        </w:rPr>
        <w:t>three-tier</w:t>
      </w:r>
      <w:r w:rsidR="000C6A6E">
        <w:rPr>
          <w:sz w:val="24"/>
          <w:szCs w:val="24"/>
        </w:rPr>
        <w:t xml:space="preserve"> system would cause public outrage in some cases as killers would be charged with second degree murder given a d</w:t>
      </w:r>
      <w:r w:rsidR="000C6A6E" w:rsidRPr="000C6A6E">
        <w:rPr>
          <w:sz w:val="24"/>
          <w:szCs w:val="24"/>
        </w:rPr>
        <w:t>iscretionary life sentence</w:t>
      </w:r>
      <w:r w:rsidR="000C6A6E">
        <w:rPr>
          <w:sz w:val="24"/>
          <w:szCs w:val="24"/>
        </w:rPr>
        <w:t xml:space="preserve"> instead of a mandatory. </w:t>
      </w:r>
      <w:r w:rsidR="00666734">
        <w:rPr>
          <w:sz w:val="24"/>
          <w:szCs w:val="24"/>
        </w:rPr>
        <w:t>The current law at the moment has an easier system to understand for the public. Complex cases would remain complex with the new system, cases that include</w:t>
      </w:r>
      <w:r w:rsidR="00666734" w:rsidRPr="00666734">
        <w:rPr>
          <w:sz w:val="24"/>
          <w:szCs w:val="24"/>
        </w:rPr>
        <w:t xml:space="preserve"> defences, intention to kill or cause </w:t>
      </w:r>
      <w:r w:rsidR="00666734">
        <w:rPr>
          <w:sz w:val="24"/>
          <w:szCs w:val="24"/>
        </w:rPr>
        <w:t>GBH</w:t>
      </w:r>
      <w:r w:rsidR="00842A71">
        <w:rPr>
          <w:sz w:val="24"/>
          <w:szCs w:val="24"/>
        </w:rPr>
        <w:t xml:space="preserve"> </w:t>
      </w:r>
      <w:r w:rsidR="00842A71" w:rsidRPr="00842A71">
        <w:rPr>
          <w:i/>
          <w:iCs/>
          <w:sz w:val="24"/>
          <w:szCs w:val="24"/>
        </w:rPr>
        <w:t>(The Guardian, 2016)</w:t>
      </w:r>
      <w:r w:rsidR="00842A71">
        <w:rPr>
          <w:sz w:val="24"/>
          <w:szCs w:val="24"/>
        </w:rPr>
        <w:t>.</w:t>
      </w:r>
    </w:p>
    <w:p w14:paraId="587FEC81" w14:textId="0D06F8D8" w:rsidR="002E3221" w:rsidRPr="00CA65D2" w:rsidRDefault="00CA65D2" w:rsidP="007E0F21">
      <w:pPr>
        <w:rPr>
          <w:rFonts w:cstheme="minorHAnsi"/>
          <w:sz w:val="24"/>
          <w:szCs w:val="24"/>
        </w:rPr>
      </w:pPr>
      <w:r w:rsidRPr="00CA65D2">
        <w:rPr>
          <w:rFonts w:cstheme="minorHAnsi"/>
          <w:sz w:val="24"/>
          <w:szCs w:val="24"/>
        </w:rPr>
        <w:t>“</w:t>
      </w:r>
      <w:r w:rsidRPr="00CA65D2">
        <w:rPr>
          <w:rFonts w:cstheme="minorHAnsi"/>
          <w:sz w:val="24"/>
          <w:szCs w:val="24"/>
          <w:shd w:val="clear" w:color="auto" w:fill="FFFFFF"/>
        </w:rPr>
        <w:t>The law governing homicide in England and Wales has some rules which have remained unaltered since the seventeenth century. This is even though it has long been acknowledged that they are in dire need of reform.</w:t>
      </w:r>
      <w:r w:rsidRPr="00CA65D2">
        <w:rPr>
          <w:rFonts w:cstheme="minorHAnsi"/>
          <w:sz w:val="24"/>
          <w:szCs w:val="24"/>
          <w:shd w:val="clear" w:color="auto" w:fill="FFFFFF"/>
        </w:rPr>
        <w:t>”</w:t>
      </w:r>
      <w:r>
        <w:rPr>
          <w:rFonts w:cstheme="minorHAnsi"/>
          <w:sz w:val="24"/>
          <w:szCs w:val="24"/>
          <w:shd w:val="clear" w:color="auto" w:fill="FFFFFF"/>
        </w:rPr>
        <w:t xml:space="preserve"> </w:t>
      </w:r>
      <w:r w:rsidRPr="00CA65D2">
        <w:rPr>
          <w:rFonts w:cstheme="minorHAnsi"/>
          <w:i/>
          <w:iCs/>
          <w:sz w:val="24"/>
          <w:szCs w:val="24"/>
          <w:shd w:val="clear" w:color="auto" w:fill="FFFFFF"/>
        </w:rPr>
        <w:t>(Law Commission Website)</w:t>
      </w:r>
      <w:r>
        <w:rPr>
          <w:rFonts w:cstheme="minorHAnsi"/>
          <w:sz w:val="24"/>
          <w:szCs w:val="24"/>
          <w:shd w:val="clear" w:color="auto" w:fill="FFFFFF"/>
        </w:rPr>
        <w:t xml:space="preserve">. In conclusion, there are clear advantages and disadvantages to the current system and the three-tier system. However, introducing the </w:t>
      </w:r>
      <w:r w:rsidR="00D506CD">
        <w:rPr>
          <w:rFonts w:cstheme="minorHAnsi"/>
          <w:sz w:val="24"/>
          <w:szCs w:val="24"/>
          <w:shd w:val="clear" w:color="auto" w:fill="FFFFFF"/>
        </w:rPr>
        <w:t>three-tier</w:t>
      </w:r>
      <w:r>
        <w:rPr>
          <w:rFonts w:cstheme="minorHAnsi"/>
          <w:sz w:val="24"/>
          <w:szCs w:val="24"/>
          <w:shd w:val="clear" w:color="auto" w:fill="FFFFFF"/>
        </w:rPr>
        <w:t xml:space="preserve"> system looks to be the appropriate action to take as the government themselves admitted they needed to change and agreed with the law commission</w:t>
      </w:r>
      <w:r w:rsidR="00D506CD">
        <w:rPr>
          <w:rFonts w:cstheme="minorHAnsi"/>
          <w:sz w:val="24"/>
          <w:szCs w:val="24"/>
          <w:shd w:val="clear" w:color="auto" w:fill="FFFFFF"/>
        </w:rPr>
        <w:t xml:space="preserve"> already</w:t>
      </w:r>
      <w:r>
        <w:rPr>
          <w:rFonts w:cstheme="minorHAnsi"/>
          <w:sz w:val="24"/>
          <w:szCs w:val="24"/>
          <w:shd w:val="clear" w:color="auto" w:fill="FFFFFF"/>
        </w:rPr>
        <w:t xml:space="preserve">. The government believed it was not the correct time for such a big change in the </w:t>
      </w:r>
      <w:r w:rsidR="00D506CD">
        <w:rPr>
          <w:rFonts w:cstheme="minorHAnsi"/>
          <w:sz w:val="24"/>
          <w:szCs w:val="24"/>
          <w:shd w:val="clear" w:color="auto" w:fill="FFFFFF"/>
        </w:rPr>
        <w:t xml:space="preserve">law meaning they know it needs to be introduced sometime in the future. The current terms used in sentences are too vague and a lot of cases do not categorise under just murder or manslaughter. </w:t>
      </w:r>
    </w:p>
    <w:p w14:paraId="0AAD1E6D" w14:textId="77777777" w:rsidR="002E3221" w:rsidRPr="00842A71" w:rsidRDefault="002E3221" w:rsidP="007E0F21">
      <w:pPr>
        <w:rPr>
          <w:sz w:val="24"/>
          <w:szCs w:val="24"/>
        </w:rPr>
      </w:pPr>
    </w:p>
    <w:p w14:paraId="7AC9ABEA" w14:textId="25D53515" w:rsidR="009F5393" w:rsidRDefault="009F5393" w:rsidP="007E0F21">
      <w:pPr>
        <w:rPr>
          <w:sz w:val="24"/>
          <w:szCs w:val="24"/>
        </w:rPr>
      </w:pPr>
    </w:p>
    <w:p w14:paraId="7F6230E1" w14:textId="77777777" w:rsidR="009F5393" w:rsidRPr="009F5393" w:rsidRDefault="009F5393" w:rsidP="007E0F21">
      <w:pPr>
        <w:rPr>
          <w:sz w:val="24"/>
          <w:szCs w:val="24"/>
        </w:rPr>
      </w:pPr>
    </w:p>
    <w:p w14:paraId="45FB1FD1" w14:textId="77777777" w:rsidR="004570BA" w:rsidRPr="001801E6" w:rsidRDefault="004570BA" w:rsidP="007E0F21">
      <w:pPr>
        <w:rPr>
          <w:sz w:val="24"/>
          <w:szCs w:val="24"/>
        </w:rPr>
      </w:pPr>
    </w:p>
    <w:p w14:paraId="2E4CF875" w14:textId="59E47E8A" w:rsidR="00A615E4" w:rsidRDefault="00A615E4" w:rsidP="007E0F21">
      <w:pPr>
        <w:rPr>
          <w:sz w:val="24"/>
          <w:szCs w:val="24"/>
        </w:rPr>
      </w:pPr>
    </w:p>
    <w:p w14:paraId="2DD74C66" w14:textId="379ABDD8" w:rsidR="00A615E4" w:rsidRDefault="00A615E4" w:rsidP="007E0F21">
      <w:pPr>
        <w:rPr>
          <w:sz w:val="24"/>
          <w:szCs w:val="24"/>
        </w:rPr>
      </w:pPr>
    </w:p>
    <w:p w14:paraId="4671EAAC" w14:textId="1B44B535" w:rsidR="00A615E4" w:rsidRDefault="00A615E4" w:rsidP="007E0F21">
      <w:pPr>
        <w:rPr>
          <w:sz w:val="24"/>
          <w:szCs w:val="24"/>
        </w:rPr>
      </w:pPr>
    </w:p>
    <w:p w14:paraId="35E87B3C" w14:textId="32CC837D" w:rsidR="00A615E4" w:rsidRDefault="00A615E4" w:rsidP="007E0F21">
      <w:pPr>
        <w:rPr>
          <w:sz w:val="24"/>
          <w:szCs w:val="24"/>
        </w:rPr>
      </w:pPr>
    </w:p>
    <w:p w14:paraId="6ADD3251" w14:textId="42E03A72" w:rsidR="00A615E4" w:rsidRDefault="00A615E4" w:rsidP="007E0F21">
      <w:pPr>
        <w:rPr>
          <w:sz w:val="24"/>
          <w:szCs w:val="24"/>
        </w:rPr>
      </w:pPr>
    </w:p>
    <w:p w14:paraId="2F2F0C58" w14:textId="3AF95925" w:rsidR="00A615E4" w:rsidRDefault="00A615E4" w:rsidP="007E0F21">
      <w:pPr>
        <w:rPr>
          <w:sz w:val="24"/>
          <w:szCs w:val="24"/>
        </w:rPr>
      </w:pPr>
    </w:p>
    <w:p w14:paraId="0ADDBDBB" w14:textId="77C467E0" w:rsidR="00A615E4" w:rsidRDefault="00A615E4" w:rsidP="007E0F21">
      <w:pPr>
        <w:rPr>
          <w:sz w:val="24"/>
          <w:szCs w:val="24"/>
        </w:rPr>
      </w:pPr>
    </w:p>
    <w:p w14:paraId="44D1FE60" w14:textId="47188869" w:rsidR="00A615E4" w:rsidRDefault="00A615E4" w:rsidP="007E0F21">
      <w:pPr>
        <w:rPr>
          <w:sz w:val="24"/>
          <w:szCs w:val="24"/>
        </w:rPr>
      </w:pPr>
    </w:p>
    <w:p w14:paraId="1335EE54" w14:textId="1704B940" w:rsidR="00A615E4" w:rsidRDefault="00A615E4" w:rsidP="007E0F21">
      <w:pPr>
        <w:rPr>
          <w:sz w:val="24"/>
          <w:szCs w:val="24"/>
        </w:rPr>
      </w:pPr>
    </w:p>
    <w:p w14:paraId="2B439096" w14:textId="5A0E9724" w:rsidR="00A615E4" w:rsidRDefault="00A615E4" w:rsidP="007E0F21">
      <w:pPr>
        <w:rPr>
          <w:sz w:val="24"/>
          <w:szCs w:val="24"/>
        </w:rPr>
      </w:pPr>
    </w:p>
    <w:p w14:paraId="37AF5D90" w14:textId="77777777" w:rsidR="00D506CD" w:rsidRDefault="00D506CD" w:rsidP="007E0F21">
      <w:pPr>
        <w:rPr>
          <w:sz w:val="24"/>
          <w:szCs w:val="24"/>
        </w:rPr>
      </w:pPr>
    </w:p>
    <w:p w14:paraId="4346EF78" w14:textId="77777777" w:rsidR="002D395C" w:rsidRDefault="002D395C" w:rsidP="007E0F21">
      <w:pPr>
        <w:rPr>
          <w:b/>
          <w:bCs/>
          <w:sz w:val="28"/>
          <w:szCs w:val="28"/>
          <w:u w:val="single"/>
        </w:rPr>
      </w:pPr>
    </w:p>
    <w:p w14:paraId="09E5A994" w14:textId="77777777" w:rsidR="002D395C" w:rsidRDefault="002D395C" w:rsidP="007E0F21">
      <w:pPr>
        <w:rPr>
          <w:b/>
          <w:bCs/>
          <w:sz w:val="28"/>
          <w:szCs w:val="28"/>
          <w:u w:val="single"/>
        </w:rPr>
      </w:pPr>
    </w:p>
    <w:p w14:paraId="0FC8587B" w14:textId="77777777" w:rsidR="002D395C" w:rsidRDefault="002D395C" w:rsidP="007E0F21">
      <w:pPr>
        <w:rPr>
          <w:b/>
          <w:bCs/>
          <w:sz w:val="28"/>
          <w:szCs w:val="28"/>
          <w:u w:val="single"/>
        </w:rPr>
      </w:pPr>
    </w:p>
    <w:p w14:paraId="34B8DDEB" w14:textId="4AA75082" w:rsidR="00A615E4" w:rsidRDefault="00A615E4" w:rsidP="007E0F21">
      <w:pPr>
        <w:rPr>
          <w:b/>
          <w:bCs/>
          <w:sz w:val="28"/>
          <w:szCs w:val="28"/>
          <w:u w:val="single"/>
        </w:rPr>
      </w:pPr>
      <w:r w:rsidRPr="00A615E4">
        <w:rPr>
          <w:b/>
          <w:bCs/>
          <w:sz w:val="28"/>
          <w:szCs w:val="28"/>
          <w:u w:val="single"/>
        </w:rPr>
        <w:lastRenderedPageBreak/>
        <w:t>References</w:t>
      </w:r>
    </w:p>
    <w:p w14:paraId="61B7F113" w14:textId="04221495" w:rsidR="00D368E9" w:rsidRDefault="00D368E9" w:rsidP="00D368E9">
      <w:pPr>
        <w:rPr>
          <w:b/>
          <w:bCs/>
          <w:i/>
          <w:iCs/>
          <w:sz w:val="24"/>
          <w:szCs w:val="24"/>
        </w:rPr>
      </w:pPr>
      <w:r>
        <w:rPr>
          <w:b/>
          <w:bCs/>
          <w:i/>
          <w:iCs/>
          <w:sz w:val="24"/>
          <w:szCs w:val="24"/>
        </w:rPr>
        <w:t>Crown Prosecution Service, Homicide: Murder and Manslaughter, 2019</w:t>
      </w:r>
    </w:p>
    <w:p w14:paraId="2A7C4876" w14:textId="7D75D5B5" w:rsidR="0077046A" w:rsidRDefault="0077046A" w:rsidP="00D368E9">
      <w:pPr>
        <w:rPr>
          <w:b/>
          <w:bCs/>
          <w:i/>
          <w:iCs/>
          <w:sz w:val="24"/>
          <w:szCs w:val="24"/>
        </w:rPr>
      </w:pPr>
      <w:r w:rsidRPr="0077046A">
        <w:rPr>
          <w:b/>
          <w:bCs/>
          <w:i/>
          <w:iCs/>
          <w:sz w:val="24"/>
          <w:szCs w:val="24"/>
        </w:rPr>
        <w:t>Homicide Act</w:t>
      </w:r>
      <w:r>
        <w:rPr>
          <w:b/>
          <w:bCs/>
          <w:i/>
          <w:iCs/>
          <w:sz w:val="24"/>
          <w:szCs w:val="24"/>
        </w:rPr>
        <w:t>, 1957, S.2 and 2.3</w:t>
      </w:r>
    </w:p>
    <w:p w14:paraId="2C9474E5" w14:textId="62448471" w:rsidR="00AA2DAB" w:rsidRDefault="00AA2DAB" w:rsidP="00D368E9">
      <w:pPr>
        <w:rPr>
          <w:b/>
          <w:bCs/>
          <w:i/>
          <w:iCs/>
          <w:sz w:val="24"/>
          <w:szCs w:val="24"/>
        </w:rPr>
      </w:pPr>
      <w:r>
        <w:rPr>
          <w:b/>
          <w:bCs/>
          <w:i/>
          <w:iCs/>
          <w:sz w:val="24"/>
          <w:szCs w:val="24"/>
        </w:rPr>
        <w:t xml:space="preserve">R v </w:t>
      </w:r>
      <w:r w:rsidRPr="00AA2DAB">
        <w:rPr>
          <w:b/>
          <w:bCs/>
          <w:i/>
          <w:iCs/>
          <w:sz w:val="24"/>
          <w:szCs w:val="24"/>
        </w:rPr>
        <w:t>Larkin</w:t>
      </w:r>
      <w:r>
        <w:rPr>
          <w:b/>
          <w:bCs/>
          <w:i/>
          <w:iCs/>
          <w:sz w:val="24"/>
          <w:szCs w:val="24"/>
        </w:rPr>
        <w:t xml:space="preserve">, </w:t>
      </w:r>
      <w:r w:rsidRPr="00AA2DAB">
        <w:rPr>
          <w:b/>
          <w:bCs/>
          <w:i/>
          <w:iCs/>
          <w:sz w:val="24"/>
          <w:szCs w:val="24"/>
        </w:rPr>
        <w:t>194</w:t>
      </w:r>
      <w:r w:rsidR="00AA33C2">
        <w:rPr>
          <w:b/>
          <w:bCs/>
          <w:i/>
          <w:iCs/>
          <w:sz w:val="24"/>
          <w:szCs w:val="24"/>
        </w:rPr>
        <w:t>2</w:t>
      </w:r>
    </w:p>
    <w:p w14:paraId="58B689EA" w14:textId="75C350C3" w:rsidR="00AA2DAB" w:rsidRDefault="00EA29FD" w:rsidP="00D368E9">
      <w:pPr>
        <w:rPr>
          <w:b/>
          <w:bCs/>
          <w:i/>
          <w:iCs/>
          <w:sz w:val="24"/>
          <w:szCs w:val="24"/>
        </w:rPr>
      </w:pPr>
      <w:r w:rsidRPr="00EA29FD">
        <w:rPr>
          <w:b/>
          <w:bCs/>
          <w:i/>
          <w:iCs/>
          <w:sz w:val="24"/>
          <w:szCs w:val="24"/>
        </w:rPr>
        <w:t>DPP v Newbury</w:t>
      </w:r>
      <w:r>
        <w:rPr>
          <w:b/>
          <w:bCs/>
          <w:i/>
          <w:iCs/>
          <w:sz w:val="24"/>
          <w:szCs w:val="24"/>
        </w:rPr>
        <w:t xml:space="preserve">, </w:t>
      </w:r>
      <w:r w:rsidRPr="00EA29FD">
        <w:rPr>
          <w:b/>
          <w:bCs/>
          <w:i/>
          <w:iCs/>
          <w:sz w:val="24"/>
          <w:szCs w:val="24"/>
        </w:rPr>
        <w:t>1977</w:t>
      </w:r>
      <w:r>
        <w:rPr>
          <w:b/>
          <w:bCs/>
          <w:i/>
          <w:iCs/>
          <w:sz w:val="24"/>
          <w:szCs w:val="24"/>
        </w:rPr>
        <w:t>, House of Lords, Appeal Case 500</w:t>
      </w:r>
      <w:r w:rsidRPr="00EA29FD">
        <w:rPr>
          <w:b/>
          <w:bCs/>
          <w:i/>
          <w:iCs/>
          <w:sz w:val="24"/>
          <w:szCs w:val="24"/>
        </w:rPr>
        <w:t xml:space="preserve"> </w:t>
      </w:r>
    </w:p>
    <w:p w14:paraId="60FE4538" w14:textId="634B7775" w:rsidR="00AA33C2" w:rsidRPr="00D5363E" w:rsidRDefault="00AA33C2" w:rsidP="00D368E9">
      <w:pPr>
        <w:rPr>
          <w:b/>
          <w:bCs/>
          <w:i/>
          <w:iCs/>
          <w:sz w:val="24"/>
          <w:szCs w:val="24"/>
        </w:rPr>
      </w:pPr>
      <w:r>
        <w:rPr>
          <w:b/>
          <w:bCs/>
          <w:i/>
          <w:iCs/>
          <w:sz w:val="24"/>
          <w:szCs w:val="24"/>
        </w:rPr>
        <w:t>Enable Law, Article 2019</w:t>
      </w:r>
    </w:p>
    <w:p w14:paraId="41783D8F" w14:textId="72591133" w:rsidR="00D5363E" w:rsidRPr="00D5363E" w:rsidRDefault="00D5363E" w:rsidP="007E0F21">
      <w:pPr>
        <w:rPr>
          <w:b/>
          <w:bCs/>
          <w:i/>
          <w:iCs/>
          <w:sz w:val="24"/>
          <w:szCs w:val="24"/>
        </w:rPr>
      </w:pPr>
      <w:r w:rsidRPr="00D5363E">
        <w:rPr>
          <w:b/>
          <w:bCs/>
          <w:i/>
          <w:iCs/>
          <w:sz w:val="24"/>
          <w:szCs w:val="24"/>
        </w:rPr>
        <w:t>Law Commission, Reform of offenses against the person, 2015, Page 20-30</w:t>
      </w:r>
    </w:p>
    <w:p w14:paraId="37748A22" w14:textId="4DF6FA1B" w:rsidR="00301BD0" w:rsidRDefault="00301BD0" w:rsidP="004570BA">
      <w:pPr>
        <w:rPr>
          <w:rFonts w:eastAsia="Times New Roman" w:cstheme="minorHAnsi"/>
          <w:b/>
          <w:bCs/>
          <w:i/>
          <w:iCs/>
          <w:sz w:val="24"/>
          <w:szCs w:val="24"/>
          <w:lang w:eastAsia="en-GB"/>
        </w:rPr>
      </w:pPr>
      <w:r>
        <w:rPr>
          <w:rFonts w:eastAsia="Times New Roman" w:cstheme="minorHAnsi"/>
          <w:b/>
          <w:bCs/>
          <w:i/>
          <w:iCs/>
          <w:sz w:val="24"/>
          <w:szCs w:val="24"/>
          <w:lang w:eastAsia="en-GB"/>
        </w:rPr>
        <w:t>Coroners and Justice Act, 2009, Section 52</w:t>
      </w:r>
      <w:r w:rsidR="00C454F5">
        <w:rPr>
          <w:rFonts w:eastAsia="Times New Roman" w:cstheme="minorHAnsi"/>
          <w:b/>
          <w:bCs/>
          <w:i/>
          <w:iCs/>
          <w:sz w:val="24"/>
          <w:szCs w:val="24"/>
          <w:lang w:eastAsia="en-GB"/>
        </w:rPr>
        <w:t xml:space="preserve"> and 54</w:t>
      </w:r>
    </w:p>
    <w:p w14:paraId="5D5C3D35" w14:textId="615E9325" w:rsidR="00D368E9" w:rsidRDefault="00331FAC" w:rsidP="00D368E9">
      <w:pPr>
        <w:rPr>
          <w:rFonts w:eastAsia="Times New Roman" w:cstheme="minorHAnsi"/>
          <w:b/>
          <w:bCs/>
          <w:i/>
          <w:iCs/>
          <w:sz w:val="24"/>
          <w:szCs w:val="24"/>
          <w:lang w:eastAsia="en-GB"/>
        </w:rPr>
      </w:pPr>
      <w:r>
        <w:rPr>
          <w:rFonts w:eastAsia="Times New Roman" w:cstheme="minorHAnsi"/>
          <w:b/>
          <w:bCs/>
          <w:i/>
          <w:iCs/>
          <w:sz w:val="24"/>
          <w:szCs w:val="24"/>
          <w:lang w:eastAsia="en-GB"/>
        </w:rPr>
        <w:t>R v Woollin (1999) House of Lords, Appeal Case 82</w:t>
      </w:r>
    </w:p>
    <w:p w14:paraId="043FE83C" w14:textId="1684180F" w:rsidR="00331FAC" w:rsidRDefault="00331FAC" w:rsidP="00D368E9">
      <w:pPr>
        <w:rPr>
          <w:rFonts w:eastAsia="Times New Roman" w:cstheme="minorHAnsi"/>
          <w:b/>
          <w:bCs/>
          <w:i/>
          <w:iCs/>
          <w:sz w:val="24"/>
          <w:szCs w:val="24"/>
          <w:lang w:eastAsia="en-GB"/>
        </w:rPr>
      </w:pPr>
      <w:r>
        <w:rPr>
          <w:rFonts w:eastAsia="Times New Roman" w:cstheme="minorHAnsi"/>
          <w:b/>
          <w:bCs/>
          <w:i/>
          <w:iCs/>
          <w:sz w:val="24"/>
          <w:szCs w:val="24"/>
          <w:lang w:eastAsia="en-GB"/>
        </w:rPr>
        <w:t>R v Matthews</w:t>
      </w:r>
      <w:r w:rsidR="0028082D">
        <w:rPr>
          <w:rFonts w:eastAsia="Times New Roman" w:cstheme="minorHAnsi"/>
          <w:b/>
          <w:bCs/>
          <w:i/>
          <w:iCs/>
          <w:sz w:val="24"/>
          <w:szCs w:val="24"/>
          <w:lang w:eastAsia="en-GB"/>
        </w:rPr>
        <w:t xml:space="preserve"> </w:t>
      </w:r>
      <w:r>
        <w:rPr>
          <w:rFonts w:eastAsia="Times New Roman" w:cstheme="minorHAnsi"/>
          <w:b/>
          <w:bCs/>
          <w:i/>
          <w:iCs/>
          <w:sz w:val="24"/>
          <w:szCs w:val="24"/>
          <w:lang w:eastAsia="en-GB"/>
        </w:rPr>
        <w:t>(2003)</w:t>
      </w:r>
      <w:r w:rsidR="0028082D">
        <w:rPr>
          <w:rFonts w:eastAsia="Times New Roman" w:cstheme="minorHAnsi"/>
          <w:b/>
          <w:bCs/>
          <w:i/>
          <w:iCs/>
          <w:sz w:val="24"/>
          <w:szCs w:val="24"/>
          <w:lang w:eastAsia="en-GB"/>
        </w:rPr>
        <w:t>, England and Wales Court of Appeal, Crim 192</w:t>
      </w:r>
    </w:p>
    <w:p w14:paraId="649BA24E" w14:textId="0FFAA25E" w:rsidR="005D1093" w:rsidRDefault="005D1093" w:rsidP="00D368E9">
      <w:pPr>
        <w:rPr>
          <w:rFonts w:eastAsia="Times New Roman" w:cstheme="minorHAnsi"/>
          <w:b/>
          <w:bCs/>
          <w:i/>
          <w:iCs/>
          <w:sz w:val="24"/>
          <w:szCs w:val="24"/>
          <w:lang w:eastAsia="en-GB"/>
        </w:rPr>
      </w:pPr>
      <w:r>
        <w:rPr>
          <w:rFonts w:eastAsia="Times New Roman" w:cstheme="minorHAnsi"/>
          <w:b/>
          <w:bCs/>
          <w:i/>
          <w:iCs/>
          <w:sz w:val="24"/>
          <w:szCs w:val="24"/>
          <w:lang w:eastAsia="en-GB"/>
        </w:rPr>
        <w:t>The Law Commission: Murder, Manslaughter and Infanticide,</w:t>
      </w:r>
      <w:r w:rsidR="00341F9D">
        <w:rPr>
          <w:rFonts w:eastAsia="Times New Roman" w:cstheme="minorHAnsi"/>
          <w:b/>
          <w:bCs/>
          <w:i/>
          <w:iCs/>
          <w:sz w:val="24"/>
          <w:szCs w:val="24"/>
          <w:lang w:eastAsia="en-GB"/>
        </w:rPr>
        <w:t xml:space="preserve"> 2006,</w:t>
      </w:r>
      <w:r>
        <w:rPr>
          <w:rFonts w:eastAsia="Times New Roman" w:cstheme="minorHAnsi"/>
          <w:b/>
          <w:bCs/>
          <w:i/>
          <w:iCs/>
          <w:sz w:val="24"/>
          <w:szCs w:val="24"/>
          <w:lang w:eastAsia="en-GB"/>
        </w:rPr>
        <w:t xml:space="preserve"> Page 3-5</w:t>
      </w:r>
    </w:p>
    <w:p w14:paraId="4CA434E6" w14:textId="77777777" w:rsidR="00341F9D" w:rsidRDefault="00EB2D05" w:rsidP="00D368E9">
      <w:pPr>
        <w:rPr>
          <w:rFonts w:eastAsia="Times New Roman" w:cstheme="minorHAnsi"/>
          <w:b/>
          <w:bCs/>
          <w:i/>
          <w:iCs/>
          <w:sz w:val="24"/>
          <w:szCs w:val="24"/>
          <w:lang w:eastAsia="en-GB"/>
        </w:rPr>
      </w:pPr>
      <w:r>
        <w:rPr>
          <w:rFonts w:eastAsia="Times New Roman" w:cstheme="minorHAnsi"/>
          <w:b/>
          <w:bCs/>
          <w:i/>
          <w:iCs/>
          <w:sz w:val="24"/>
          <w:szCs w:val="24"/>
          <w:lang w:eastAsia="en-GB"/>
        </w:rPr>
        <w:t xml:space="preserve">House of Commons Library, Reforming the Law of Homicide, Debate Pack, </w:t>
      </w:r>
      <w:r w:rsidRPr="00EB2D05">
        <w:rPr>
          <w:rFonts w:eastAsia="Times New Roman" w:cstheme="minorHAnsi"/>
          <w:b/>
          <w:bCs/>
          <w:i/>
          <w:iCs/>
          <w:sz w:val="24"/>
          <w:szCs w:val="24"/>
          <w:lang w:eastAsia="en-GB"/>
        </w:rPr>
        <w:t>By Jacqueline Beard &amp; Benjamin Politowski</w:t>
      </w:r>
      <w:r w:rsidR="004A399F">
        <w:rPr>
          <w:rFonts w:eastAsia="Times New Roman" w:cstheme="minorHAnsi"/>
          <w:b/>
          <w:bCs/>
          <w:i/>
          <w:iCs/>
          <w:sz w:val="24"/>
          <w:szCs w:val="24"/>
          <w:lang w:eastAsia="en-GB"/>
        </w:rPr>
        <w:t xml:space="preserve">, 2016, Page 4-5 </w:t>
      </w:r>
    </w:p>
    <w:p w14:paraId="5C95227D" w14:textId="27CA1B4E" w:rsidR="00215C32" w:rsidRDefault="00215C32" w:rsidP="00341F9D">
      <w:pPr>
        <w:rPr>
          <w:rFonts w:eastAsia="Times New Roman" w:cstheme="minorHAnsi"/>
          <w:b/>
          <w:bCs/>
          <w:i/>
          <w:iCs/>
          <w:sz w:val="24"/>
          <w:szCs w:val="24"/>
          <w:lang w:eastAsia="en-GB"/>
        </w:rPr>
      </w:pPr>
      <w:r>
        <w:rPr>
          <w:rFonts w:eastAsia="Times New Roman" w:cstheme="minorHAnsi"/>
          <w:b/>
          <w:bCs/>
          <w:i/>
          <w:iCs/>
          <w:sz w:val="24"/>
          <w:szCs w:val="24"/>
          <w:lang w:eastAsia="en-GB"/>
        </w:rPr>
        <w:t>Electronic Immigration Network, Guest Blog, Michael Spencer, 2020, UK Human Rights Blog</w:t>
      </w:r>
    </w:p>
    <w:p w14:paraId="528E39D0" w14:textId="33540978" w:rsidR="00341F9D" w:rsidRDefault="00341F9D" w:rsidP="00341F9D">
      <w:pPr>
        <w:rPr>
          <w:rFonts w:eastAsia="Times New Roman" w:cstheme="minorHAnsi"/>
          <w:b/>
          <w:bCs/>
          <w:i/>
          <w:iCs/>
          <w:sz w:val="24"/>
          <w:szCs w:val="24"/>
          <w:lang w:eastAsia="en-GB"/>
        </w:rPr>
      </w:pPr>
      <w:r>
        <w:rPr>
          <w:rFonts w:eastAsia="Times New Roman" w:cstheme="minorHAnsi"/>
          <w:b/>
          <w:bCs/>
          <w:i/>
          <w:iCs/>
          <w:sz w:val="24"/>
          <w:szCs w:val="24"/>
          <w:lang w:eastAsia="en-GB"/>
        </w:rPr>
        <w:t>The Law Commission: Murder, Manslaughter and Infanticide, 2006, Page 16-19</w:t>
      </w:r>
    </w:p>
    <w:p w14:paraId="39FC0A8C" w14:textId="020A77FE" w:rsidR="003576B4" w:rsidRDefault="003576B4" w:rsidP="00341F9D">
      <w:pPr>
        <w:rPr>
          <w:b/>
          <w:bCs/>
          <w:i/>
          <w:iCs/>
          <w:sz w:val="24"/>
          <w:szCs w:val="24"/>
        </w:rPr>
      </w:pPr>
      <w:r>
        <w:rPr>
          <w:b/>
          <w:bCs/>
          <w:i/>
          <w:iCs/>
          <w:sz w:val="24"/>
          <w:szCs w:val="24"/>
        </w:rPr>
        <w:t xml:space="preserve">Ministry of Justice: </w:t>
      </w:r>
      <w:r w:rsidRPr="003576B4">
        <w:rPr>
          <w:b/>
          <w:bCs/>
          <w:i/>
          <w:iCs/>
          <w:sz w:val="24"/>
          <w:szCs w:val="24"/>
        </w:rPr>
        <w:t>Partial defences to murder: loss of control and diminished responsibility; and infanticide: Implementation of Sections 52, and 54 to 57 of the Coroners and Justice Act 2009</w:t>
      </w:r>
    </w:p>
    <w:p w14:paraId="66AA0591" w14:textId="46093CE5" w:rsidR="005521E5" w:rsidRDefault="005521E5" w:rsidP="00341F9D">
      <w:pPr>
        <w:rPr>
          <w:b/>
          <w:bCs/>
          <w:i/>
          <w:iCs/>
          <w:sz w:val="24"/>
          <w:szCs w:val="24"/>
        </w:rPr>
      </w:pPr>
      <w:r w:rsidRPr="005521E5">
        <w:rPr>
          <w:b/>
          <w:bCs/>
          <w:i/>
          <w:iCs/>
          <w:sz w:val="24"/>
          <w:szCs w:val="24"/>
        </w:rPr>
        <w:t>Law Commission: Partial Defences to Murder, Final Report, 2004</w:t>
      </w:r>
    </w:p>
    <w:p w14:paraId="4D679FFC" w14:textId="0D07D018" w:rsidR="00842A71" w:rsidRDefault="00842A71" w:rsidP="00341F9D">
      <w:pPr>
        <w:rPr>
          <w:rFonts w:cstheme="minorHAnsi"/>
          <w:b/>
          <w:bCs/>
          <w:i/>
          <w:iCs/>
          <w:sz w:val="24"/>
          <w:szCs w:val="24"/>
        </w:rPr>
      </w:pPr>
      <w:r>
        <w:rPr>
          <w:rFonts w:cstheme="minorHAnsi"/>
          <w:b/>
          <w:bCs/>
          <w:i/>
          <w:iCs/>
          <w:sz w:val="24"/>
          <w:szCs w:val="24"/>
        </w:rPr>
        <w:t xml:space="preserve">The Guardian, </w:t>
      </w:r>
      <w:r w:rsidRPr="00842A71">
        <w:rPr>
          <w:rFonts w:cstheme="minorHAnsi"/>
          <w:b/>
          <w:bCs/>
          <w:i/>
          <w:iCs/>
          <w:sz w:val="24"/>
          <w:szCs w:val="24"/>
        </w:rPr>
        <w:t>Murder law will not be reformed, justice minister tells MPs</w:t>
      </w:r>
      <w:r>
        <w:rPr>
          <w:rFonts w:cstheme="minorHAnsi"/>
          <w:b/>
          <w:bCs/>
          <w:i/>
          <w:iCs/>
          <w:sz w:val="24"/>
          <w:szCs w:val="24"/>
        </w:rPr>
        <w:t>, 2016</w:t>
      </w:r>
    </w:p>
    <w:p w14:paraId="7FC6DD8A" w14:textId="14A3A5E5" w:rsidR="00CA65D2" w:rsidRPr="009F334F" w:rsidRDefault="00CA65D2" w:rsidP="00341F9D">
      <w:pPr>
        <w:rPr>
          <w:rFonts w:eastAsia="Times New Roman" w:cstheme="minorHAnsi"/>
          <w:b/>
          <w:bCs/>
          <w:i/>
          <w:iCs/>
          <w:sz w:val="24"/>
          <w:szCs w:val="24"/>
          <w:lang w:eastAsia="en-GB"/>
        </w:rPr>
      </w:pPr>
      <w:r>
        <w:rPr>
          <w:rFonts w:cstheme="minorHAnsi"/>
          <w:b/>
          <w:bCs/>
          <w:i/>
          <w:iCs/>
          <w:sz w:val="24"/>
          <w:szCs w:val="24"/>
        </w:rPr>
        <w:t>Law Commission Website, Projects, Murder</w:t>
      </w:r>
    </w:p>
    <w:p w14:paraId="5ED8A2E3" w14:textId="182B3530" w:rsidR="00EB2D05" w:rsidRDefault="004A399F" w:rsidP="00D368E9">
      <w:pPr>
        <w:rPr>
          <w:rFonts w:eastAsia="Times New Roman" w:cstheme="minorHAnsi"/>
          <w:b/>
          <w:bCs/>
          <w:i/>
          <w:iCs/>
          <w:sz w:val="24"/>
          <w:szCs w:val="24"/>
          <w:lang w:eastAsia="en-GB"/>
        </w:rPr>
      </w:pPr>
      <w:r>
        <w:rPr>
          <w:rFonts w:eastAsia="Times New Roman" w:cstheme="minorHAnsi"/>
          <w:b/>
          <w:bCs/>
          <w:i/>
          <w:iCs/>
          <w:sz w:val="24"/>
          <w:szCs w:val="24"/>
          <w:lang w:eastAsia="en-GB"/>
        </w:rPr>
        <w:t xml:space="preserve">            </w:t>
      </w:r>
    </w:p>
    <w:p w14:paraId="5B824CCC" w14:textId="35B44F9A" w:rsidR="00331FAC" w:rsidRPr="00331FAC" w:rsidRDefault="00331FAC" w:rsidP="00D368E9">
      <w:pPr>
        <w:rPr>
          <w:rFonts w:eastAsia="Times New Roman" w:cstheme="minorHAnsi"/>
          <w:i/>
          <w:iCs/>
          <w:sz w:val="24"/>
          <w:szCs w:val="24"/>
          <w:lang w:eastAsia="en-GB"/>
        </w:rPr>
      </w:pPr>
    </w:p>
    <w:p w14:paraId="4E603EF6" w14:textId="77777777" w:rsidR="00D368E9" w:rsidRPr="004570BA" w:rsidRDefault="00D368E9" w:rsidP="004570BA">
      <w:pPr>
        <w:rPr>
          <w:rFonts w:eastAsia="Times New Roman" w:cstheme="minorHAnsi"/>
          <w:b/>
          <w:bCs/>
          <w:i/>
          <w:iCs/>
          <w:sz w:val="24"/>
          <w:szCs w:val="24"/>
          <w:lang w:eastAsia="en-GB"/>
        </w:rPr>
      </w:pPr>
    </w:p>
    <w:p w14:paraId="5A11E2B3" w14:textId="2FCB79B9" w:rsidR="00E826F2" w:rsidRPr="00A615E4" w:rsidRDefault="00E826F2" w:rsidP="007E0F21">
      <w:pPr>
        <w:rPr>
          <w:sz w:val="24"/>
          <w:szCs w:val="24"/>
        </w:rPr>
      </w:pPr>
    </w:p>
    <w:sectPr w:rsidR="00E826F2" w:rsidRPr="00A61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61"/>
    <w:rsid w:val="00033A5A"/>
    <w:rsid w:val="00067008"/>
    <w:rsid w:val="000C6A6E"/>
    <w:rsid w:val="00113D77"/>
    <w:rsid w:val="00157386"/>
    <w:rsid w:val="001801E6"/>
    <w:rsid w:val="001A5852"/>
    <w:rsid w:val="001E7D37"/>
    <w:rsid w:val="00215C32"/>
    <w:rsid w:val="0028082D"/>
    <w:rsid w:val="002B0365"/>
    <w:rsid w:val="002D395C"/>
    <w:rsid w:val="002E3221"/>
    <w:rsid w:val="00301BD0"/>
    <w:rsid w:val="00331FAC"/>
    <w:rsid w:val="00341F9D"/>
    <w:rsid w:val="003525B8"/>
    <w:rsid w:val="003576B4"/>
    <w:rsid w:val="00392A26"/>
    <w:rsid w:val="003B48D6"/>
    <w:rsid w:val="003C282E"/>
    <w:rsid w:val="00407D9E"/>
    <w:rsid w:val="00413BFE"/>
    <w:rsid w:val="00421EF3"/>
    <w:rsid w:val="00423CFC"/>
    <w:rsid w:val="004570BA"/>
    <w:rsid w:val="004A1D0C"/>
    <w:rsid w:val="004A399F"/>
    <w:rsid w:val="00521443"/>
    <w:rsid w:val="005521E5"/>
    <w:rsid w:val="0056071D"/>
    <w:rsid w:val="005722ED"/>
    <w:rsid w:val="005C361D"/>
    <w:rsid w:val="005C7528"/>
    <w:rsid w:val="005D1093"/>
    <w:rsid w:val="00666734"/>
    <w:rsid w:val="00687D68"/>
    <w:rsid w:val="00697CAB"/>
    <w:rsid w:val="0077046A"/>
    <w:rsid w:val="007D2A7F"/>
    <w:rsid w:val="007E0F21"/>
    <w:rsid w:val="007E7851"/>
    <w:rsid w:val="00842A71"/>
    <w:rsid w:val="00890C5B"/>
    <w:rsid w:val="008F2A76"/>
    <w:rsid w:val="008F4221"/>
    <w:rsid w:val="00975F2D"/>
    <w:rsid w:val="009B642D"/>
    <w:rsid w:val="009F334F"/>
    <w:rsid w:val="009F5393"/>
    <w:rsid w:val="00A131DF"/>
    <w:rsid w:val="00A2031F"/>
    <w:rsid w:val="00A44561"/>
    <w:rsid w:val="00A615E4"/>
    <w:rsid w:val="00AA2DAB"/>
    <w:rsid w:val="00AA33C2"/>
    <w:rsid w:val="00AF3813"/>
    <w:rsid w:val="00AF3A49"/>
    <w:rsid w:val="00B63388"/>
    <w:rsid w:val="00C01714"/>
    <w:rsid w:val="00C11ABC"/>
    <w:rsid w:val="00C454F5"/>
    <w:rsid w:val="00CA65D2"/>
    <w:rsid w:val="00CE6CC0"/>
    <w:rsid w:val="00D05569"/>
    <w:rsid w:val="00D368E9"/>
    <w:rsid w:val="00D506CD"/>
    <w:rsid w:val="00D5363E"/>
    <w:rsid w:val="00DA4913"/>
    <w:rsid w:val="00E826F2"/>
    <w:rsid w:val="00EA29FD"/>
    <w:rsid w:val="00EB2D05"/>
    <w:rsid w:val="00EE7CA1"/>
    <w:rsid w:val="00EF0962"/>
    <w:rsid w:val="00F615B5"/>
    <w:rsid w:val="00F97831"/>
    <w:rsid w:val="00FA0CAB"/>
    <w:rsid w:val="00FC62B4"/>
    <w:rsid w:val="00FE7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CDBD4"/>
  <w15:chartTrackingRefBased/>
  <w15:docId w15:val="{BBA636DC-F8D1-4C87-902D-67754454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6F2"/>
    <w:rPr>
      <w:color w:val="0563C1" w:themeColor="hyperlink"/>
      <w:u w:val="single"/>
    </w:rPr>
  </w:style>
  <w:style w:type="character" w:styleId="UnresolvedMention">
    <w:name w:val="Unresolved Mention"/>
    <w:basedOn w:val="DefaultParagraphFont"/>
    <w:uiPriority w:val="99"/>
    <w:semiHidden/>
    <w:unhideWhenUsed/>
    <w:rsid w:val="00E826F2"/>
    <w:rPr>
      <w:color w:val="605E5C"/>
      <w:shd w:val="clear" w:color="auto" w:fill="E1DFDD"/>
    </w:rPr>
  </w:style>
  <w:style w:type="character" w:customStyle="1" w:styleId="last-name">
    <w:name w:val="last-name"/>
    <w:basedOn w:val="DefaultParagraphFont"/>
    <w:rsid w:val="004570BA"/>
  </w:style>
  <w:style w:type="paragraph" w:styleId="NoSpacing">
    <w:name w:val="No Spacing"/>
    <w:uiPriority w:val="1"/>
    <w:qFormat/>
    <w:rsid w:val="004570BA"/>
    <w:pPr>
      <w:spacing w:after="0" w:line="240" w:lineRule="auto"/>
    </w:pPr>
  </w:style>
  <w:style w:type="character" w:styleId="FollowedHyperlink">
    <w:name w:val="FollowedHyperlink"/>
    <w:basedOn w:val="DefaultParagraphFont"/>
    <w:uiPriority w:val="99"/>
    <w:semiHidden/>
    <w:unhideWhenUsed/>
    <w:rsid w:val="00F615B5"/>
    <w:rPr>
      <w:color w:val="954F72" w:themeColor="followedHyperlink"/>
      <w:u w:val="single"/>
    </w:rPr>
  </w:style>
  <w:style w:type="character" w:styleId="Strong">
    <w:name w:val="Strong"/>
    <w:basedOn w:val="DefaultParagraphFont"/>
    <w:uiPriority w:val="22"/>
    <w:qFormat/>
    <w:rsid w:val="00331FAC"/>
    <w:rPr>
      <w:b/>
      <w:bCs/>
    </w:rPr>
  </w:style>
  <w:style w:type="character" w:styleId="Emphasis">
    <w:name w:val="Emphasis"/>
    <w:basedOn w:val="DefaultParagraphFont"/>
    <w:uiPriority w:val="20"/>
    <w:qFormat/>
    <w:rsid w:val="00331FAC"/>
    <w:rPr>
      <w:i/>
      <w:iCs/>
    </w:rPr>
  </w:style>
  <w:style w:type="paragraph" w:styleId="NormalWeb">
    <w:name w:val="Normal (Web)"/>
    <w:basedOn w:val="Normal"/>
    <w:uiPriority w:val="99"/>
    <w:semiHidden/>
    <w:unhideWhenUsed/>
    <w:rsid w:val="00392A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2997">
      <w:bodyDiv w:val="1"/>
      <w:marLeft w:val="0"/>
      <w:marRight w:val="0"/>
      <w:marTop w:val="0"/>
      <w:marBottom w:val="0"/>
      <w:divBdr>
        <w:top w:val="none" w:sz="0" w:space="0" w:color="auto"/>
        <w:left w:val="none" w:sz="0" w:space="0" w:color="auto"/>
        <w:bottom w:val="none" w:sz="0" w:space="0" w:color="auto"/>
        <w:right w:val="none" w:sz="0" w:space="0" w:color="auto"/>
      </w:divBdr>
    </w:div>
    <w:div w:id="165898545">
      <w:bodyDiv w:val="1"/>
      <w:marLeft w:val="0"/>
      <w:marRight w:val="0"/>
      <w:marTop w:val="0"/>
      <w:marBottom w:val="0"/>
      <w:divBdr>
        <w:top w:val="none" w:sz="0" w:space="0" w:color="auto"/>
        <w:left w:val="none" w:sz="0" w:space="0" w:color="auto"/>
        <w:bottom w:val="none" w:sz="0" w:space="0" w:color="auto"/>
        <w:right w:val="none" w:sz="0" w:space="0" w:color="auto"/>
      </w:divBdr>
    </w:div>
    <w:div w:id="628975143">
      <w:bodyDiv w:val="1"/>
      <w:marLeft w:val="0"/>
      <w:marRight w:val="0"/>
      <w:marTop w:val="0"/>
      <w:marBottom w:val="0"/>
      <w:divBdr>
        <w:top w:val="none" w:sz="0" w:space="0" w:color="auto"/>
        <w:left w:val="none" w:sz="0" w:space="0" w:color="auto"/>
        <w:bottom w:val="none" w:sz="0" w:space="0" w:color="auto"/>
        <w:right w:val="none" w:sz="0" w:space="0" w:color="auto"/>
      </w:divBdr>
    </w:div>
    <w:div w:id="1135215543">
      <w:bodyDiv w:val="1"/>
      <w:marLeft w:val="0"/>
      <w:marRight w:val="0"/>
      <w:marTop w:val="0"/>
      <w:marBottom w:val="0"/>
      <w:divBdr>
        <w:top w:val="none" w:sz="0" w:space="0" w:color="auto"/>
        <w:left w:val="none" w:sz="0" w:space="0" w:color="auto"/>
        <w:bottom w:val="none" w:sz="0" w:space="0" w:color="auto"/>
        <w:right w:val="none" w:sz="0" w:space="0" w:color="auto"/>
      </w:divBdr>
    </w:div>
    <w:div w:id="1577131735">
      <w:bodyDiv w:val="1"/>
      <w:marLeft w:val="0"/>
      <w:marRight w:val="0"/>
      <w:marTop w:val="0"/>
      <w:marBottom w:val="0"/>
      <w:divBdr>
        <w:top w:val="none" w:sz="0" w:space="0" w:color="auto"/>
        <w:left w:val="none" w:sz="0" w:space="0" w:color="auto"/>
        <w:bottom w:val="none" w:sz="0" w:space="0" w:color="auto"/>
        <w:right w:val="none" w:sz="0" w:space="0" w:color="auto"/>
      </w:divBdr>
    </w:div>
    <w:div w:id="170086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TotalTime>
  <Pages>4</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Ramsey</dc:creator>
  <cp:keywords/>
  <dc:description/>
  <cp:lastModifiedBy>Sean Ramsey</cp:lastModifiedBy>
  <cp:revision>23</cp:revision>
  <dcterms:created xsi:type="dcterms:W3CDTF">2021-10-19T18:50:00Z</dcterms:created>
  <dcterms:modified xsi:type="dcterms:W3CDTF">2021-10-29T11:53:00Z</dcterms:modified>
</cp:coreProperties>
</file>