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5A5E89" w14:textId="77777777" w:rsidR="006B5FB8" w:rsidRPr="00232961" w:rsidRDefault="006B5FB8" w:rsidP="006B5FB8">
      <w:pPr>
        <w:spacing w:line="360" w:lineRule="auto"/>
        <w:jc w:val="right"/>
        <w:rPr>
          <w:rFonts w:ascii="Arial" w:hAnsi="Arial" w:cs="Arial"/>
          <w:b/>
          <w:bCs/>
          <w:sz w:val="22"/>
          <w:szCs w:val="22"/>
        </w:rPr>
      </w:pPr>
      <w:bookmarkStart w:id="0" w:name="_Hlk215522723"/>
      <w:r w:rsidRPr="00232961">
        <w:rPr>
          <w:rFonts w:ascii="Arial" w:hAnsi="Arial" w:cs="Arial"/>
          <w:noProof/>
          <w:sz w:val="22"/>
          <w:szCs w:val="22"/>
        </w:rPr>
        <w:drawing>
          <wp:inline distT="0" distB="0" distL="0" distR="0" wp14:anchorId="28E7996A" wp14:editId="57F53519">
            <wp:extent cx="2583180" cy="1584960"/>
            <wp:effectExtent l="0" t="0" r="7620" b="0"/>
            <wp:docPr id="4" name="Picture 2" descr="A logo of a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A logo of a university of wales&#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583180" cy="1584960"/>
                    </a:xfrm>
                    <a:prstGeom prst="rect">
                      <a:avLst/>
                    </a:prstGeom>
                    <a:noFill/>
                    <a:ln>
                      <a:noFill/>
                    </a:ln>
                  </pic:spPr>
                </pic:pic>
              </a:graphicData>
            </a:graphic>
          </wp:inline>
        </w:drawing>
      </w:r>
    </w:p>
    <w:p w14:paraId="00E97974" w14:textId="6D1768D8" w:rsidR="006B5FB8" w:rsidRPr="00253395" w:rsidRDefault="006B5FB8" w:rsidP="006B5FB8">
      <w:pPr>
        <w:spacing w:line="360" w:lineRule="auto"/>
        <w:jc w:val="center"/>
        <w:rPr>
          <w:rFonts w:ascii="Arial" w:hAnsi="Arial" w:cs="Arial"/>
          <w:b/>
          <w:bCs/>
          <w:sz w:val="22"/>
          <w:szCs w:val="22"/>
        </w:rPr>
      </w:pPr>
      <w:r w:rsidRPr="00253395">
        <w:rPr>
          <w:rFonts w:ascii="Arial" w:hAnsi="Arial" w:cs="Arial"/>
          <w:b/>
          <w:bCs/>
          <w:sz w:val="22"/>
          <w:szCs w:val="22"/>
        </w:rPr>
        <w:t>Module Title:</w:t>
      </w:r>
      <w:r w:rsidRPr="00253395">
        <w:rPr>
          <w:rFonts w:ascii="Arial" w:hAnsi="Arial" w:cs="Arial"/>
          <w:sz w:val="22"/>
          <w:szCs w:val="22"/>
        </w:rPr>
        <w:t xml:space="preserve"> </w:t>
      </w:r>
      <w:r w:rsidRPr="00232961">
        <w:rPr>
          <w:rFonts w:ascii="Arial" w:hAnsi="Arial" w:cs="Arial"/>
          <w:sz w:val="22"/>
          <w:szCs w:val="22"/>
        </w:rPr>
        <w:t xml:space="preserve">introduction to </w:t>
      </w:r>
      <w:r w:rsidRPr="00232961">
        <w:rPr>
          <w:rFonts w:ascii="Arial" w:hAnsi="Arial" w:cs="Arial"/>
          <w:sz w:val="22"/>
          <w:szCs w:val="22"/>
        </w:rPr>
        <w:t>Health and Social Care</w:t>
      </w:r>
    </w:p>
    <w:p w14:paraId="17E4F5CA" w14:textId="48919643" w:rsidR="006B5FB8" w:rsidRPr="00253395" w:rsidRDefault="006B5FB8" w:rsidP="006B5FB8">
      <w:pPr>
        <w:spacing w:line="360" w:lineRule="auto"/>
        <w:jc w:val="center"/>
        <w:rPr>
          <w:rFonts w:ascii="Arial" w:hAnsi="Arial" w:cs="Arial"/>
          <w:sz w:val="22"/>
          <w:szCs w:val="22"/>
        </w:rPr>
      </w:pPr>
      <w:r w:rsidRPr="00253395">
        <w:rPr>
          <w:rFonts w:ascii="Arial" w:hAnsi="Arial" w:cs="Arial"/>
          <w:b/>
          <w:bCs/>
          <w:sz w:val="22"/>
          <w:szCs w:val="22"/>
        </w:rPr>
        <w:t>Module Number:</w:t>
      </w:r>
      <w:r w:rsidRPr="00253395">
        <w:rPr>
          <w:rFonts w:ascii="Arial" w:hAnsi="Arial" w:cs="Arial"/>
          <w:sz w:val="22"/>
          <w:szCs w:val="22"/>
        </w:rPr>
        <w:t xml:space="preserve"> </w:t>
      </w:r>
      <w:r w:rsidRPr="00232961">
        <w:rPr>
          <w:rFonts w:ascii="Arial" w:hAnsi="Arial" w:cs="Arial"/>
          <w:sz w:val="22"/>
          <w:szCs w:val="22"/>
        </w:rPr>
        <w:t>L</w:t>
      </w:r>
      <w:r w:rsidRPr="00232961">
        <w:rPr>
          <w:rFonts w:ascii="Arial" w:hAnsi="Arial" w:cs="Arial"/>
          <w:sz w:val="22"/>
          <w:szCs w:val="22"/>
        </w:rPr>
        <w:t>CHS4003</w:t>
      </w:r>
    </w:p>
    <w:p w14:paraId="45B60506" w14:textId="77777777" w:rsidR="006B5FB8" w:rsidRPr="00253395" w:rsidRDefault="006B5FB8" w:rsidP="006B5FB8">
      <w:pPr>
        <w:spacing w:line="360" w:lineRule="auto"/>
        <w:jc w:val="center"/>
        <w:rPr>
          <w:rFonts w:ascii="Arial" w:hAnsi="Arial" w:cs="Arial"/>
          <w:b/>
          <w:bCs/>
          <w:sz w:val="22"/>
          <w:szCs w:val="22"/>
        </w:rPr>
      </w:pPr>
      <w:r w:rsidRPr="00253395">
        <w:rPr>
          <w:rFonts w:ascii="Arial" w:hAnsi="Arial" w:cs="Arial"/>
          <w:b/>
          <w:bCs/>
          <w:sz w:val="22"/>
          <w:szCs w:val="22"/>
        </w:rPr>
        <w:t xml:space="preserve">Student Name: </w:t>
      </w:r>
      <w:r w:rsidRPr="00253395">
        <w:rPr>
          <w:rFonts w:ascii="Arial" w:hAnsi="Arial" w:cs="Arial"/>
          <w:sz w:val="22"/>
          <w:szCs w:val="22"/>
        </w:rPr>
        <w:t>Amy O'Sullivan</w:t>
      </w:r>
    </w:p>
    <w:p w14:paraId="72EB96D3" w14:textId="77777777" w:rsidR="006B5FB8" w:rsidRPr="00253395" w:rsidRDefault="006B5FB8" w:rsidP="006B5FB8">
      <w:pPr>
        <w:spacing w:line="360" w:lineRule="auto"/>
        <w:jc w:val="center"/>
        <w:rPr>
          <w:rFonts w:ascii="Arial" w:hAnsi="Arial" w:cs="Arial"/>
          <w:b/>
          <w:bCs/>
          <w:sz w:val="22"/>
          <w:szCs w:val="22"/>
        </w:rPr>
      </w:pPr>
      <w:r w:rsidRPr="00253395">
        <w:rPr>
          <w:rFonts w:ascii="Arial" w:hAnsi="Arial" w:cs="Arial"/>
          <w:b/>
          <w:bCs/>
          <w:sz w:val="22"/>
          <w:szCs w:val="22"/>
        </w:rPr>
        <w:t xml:space="preserve">Student ID: </w:t>
      </w:r>
      <w:r w:rsidRPr="00253395">
        <w:rPr>
          <w:rFonts w:ascii="Arial" w:hAnsi="Arial" w:cs="Arial"/>
          <w:sz w:val="22"/>
          <w:szCs w:val="22"/>
        </w:rPr>
        <w:t>2430590</w:t>
      </w:r>
    </w:p>
    <w:p w14:paraId="53060481" w14:textId="361E09D3" w:rsidR="006B5FB8" w:rsidRPr="00232961" w:rsidRDefault="006B5FB8" w:rsidP="006B5FB8">
      <w:pPr>
        <w:spacing w:line="360" w:lineRule="auto"/>
        <w:jc w:val="center"/>
        <w:rPr>
          <w:rFonts w:ascii="Arial" w:hAnsi="Arial" w:cs="Arial"/>
          <w:sz w:val="22"/>
          <w:szCs w:val="22"/>
        </w:rPr>
      </w:pPr>
      <w:r w:rsidRPr="00253395">
        <w:rPr>
          <w:rFonts w:ascii="Arial" w:hAnsi="Arial" w:cs="Arial"/>
          <w:b/>
          <w:bCs/>
          <w:sz w:val="22"/>
          <w:szCs w:val="22"/>
        </w:rPr>
        <w:t xml:space="preserve">Lecturer’s Name: </w:t>
      </w:r>
    </w:p>
    <w:p w14:paraId="748265C1" w14:textId="7C99C8F9" w:rsidR="006B5FB8" w:rsidRPr="00253395" w:rsidRDefault="006B5FB8" w:rsidP="006B5FB8">
      <w:pPr>
        <w:spacing w:line="360" w:lineRule="auto"/>
        <w:jc w:val="center"/>
        <w:rPr>
          <w:rFonts w:ascii="Arial" w:hAnsi="Arial" w:cs="Arial"/>
          <w:b/>
          <w:bCs/>
          <w:sz w:val="22"/>
          <w:szCs w:val="22"/>
        </w:rPr>
      </w:pPr>
      <w:r w:rsidRPr="00232961">
        <w:rPr>
          <w:rFonts w:ascii="Arial" w:hAnsi="Arial" w:cs="Arial"/>
          <w:b/>
          <w:bCs/>
          <w:sz w:val="22"/>
          <w:szCs w:val="22"/>
        </w:rPr>
        <w:t xml:space="preserve">Resit </w:t>
      </w:r>
    </w:p>
    <w:bookmarkEnd w:id="0"/>
    <w:p w14:paraId="0CEF61FB" w14:textId="77777777" w:rsidR="00784100" w:rsidRPr="00232961" w:rsidRDefault="00784100">
      <w:pPr>
        <w:rPr>
          <w:rFonts w:ascii="Arial" w:hAnsi="Arial" w:cs="Arial"/>
          <w:sz w:val="22"/>
          <w:szCs w:val="22"/>
        </w:rPr>
      </w:pPr>
    </w:p>
    <w:p w14:paraId="0A45D6A0" w14:textId="77777777" w:rsidR="006B5FB8" w:rsidRPr="00232961" w:rsidRDefault="006B5FB8">
      <w:pPr>
        <w:rPr>
          <w:rFonts w:ascii="Arial" w:hAnsi="Arial" w:cs="Arial"/>
          <w:sz w:val="22"/>
          <w:szCs w:val="22"/>
        </w:rPr>
      </w:pPr>
    </w:p>
    <w:p w14:paraId="16059F0A" w14:textId="77777777" w:rsidR="006B5FB8" w:rsidRPr="00232961" w:rsidRDefault="006B5FB8">
      <w:pPr>
        <w:rPr>
          <w:rFonts w:ascii="Arial" w:hAnsi="Arial" w:cs="Arial"/>
          <w:sz w:val="22"/>
          <w:szCs w:val="22"/>
        </w:rPr>
      </w:pPr>
    </w:p>
    <w:p w14:paraId="1F3063F9" w14:textId="77777777" w:rsidR="006B5FB8" w:rsidRPr="00232961" w:rsidRDefault="006B5FB8">
      <w:pPr>
        <w:rPr>
          <w:rFonts w:ascii="Arial" w:hAnsi="Arial" w:cs="Arial"/>
          <w:sz w:val="22"/>
          <w:szCs w:val="22"/>
        </w:rPr>
      </w:pPr>
    </w:p>
    <w:p w14:paraId="7CE528DA" w14:textId="77777777" w:rsidR="006B5FB8" w:rsidRPr="00232961" w:rsidRDefault="006B5FB8">
      <w:pPr>
        <w:rPr>
          <w:rFonts w:ascii="Arial" w:hAnsi="Arial" w:cs="Arial"/>
          <w:sz w:val="22"/>
          <w:szCs w:val="22"/>
        </w:rPr>
      </w:pPr>
    </w:p>
    <w:p w14:paraId="5A610C97" w14:textId="77777777" w:rsidR="006B5FB8" w:rsidRPr="00232961" w:rsidRDefault="006B5FB8">
      <w:pPr>
        <w:rPr>
          <w:rFonts w:ascii="Arial" w:hAnsi="Arial" w:cs="Arial"/>
          <w:sz w:val="22"/>
          <w:szCs w:val="22"/>
        </w:rPr>
      </w:pPr>
    </w:p>
    <w:p w14:paraId="4E65979B" w14:textId="77777777" w:rsidR="006B5FB8" w:rsidRPr="00232961" w:rsidRDefault="006B5FB8">
      <w:pPr>
        <w:rPr>
          <w:rFonts w:ascii="Arial" w:hAnsi="Arial" w:cs="Arial"/>
          <w:sz w:val="22"/>
          <w:szCs w:val="22"/>
        </w:rPr>
      </w:pPr>
    </w:p>
    <w:p w14:paraId="0C2776AA" w14:textId="77777777" w:rsidR="006B5FB8" w:rsidRPr="00232961" w:rsidRDefault="006B5FB8">
      <w:pPr>
        <w:rPr>
          <w:rFonts w:ascii="Arial" w:hAnsi="Arial" w:cs="Arial"/>
          <w:sz w:val="22"/>
          <w:szCs w:val="22"/>
        </w:rPr>
      </w:pPr>
    </w:p>
    <w:p w14:paraId="5CF7A939" w14:textId="77777777" w:rsidR="006B5FB8" w:rsidRPr="00232961" w:rsidRDefault="006B5FB8">
      <w:pPr>
        <w:rPr>
          <w:rFonts w:ascii="Arial" w:hAnsi="Arial" w:cs="Arial"/>
          <w:sz w:val="22"/>
          <w:szCs w:val="22"/>
        </w:rPr>
      </w:pPr>
    </w:p>
    <w:p w14:paraId="0C428E2C" w14:textId="77777777" w:rsidR="006B5FB8" w:rsidRPr="00232961" w:rsidRDefault="006B5FB8">
      <w:pPr>
        <w:rPr>
          <w:rFonts w:ascii="Arial" w:hAnsi="Arial" w:cs="Arial"/>
          <w:sz w:val="22"/>
          <w:szCs w:val="22"/>
        </w:rPr>
      </w:pPr>
    </w:p>
    <w:p w14:paraId="0479B09C" w14:textId="77777777" w:rsidR="006B5FB8" w:rsidRPr="00232961" w:rsidRDefault="006B5FB8">
      <w:pPr>
        <w:rPr>
          <w:rFonts w:ascii="Arial" w:hAnsi="Arial" w:cs="Arial"/>
          <w:sz w:val="22"/>
          <w:szCs w:val="22"/>
        </w:rPr>
      </w:pPr>
    </w:p>
    <w:p w14:paraId="7E10E6EB" w14:textId="77777777" w:rsidR="006B5FB8" w:rsidRPr="00232961" w:rsidRDefault="006B5FB8">
      <w:pPr>
        <w:rPr>
          <w:rFonts w:ascii="Arial" w:hAnsi="Arial" w:cs="Arial"/>
          <w:sz w:val="22"/>
          <w:szCs w:val="22"/>
        </w:rPr>
      </w:pPr>
    </w:p>
    <w:p w14:paraId="34421A5F" w14:textId="77777777" w:rsidR="006B5FB8" w:rsidRPr="00232961" w:rsidRDefault="006B5FB8">
      <w:pPr>
        <w:rPr>
          <w:rFonts w:ascii="Arial" w:hAnsi="Arial" w:cs="Arial"/>
          <w:sz w:val="22"/>
          <w:szCs w:val="22"/>
        </w:rPr>
      </w:pPr>
    </w:p>
    <w:p w14:paraId="282EB0C5" w14:textId="77777777" w:rsidR="00232961" w:rsidRDefault="00232961">
      <w:pPr>
        <w:rPr>
          <w:rFonts w:ascii="Arial" w:hAnsi="Arial" w:cs="Arial"/>
          <w:sz w:val="22"/>
          <w:szCs w:val="22"/>
        </w:rPr>
      </w:pPr>
    </w:p>
    <w:p w14:paraId="34F4F5EA" w14:textId="77777777" w:rsidR="00232961" w:rsidRDefault="00232961">
      <w:pPr>
        <w:rPr>
          <w:rFonts w:ascii="Arial" w:hAnsi="Arial" w:cs="Arial"/>
          <w:sz w:val="22"/>
          <w:szCs w:val="22"/>
        </w:rPr>
      </w:pPr>
    </w:p>
    <w:p w14:paraId="4F252569" w14:textId="77777777" w:rsidR="00232961" w:rsidRDefault="00232961">
      <w:pPr>
        <w:rPr>
          <w:rFonts w:ascii="Arial" w:hAnsi="Arial" w:cs="Arial"/>
          <w:sz w:val="22"/>
          <w:szCs w:val="22"/>
        </w:rPr>
      </w:pPr>
    </w:p>
    <w:p w14:paraId="5F55D5E6" w14:textId="77777777" w:rsidR="00232961" w:rsidRPr="00232961" w:rsidRDefault="00232961">
      <w:pPr>
        <w:rPr>
          <w:rFonts w:ascii="Arial" w:hAnsi="Arial" w:cs="Arial"/>
          <w:sz w:val="22"/>
          <w:szCs w:val="22"/>
        </w:rPr>
      </w:pPr>
    </w:p>
    <w:p w14:paraId="30C2CF8F" w14:textId="757F1AA9" w:rsidR="006B5FB8" w:rsidRPr="00232961" w:rsidRDefault="006B5FB8" w:rsidP="00232961">
      <w:pPr>
        <w:spacing w:line="360" w:lineRule="auto"/>
        <w:rPr>
          <w:rFonts w:ascii="Arial" w:hAnsi="Arial" w:cs="Arial"/>
          <w:b/>
          <w:bCs/>
          <w:sz w:val="22"/>
          <w:szCs w:val="22"/>
        </w:rPr>
      </w:pPr>
      <w:r w:rsidRPr="00232961">
        <w:rPr>
          <w:rFonts w:ascii="Arial" w:hAnsi="Arial" w:cs="Arial"/>
          <w:b/>
          <w:bCs/>
          <w:sz w:val="22"/>
          <w:szCs w:val="22"/>
        </w:rPr>
        <w:lastRenderedPageBreak/>
        <w:t xml:space="preserve">Task 1 letter </w:t>
      </w:r>
    </w:p>
    <w:p w14:paraId="1BD13AF9" w14:textId="77777777" w:rsidR="00232961" w:rsidRPr="00232961" w:rsidRDefault="00232961" w:rsidP="00232961">
      <w:pPr>
        <w:spacing w:line="360" w:lineRule="auto"/>
        <w:rPr>
          <w:rFonts w:ascii="Arial" w:hAnsi="Arial" w:cs="Arial"/>
          <w:b/>
          <w:bCs/>
          <w:sz w:val="22"/>
          <w:szCs w:val="22"/>
        </w:rPr>
      </w:pPr>
    </w:p>
    <w:p w14:paraId="127535E3" w14:textId="77777777" w:rsidR="00232961" w:rsidRPr="00232961" w:rsidRDefault="00232961" w:rsidP="00232961">
      <w:pPr>
        <w:spacing w:line="360" w:lineRule="auto"/>
        <w:jc w:val="right"/>
        <w:rPr>
          <w:rFonts w:ascii="Arial" w:hAnsi="Arial" w:cs="Arial"/>
          <w:sz w:val="22"/>
          <w:szCs w:val="22"/>
        </w:rPr>
      </w:pPr>
      <w:r w:rsidRPr="00232961">
        <w:rPr>
          <w:rFonts w:ascii="Arial" w:hAnsi="Arial" w:cs="Arial"/>
          <w:sz w:val="22"/>
          <w:szCs w:val="22"/>
        </w:rPr>
        <w:t>Amy O’Sullivan</w:t>
      </w:r>
      <w:r w:rsidRPr="00232961">
        <w:rPr>
          <w:rFonts w:ascii="Arial" w:hAnsi="Arial" w:cs="Arial"/>
          <w:sz w:val="22"/>
          <w:szCs w:val="22"/>
        </w:rPr>
        <w:br/>
        <w:t xml:space="preserve">20 </w:t>
      </w:r>
      <w:proofErr w:type="spellStart"/>
      <w:r w:rsidRPr="00232961">
        <w:rPr>
          <w:rFonts w:ascii="Arial" w:hAnsi="Arial" w:cs="Arial"/>
          <w:sz w:val="22"/>
          <w:szCs w:val="22"/>
        </w:rPr>
        <w:t>Gostling</w:t>
      </w:r>
      <w:proofErr w:type="spellEnd"/>
      <w:r w:rsidRPr="00232961">
        <w:rPr>
          <w:rFonts w:ascii="Arial" w:hAnsi="Arial" w:cs="Arial"/>
          <w:sz w:val="22"/>
          <w:szCs w:val="22"/>
        </w:rPr>
        <w:t xml:space="preserve"> Road</w:t>
      </w:r>
      <w:r w:rsidRPr="00232961">
        <w:rPr>
          <w:rFonts w:ascii="Arial" w:hAnsi="Arial" w:cs="Arial"/>
          <w:sz w:val="22"/>
          <w:szCs w:val="22"/>
        </w:rPr>
        <w:br/>
        <w:t>Twickenham</w:t>
      </w:r>
      <w:r w:rsidRPr="00232961">
        <w:rPr>
          <w:rFonts w:ascii="Arial" w:hAnsi="Arial" w:cs="Arial"/>
          <w:sz w:val="22"/>
          <w:szCs w:val="22"/>
        </w:rPr>
        <w:br/>
        <w:t>Middlesex</w:t>
      </w:r>
      <w:r w:rsidRPr="00232961">
        <w:rPr>
          <w:rFonts w:ascii="Arial" w:hAnsi="Arial" w:cs="Arial"/>
          <w:sz w:val="22"/>
          <w:szCs w:val="22"/>
        </w:rPr>
        <w:br/>
        <w:t>TW2 6ER</w:t>
      </w:r>
    </w:p>
    <w:p w14:paraId="35A0F0ED"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Cllr. Richard Pyne</w:t>
      </w:r>
      <w:r w:rsidRPr="00232961">
        <w:rPr>
          <w:rFonts w:ascii="Arial" w:hAnsi="Arial" w:cs="Arial"/>
          <w:sz w:val="22"/>
          <w:szCs w:val="22"/>
        </w:rPr>
        <w:br/>
        <w:t>London Borough of Richmond Upon Thames</w:t>
      </w:r>
      <w:r w:rsidRPr="00232961">
        <w:rPr>
          <w:rFonts w:ascii="Arial" w:hAnsi="Arial" w:cs="Arial"/>
          <w:sz w:val="22"/>
          <w:szCs w:val="22"/>
        </w:rPr>
        <w:br/>
        <w:t>Civic Centre</w:t>
      </w:r>
      <w:r w:rsidRPr="00232961">
        <w:rPr>
          <w:rFonts w:ascii="Arial" w:hAnsi="Arial" w:cs="Arial"/>
          <w:sz w:val="22"/>
          <w:szCs w:val="22"/>
        </w:rPr>
        <w:br/>
        <w:t>44 York Street</w:t>
      </w:r>
      <w:r w:rsidRPr="00232961">
        <w:rPr>
          <w:rFonts w:ascii="Arial" w:hAnsi="Arial" w:cs="Arial"/>
          <w:sz w:val="22"/>
          <w:szCs w:val="22"/>
        </w:rPr>
        <w:br/>
        <w:t>Twickenham</w:t>
      </w:r>
      <w:r w:rsidRPr="00232961">
        <w:rPr>
          <w:rFonts w:ascii="Arial" w:hAnsi="Arial" w:cs="Arial"/>
          <w:sz w:val="22"/>
          <w:szCs w:val="22"/>
        </w:rPr>
        <w:br/>
        <w:t>TW1 3BZ</w:t>
      </w:r>
    </w:p>
    <w:p w14:paraId="7A47750F"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Date: 4 December 2025</w:t>
      </w:r>
    </w:p>
    <w:p w14:paraId="568B0B8A" w14:textId="77777777" w:rsidR="00232961" w:rsidRPr="00232961" w:rsidRDefault="00232961" w:rsidP="00232961">
      <w:pPr>
        <w:spacing w:line="360" w:lineRule="auto"/>
        <w:rPr>
          <w:rFonts w:ascii="Arial" w:hAnsi="Arial" w:cs="Arial"/>
          <w:sz w:val="22"/>
          <w:szCs w:val="22"/>
        </w:rPr>
      </w:pPr>
    </w:p>
    <w:p w14:paraId="2262ACCC" w14:textId="3AFB5224"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Dear Councillor Pyne,</w:t>
      </w:r>
    </w:p>
    <w:p w14:paraId="3E8BDAC3"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Re: Shortage of Community Disability Services in Twickenham and the Need for Improved Local Provision</w:t>
      </w:r>
    </w:p>
    <w:p w14:paraId="16543DB7" w14:textId="60B0503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I am writing to you as a resident of Twickenham and a Health and Social Care student to raise a serious concern about the significant shortage of community disability services within our local area. Many individuals with physical, sensory, and learning disabilities  along with their families  are experiencing ongoing challenges accessing timely and appropriate support. This has created avoidable barriers for people who rely on local services to live safely, independently, and with dignity.</w:t>
      </w:r>
    </w:p>
    <w:p w14:paraId="38D044E9"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Under Part One of the Care Act 2014, local authorities have a statutory responsibility to promote individual wellbeing, prevent the escalation of care needs, and ensure that adults with disabilities receive support that enables choice, control, and independence. The Act clearly outlines a duty to make sure that people are supported in the community through accessible services, early intervention, and person-centred care. Unfortunately, the current availability of community disability services in Twickenham does not meet these expectations, leaving many residents without the support they are entitled to.</w:t>
      </w:r>
    </w:p>
    <w:p w14:paraId="28F077A9" w14:textId="5D11232B"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lastRenderedPageBreak/>
        <w:t>Over the past year, I have witnessed several families struggling to access basic services such as mobility support, daily living assistance, respite care, and home adaptations. Many residents have reported waiting several months for occupational therapy assessments or referrals for mobility aids, despite the Care Act emphasising early intervention to prevent deterioration. In some cases, delays in receiving equipment such as grab rails, walking frames, or stair supports have increased the risk of falls and hospital admissions outcomes that could have been avoided with timely community support.</w:t>
      </w:r>
    </w:p>
    <w:p w14:paraId="2C2B6025"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Local charities and voluntary organisations work incredibly hard to support disabled residents, but many of them operate with limited funding and cannot meet the increasing demand. Some services have been forced to reduce their operating hours, meaning families cannot rely on regular support. This puts additional pressure on unpaid carers, many of whom are already experiencing stress, burnout, and financial hardship as they try to manage alone.</w:t>
      </w:r>
    </w:p>
    <w:p w14:paraId="17142570"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Children and young adults transitioning from education into adult disability support are especially affected. Several families have expressed concerns that once a young person leaves school, there is a lack of structured community services available to help them continue learning life skills, access employment support, or maintain social connections. Without proper transition planning and community-based disability provision, these young people risk becoming isolated and losing the progress they have made.</w:t>
      </w:r>
    </w:p>
    <w:p w14:paraId="7AED03CA"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Strengthening community disability services in Twickenham would not only improve wellbeing but also reduce pressure on hospitals, emergency services, and long-term care services. Research consistently shows that early support — such as regular home visits, adaptations, respite breaks and mobility support — can significantly reduce crisis interventions and hospital admissions.</w:t>
      </w:r>
    </w:p>
    <w:p w14:paraId="71B74EDF"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I kindly ask that you raise this issue with the relevant teams at Richmond Council and consider advocating for the following actions:</w:t>
      </w:r>
    </w:p>
    <w:p w14:paraId="2059AFD5"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 Increased investment in community disability services, including more support workers and occupational therapists</w:t>
      </w:r>
      <w:r w:rsidRPr="00232961">
        <w:rPr>
          <w:rFonts w:ascii="Arial" w:hAnsi="Arial" w:cs="Arial"/>
          <w:sz w:val="22"/>
          <w:szCs w:val="22"/>
        </w:rPr>
        <w:br/>
        <w:t>• Faster assessments for home adaptations and mobility equipment</w:t>
      </w:r>
      <w:r w:rsidRPr="00232961">
        <w:rPr>
          <w:rFonts w:ascii="Arial" w:hAnsi="Arial" w:cs="Arial"/>
          <w:sz w:val="22"/>
          <w:szCs w:val="22"/>
        </w:rPr>
        <w:br/>
        <w:t>• More funding for local disability charities and peer-support groups</w:t>
      </w:r>
      <w:r w:rsidRPr="00232961">
        <w:rPr>
          <w:rFonts w:ascii="Arial" w:hAnsi="Arial" w:cs="Arial"/>
          <w:sz w:val="22"/>
          <w:szCs w:val="22"/>
        </w:rPr>
        <w:br/>
        <w:t>• Improved transition support for young people with disabilities moving into adult services</w:t>
      </w:r>
      <w:r w:rsidRPr="00232961">
        <w:rPr>
          <w:rFonts w:ascii="Arial" w:hAnsi="Arial" w:cs="Arial"/>
          <w:sz w:val="22"/>
          <w:szCs w:val="22"/>
        </w:rPr>
        <w:br/>
        <w:t>• A centralised disability support hub in Twickenham to provide accessible advice, drop-in support, and signposting</w:t>
      </w:r>
    </w:p>
    <w:p w14:paraId="2BBB4ABB"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lastRenderedPageBreak/>
        <w:t>I would welcome the opportunity to meet with you or your colleagues to discuss these concerns further. Strengthening community disability services would make a significant difference to the lives of many residents in Twickenham who deserve equitable, timely, and person-centred support.</w:t>
      </w:r>
    </w:p>
    <w:p w14:paraId="4B2EC54B"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Thank you for your time and consideration.</w:t>
      </w:r>
    </w:p>
    <w:p w14:paraId="5C53B486"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Yours sincerely,</w:t>
      </w:r>
      <w:r w:rsidRPr="00232961">
        <w:rPr>
          <w:rFonts w:ascii="Arial" w:hAnsi="Arial" w:cs="Arial"/>
          <w:sz w:val="22"/>
          <w:szCs w:val="22"/>
        </w:rPr>
        <w:br/>
        <w:t>Amy O’Sullivan</w:t>
      </w:r>
    </w:p>
    <w:p w14:paraId="026F8F41" w14:textId="77777777" w:rsidR="00232961" w:rsidRPr="00232961" w:rsidRDefault="00232961">
      <w:pPr>
        <w:rPr>
          <w:rFonts w:ascii="Arial" w:hAnsi="Arial" w:cs="Arial"/>
          <w:b/>
          <w:bCs/>
          <w:sz w:val="22"/>
          <w:szCs w:val="22"/>
        </w:rPr>
      </w:pPr>
    </w:p>
    <w:p w14:paraId="3BCBF330" w14:textId="77777777" w:rsidR="00232961" w:rsidRPr="00232961" w:rsidRDefault="00232961">
      <w:pPr>
        <w:rPr>
          <w:rFonts w:ascii="Arial" w:hAnsi="Arial" w:cs="Arial"/>
          <w:b/>
          <w:bCs/>
          <w:sz w:val="22"/>
          <w:szCs w:val="22"/>
        </w:rPr>
      </w:pPr>
    </w:p>
    <w:p w14:paraId="4089868F" w14:textId="77777777" w:rsidR="00232961" w:rsidRPr="00232961" w:rsidRDefault="00232961">
      <w:pPr>
        <w:rPr>
          <w:rFonts w:ascii="Arial" w:hAnsi="Arial" w:cs="Arial"/>
          <w:b/>
          <w:bCs/>
          <w:sz w:val="22"/>
          <w:szCs w:val="22"/>
        </w:rPr>
      </w:pPr>
    </w:p>
    <w:p w14:paraId="3B4A9578" w14:textId="77777777" w:rsidR="00232961" w:rsidRPr="00232961" w:rsidRDefault="00232961">
      <w:pPr>
        <w:rPr>
          <w:rFonts w:ascii="Arial" w:hAnsi="Arial" w:cs="Arial"/>
          <w:b/>
          <w:bCs/>
          <w:sz w:val="22"/>
          <w:szCs w:val="22"/>
        </w:rPr>
      </w:pPr>
    </w:p>
    <w:p w14:paraId="5098DC57" w14:textId="77777777" w:rsidR="00232961" w:rsidRPr="00232961" w:rsidRDefault="00232961">
      <w:pPr>
        <w:rPr>
          <w:rFonts w:ascii="Arial" w:hAnsi="Arial" w:cs="Arial"/>
          <w:b/>
          <w:bCs/>
          <w:sz w:val="22"/>
          <w:szCs w:val="22"/>
        </w:rPr>
      </w:pPr>
    </w:p>
    <w:p w14:paraId="0009AFB0" w14:textId="77777777" w:rsidR="00232961" w:rsidRDefault="00232961" w:rsidP="00232961">
      <w:pPr>
        <w:rPr>
          <w:rFonts w:ascii="Arial" w:hAnsi="Arial" w:cs="Arial"/>
          <w:b/>
          <w:bCs/>
          <w:sz w:val="22"/>
          <w:szCs w:val="22"/>
        </w:rPr>
      </w:pPr>
    </w:p>
    <w:p w14:paraId="73B0BDF2" w14:textId="77777777" w:rsidR="00232961" w:rsidRDefault="00232961" w:rsidP="00232961">
      <w:pPr>
        <w:rPr>
          <w:rFonts w:ascii="Arial" w:hAnsi="Arial" w:cs="Arial"/>
          <w:b/>
          <w:bCs/>
          <w:sz w:val="22"/>
          <w:szCs w:val="22"/>
        </w:rPr>
      </w:pPr>
    </w:p>
    <w:p w14:paraId="15225B34" w14:textId="77777777" w:rsidR="00232961" w:rsidRDefault="00232961" w:rsidP="00232961">
      <w:pPr>
        <w:rPr>
          <w:rFonts w:ascii="Arial" w:hAnsi="Arial" w:cs="Arial"/>
          <w:b/>
          <w:bCs/>
          <w:sz w:val="22"/>
          <w:szCs w:val="22"/>
        </w:rPr>
      </w:pPr>
    </w:p>
    <w:p w14:paraId="5934E09E" w14:textId="77777777" w:rsidR="00232961" w:rsidRDefault="00232961" w:rsidP="00232961">
      <w:pPr>
        <w:rPr>
          <w:rFonts w:ascii="Arial" w:hAnsi="Arial" w:cs="Arial"/>
          <w:b/>
          <w:bCs/>
          <w:sz w:val="22"/>
          <w:szCs w:val="22"/>
        </w:rPr>
      </w:pPr>
    </w:p>
    <w:p w14:paraId="18AA70ED" w14:textId="77777777" w:rsidR="00232961" w:rsidRDefault="00232961" w:rsidP="00232961">
      <w:pPr>
        <w:rPr>
          <w:rFonts w:ascii="Arial" w:hAnsi="Arial" w:cs="Arial"/>
          <w:b/>
          <w:bCs/>
          <w:sz w:val="22"/>
          <w:szCs w:val="22"/>
        </w:rPr>
      </w:pPr>
    </w:p>
    <w:p w14:paraId="6AC7F0BB" w14:textId="77777777" w:rsidR="00232961" w:rsidRDefault="00232961" w:rsidP="00232961">
      <w:pPr>
        <w:rPr>
          <w:rFonts w:ascii="Arial" w:hAnsi="Arial" w:cs="Arial"/>
          <w:b/>
          <w:bCs/>
          <w:sz w:val="22"/>
          <w:szCs w:val="22"/>
        </w:rPr>
      </w:pPr>
    </w:p>
    <w:p w14:paraId="0F3FFA1F" w14:textId="77777777" w:rsidR="00232961" w:rsidRDefault="00232961" w:rsidP="00232961">
      <w:pPr>
        <w:rPr>
          <w:rFonts w:ascii="Arial" w:hAnsi="Arial" w:cs="Arial"/>
          <w:b/>
          <w:bCs/>
          <w:sz w:val="22"/>
          <w:szCs w:val="22"/>
        </w:rPr>
      </w:pPr>
    </w:p>
    <w:p w14:paraId="4180E1BC" w14:textId="77777777" w:rsidR="00232961" w:rsidRDefault="00232961" w:rsidP="00232961">
      <w:pPr>
        <w:rPr>
          <w:rFonts w:ascii="Arial" w:hAnsi="Arial" w:cs="Arial"/>
          <w:b/>
          <w:bCs/>
          <w:sz w:val="22"/>
          <w:szCs w:val="22"/>
        </w:rPr>
      </w:pPr>
    </w:p>
    <w:p w14:paraId="00CC62AE" w14:textId="77777777" w:rsidR="00232961" w:rsidRDefault="00232961" w:rsidP="00232961">
      <w:pPr>
        <w:rPr>
          <w:rFonts w:ascii="Arial" w:hAnsi="Arial" w:cs="Arial"/>
          <w:b/>
          <w:bCs/>
          <w:sz w:val="22"/>
          <w:szCs w:val="22"/>
        </w:rPr>
      </w:pPr>
    </w:p>
    <w:p w14:paraId="5A774880" w14:textId="77777777" w:rsidR="00232961" w:rsidRDefault="00232961" w:rsidP="00232961">
      <w:pPr>
        <w:rPr>
          <w:rFonts w:ascii="Arial" w:hAnsi="Arial" w:cs="Arial"/>
          <w:b/>
          <w:bCs/>
          <w:sz w:val="22"/>
          <w:szCs w:val="22"/>
        </w:rPr>
      </w:pPr>
    </w:p>
    <w:p w14:paraId="0876F75D" w14:textId="77777777" w:rsidR="00232961" w:rsidRDefault="00232961" w:rsidP="00232961">
      <w:pPr>
        <w:rPr>
          <w:rFonts w:ascii="Arial" w:hAnsi="Arial" w:cs="Arial"/>
          <w:b/>
          <w:bCs/>
          <w:sz w:val="22"/>
          <w:szCs w:val="22"/>
        </w:rPr>
      </w:pPr>
    </w:p>
    <w:p w14:paraId="2D486487" w14:textId="77777777" w:rsidR="00232961" w:rsidRDefault="00232961" w:rsidP="00232961">
      <w:pPr>
        <w:rPr>
          <w:rFonts w:ascii="Arial" w:hAnsi="Arial" w:cs="Arial"/>
          <w:b/>
          <w:bCs/>
          <w:sz w:val="22"/>
          <w:szCs w:val="22"/>
        </w:rPr>
      </w:pPr>
    </w:p>
    <w:p w14:paraId="77EFD923" w14:textId="77777777" w:rsidR="00232961" w:rsidRDefault="00232961" w:rsidP="00232961">
      <w:pPr>
        <w:rPr>
          <w:rFonts w:ascii="Arial" w:hAnsi="Arial" w:cs="Arial"/>
          <w:b/>
          <w:bCs/>
          <w:sz w:val="22"/>
          <w:szCs w:val="22"/>
        </w:rPr>
      </w:pPr>
    </w:p>
    <w:p w14:paraId="49D603C6" w14:textId="77777777" w:rsidR="00232961" w:rsidRDefault="00232961" w:rsidP="00232961">
      <w:pPr>
        <w:rPr>
          <w:rFonts w:ascii="Arial" w:hAnsi="Arial" w:cs="Arial"/>
          <w:b/>
          <w:bCs/>
          <w:sz w:val="22"/>
          <w:szCs w:val="22"/>
        </w:rPr>
      </w:pPr>
    </w:p>
    <w:p w14:paraId="02770244" w14:textId="77777777" w:rsidR="00232961" w:rsidRDefault="00232961" w:rsidP="00232961">
      <w:pPr>
        <w:rPr>
          <w:rFonts w:ascii="Arial" w:hAnsi="Arial" w:cs="Arial"/>
          <w:b/>
          <w:bCs/>
          <w:sz w:val="22"/>
          <w:szCs w:val="22"/>
        </w:rPr>
      </w:pPr>
    </w:p>
    <w:p w14:paraId="1FD41728" w14:textId="77777777" w:rsidR="00232961" w:rsidRDefault="00232961" w:rsidP="00232961">
      <w:pPr>
        <w:rPr>
          <w:rFonts w:ascii="Arial" w:hAnsi="Arial" w:cs="Arial"/>
          <w:b/>
          <w:bCs/>
          <w:sz w:val="22"/>
          <w:szCs w:val="22"/>
        </w:rPr>
      </w:pPr>
    </w:p>
    <w:p w14:paraId="79DB2EF8" w14:textId="77777777" w:rsidR="00232961" w:rsidRPr="00232961" w:rsidRDefault="00232961" w:rsidP="00232961">
      <w:pPr>
        <w:rPr>
          <w:rFonts w:ascii="Arial" w:hAnsi="Arial" w:cs="Arial"/>
          <w:b/>
          <w:bCs/>
          <w:sz w:val="22"/>
          <w:szCs w:val="22"/>
        </w:rPr>
      </w:pPr>
    </w:p>
    <w:p w14:paraId="060D49BE" w14:textId="77777777" w:rsidR="00232961" w:rsidRPr="00232961" w:rsidRDefault="00232961" w:rsidP="00232961">
      <w:pPr>
        <w:rPr>
          <w:rFonts w:ascii="Arial" w:hAnsi="Arial" w:cs="Arial"/>
          <w:b/>
          <w:bCs/>
          <w:sz w:val="22"/>
          <w:szCs w:val="22"/>
        </w:rPr>
      </w:pPr>
    </w:p>
    <w:p w14:paraId="7F4743F2" w14:textId="77777777" w:rsidR="00232961" w:rsidRPr="00232961" w:rsidRDefault="00232961" w:rsidP="00232961">
      <w:pPr>
        <w:rPr>
          <w:rFonts w:ascii="Arial" w:hAnsi="Arial" w:cs="Arial"/>
          <w:b/>
          <w:bCs/>
          <w:sz w:val="22"/>
          <w:szCs w:val="22"/>
        </w:rPr>
      </w:pPr>
    </w:p>
    <w:p w14:paraId="2A132D7E" w14:textId="0110DEFD" w:rsidR="00232961" w:rsidRPr="00232961" w:rsidRDefault="00232961" w:rsidP="00232961">
      <w:pPr>
        <w:rPr>
          <w:rFonts w:ascii="Arial" w:hAnsi="Arial" w:cs="Arial"/>
          <w:b/>
          <w:bCs/>
          <w:sz w:val="22"/>
          <w:szCs w:val="22"/>
        </w:rPr>
      </w:pPr>
      <w:r w:rsidRPr="00232961">
        <w:rPr>
          <w:rFonts w:ascii="Arial" w:hAnsi="Arial" w:cs="Arial"/>
          <w:b/>
          <w:bCs/>
          <w:sz w:val="22"/>
          <w:szCs w:val="22"/>
        </w:rPr>
        <w:lastRenderedPageBreak/>
        <w:t xml:space="preserve">Task 2 </w:t>
      </w:r>
    </w:p>
    <w:p w14:paraId="3CC4FA17"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Title: Challenges Facing Pharmacy Services in the UK Over the Last 10 Years</w:t>
      </w:r>
    </w:p>
    <w:p w14:paraId="018E37DA" w14:textId="1BE1854C"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Introduction</w:t>
      </w:r>
      <w:r w:rsidRPr="00232961">
        <w:rPr>
          <w:rFonts w:ascii="Arial" w:hAnsi="Arial" w:cs="Arial"/>
          <w:sz w:val="22"/>
          <w:szCs w:val="22"/>
        </w:rPr>
        <w:br/>
        <w:t>Pharmacy services are a vital part of the UK’s healthcare system, acting as an accessible point of care for millions of people. Community pharmacies provide essential support such as dispensing medicines, offering health advice, delivering vaccination programmes, and supporting people with long-term conditions. Over the past decade, however, the sector has faced increasing pressures that affect its ability to deliver safe, accessible and high-quality care. This essay outlines the historical development of pharmacy services before examining two major challenges faced over the last 10 years: funding pressures and workforce shortages. The essay concludes with recommendations on how these issues can be addressed to strengthen pharmacy services across the UK.</w:t>
      </w:r>
    </w:p>
    <w:p w14:paraId="480162F6"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A Brief History of Pharmacy Services in the UK</w:t>
      </w:r>
    </w:p>
    <w:p w14:paraId="783E5D1E"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Pharmacy services have evolved significantly over the last century. The early role of the pharmacist was mainly focused on preparing and dispensing medicines, but this expanded rapidly following the creation of the NHS in 1948. As healthcare demands increased, pharmacies became more involved in public health, medicines management and patient education. A major milestone came with the introduction of the Community Pharmacy Contractual Framework (CPCF) in 2005, which formally recognised pharmacies as essential healthcare providers (NHS England, 2019).</w:t>
      </w:r>
    </w:p>
    <w:p w14:paraId="5FB50177" w14:textId="25CD3689"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In the last decade, national policy has continued to expand expectations of pharmacies. Public Health England (2020) highlighted the growing role of pharmacies in vaccination delivery, smoking cessation and long-term condition management, especially during the COVID-19 pandemic. Despite these developments, financial and workforce pressures have made it difficult for the sector to meet rising demand.</w:t>
      </w:r>
    </w:p>
    <w:p w14:paraId="3E0612E3"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Challenge 1: Funding Cuts and Financial Pressures</w:t>
      </w:r>
    </w:p>
    <w:p w14:paraId="0A0F7472"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One of the most significant challenges facing pharmacy services is the reduction in funding. Since 2016, community pharmacies in England have experienced cuts to their budgets, creating major financial instability. According to the Pharmaceutical Services Negotiating Committee (PSNC, 2023), over 700 pharmacies have closed since 2015. The King’s Fund (2022) also reported that closures have disproportionately affected deprived urban communities, increasing health inequalities.</w:t>
      </w:r>
    </w:p>
    <w:p w14:paraId="0DF2F50F"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lastRenderedPageBreak/>
        <w:t>The financial pressure has reduced the capacity of pharmacies to offer wider clinical services. While national policy encourages pharmacies to deliver more frontline support, such as the New Medicine Service and minor illness consultations, the funding for these expanded responsibilities has not kept pace with workload demands. Many pharmacies therefore struggle to cover staff wages, medicine supply costs and operational expenses.</w:t>
      </w:r>
    </w:p>
    <w:p w14:paraId="488BF5F9" w14:textId="60521BC0"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As a result, pharmacies are often forced to prioritise essential dispensing activities, meaning less time is available for services like medication reviews, health checks or public health interventions. This undermines the aims of the NHS Long Term Plan, which expects pharmacies to support preventive care and ease pressure on GPs (NHS England, 2019).</w:t>
      </w:r>
    </w:p>
    <w:p w14:paraId="3C682228"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Challenge 2: Workforce Shortages and Increased Workload</w:t>
      </w:r>
    </w:p>
    <w:p w14:paraId="01F32410"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Workforce shortages have also become a major issue across the sector. Reports from Health Education England (HEE, 2022) indicate a growing shortage of pharmacists and pharmacy technicians, made worse by increasing demand for clinical roles within GP practices and hospitals. The General Pharmaceutical Council (2021) noted that high workload levels, stress and safety concerns are affecting both recruitment and retention.</w:t>
      </w:r>
    </w:p>
    <w:p w14:paraId="67BB30E2"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During the COVID-19 pandemic, community pharmacists faced rising dispensing volumes, medicine shortages, and the responsibility of providing health advice while managing infection control. A survey by the Royal Pharmaceutical Society (2021) found that 80% of pharmacists experienced burnout, with many considering leaving the profession.</w:t>
      </w:r>
    </w:p>
    <w:p w14:paraId="61A4AFBA" w14:textId="0F640D6E"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These staffing pressures have led to reduced opening hours, long waiting times, and temporary closures when no qualified pharmacist is available. As the population ages and the number of people with long-term conditions increases, demand on pharmacy services will continue to rise. Without targeted investment in training, support, and retention, workforce shortages will remain a major barrier.</w:t>
      </w:r>
    </w:p>
    <w:p w14:paraId="05F67014" w14:textId="6F408936"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 xml:space="preserve">Conclusion and Recommendations </w:t>
      </w:r>
    </w:p>
    <w:p w14:paraId="5A366C42"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Pharmacy services are central to delivering accessible, cost-effective healthcare within communities, yet the sector is under considerable strain due to funding reductions and workforce shortages. Addressing these challenges requires targeted and sustained action.</w:t>
      </w:r>
    </w:p>
    <w:p w14:paraId="74E3F445"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Firstly, community pharmacies need increased and stable funding to reflect their expanding clinical role. This includes support for pharmacies in deprived areas, prevention of further closures, and investment in public health services. Improved financial stability would allow pharmacies to increase staffing levels, modernise systems, and provide more personalised patient care.</w:t>
      </w:r>
    </w:p>
    <w:p w14:paraId="681EE22A"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lastRenderedPageBreak/>
        <w:t>Secondly, workforce issues must be addressed through improved recruitment, better career progression, and more support for staff wellbeing. This could include expanding training places for technicians, supporting newly qualified pharmacists, and encouraging pharmacists to remain in community practice. Reducing workload pressures through better digital systems and streamlined processes would also improve retention.</w:t>
      </w:r>
    </w:p>
    <w:p w14:paraId="03D76311"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Finally, pharmacy services should be fully integrated into the wider primary care system. Expanding services such as Pharmacy First, vaccination programmes, and medication reviews would help reduce pressure on GPs and hospitals. Policymakers should continue to recognise pharmacies as essential community health assets.</w:t>
      </w:r>
    </w:p>
    <w:p w14:paraId="790035AD"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By strengthening funding, improving staffing, and expanding clinical roles, the UK can ensure pharmacy services remain accessible and effective for all communities.</w:t>
      </w:r>
    </w:p>
    <w:p w14:paraId="19BD604B" w14:textId="77777777" w:rsidR="00232961" w:rsidRPr="00232961" w:rsidRDefault="00232961" w:rsidP="00232961">
      <w:pPr>
        <w:spacing w:line="360" w:lineRule="auto"/>
        <w:rPr>
          <w:rFonts w:ascii="Arial" w:hAnsi="Arial" w:cs="Arial"/>
          <w:sz w:val="22"/>
          <w:szCs w:val="22"/>
        </w:rPr>
      </w:pPr>
    </w:p>
    <w:p w14:paraId="28F67942" w14:textId="77777777" w:rsidR="00232961" w:rsidRPr="00232961" w:rsidRDefault="00232961" w:rsidP="00232961">
      <w:pPr>
        <w:spacing w:line="360" w:lineRule="auto"/>
        <w:rPr>
          <w:rFonts w:ascii="Arial" w:hAnsi="Arial" w:cs="Arial"/>
          <w:sz w:val="22"/>
          <w:szCs w:val="22"/>
        </w:rPr>
      </w:pPr>
    </w:p>
    <w:p w14:paraId="34ED4BEF" w14:textId="77777777" w:rsidR="00232961" w:rsidRDefault="00232961" w:rsidP="00232961">
      <w:pPr>
        <w:spacing w:line="360" w:lineRule="auto"/>
        <w:rPr>
          <w:rFonts w:ascii="Arial" w:hAnsi="Arial" w:cs="Arial"/>
          <w:sz w:val="22"/>
          <w:szCs w:val="22"/>
        </w:rPr>
      </w:pPr>
    </w:p>
    <w:p w14:paraId="3A834CD3" w14:textId="77777777" w:rsidR="00232961" w:rsidRDefault="00232961" w:rsidP="00232961">
      <w:pPr>
        <w:spacing w:line="360" w:lineRule="auto"/>
        <w:rPr>
          <w:rFonts w:ascii="Arial" w:hAnsi="Arial" w:cs="Arial"/>
          <w:sz w:val="22"/>
          <w:szCs w:val="22"/>
        </w:rPr>
      </w:pPr>
    </w:p>
    <w:p w14:paraId="250E1CB1" w14:textId="77777777" w:rsidR="00232961" w:rsidRDefault="00232961" w:rsidP="00232961">
      <w:pPr>
        <w:spacing w:line="360" w:lineRule="auto"/>
        <w:rPr>
          <w:rFonts w:ascii="Arial" w:hAnsi="Arial" w:cs="Arial"/>
          <w:sz w:val="22"/>
          <w:szCs w:val="22"/>
        </w:rPr>
      </w:pPr>
    </w:p>
    <w:p w14:paraId="36F2D7AA" w14:textId="77777777" w:rsidR="00232961" w:rsidRDefault="00232961" w:rsidP="00232961">
      <w:pPr>
        <w:spacing w:line="360" w:lineRule="auto"/>
        <w:rPr>
          <w:rFonts w:ascii="Arial" w:hAnsi="Arial" w:cs="Arial"/>
          <w:sz w:val="22"/>
          <w:szCs w:val="22"/>
        </w:rPr>
      </w:pPr>
    </w:p>
    <w:p w14:paraId="7F2F3098" w14:textId="77777777" w:rsidR="00232961" w:rsidRDefault="00232961" w:rsidP="00232961">
      <w:pPr>
        <w:spacing w:line="360" w:lineRule="auto"/>
        <w:rPr>
          <w:rFonts w:ascii="Arial" w:hAnsi="Arial" w:cs="Arial"/>
          <w:sz w:val="22"/>
          <w:szCs w:val="22"/>
        </w:rPr>
      </w:pPr>
    </w:p>
    <w:p w14:paraId="49D533F6" w14:textId="77777777" w:rsidR="00232961" w:rsidRDefault="00232961" w:rsidP="00232961">
      <w:pPr>
        <w:spacing w:line="360" w:lineRule="auto"/>
        <w:rPr>
          <w:rFonts w:ascii="Arial" w:hAnsi="Arial" w:cs="Arial"/>
          <w:sz w:val="22"/>
          <w:szCs w:val="22"/>
        </w:rPr>
      </w:pPr>
    </w:p>
    <w:p w14:paraId="4C48872C" w14:textId="77777777" w:rsidR="00232961" w:rsidRDefault="00232961" w:rsidP="00232961">
      <w:pPr>
        <w:spacing w:line="360" w:lineRule="auto"/>
        <w:rPr>
          <w:rFonts w:ascii="Arial" w:hAnsi="Arial" w:cs="Arial"/>
          <w:sz w:val="22"/>
          <w:szCs w:val="22"/>
        </w:rPr>
      </w:pPr>
    </w:p>
    <w:p w14:paraId="7D579F8E" w14:textId="77777777" w:rsidR="00232961" w:rsidRDefault="00232961" w:rsidP="00232961">
      <w:pPr>
        <w:spacing w:line="360" w:lineRule="auto"/>
        <w:rPr>
          <w:rFonts w:ascii="Arial" w:hAnsi="Arial" w:cs="Arial"/>
          <w:sz w:val="22"/>
          <w:szCs w:val="22"/>
        </w:rPr>
      </w:pPr>
    </w:p>
    <w:p w14:paraId="4677AEA7" w14:textId="77777777" w:rsidR="00232961" w:rsidRDefault="00232961" w:rsidP="00232961">
      <w:pPr>
        <w:spacing w:line="360" w:lineRule="auto"/>
        <w:rPr>
          <w:rFonts w:ascii="Arial" w:hAnsi="Arial" w:cs="Arial"/>
          <w:sz w:val="22"/>
          <w:szCs w:val="22"/>
        </w:rPr>
      </w:pPr>
    </w:p>
    <w:p w14:paraId="1825EFB0" w14:textId="77777777" w:rsidR="00232961" w:rsidRDefault="00232961" w:rsidP="00232961">
      <w:pPr>
        <w:spacing w:line="360" w:lineRule="auto"/>
        <w:rPr>
          <w:rFonts w:ascii="Arial" w:hAnsi="Arial" w:cs="Arial"/>
          <w:sz w:val="22"/>
          <w:szCs w:val="22"/>
        </w:rPr>
      </w:pPr>
    </w:p>
    <w:p w14:paraId="0D288483" w14:textId="77777777" w:rsidR="00232961" w:rsidRDefault="00232961" w:rsidP="00232961">
      <w:pPr>
        <w:spacing w:line="360" w:lineRule="auto"/>
        <w:rPr>
          <w:rFonts w:ascii="Arial" w:hAnsi="Arial" w:cs="Arial"/>
          <w:sz w:val="22"/>
          <w:szCs w:val="22"/>
        </w:rPr>
      </w:pPr>
    </w:p>
    <w:p w14:paraId="7C3CFF03" w14:textId="77777777" w:rsidR="00232961" w:rsidRDefault="00232961" w:rsidP="00232961">
      <w:pPr>
        <w:spacing w:line="360" w:lineRule="auto"/>
        <w:rPr>
          <w:rFonts w:ascii="Arial" w:hAnsi="Arial" w:cs="Arial"/>
          <w:sz w:val="22"/>
          <w:szCs w:val="22"/>
        </w:rPr>
      </w:pPr>
    </w:p>
    <w:p w14:paraId="41318411" w14:textId="77777777" w:rsidR="00232961" w:rsidRDefault="00232961" w:rsidP="00232961">
      <w:pPr>
        <w:spacing w:line="360" w:lineRule="auto"/>
        <w:rPr>
          <w:rFonts w:ascii="Arial" w:hAnsi="Arial" w:cs="Arial"/>
          <w:sz w:val="22"/>
          <w:szCs w:val="22"/>
        </w:rPr>
      </w:pPr>
    </w:p>
    <w:p w14:paraId="477B64B1" w14:textId="77777777" w:rsidR="00232961" w:rsidRPr="00232961" w:rsidRDefault="00232961" w:rsidP="00232961">
      <w:pPr>
        <w:spacing w:line="360" w:lineRule="auto"/>
        <w:rPr>
          <w:rFonts w:ascii="Arial" w:hAnsi="Arial" w:cs="Arial"/>
          <w:sz w:val="22"/>
          <w:szCs w:val="22"/>
        </w:rPr>
      </w:pPr>
    </w:p>
    <w:p w14:paraId="6765FFF2" w14:textId="77777777" w:rsidR="00232961" w:rsidRPr="00232961" w:rsidRDefault="00232961" w:rsidP="00232961">
      <w:pPr>
        <w:spacing w:line="360" w:lineRule="auto"/>
        <w:rPr>
          <w:rFonts w:ascii="Arial" w:hAnsi="Arial" w:cs="Arial"/>
          <w:b/>
          <w:bCs/>
          <w:sz w:val="22"/>
          <w:szCs w:val="22"/>
        </w:rPr>
      </w:pPr>
    </w:p>
    <w:p w14:paraId="6F5E607D" w14:textId="0E86E0AD" w:rsidR="00232961" w:rsidRPr="00232961" w:rsidRDefault="00232961" w:rsidP="00232961">
      <w:pPr>
        <w:spacing w:line="360" w:lineRule="auto"/>
        <w:rPr>
          <w:rFonts w:ascii="Arial" w:hAnsi="Arial" w:cs="Arial"/>
          <w:b/>
          <w:bCs/>
          <w:sz w:val="22"/>
          <w:szCs w:val="22"/>
        </w:rPr>
      </w:pPr>
      <w:r w:rsidRPr="00232961">
        <w:rPr>
          <w:rFonts w:ascii="Arial" w:hAnsi="Arial" w:cs="Arial"/>
          <w:b/>
          <w:bCs/>
          <w:sz w:val="22"/>
          <w:szCs w:val="22"/>
        </w:rPr>
        <w:lastRenderedPageBreak/>
        <w:t xml:space="preserve">Reference List </w:t>
      </w:r>
    </w:p>
    <w:p w14:paraId="12A8921A" w14:textId="22AC596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 xml:space="preserve">General Pharmaceutical Council (2021) </w:t>
      </w:r>
      <w:r w:rsidRPr="00232961">
        <w:rPr>
          <w:rFonts w:ascii="Arial" w:hAnsi="Arial" w:cs="Arial"/>
          <w:i/>
          <w:iCs/>
          <w:sz w:val="22"/>
          <w:szCs w:val="22"/>
        </w:rPr>
        <w:t>Workforce Challenges and Professional Pressures Report</w:t>
      </w:r>
      <w:r w:rsidRPr="00232961">
        <w:rPr>
          <w:rFonts w:ascii="Arial" w:hAnsi="Arial" w:cs="Arial"/>
          <w:sz w:val="22"/>
          <w:szCs w:val="22"/>
        </w:rPr>
        <w:t xml:space="preserve">. [Online] Available at: </w:t>
      </w:r>
      <w:hyperlink r:id="rId5" w:tgtFrame="_new" w:history="1">
        <w:r w:rsidRPr="00232961">
          <w:rPr>
            <w:rStyle w:val="Hyperlink"/>
            <w:rFonts w:ascii="Arial" w:hAnsi="Arial" w:cs="Arial"/>
            <w:sz w:val="22"/>
            <w:szCs w:val="22"/>
          </w:rPr>
          <w:t>https://www.pharmacyregulation.org</w:t>
        </w:r>
      </w:hyperlink>
      <w:r w:rsidRPr="00232961">
        <w:rPr>
          <w:rFonts w:ascii="Arial" w:hAnsi="Arial" w:cs="Arial"/>
          <w:sz w:val="22"/>
          <w:szCs w:val="22"/>
        </w:rPr>
        <w:t xml:space="preserve"> (Accessed </w:t>
      </w:r>
      <w:r>
        <w:rPr>
          <w:rFonts w:ascii="Arial" w:hAnsi="Arial" w:cs="Arial"/>
          <w:sz w:val="22"/>
          <w:szCs w:val="22"/>
        </w:rPr>
        <w:t>5</w:t>
      </w:r>
      <w:r w:rsidRPr="00232961">
        <w:rPr>
          <w:rFonts w:ascii="Arial" w:hAnsi="Arial" w:cs="Arial"/>
          <w:sz w:val="22"/>
          <w:szCs w:val="22"/>
        </w:rPr>
        <w:t xml:space="preserve"> Dec. 2025).</w:t>
      </w:r>
    </w:p>
    <w:p w14:paraId="67F99821"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 xml:space="preserve">Health Education England (2022) </w:t>
      </w:r>
      <w:r w:rsidRPr="00232961">
        <w:rPr>
          <w:rFonts w:ascii="Arial" w:hAnsi="Arial" w:cs="Arial"/>
          <w:i/>
          <w:iCs/>
          <w:sz w:val="22"/>
          <w:szCs w:val="22"/>
        </w:rPr>
        <w:t>Pharmacy Workforce Review</w:t>
      </w:r>
      <w:r w:rsidRPr="00232961">
        <w:rPr>
          <w:rFonts w:ascii="Arial" w:hAnsi="Arial" w:cs="Arial"/>
          <w:sz w:val="22"/>
          <w:szCs w:val="22"/>
        </w:rPr>
        <w:t xml:space="preserve">. [Online] Available at: </w:t>
      </w:r>
      <w:hyperlink r:id="rId6" w:tgtFrame="_new" w:history="1">
        <w:r w:rsidRPr="00232961">
          <w:rPr>
            <w:rStyle w:val="Hyperlink"/>
            <w:rFonts w:ascii="Arial" w:hAnsi="Arial" w:cs="Arial"/>
            <w:sz w:val="22"/>
            <w:szCs w:val="22"/>
          </w:rPr>
          <w:t>https://www.hee.nhs.uk</w:t>
        </w:r>
      </w:hyperlink>
      <w:r w:rsidRPr="00232961">
        <w:rPr>
          <w:rFonts w:ascii="Arial" w:hAnsi="Arial" w:cs="Arial"/>
          <w:sz w:val="22"/>
          <w:szCs w:val="22"/>
        </w:rPr>
        <w:t xml:space="preserve"> (Accessed 4 Dec. 2025).</w:t>
      </w:r>
    </w:p>
    <w:p w14:paraId="6D4E1C07" w14:textId="020CA040"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 xml:space="preserve">King’s Fund (2022) </w:t>
      </w:r>
      <w:r w:rsidRPr="00232961">
        <w:rPr>
          <w:rFonts w:ascii="Arial" w:hAnsi="Arial" w:cs="Arial"/>
          <w:i/>
          <w:iCs/>
          <w:sz w:val="22"/>
          <w:szCs w:val="22"/>
        </w:rPr>
        <w:t>Community Pharmacy and Primary Care Pressures</w:t>
      </w:r>
      <w:r w:rsidRPr="00232961">
        <w:rPr>
          <w:rFonts w:ascii="Arial" w:hAnsi="Arial" w:cs="Arial"/>
          <w:sz w:val="22"/>
          <w:szCs w:val="22"/>
        </w:rPr>
        <w:t xml:space="preserve">. [Online] Available at: </w:t>
      </w:r>
      <w:hyperlink r:id="rId7" w:tgtFrame="_new" w:history="1">
        <w:r w:rsidRPr="00232961">
          <w:rPr>
            <w:rStyle w:val="Hyperlink"/>
            <w:rFonts w:ascii="Arial" w:hAnsi="Arial" w:cs="Arial"/>
            <w:sz w:val="22"/>
            <w:szCs w:val="22"/>
          </w:rPr>
          <w:t>https://www.kingsfund.org.uk</w:t>
        </w:r>
      </w:hyperlink>
      <w:r w:rsidRPr="00232961">
        <w:rPr>
          <w:rFonts w:ascii="Arial" w:hAnsi="Arial" w:cs="Arial"/>
          <w:sz w:val="22"/>
          <w:szCs w:val="22"/>
        </w:rPr>
        <w:t xml:space="preserve"> (Accessed </w:t>
      </w:r>
      <w:r>
        <w:rPr>
          <w:rFonts w:ascii="Arial" w:hAnsi="Arial" w:cs="Arial"/>
          <w:sz w:val="22"/>
          <w:szCs w:val="22"/>
        </w:rPr>
        <w:t>5</w:t>
      </w:r>
      <w:r w:rsidRPr="00232961">
        <w:rPr>
          <w:rFonts w:ascii="Arial" w:hAnsi="Arial" w:cs="Arial"/>
          <w:sz w:val="22"/>
          <w:szCs w:val="22"/>
        </w:rPr>
        <w:t xml:space="preserve"> Dec. 2025).</w:t>
      </w:r>
    </w:p>
    <w:p w14:paraId="689623EA"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 xml:space="preserve">NHS England (2019) </w:t>
      </w:r>
      <w:r w:rsidRPr="00232961">
        <w:rPr>
          <w:rFonts w:ascii="Arial" w:hAnsi="Arial" w:cs="Arial"/>
          <w:i/>
          <w:iCs/>
          <w:sz w:val="22"/>
          <w:szCs w:val="22"/>
        </w:rPr>
        <w:t>The NHS Long Term Plan</w:t>
      </w:r>
      <w:r w:rsidRPr="00232961">
        <w:rPr>
          <w:rFonts w:ascii="Arial" w:hAnsi="Arial" w:cs="Arial"/>
          <w:sz w:val="22"/>
          <w:szCs w:val="22"/>
        </w:rPr>
        <w:t xml:space="preserve">. [Online] Available at: </w:t>
      </w:r>
      <w:hyperlink r:id="rId8" w:tgtFrame="_new" w:history="1">
        <w:r w:rsidRPr="00232961">
          <w:rPr>
            <w:rStyle w:val="Hyperlink"/>
            <w:rFonts w:ascii="Arial" w:hAnsi="Arial" w:cs="Arial"/>
            <w:sz w:val="22"/>
            <w:szCs w:val="22"/>
          </w:rPr>
          <w:t>https://www.longtermplan.nhs.uk</w:t>
        </w:r>
      </w:hyperlink>
      <w:r w:rsidRPr="00232961">
        <w:rPr>
          <w:rFonts w:ascii="Arial" w:hAnsi="Arial" w:cs="Arial"/>
          <w:sz w:val="22"/>
          <w:szCs w:val="22"/>
        </w:rPr>
        <w:t xml:space="preserve"> (Accessed 4 Dec. 2025).</w:t>
      </w:r>
    </w:p>
    <w:p w14:paraId="62ECAD16"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 xml:space="preserve">Pharmaceutical Services Negotiating Committee (PSNC) (2023) </w:t>
      </w:r>
      <w:r w:rsidRPr="00232961">
        <w:rPr>
          <w:rFonts w:ascii="Arial" w:hAnsi="Arial" w:cs="Arial"/>
          <w:i/>
          <w:iCs/>
          <w:sz w:val="22"/>
          <w:szCs w:val="22"/>
        </w:rPr>
        <w:t>Community Pharmacy Funding Update</w:t>
      </w:r>
      <w:r w:rsidRPr="00232961">
        <w:rPr>
          <w:rFonts w:ascii="Arial" w:hAnsi="Arial" w:cs="Arial"/>
          <w:sz w:val="22"/>
          <w:szCs w:val="22"/>
        </w:rPr>
        <w:t xml:space="preserve">. [Online] Available at: </w:t>
      </w:r>
      <w:hyperlink r:id="rId9" w:tgtFrame="_new" w:history="1">
        <w:r w:rsidRPr="00232961">
          <w:rPr>
            <w:rStyle w:val="Hyperlink"/>
            <w:rFonts w:ascii="Arial" w:hAnsi="Arial" w:cs="Arial"/>
            <w:sz w:val="22"/>
            <w:szCs w:val="22"/>
          </w:rPr>
          <w:t>https://psnc.org.uk</w:t>
        </w:r>
      </w:hyperlink>
      <w:r w:rsidRPr="00232961">
        <w:rPr>
          <w:rFonts w:ascii="Arial" w:hAnsi="Arial" w:cs="Arial"/>
          <w:sz w:val="22"/>
          <w:szCs w:val="22"/>
        </w:rPr>
        <w:t xml:space="preserve"> (Accessed 4 Dec. 2025).</w:t>
      </w:r>
    </w:p>
    <w:p w14:paraId="2CB9001B" w14:textId="11833983"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 xml:space="preserve">Public Health England (2020) </w:t>
      </w:r>
      <w:r w:rsidRPr="00232961">
        <w:rPr>
          <w:rFonts w:ascii="Arial" w:hAnsi="Arial" w:cs="Arial"/>
          <w:i/>
          <w:iCs/>
          <w:sz w:val="22"/>
          <w:szCs w:val="22"/>
        </w:rPr>
        <w:t>Community Pharmacy and Public Health Delivery</w:t>
      </w:r>
      <w:r w:rsidRPr="00232961">
        <w:rPr>
          <w:rFonts w:ascii="Arial" w:hAnsi="Arial" w:cs="Arial"/>
          <w:sz w:val="22"/>
          <w:szCs w:val="22"/>
        </w:rPr>
        <w:t xml:space="preserve">. [Online] Available at: https://www.gov.uk/phe (Accessed </w:t>
      </w:r>
      <w:r>
        <w:rPr>
          <w:rFonts w:ascii="Arial" w:hAnsi="Arial" w:cs="Arial"/>
          <w:sz w:val="22"/>
          <w:szCs w:val="22"/>
        </w:rPr>
        <w:t>5</w:t>
      </w:r>
      <w:r w:rsidRPr="00232961">
        <w:rPr>
          <w:rFonts w:ascii="Arial" w:hAnsi="Arial" w:cs="Arial"/>
          <w:sz w:val="22"/>
          <w:szCs w:val="22"/>
        </w:rPr>
        <w:t xml:space="preserve"> Dec. 2025).</w:t>
      </w:r>
    </w:p>
    <w:p w14:paraId="5045E0DA" w14:textId="77777777" w:rsidR="00232961" w:rsidRPr="00232961" w:rsidRDefault="00232961" w:rsidP="00232961">
      <w:pPr>
        <w:spacing w:line="360" w:lineRule="auto"/>
        <w:rPr>
          <w:rFonts w:ascii="Arial" w:hAnsi="Arial" w:cs="Arial"/>
          <w:sz w:val="22"/>
          <w:szCs w:val="22"/>
        </w:rPr>
      </w:pPr>
      <w:r w:rsidRPr="00232961">
        <w:rPr>
          <w:rFonts w:ascii="Arial" w:hAnsi="Arial" w:cs="Arial"/>
          <w:sz w:val="22"/>
          <w:szCs w:val="22"/>
        </w:rPr>
        <w:t xml:space="preserve">Royal Pharmaceutical Society (2021) </w:t>
      </w:r>
      <w:r w:rsidRPr="00232961">
        <w:rPr>
          <w:rFonts w:ascii="Arial" w:hAnsi="Arial" w:cs="Arial"/>
          <w:i/>
          <w:iCs/>
          <w:sz w:val="22"/>
          <w:szCs w:val="22"/>
        </w:rPr>
        <w:t>Workforce Wellbeing Survey</w:t>
      </w:r>
      <w:r w:rsidRPr="00232961">
        <w:rPr>
          <w:rFonts w:ascii="Arial" w:hAnsi="Arial" w:cs="Arial"/>
          <w:sz w:val="22"/>
          <w:szCs w:val="22"/>
        </w:rPr>
        <w:t xml:space="preserve">. [Online] Available at: </w:t>
      </w:r>
      <w:hyperlink r:id="rId10" w:tgtFrame="_new" w:history="1">
        <w:r w:rsidRPr="00232961">
          <w:rPr>
            <w:rStyle w:val="Hyperlink"/>
            <w:rFonts w:ascii="Arial" w:hAnsi="Arial" w:cs="Arial"/>
            <w:sz w:val="22"/>
            <w:szCs w:val="22"/>
          </w:rPr>
          <w:t>https://www.rpharms.com</w:t>
        </w:r>
      </w:hyperlink>
      <w:r w:rsidRPr="00232961">
        <w:rPr>
          <w:rFonts w:ascii="Arial" w:hAnsi="Arial" w:cs="Arial"/>
          <w:sz w:val="22"/>
          <w:szCs w:val="22"/>
        </w:rPr>
        <w:t xml:space="preserve"> (Accessed 4 Dec. 2025).</w:t>
      </w:r>
    </w:p>
    <w:p w14:paraId="2DCE9D8B" w14:textId="77777777" w:rsidR="00232961" w:rsidRPr="00232961" w:rsidRDefault="00232961" w:rsidP="00232961">
      <w:pPr>
        <w:spacing w:line="360" w:lineRule="auto"/>
        <w:rPr>
          <w:rFonts w:ascii="Arial" w:hAnsi="Arial" w:cs="Arial"/>
          <w:b/>
          <w:bCs/>
          <w:sz w:val="22"/>
          <w:szCs w:val="22"/>
        </w:rPr>
      </w:pPr>
    </w:p>
    <w:p w14:paraId="1A0CF2C3" w14:textId="77777777" w:rsidR="00232961" w:rsidRPr="00232961" w:rsidRDefault="00232961" w:rsidP="00232961">
      <w:pPr>
        <w:spacing w:line="360" w:lineRule="auto"/>
        <w:rPr>
          <w:rFonts w:ascii="Arial" w:hAnsi="Arial" w:cs="Arial"/>
          <w:b/>
          <w:bCs/>
          <w:sz w:val="22"/>
          <w:szCs w:val="22"/>
        </w:rPr>
      </w:pPr>
    </w:p>
    <w:p w14:paraId="45351BD2" w14:textId="77777777" w:rsidR="00232961" w:rsidRPr="00232961" w:rsidRDefault="00232961">
      <w:pPr>
        <w:rPr>
          <w:rFonts w:ascii="Arial" w:hAnsi="Arial" w:cs="Arial"/>
          <w:b/>
          <w:bCs/>
          <w:sz w:val="22"/>
          <w:szCs w:val="22"/>
        </w:rPr>
      </w:pPr>
    </w:p>
    <w:sectPr w:rsidR="00232961" w:rsidRPr="002329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FB8"/>
    <w:rsid w:val="002163BD"/>
    <w:rsid w:val="00232961"/>
    <w:rsid w:val="006B5FB8"/>
    <w:rsid w:val="00784100"/>
    <w:rsid w:val="00AA4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87479"/>
  <w15:chartTrackingRefBased/>
  <w15:docId w15:val="{3D905AA6-8C34-4FE2-8C7D-6677FC91F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5FB8"/>
  </w:style>
  <w:style w:type="paragraph" w:styleId="Heading1">
    <w:name w:val="heading 1"/>
    <w:basedOn w:val="Normal"/>
    <w:next w:val="Normal"/>
    <w:link w:val="Heading1Char"/>
    <w:uiPriority w:val="9"/>
    <w:qFormat/>
    <w:rsid w:val="006B5F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5F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5F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5F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5F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5F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5F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5F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5F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5F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5F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5F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5F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5F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5F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5F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5F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5FB8"/>
    <w:rPr>
      <w:rFonts w:eastAsiaTheme="majorEastAsia" w:cstheme="majorBidi"/>
      <w:color w:val="272727" w:themeColor="text1" w:themeTint="D8"/>
    </w:rPr>
  </w:style>
  <w:style w:type="paragraph" w:styleId="Title">
    <w:name w:val="Title"/>
    <w:basedOn w:val="Normal"/>
    <w:next w:val="Normal"/>
    <w:link w:val="TitleChar"/>
    <w:uiPriority w:val="10"/>
    <w:qFormat/>
    <w:rsid w:val="006B5F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5F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5F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5F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5FB8"/>
    <w:pPr>
      <w:spacing w:before="160"/>
      <w:jc w:val="center"/>
    </w:pPr>
    <w:rPr>
      <w:i/>
      <w:iCs/>
      <w:color w:val="404040" w:themeColor="text1" w:themeTint="BF"/>
    </w:rPr>
  </w:style>
  <w:style w:type="character" w:customStyle="1" w:styleId="QuoteChar">
    <w:name w:val="Quote Char"/>
    <w:basedOn w:val="DefaultParagraphFont"/>
    <w:link w:val="Quote"/>
    <w:uiPriority w:val="29"/>
    <w:rsid w:val="006B5FB8"/>
    <w:rPr>
      <w:i/>
      <w:iCs/>
      <w:color w:val="404040" w:themeColor="text1" w:themeTint="BF"/>
    </w:rPr>
  </w:style>
  <w:style w:type="paragraph" w:styleId="ListParagraph">
    <w:name w:val="List Paragraph"/>
    <w:basedOn w:val="Normal"/>
    <w:uiPriority w:val="34"/>
    <w:qFormat/>
    <w:rsid w:val="006B5FB8"/>
    <w:pPr>
      <w:ind w:left="720"/>
      <w:contextualSpacing/>
    </w:pPr>
  </w:style>
  <w:style w:type="character" w:styleId="IntenseEmphasis">
    <w:name w:val="Intense Emphasis"/>
    <w:basedOn w:val="DefaultParagraphFont"/>
    <w:uiPriority w:val="21"/>
    <w:qFormat/>
    <w:rsid w:val="006B5FB8"/>
    <w:rPr>
      <w:i/>
      <w:iCs/>
      <w:color w:val="0F4761" w:themeColor="accent1" w:themeShade="BF"/>
    </w:rPr>
  </w:style>
  <w:style w:type="paragraph" w:styleId="IntenseQuote">
    <w:name w:val="Intense Quote"/>
    <w:basedOn w:val="Normal"/>
    <w:next w:val="Normal"/>
    <w:link w:val="IntenseQuoteChar"/>
    <w:uiPriority w:val="30"/>
    <w:qFormat/>
    <w:rsid w:val="006B5F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5FB8"/>
    <w:rPr>
      <w:i/>
      <w:iCs/>
      <w:color w:val="0F4761" w:themeColor="accent1" w:themeShade="BF"/>
    </w:rPr>
  </w:style>
  <w:style w:type="character" w:styleId="IntenseReference">
    <w:name w:val="Intense Reference"/>
    <w:basedOn w:val="DefaultParagraphFont"/>
    <w:uiPriority w:val="32"/>
    <w:qFormat/>
    <w:rsid w:val="006B5FB8"/>
    <w:rPr>
      <w:b/>
      <w:bCs/>
      <w:smallCaps/>
      <w:color w:val="0F4761" w:themeColor="accent1" w:themeShade="BF"/>
      <w:spacing w:val="5"/>
    </w:rPr>
  </w:style>
  <w:style w:type="character" w:styleId="Hyperlink">
    <w:name w:val="Hyperlink"/>
    <w:basedOn w:val="DefaultParagraphFont"/>
    <w:uiPriority w:val="99"/>
    <w:unhideWhenUsed/>
    <w:rsid w:val="00232961"/>
    <w:rPr>
      <w:color w:val="467886" w:themeColor="hyperlink"/>
      <w:u w:val="single"/>
    </w:rPr>
  </w:style>
  <w:style w:type="character" w:styleId="UnresolvedMention">
    <w:name w:val="Unresolved Mention"/>
    <w:basedOn w:val="DefaultParagraphFont"/>
    <w:uiPriority w:val="99"/>
    <w:semiHidden/>
    <w:unhideWhenUsed/>
    <w:rsid w:val="002329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gtermplan.nhs.uk" TargetMode="External"/><Relationship Id="rId3" Type="http://schemas.openxmlformats.org/officeDocument/2006/relationships/webSettings" Target="webSettings.xml"/><Relationship Id="rId7" Type="http://schemas.openxmlformats.org/officeDocument/2006/relationships/hyperlink" Target="https://www.kingsfund.org.u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ee.nhs.uk" TargetMode="External"/><Relationship Id="rId11" Type="http://schemas.openxmlformats.org/officeDocument/2006/relationships/fontTable" Target="fontTable.xml"/><Relationship Id="rId5" Type="http://schemas.openxmlformats.org/officeDocument/2006/relationships/hyperlink" Target="https://www.pharmacyregulation.org" TargetMode="External"/><Relationship Id="rId10" Type="http://schemas.openxmlformats.org/officeDocument/2006/relationships/hyperlink" Target="https://www.rpharms.com" TargetMode="External"/><Relationship Id="rId4" Type="http://schemas.openxmlformats.org/officeDocument/2006/relationships/image" Target="media/image1.jpeg"/><Relationship Id="rId9" Type="http://schemas.openxmlformats.org/officeDocument/2006/relationships/hyperlink" Target="https://psn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1770</Words>
  <Characters>10095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Judge</dc:creator>
  <cp:keywords/>
  <dc:description/>
  <cp:lastModifiedBy>Sabrina Judge</cp:lastModifiedBy>
  <cp:revision>1</cp:revision>
  <dcterms:created xsi:type="dcterms:W3CDTF">2025-12-04T20:59:00Z</dcterms:created>
  <dcterms:modified xsi:type="dcterms:W3CDTF">2025-12-04T21:31:00Z</dcterms:modified>
</cp:coreProperties>
</file>