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76AFCA" wp14:paraId="2336EE2C" wp14:textId="2937FFF5">
      <w:pPr>
        <w:spacing w:before="240" w:beforeAutospacing="off" w:after="240" w:afterAutospacing="off"/>
      </w:pPr>
      <w:r w:rsidRPr="1976AFCA" w:rsidR="6C8DA39E">
        <w:rPr>
          <w:rFonts w:ascii="Arial Nova" w:hAnsi="Arial Nova" w:eastAsia="Arial Nova" w:cs="Arial Nova"/>
          <w:noProof w:val="0"/>
          <w:sz w:val="24"/>
          <w:szCs w:val="24"/>
          <w:lang w:val="en-GB"/>
        </w:rPr>
        <w:t xml:space="preserve">Outdoor play goes between two extreme ends: unstructured physical release or rigid, classroom-style lessons dragged outside. Today’s research points to a far more effective middle ground: balancing child-led exploration with intentional adult support (Siraj-Blatchford et al., 2002; Maynard and Waters, 2007). Instead of demanding compliance, practitioners aim to spark curiosity by building knowledge together with children. Rather than </w:t>
      </w:r>
      <w:r w:rsidRPr="1976AFCA" w:rsidR="1F9C577D">
        <w:rPr>
          <w:rFonts w:ascii="Arial Nova" w:hAnsi="Arial Nova" w:eastAsia="Arial Nova" w:cs="Arial Nova"/>
          <w:noProof w:val="0"/>
          <w:sz w:val="24"/>
          <w:szCs w:val="24"/>
          <w:lang w:val="en-GB"/>
        </w:rPr>
        <w:t xml:space="preserve">worrying about </w:t>
      </w:r>
      <w:r w:rsidRPr="1976AFCA" w:rsidR="6C8DA39E">
        <w:rPr>
          <w:rFonts w:ascii="Arial Nova" w:hAnsi="Arial Nova" w:eastAsia="Arial Nova" w:cs="Arial Nova"/>
          <w:noProof w:val="0"/>
          <w:sz w:val="24"/>
          <w:szCs w:val="24"/>
          <w:lang w:val="en-GB"/>
        </w:rPr>
        <w:t>possible hazard, they build risk literacy by teaching safe exploration. Most importantly, they give children the freedom to turn abstract maths and science into real-life discoveries.</w:t>
      </w:r>
    </w:p>
    <w:p xmlns:wp14="http://schemas.microsoft.com/office/word/2010/wordml" w:rsidP="1976AFCA" wp14:paraId="3D23DF74" wp14:textId="61D39270">
      <w:pPr>
        <w:spacing w:before="240" w:beforeAutospacing="off" w:after="240" w:afterAutospacing="off"/>
      </w:pPr>
      <w:r w:rsidRPr="1976AFCA" w:rsidR="6C8DA39E">
        <w:rPr>
          <w:rFonts w:ascii="Arial Nova" w:hAnsi="Arial Nova" w:eastAsia="Arial Nova" w:cs="Arial Nova"/>
          <w:noProof w:val="0"/>
          <w:sz w:val="24"/>
          <w:szCs w:val="24"/>
          <w:lang w:val="en-GB"/>
        </w:rPr>
        <w:t xml:space="preserve">Vygotsky’s (1978) Zone of Proximal Development (ZPD) highlights the gap between what a child can do alone and what they can achieve with the right guidance. Outdoors, bridging this gap relies on open-ended questions that stretch thinking, metacognitive </w:t>
      </w:r>
      <w:r w:rsidRPr="1976AFCA" w:rsidR="6C8DA39E">
        <w:rPr>
          <w:rFonts w:ascii="Arial Nova" w:hAnsi="Arial Nova" w:eastAsia="Arial Nova" w:cs="Arial Nova"/>
          <w:noProof w:val="0"/>
          <w:sz w:val="24"/>
          <w:szCs w:val="24"/>
          <w:lang w:val="en-GB"/>
        </w:rPr>
        <w:t>modelling</w:t>
      </w:r>
      <w:r w:rsidRPr="1976AFCA" w:rsidR="6C8DA39E">
        <w:rPr>
          <w:rFonts w:ascii="Arial Nova" w:hAnsi="Arial Nova" w:eastAsia="Arial Nova" w:cs="Arial Nova"/>
          <w:noProof w:val="0"/>
          <w:sz w:val="24"/>
          <w:szCs w:val="24"/>
          <w:lang w:val="en-GB"/>
        </w:rPr>
        <w:t xml:space="preserve"> where adults think out loud, language revoicing to name concepts as children demonstrate them, and a gradual release of responsibility where the adult steps back as the child gains mastery. Early childhood pioneer Friedrich Fröbel (1782–1852) similarly saw nature as the ultimate environment for hands-on learning through his concept of Gifts and Occupations (Tovey, 2017). Simple natural items like pinecones, acorns, and pebbles give children a concrete way to visualize abstract numbers, using touch and physical movement to lay the groundwork for future mathematical reasoning.</w:t>
      </w:r>
    </w:p>
    <w:p xmlns:wp14="http://schemas.microsoft.com/office/word/2010/wordml" w:rsidP="1976AFCA" wp14:paraId="004D13D6" wp14:textId="5879654F">
      <w:pPr>
        <w:spacing w:before="240" w:beforeAutospacing="off" w:after="240" w:afterAutospacing="off"/>
      </w:pPr>
      <w:r w:rsidRPr="1976AFCA" w:rsidR="28B134DD">
        <w:rPr>
          <w:rFonts w:ascii="Arial Nova" w:hAnsi="Arial Nova" w:eastAsia="Arial Nova" w:cs="Arial Nova"/>
          <w:noProof w:val="0"/>
          <w:sz w:val="24"/>
          <w:szCs w:val="24"/>
          <w:lang w:val="en-GB"/>
        </w:rPr>
        <w:t xml:space="preserve">To bring these theories into the real world, </w:t>
      </w:r>
      <w:r w:rsidRPr="1976AFCA" w:rsidR="6C8DA39E">
        <w:rPr>
          <w:rFonts w:ascii="Arial Nova" w:hAnsi="Arial Nova" w:eastAsia="Arial Nova" w:cs="Arial Nova"/>
          <w:noProof w:val="0"/>
          <w:sz w:val="24"/>
          <w:szCs w:val="24"/>
          <w:lang w:val="en-GB"/>
        </w:rPr>
        <w:t>adults must shift from teachers to active co-investigators. Within math play, this means balancing spontaneous child-led games with well-timed learning moments. In line with Nicholson’s (1971) Theory of Loose Parts and Fröbel’s concrete learning, practitioners intentionally offer open-ended materials like sticks, stones, pinecones, and milk crates to make abstract concepts visible and physical. When watching children play, adults look for hidden math opportunities and introduce precise vocabulary without taking over the game.</w:t>
      </w:r>
    </w:p>
    <w:p xmlns:wp14="http://schemas.microsoft.com/office/word/2010/wordml" w:rsidP="1976AFCA" wp14:paraId="3CA292CF" wp14:textId="44D351F4">
      <w:pPr>
        <w:pStyle w:val="Normal"/>
        <w:spacing w:before="240" w:beforeAutospacing="off" w:after="240" w:afterAutospacing="off"/>
      </w:pPr>
      <w:r w:rsidRPr="1976AFCA" w:rsidR="6C8DA39E">
        <w:rPr>
          <w:rFonts w:ascii="Arial Nova" w:hAnsi="Arial Nova" w:eastAsia="Arial Nova" w:cs="Arial Nova"/>
          <w:noProof w:val="0"/>
          <w:sz w:val="24"/>
          <w:szCs w:val="24"/>
          <w:lang w:val="en-GB"/>
        </w:rPr>
        <w:t xml:space="preserve">Siraj-Blatchford </w:t>
      </w:r>
      <w:r w:rsidRPr="1976AFCA" w:rsidR="5D3141FE">
        <w:rPr>
          <w:rFonts w:ascii="Arial Nova" w:hAnsi="Arial Nova" w:eastAsia="Arial Nova" w:cs="Arial Nova"/>
          <w:noProof w:val="0"/>
          <w:sz w:val="24"/>
          <w:szCs w:val="24"/>
          <w:lang w:val="en-GB"/>
        </w:rPr>
        <w:t>(</w:t>
      </w:r>
      <w:r w:rsidRPr="1976AFCA" w:rsidR="6C8DA39E">
        <w:rPr>
          <w:rFonts w:ascii="Arial Nova" w:hAnsi="Arial Nova" w:eastAsia="Arial Nova" w:cs="Arial Nova"/>
          <w:noProof w:val="0"/>
          <w:sz w:val="24"/>
          <w:szCs w:val="24"/>
          <w:lang w:val="en-GB"/>
        </w:rPr>
        <w:t>et al., 2002)</w:t>
      </w:r>
      <w:r w:rsidRPr="1976AFCA" w:rsidR="5BB70823">
        <w:rPr>
          <w:rFonts w:ascii="Arial Nova" w:hAnsi="Arial Nova" w:eastAsia="Arial Nova" w:cs="Arial Nova"/>
          <w:noProof w:val="0"/>
          <w:sz w:val="24"/>
          <w:szCs w:val="24"/>
          <w:lang w:val="en-GB"/>
        </w:rPr>
        <w:t xml:space="preserve"> encourage </w:t>
      </w:r>
      <w:r w:rsidRPr="1976AFCA" w:rsidR="5BB70823">
        <w:rPr>
          <w:rFonts w:ascii="Arial Nova" w:hAnsi="Arial Nova" w:eastAsia="Arial Nova" w:cs="Arial Nova"/>
          <w:b w:val="0"/>
          <w:bCs w:val="0"/>
          <w:noProof w:val="0"/>
          <w:sz w:val="24"/>
          <w:szCs w:val="24"/>
          <w:lang w:val="en-GB"/>
        </w:rPr>
        <w:t xml:space="preserve">Sustained Shared Thinking in Action. </w:t>
      </w:r>
      <w:r w:rsidRPr="1976AFCA" w:rsidR="6C8DA39E">
        <w:rPr>
          <w:rFonts w:ascii="Arial Nova" w:hAnsi="Arial Nova" w:eastAsia="Arial Nova" w:cs="Arial Nova"/>
          <w:noProof w:val="0"/>
          <w:sz w:val="24"/>
          <w:szCs w:val="24"/>
          <w:lang w:val="en-GB"/>
        </w:rPr>
        <w:t xml:space="preserve">Instead of handing out quick answers, practitioners use open questions to guide spatial reasoning within a child's ZPD (Vygotsky, 1978). Asking prompts like </w:t>
      </w:r>
      <w:r w:rsidRPr="1976AFCA" w:rsidR="6C8DA39E">
        <w:rPr>
          <w:rFonts w:ascii="Arial Nova" w:hAnsi="Arial Nova" w:eastAsia="Arial Nova" w:cs="Arial Nova"/>
          <w:i w:val="1"/>
          <w:iCs w:val="1"/>
          <w:noProof w:val="0"/>
          <w:sz w:val="24"/>
          <w:szCs w:val="24"/>
          <w:lang w:val="en-GB"/>
        </w:rPr>
        <w:t>"How many pinecones do you think we need to outline this circle?"</w:t>
      </w:r>
      <w:r w:rsidRPr="1976AFCA" w:rsidR="6C8DA39E">
        <w:rPr>
          <w:rFonts w:ascii="Arial Nova" w:hAnsi="Arial Nova" w:eastAsia="Arial Nova" w:cs="Arial Nova"/>
          <w:noProof w:val="0"/>
          <w:sz w:val="24"/>
          <w:szCs w:val="24"/>
          <w:lang w:val="en-GB"/>
        </w:rPr>
        <w:t xml:space="preserve"> or </w:t>
      </w:r>
      <w:r w:rsidRPr="1976AFCA" w:rsidR="6C8DA39E">
        <w:rPr>
          <w:rFonts w:ascii="Arial Nova" w:hAnsi="Arial Nova" w:eastAsia="Arial Nova" w:cs="Arial Nova"/>
          <w:i w:val="1"/>
          <w:iCs w:val="1"/>
          <w:noProof w:val="0"/>
          <w:sz w:val="24"/>
          <w:szCs w:val="24"/>
          <w:lang w:val="en-GB"/>
        </w:rPr>
        <w:t>"How can we check which stick is longer without a ruler?"</w:t>
      </w:r>
      <w:r w:rsidRPr="1976AFCA" w:rsidR="6C8DA39E">
        <w:rPr>
          <w:rFonts w:ascii="Arial Nova" w:hAnsi="Arial Nova" w:eastAsia="Arial Nova" w:cs="Arial Nova"/>
          <w:noProof w:val="0"/>
          <w:sz w:val="24"/>
          <w:szCs w:val="24"/>
          <w:lang w:val="en-GB"/>
        </w:rPr>
        <w:t xml:space="preserve"> turns play into collaborative problem-solving.</w:t>
      </w:r>
    </w:p>
    <w:p xmlns:wp14="http://schemas.microsoft.com/office/word/2010/wordml" w:rsidP="1976AFCA" wp14:paraId="7406BFBD" wp14:textId="129ADD45">
      <w:pPr>
        <w:spacing w:before="240" w:beforeAutospacing="off" w:after="240" w:afterAutospacing="off"/>
      </w:pPr>
      <w:r w:rsidRPr="1976AFCA" w:rsidR="4CDACB0F">
        <w:rPr>
          <w:rFonts w:ascii="Arial Nova" w:hAnsi="Arial Nova" w:eastAsia="Arial Nova" w:cs="Arial Nova"/>
          <w:noProof w:val="0"/>
          <w:sz w:val="24"/>
          <w:szCs w:val="24"/>
          <w:lang w:val="en-GB"/>
        </w:rPr>
        <w:t>C</w:t>
      </w:r>
      <w:r w:rsidRPr="1976AFCA" w:rsidR="6C8DA39E">
        <w:rPr>
          <w:rFonts w:ascii="Arial Nova" w:hAnsi="Arial Nova" w:eastAsia="Arial Nova" w:cs="Arial Nova"/>
          <w:noProof w:val="0"/>
          <w:sz w:val="24"/>
          <w:szCs w:val="24"/>
          <w:lang w:val="en-GB"/>
        </w:rPr>
        <w:t xml:space="preserve">hildren often understand a concept physically before they can say it </w:t>
      </w:r>
      <w:r w:rsidRPr="1976AFCA" w:rsidR="6C8DA39E">
        <w:rPr>
          <w:rFonts w:ascii="Arial Nova" w:hAnsi="Arial Nova" w:eastAsia="Arial Nova" w:cs="Arial Nova"/>
          <w:noProof w:val="0"/>
          <w:sz w:val="24"/>
          <w:szCs w:val="24"/>
          <w:lang w:val="en-GB"/>
        </w:rPr>
        <w:t>out loud</w:t>
      </w:r>
      <w:r w:rsidRPr="1976AFCA" w:rsidR="6C8DA39E">
        <w:rPr>
          <w:rFonts w:ascii="Arial Nova" w:hAnsi="Arial Nova" w:eastAsia="Arial Nova" w:cs="Arial Nova"/>
          <w:noProof w:val="0"/>
          <w:sz w:val="24"/>
          <w:szCs w:val="24"/>
          <w:lang w:val="en-GB"/>
        </w:rPr>
        <w:t xml:space="preserve">, the practitioner’s role in revoicing is critical. When a child fits flat stones together like puzzle pieces, the practitioner can point out how the flat edges sit side-by-side with no gaps, laying the groundwork for spatial geometry and tessellation. When </w:t>
      </w:r>
      <w:r w:rsidRPr="1976AFCA" w:rsidR="6C8DA39E">
        <w:rPr>
          <w:rFonts w:ascii="Arial Nova" w:hAnsi="Arial Nova" w:eastAsia="Arial Nova" w:cs="Arial Nova"/>
          <w:noProof w:val="0"/>
          <w:sz w:val="24"/>
          <w:szCs w:val="24"/>
          <w:lang w:val="en-GB"/>
        </w:rPr>
        <w:t>observing</w:t>
      </w:r>
      <w:r w:rsidRPr="1976AFCA" w:rsidR="6C8DA39E">
        <w:rPr>
          <w:rFonts w:ascii="Arial Nova" w:hAnsi="Arial Nova" w:eastAsia="Arial Nova" w:cs="Arial Nova"/>
          <w:noProof w:val="0"/>
          <w:sz w:val="24"/>
          <w:szCs w:val="24"/>
          <w:lang w:val="en-GB"/>
        </w:rPr>
        <w:t xml:space="preserve"> a child sorting leaves into distinct piles, the adult can mention how the jagged ones are in one group and the smooth ones in another, introducing set theory and attribute classification. When a child arranges twigs in a repeating short-long sequence, the practitioner labels it as a pattern, connecting physical play directly to early algebraic thinking. By building physical Venn diagrams on the ground using hoops or branches, children sort objects by </w:t>
      </w:r>
      <w:r w:rsidRPr="1976AFCA" w:rsidR="36FFBF54">
        <w:rPr>
          <w:rFonts w:ascii="Arial Nova" w:hAnsi="Arial Nova" w:eastAsia="Arial Nova" w:cs="Arial Nova"/>
          <w:noProof w:val="0"/>
          <w:sz w:val="24"/>
          <w:szCs w:val="24"/>
          <w:lang w:val="en-GB"/>
        </w:rPr>
        <w:t>colour</w:t>
      </w:r>
      <w:r w:rsidRPr="1976AFCA" w:rsidR="6C8DA39E">
        <w:rPr>
          <w:rFonts w:ascii="Arial Nova" w:hAnsi="Arial Nova" w:eastAsia="Arial Nova" w:cs="Arial Nova"/>
          <w:noProof w:val="0"/>
          <w:sz w:val="24"/>
          <w:szCs w:val="24"/>
          <w:lang w:val="en-GB"/>
        </w:rPr>
        <w:t>, texture, or shape, directly supporting the Ambitious, Capable Learners milestone in the Curriculum for Wales.</w:t>
      </w:r>
    </w:p>
    <w:p xmlns:wp14="http://schemas.microsoft.com/office/word/2010/wordml" w:rsidP="1976AFCA" wp14:paraId="7961916D" wp14:textId="193E8E16">
      <w:pPr>
        <w:spacing w:before="240" w:beforeAutospacing="off" w:after="240" w:afterAutospacing="off"/>
      </w:pPr>
      <w:r w:rsidRPr="1976AFCA" w:rsidR="6C8DA39E">
        <w:rPr>
          <w:rFonts w:ascii="Arial Nova" w:hAnsi="Arial Nova" w:eastAsia="Arial Nova" w:cs="Arial Nova"/>
          <w:noProof w:val="0"/>
          <w:sz w:val="24"/>
          <w:szCs w:val="24"/>
          <w:lang w:val="en-GB"/>
        </w:rPr>
        <w:t xml:space="preserve">A similar shift happens when building scientific thinking and risk literacy. Practitioners move from banning risky play to guiding safety self-assessments. In doing so, they teach core physics concepts like friction and balance while helping children see the learning potential in nature. Gibson’s (1979) Affordance Theory explains this by framing the environment through what it offers the learner: a muddy bank becomes a physics slope, a puddle becomes a fluid mechanics lab, and a fallen log becomes a balance beam for exploring </w:t>
      </w:r>
      <w:r w:rsidRPr="1976AFCA" w:rsidR="24931C40">
        <w:rPr>
          <w:rFonts w:ascii="Arial Nova" w:hAnsi="Arial Nova" w:eastAsia="Arial Nova" w:cs="Arial Nova"/>
          <w:noProof w:val="0"/>
          <w:sz w:val="24"/>
          <w:szCs w:val="24"/>
          <w:lang w:val="en-GB"/>
        </w:rPr>
        <w:t>centre</w:t>
      </w:r>
      <w:r w:rsidRPr="1976AFCA" w:rsidR="6C8DA39E">
        <w:rPr>
          <w:rFonts w:ascii="Arial Nova" w:hAnsi="Arial Nova" w:eastAsia="Arial Nova" w:cs="Arial Nova"/>
          <w:noProof w:val="0"/>
          <w:sz w:val="24"/>
          <w:szCs w:val="24"/>
          <w:lang w:val="en-GB"/>
        </w:rPr>
        <w:t xml:space="preserve"> of gravity.</w:t>
      </w:r>
    </w:p>
    <w:p xmlns:wp14="http://schemas.microsoft.com/office/word/2010/wordml" w:rsidP="1976AFCA" wp14:paraId="75BEC94E" wp14:textId="4C6A6BF0">
      <w:pPr>
        <w:spacing w:before="240" w:beforeAutospacing="off" w:after="240" w:afterAutospacing="off"/>
      </w:pPr>
      <w:r w:rsidRPr="1976AFCA" w:rsidR="6C8DA39E">
        <w:rPr>
          <w:rFonts w:ascii="Arial Nova" w:hAnsi="Arial Nova" w:eastAsia="Arial Nova" w:cs="Arial Nova"/>
          <w:noProof w:val="0"/>
          <w:sz w:val="24"/>
          <w:szCs w:val="24"/>
          <w:lang w:val="en-GB"/>
        </w:rPr>
        <w:t>Instead of stopping children from climbing a slippery slope, the adult asks them to notice how their boots grip wet mud compared to dry grass, introducing surface texture, friction, and stability while letting children assess risk safely. During water and gutter play, the adult thinks out loud to wonder why the water speeds up in certain sections, prompting children to test gradients and volume. Introducing secondary materials like corks, gravel, or leaves turns spontaneous splashes into tests of buoyancy and flow resistance. Combining Gibson’s model with Nicholson’s Loose Parts Theory creates endless ways to explore spatial geometry, structural engineering, and conservation of mass, directly supporting all four core purposes of the Curriculum for Wales: Ambitious, Capable Learners; Creative, Enterprise Contributors; Ethical, Informed Citizens; and Confident, Secure Individuals.</w:t>
      </w:r>
    </w:p>
    <w:p xmlns:wp14="http://schemas.microsoft.com/office/word/2010/wordml" w:rsidP="1976AFCA" wp14:paraId="469644D1" wp14:textId="7B0AF62E">
      <w:pPr>
        <w:spacing w:before="240" w:beforeAutospacing="off" w:after="240" w:afterAutospacing="off"/>
      </w:pPr>
      <w:r w:rsidRPr="1976AFCA" w:rsidR="6C8DA39E">
        <w:rPr>
          <w:rFonts w:ascii="Arial Nova" w:hAnsi="Arial Nova" w:eastAsia="Arial Nova" w:cs="Arial Nova"/>
          <w:noProof w:val="0"/>
          <w:sz w:val="24"/>
          <w:szCs w:val="24"/>
          <w:lang w:val="en-GB"/>
        </w:rPr>
        <w:t xml:space="preserve">High-quality early learning requires a near-equal split between child-led play and adult-guided inquiry (Siraj-Blatchford et al., 2002). Yet outdoors, practitioners </w:t>
      </w:r>
      <w:r w:rsidRPr="1976AFCA" w:rsidR="6C8DA39E">
        <w:rPr>
          <w:rFonts w:ascii="Arial Nova" w:hAnsi="Arial Nova" w:eastAsia="Arial Nova" w:cs="Arial Nova"/>
          <w:noProof w:val="0"/>
          <w:sz w:val="24"/>
          <w:szCs w:val="24"/>
          <w:lang w:val="en-GB"/>
        </w:rPr>
        <w:t>frequently</w:t>
      </w:r>
      <w:r w:rsidRPr="1976AFCA" w:rsidR="6C8DA39E">
        <w:rPr>
          <w:rFonts w:ascii="Arial Nova" w:hAnsi="Arial Nova" w:eastAsia="Arial Nova" w:cs="Arial Nova"/>
          <w:noProof w:val="0"/>
          <w:sz w:val="24"/>
          <w:szCs w:val="24"/>
          <w:lang w:val="en-GB"/>
        </w:rPr>
        <w:t xml:space="preserve"> fall into two common traps. The first is over-intervention, which occurs when an adult imposes formal classroom agendas onto spontaneous play (Waite, 2011). Interrupting a child who is enjoying the sensory feel of pouring water to drill them on </w:t>
      </w:r>
      <w:r w:rsidRPr="1976AFCA" w:rsidR="09684BB4">
        <w:rPr>
          <w:rFonts w:ascii="Arial Nova" w:hAnsi="Arial Nova" w:eastAsia="Arial Nova" w:cs="Arial Nova"/>
          <w:noProof w:val="0"/>
          <w:sz w:val="24"/>
          <w:szCs w:val="24"/>
          <w:lang w:val="en-GB"/>
        </w:rPr>
        <w:t>millilitres</w:t>
      </w:r>
      <w:r w:rsidRPr="1976AFCA" w:rsidR="6C8DA39E">
        <w:rPr>
          <w:rFonts w:ascii="Arial Nova" w:hAnsi="Arial Nova" w:eastAsia="Arial Nova" w:cs="Arial Nova"/>
          <w:noProof w:val="0"/>
          <w:sz w:val="24"/>
          <w:szCs w:val="24"/>
          <w:lang w:val="en-GB"/>
        </w:rPr>
        <w:t xml:space="preserve"> ruins their motivation and agency. The second trap is under-intervention, where an adult sits back entirely as a passive supervisor (Ephgrave, 2018). Passing this off as free play </w:t>
      </w:r>
      <w:r w:rsidRPr="1976AFCA" w:rsidR="5F54C24A">
        <w:rPr>
          <w:rFonts w:ascii="Arial Nova" w:hAnsi="Arial Nova" w:eastAsia="Arial Nova" w:cs="Arial Nova"/>
          <w:noProof w:val="0"/>
          <w:sz w:val="24"/>
          <w:szCs w:val="24"/>
          <w:lang w:val="en-GB"/>
        </w:rPr>
        <w:t xml:space="preserve">can lead to missing </w:t>
      </w:r>
      <w:r w:rsidRPr="1976AFCA" w:rsidR="6C8DA39E">
        <w:rPr>
          <w:rFonts w:ascii="Arial Nova" w:hAnsi="Arial Nova" w:eastAsia="Arial Nova" w:cs="Arial Nova"/>
          <w:noProof w:val="0"/>
          <w:sz w:val="24"/>
          <w:szCs w:val="24"/>
          <w:lang w:val="en-GB"/>
        </w:rPr>
        <w:t>valuable teachable moments where a single open-ended question could spark deep thinking.</w:t>
      </w:r>
    </w:p>
    <w:p xmlns:wp14="http://schemas.microsoft.com/office/word/2010/wordml" w:rsidP="1976AFCA" wp14:paraId="17B20839" wp14:textId="63494C85">
      <w:pPr>
        <w:spacing w:before="240" w:beforeAutospacing="off" w:after="240" w:afterAutospacing="off"/>
      </w:pPr>
      <w:r w:rsidRPr="1976AFCA" w:rsidR="6C8DA39E">
        <w:rPr>
          <w:rFonts w:ascii="Arial Nova" w:hAnsi="Arial Nova" w:eastAsia="Arial Nova" w:cs="Arial Nova"/>
          <w:noProof w:val="0"/>
          <w:sz w:val="24"/>
          <w:szCs w:val="24"/>
          <w:lang w:val="en-GB"/>
        </w:rPr>
        <w:t>To navigate this challenge, practitioners rely on Trevarthen’s (1998) concept of intersubjectivity, which involves building a shared cognitive and emotional focus before introducing new ideas. An adult first joins the play as an attentive observer, tuning into what the child is doing. Once that connection is established, they offer a subtle pedagogical nudge (Brodie, 2018), such as placing a clear measuring cylinder nearby or voicing a genuine dilemma about whether a plank will reach across a muddy gap. Waiting for an invitation respects the child's agency while co-constructing new understanding.</w:t>
      </w:r>
    </w:p>
    <w:p xmlns:wp14="http://schemas.microsoft.com/office/word/2010/wordml" w:rsidP="1976AFCA" wp14:paraId="7CE3A756" wp14:textId="0C6DB346">
      <w:pPr>
        <w:pStyle w:val="Heading3"/>
        <w:spacing w:before="281" w:beforeAutospacing="off" w:after="281" w:afterAutospacing="off"/>
      </w:pPr>
      <w:r w:rsidRPr="1976AFCA" w:rsidR="6C8DA39E">
        <w:rPr>
          <w:rFonts w:ascii="Arial Nova" w:hAnsi="Arial Nova" w:eastAsia="Arial Nova" w:cs="Arial Nova"/>
          <w:b w:val="1"/>
          <w:bCs w:val="1"/>
          <w:noProof w:val="0"/>
          <w:sz w:val="28"/>
          <w:szCs w:val="28"/>
          <w:lang w:val="en-GB"/>
        </w:rPr>
        <w:t>6. Authentic Assessment: Beyond Worksheets</w:t>
      </w:r>
    </w:p>
    <w:p xmlns:wp14="http://schemas.microsoft.com/office/word/2010/wordml" w:rsidP="1976AFCA" wp14:paraId="73D5AD91" wp14:textId="469C85B3">
      <w:pPr>
        <w:spacing w:before="240" w:beforeAutospacing="off" w:after="240" w:afterAutospacing="off"/>
      </w:pPr>
      <w:r w:rsidRPr="1976AFCA" w:rsidR="6C8DA39E">
        <w:rPr>
          <w:rFonts w:ascii="Arial Nova" w:hAnsi="Arial Nova" w:eastAsia="Arial Nova" w:cs="Arial Nova"/>
          <w:noProof w:val="0"/>
          <w:sz w:val="24"/>
          <w:szCs w:val="24"/>
          <w:lang w:val="en-GB"/>
        </w:rPr>
        <w:t>Standardized tests and paper tracking fail to capture how children learn outdoors (Carr, 2001). Effective evaluation relies on authentic tools like Pedagogical Documentation and Learning Stories (Carr &amp; Lee, 2012). Outdoors, children often show a deep grasp of math schemas—recurring behaviors like trajectory, rotation, positioning, and transforming—long before they can complete a paper worksheet (Athey, 2007).</w:t>
      </w:r>
    </w:p>
    <w:p xmlns:wp14="http://schemas.microsoft.com/office/word/2010/wordml" w:rsidP="1976AFCA" wp14:paraId="02A37A60" wp14:textId="158E2E06">
      <w:pPr>
        <w:spacing w:before="240" w:beforeAutospacing="off" w:after="240" w:afterAutospacing="off"/>
      </w:pPr>
      <w:r w:rsidRPr="1976AFCA" w:rsidR="6C8DA39E">
        <w:rPr>
          <w:rFonts w:ascii="Arial Nova" w:hAnsi="Arial Nova" w:eastAsia="Arial Nova" w:cs="Arial Nova"/>
          <w:noProof w:val="0"/>
          <w:sz w:val="24"/>
          <w:szCs w:val="24"/>
          <w:lang w:val="en-GB"/>
        </w:rPr>
        <w:t>For instance, when a child repeatedly rolls logs down a hill, an observant practitioner captures photos and notes to identify the underlying trajectory schema. Instead of testing the child, the adult uses this documentation to adapt the environment by adding logs of different diameters or inclined boards to deepen their intuitive understanding of physics. Similarly, documenting how a child builds a stick shelter tracks real-world engineering and design processes (Claxton, 2007). The practitioner’s job isn't to mark the shelter right or wrong, but to record the child's problem-solving, cognitive flexibility, and spatial reasoning along the way.</w:t>
      </w:r>
    </w:p>
    <w:p xmlns:wp14="http://schemas.microsoft.com/office/word/2010/wordml" w:rsidP="1976AFCA" wp14:paraId="47F224A3" wp14:textId="1648C849">
      <w:pPr>
        <w:pStyle w:val="Heading3"/>
        <w:spacing w:before="281" w:beforeAutospacing="off" w:after="281" w:afterAutospacing="off"/>
      </w:pPr>
      <w:r w:rsidRPr="1976AFCA" w:rsidR="6C8DA39E">
        <w:rPr>
          <w:rFonts w:ascii="Arial Nova" w:hAnsi="Arial Nova" w:eastAsia="Arial Nova" w:cs="Arial Nova"/>
          <w:b w:val="1"/>
          <w:bCs w:val="1"/>
          <w:noProof w:val="0"/>
          <w:sz w:val="28"/>
          <w:szCs w:val="28"/>
          <w:lang w:val="en-GB"/>
        </w:rPr>
        <w:t>7. Inclusion, Neurodiversity, and Multi-Sensory Scaffolding</w:t>
      </w:r>
    </w:p>
    <w:p xmlns:wp14="http://schemas.microsoft.com/office/word/2010/wordml" w:rsidP="1976AFCA" wp14:paraId="05517314" wp14:textId="08E0B6A7">
      <w:pPr>
        <w:spacing w:before="240" w:beforeAutospacing="off" w:after="240" w:afterAutospacing="off"/>
      </w:pPr>
      <w:r w:rsidRPr="1976AFCA" w:rsidR="6C8DA39E">
        <w:rPr>
          <w:rFonts w:ascii="Arial Nova" w:hAnsi="Arial Nova" w:eastAsia="Arial Nova" w:cs="Arial Nova"/>
          <w:noProof w:val="0"/>
          <w:sz w:val="24"/>
          <w:szCs w:val="24"/>
          <w:lang w:val="en-GB"/>
        </w:rPr>
        <w:t>Indoor classrooms can present heavy sensory challenges where fluorescent lighting, echoes, and tight spaces raise stress and drain energy, especially for autistic children or those with sensory processing differences (Grahn et al., 2010). The outdoors offers an expansive landscape that naturally lowers sensory overload. However, open spaces can sometimes create anxiety for children who need clear routines and physical boundaries (MacQuarrie et al., 2015). Here, the practitioner acts as an environmental sculptor and co-regulator.</w:t>
      </w:r>
    </w:p>
    <w:p xmlns:wp14="http://schemas.microsoft.com/office/word/2010/wordml" w:rsidP="1976AFCA" wp14:paraId="7663A261" wp14:textId="0C7E352E">
      <w:pPr>
        <w:spacing w:before="240" w:beforeAutospacing="off" w:after="240" w:afterAutospacing="off"/>
      </w:pPr>
      <w:r w:rsidRPr="1976AFCA" w:rsidR="6C8DA39E">
        <w:rPr>
          <w:rFonts w:ascii="Arial Nova" w:hAnsi="Arial Nova" w:eastAsia="Arial Nova" w:cs="Arial Nova"/>
          <w:noProof w:val="0"/>
          <w:sz w:val="24"/>
          <w:szCs w:val="24"/>
          <w:lang w:val="en-GB"/>
        </w:rPr>
        <w:t>Practitioners implement multi-sensory scaffolding to keep outdoor learning accessible. For children with communication needs, adults attach weatherproof picture boards or visual schedules to activity zones using pictograms for water mechanics, measuring, or building areas. Furthermore, children who struggle with symbolic math indoors often excel when concepts are grounded in heavy-work proprioceptive feedback. Carrying heavy logs, arranging large boulder sequences, or comparing the weight differential between wet and dry sand allows neurodivergent learners to process mass, gravity, and scale through physical movement (Gardner, 2011). Grounded in Affordance Theory (Gibson, 1979), practitioners continually adapt loose parts so every child can participate in physics and balance activities, building a strong identity as a capable STEM thinker.</w:t>
      </w:r>
    </w:p>
    <w:p xmlns:wp14="http://schemas.microsoft.com/office/word/2010/wordml" w:rsidP="1976AFCA" wp14:paraId="42103CAF" wp14:textId="36816A53">
      <w:pPr>
        <w:spacing w:before="240" w:beforeAutospacing="off" w:after="240" w:afterAutospacing="off"/>
      </w:pPr>
      <w:r w:rsidRPr="1976AFCA" w:rsidR="6C8DA39E">
        <w:rPr>
          <w:rFonts w:ascii="Arial Nova" w:hAnsi="Arial Nova" w:eastAsia="Arial Nova" w:cs="Arial Nova"/>
          <w:noProof w:val="0"/>
          <w:sz w:val="24"/>
          <w:szCs w:val="24"/>
          <w:lang w:val="en-GB"/>
        </w:rPr>
        <w:t>Not every setting has access to lush green fields. In concrete or urban environments, practitioners must get creative by using plastic guttering, cardboard tubes, and wooden pallets placed on asphalt to transform a yard into a physics lab for testing gravity, flow, and measurement. Involving children directly in planning these spaces gives them ownership over their environment.</w:t>
      </w:r>
    </w:p>
    <w:p xmlns:wp14="http://schemas.microsoft.com/office/word/2010/wordml" w:rsidP="1976AFCA" wp14:paraId="1D4AAD5D" wp14:textId="4AD92D72">
      <w:pPr>
        <w:spacing w:before="240" w:beforeAutospacing="off" w:after="240" w:afterAutospacing="off"/>
      </w:pPr>
      <w:r w:rsidRPr="1976AFCA" w:rsidR="6C8DA39E">
        <w:rPr>
          <w:rFonts w:ascii="Arial Nova" w:hAnsi="Arial Nova" w:eastAsia="Arial Nova" w:cs="Arial Nova"/>
          <w:noProof w:val="0"/>
          <w:sz w:val="24"/>
          <w:szCs w:val="24"/>
          <w:lang w:val="en-GB"/>
        </w:rPr>
        <w:t xml:space="preserve">This highlights a broader issue </w:t>
      </w:r>
      <w:r w:rsidRPr="1976AFCA" w:rsidR="6C8DA39E">
        <w:rPr>
          <w:rFonts w:ascii="Arial Nova" w:hAnsi="Arial Nova" w:eastAsia="Arial Nova" w:cs="Arial Nova"/>
          <w:noProof w:val="0"/>
          <w:sz w:val="24"/>
          <w:szCs w:val="24"/>
          <w:lang w:val="en-GB"/>
        </w:rPr>
        <w:t>regarding</w:t>
      </w:r>
      <w:r w:rsidRPr="1976AFCA" w:rsidR="6C8DA39E">
        <w:rPr>
          <w:rFonts w:ascii="Arial Nova" w:hAnsi="Arial Nova" w:eastAsia="Arial Nova" w:cs="Arial Nova"/>
          <w:noProof w:val="0"/>
          <w:sz w:val="24"/>
          <w:szCs w:val="24"/>
          <w:lang w:val="en-GB"/>
        </w:rPr>
        <w:t xml:space="preserve"> the commercialization of outdoor play, where media often </w:t>
      </w:r>
      <w:r w:rsidRPr="1976AFCA" w:rsidR="6C8DA39E">
        <w:rPr>
          <w:rFonts w:ascii="Arial Nova" w:hAnsi="Arial Nova" w:eastAsia="Arial Nova" w:cs="Arial Nova"/>
          <w:noProof w:val="0"/>
          <w:sz w:val="24"/>
          <w:szCs w:val="24"/>
          <w:lang w:val="en-GB"/>
        </w:rPr>
        <w:t>showcases</w:t>
      </w:r>
      <w:r w:rsidRPr="1976AFCA" w:rsidR="6C8DA39E">
        <w:rPr>
          <w:rFonts w:ascii="Arial Nova" w:hAnsi="Arial Nova" w:eastAsia="Arial Nova" w:cs="Arial Nova"/>
          <w:noProof w:val="0"/>
          <w:sz w:val="24"/>
          <w:szCs w:val="24"/>
          <w:lang w:val="en-GB"/>
        </w:rPr>
        <w:t xml:space="preserve"> expensive, </w:t>
      </w:r>
      <w:r w:rsidRPr="1976AFCA" w:rsidR="36FFBF54">
        <w:rPr>
          <w:rFonts w:ascii="Arial Nova" w:hAnsi="Arial Nova" w:eastAsia="Arial Nova" w:cs="Arial Nova"/>
          <w:noProof w:val="0"/>
          <w:sz w:val="24"/>
          <w:szCs w:val="24"/>
          <w:lang w:val="en-GB"/>
        </w:rPr>
        <w:t>colour</w:t>
      </w:r>
      <w:r w:rsidRPr="1976AFCA" w:rsidR="6C8DA39E">
        <w:rPr>
          <w:rFonts w:ascii="Arial Nova" w:hAnsi="Arial Nova" w:eastAsia="Arial Nova" w:cs="Arial Nova"/>
          <w:noProof w:val="0"/>
          <w:sz w:val="24"/>
          <w:szCs w:val="24"/>
          <w:lang w:val="en-GB"/>
        </w:rPr>
        <w:t xml:space="preserve">-coded Forest School gear. Children do not view learning through price tags. </w:t>
      </w:r>
      <w:r w:rsidRPr="1976AFCA" w:rsidR="6C8DA39E">
        <w:rPr>
          <w:rFonts w:ascii="Arial Nova" w:hAnsi="Arial Nova" w:eastAsia="Arial Nova" w:cs="Arial Nova"/>
          <w:noProof w:val="0"/>
          <w:sz w:val="24"/>
          <w:szCs w:val="24"/>
          <w:lang w:val="en-GB"/>
        </w:rPr>
        <w:t>Loose</w:t>
      </w:r>
      <w:r w:rsidRPr="1976AFCA" w:rsidR="6C8DA39E">
        <w:rPr>
          <w:rFonts w:ascii="Arial Nova" w:hAnsi="Arial Nova" w:eastAsia="Arial Nova" w:cs="Arial Nova"/>
          <w:noProof w:val="0"/>
          <w:sz w:val="24"/>
          <w:szCs w:val="24"/>
          <w:lang w:val="en-GB"/>
        </w:rPr>
        <w:t xml:space="preserve"> planks, stones, and old saucepans offer rich opportunities for imaginative math and science play without costly equipment. </w:t>
      </w:r>
      <w:r w:rsidRPr="1976AFCA" w:rsidR="6C8DA39E">
        <w:rPr>
          <w:rFonts w:ascii="Arial Nova" w:hAnsi="Arial Nova" w:eastAsia="Arial Nova" w:cs="Arial Nova"/>
          <w:noProof w:val="0"/>
          <w:sz w:val="24"/>
          <w:szCs w:val="24"/>
          <w:lang w:val="en-GB"/>
        </w:rPr>
        <w:t>Ultimately, the</w:t>
      </w:r>
      <w:r w:rsidRPr="1976AFCA" w:rsidR="6C8DA39E">
        <w:rPr>
          <w:rFonts w:ascii="Arial Nova" w:hAnsi="Arial Nova" w:eastAsia="Arial Nova" w:cs="Arial Nova"/>
          <w:noProof w:val="0"/>
          <w:sz w:val="24"/>
          <w:szCs w:val="24"/>
          <w:lang w:val="en-GB"/>
        </w:rPr>
        <w:t xml:space="preserve"> practitioner is the single most influential factor in early outdoor learning. By moving away from rigid control and </w:t>
      </w:r>
      <w:r w:rsidRPr="1976AFCA" w:rsidR="6C8DA39E">
        <w:rPr>
          <w:rFonts w:ascii="Arial Nova" w:hAnsi="Arial Nova" w:eastAsia="Arial Nova" w:cs="Arial Nova"/>
          <w:noProof w:val="0"/>
          <w:sz w:val="24"/>
          <w:szCs w:val="24"/>
          <w:lang w:val="en-GB"/>
        </w:rPr>
        <w:t>honoring</w:t>
      </w:r>
      <w:r w:rsidRPr="1976AFCA" w:rsidR="6C8DA39E">
        <w:rPr>
          <w:rFonts w:ascii="Arial Nova" w:hAnsi="Arial Nova" w:eastAsia="Arial Nova" w:cs="Arial Nova"/>
          <w:noProof w:val="0"/>
          <w:sz w:val="24"/>
          <w:szCs w:val="24"/>
          <w:lang w:val="en-GB"/>
        </w:rPr>
        <w:t xml:space="preserve"> child agency, educators turn outdoor spaces into dynamic STEM labs. As White (2011, p. 12) reminds us, the outdoor environment is a powerful place to learn, but it is the quality of adult interaction that unlocks its true potential.</w:t>
      </w:r>
    </w:p>
    <w:p xmlns:wp14="http://schemas.microsoft.com/office/word/2010/wordml" wp14:paraId="5E5787A5" wp14:textId="03D1755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D9B36F"/>
    <w:rsid w:val="09684BB4"/>
    <w:rsid w:val="0AA723A6"/>
    <w:rsid w:val="0DCDE616"/>
    <w:rsid w:val="0E1906F8"/>
    <w:rsid w:val="1976AFCA"/>
    <w:rsid w:val="1AC3DD46"/>
    <w:rsid w:val="1F9C577D"/>
    <w:rsid w:val="24931C40"/>
    <w:rsid w:val="24D9B36F"/>
    <w:rsid w:val="28B134DD"/>
    <w:rsid w:val="314ECDA3"/>
    <w:rsid w:val="32E88F05"/>
    <w:rsid w:val="36FFBF54"/>
    <w:rsid w:val="4221DE21"/>
    <w:rsid w:val="46183958"/>
    <w:rsid w:val="486E83D1"/>
    <w:rsid w:val="4CDACB0F"/>
    <w:rsid w:val="4D530ED3"/>
    <w:rsid w:val="5BB70823"/>
    <w:rsid w:val="5D3141FE"/>
    <w:rsid w:val="5F54C24A"/>
    <w:rsid w:val="6C8DA39E"/>
    <w:rsid w:val="6DED9A01"/>
    <w:rsid w:val="6F947DF4"/>
    <w:rsid w:val="724F9880"/>
    <w:rsid w:val="742CA96E"/>
    <w:rsid w:val="7456DC8D"/>
    <w:rsid w:val="7C0A9DA1"/>
    <w:rsid w:val="7C37E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7EE3"/>
  <w15:chartTrackingRefBased/>
  <w15:docId w15:val="{E4CC4CA6-868C-47B9-8463-844FDAEB23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976AFCA"/>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2</revision>
  <dcterms:created xsi:type="dcterms:W3CDTF">2026-09-20T14:12:42.4647105Z</dcterms:created>
  <dcterms:modified xsi:type="dcterms:W3CDTF">2026-09-20T15:12:07.7952556Z</dcterms:modified>
</coreProperties>
</file>