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C1368" w14:textId="7F6735A4" w:rsidR="00EC7ACA" w:rsidRDefault="002F4A7A" w:rsidP="006F123F">
      <w:pPr>
        <w:jc w:val="center"/>
        <w:rPr>
          <w:sz w:val="44"/>
          <w:szCs w:val="44"/>
        </w:rPr>
      </w:pPr>
      <w:r w:rsidRPr="002F4A7A">
        <w:rPr>
          <w:sz w:val="44"/>
          <w:szCs w:val="44"/>
        </w:rPr>
        <w:t xml:space="preserve">Data Analysis &amp; Visualisation </w:t>
      </w:r>
      <w:r>
        <w:rPr>
          <w:sz w:val="44"/>
          <w:szCs w:val="44"/>
        </w:rPr>
        <w:t xml:space="preserve">     </w:t>
      </w:r>
      <w:r w:rsidR="006F123F">
        <w:rPr>
          <w:sz w:val="44"/>
          <w:szCs w:val="44"/>
        </w:rPr>
        <w:t xml:space="preserve">   </w:t>
      </w:r>
      <w:r w:rsidRPr="002F4A7A">
        <w:rPr>
          <w:sz w:val="44"/>
          <w:szCs w:val="44"/>
        </w:rPr>
        <w:t>(ACCB4002_BIRM)</w:t>
      </w:r>
    </w:p>
    <w:p w14:paraId="3D0D2D64" w14:textId="3D9335E9" w:rsidR="002F4A7A" w:rsidRDefault="002F4A7A" w:rsidP="002F4A7A">
      <w:pPr>
        <w:jc w:val="right"/>
        <w:rPr>
          <w:sz w:val="44"/>
          <w:szCs w:val="44"/>
        </w:rPr>
      </w:pPr>
    </w:p>
    <w:p w14:paraId="53880AA7" w14:textId="6D96B575" w:rsidR="002F4A7A" w:rsidRPr="006F123F" w:rsidRDefault="002F4A7A" w:rsidP="002F4A7A">
      <w:pPr>
        <w:jc w:val="center"/>
        <w:rPr>
          <w:rFonts w:cstheme="minorHAnsi"/>
          <w:bCs/>
          <w:sz w:val="44"/>
          <w:szCs w:val="44"/>
        </w:rPr>
      </w:pPr>
      <w:r w:rsidRPr="006F123F">
        <w:rPr>
          <w:rFonts w:cstheme="minorHAnsi"/>
          <w:bCs/>
          <w:sz w:val="44"/>
          <w:szCs w:val="44"/>
        </w:rPr>
        <w:t>Analysis and Visualisation of Data</w:t>
      </w:r>
    </w:p>
    <w:p w14:paraId="49BC4A9B" w14:textId="29E69526" w:rsidR="002F4A7A" w:rsidRDefault="005E0824" w:rsidP="002F4A7A">
      <w:pPr>
        <w:jc w:val="center"/>
        <w:rPr>
          <w:rFonts w:ascii="Arial" w:hAnsi="Arial" w:cs="Arial"/>
          <w:bCs/>
          <w:sz w:val="36"/>
          <w:szCs w:val="36"/>
        </w:rPr>
      </w:pPr>
      <w:r>
        <w:rPr>
          <w:rFonts w:ascii="Arial" w:hAnsi="Arial" w:cs="Arial"/>
          <w:bCs/>
          <w:sz w:val="36"/>
          <w:szCs w:val="36"/>
        </w:rPr>
        <w:t>Task 1</w:t>
      </w:r>
    </w:p>
    <w:p w14:paraId="3594B1C9" w14:textId="77777777" w:rsidR="005E0824" w:rsidRDefault="005E0824" w:rsidP="005E0824">
      <w:pPr>
        <w:rPr>
          <w:sz w:val="32"/>
          <w:szCs w:val="32"/>
          <w:lang w:val="en-US"/>
        </w:rPr>
      </w:pPr>
      <w:bookmarkStart w:id="0" w:name="_Hlk77179766"/>
      <w:bookmarkStart w:id="1" w:name="_Hlk77180162"/>
    </w:p>
    <w:p w14:paraId="78A4C6CB" w14:textId="6494D406" w:rsidR="005E0824" w:rsidRPr="005E0824" w:rsidRDefault="005E0824" w:rsidP="005E0824">
      <w:pPr>
        <w:rPr>
          <w:sz w:val="32"/>
          <w:szCs w:val="32"/>
          <w:lang w:val="en-US"/>
        </w:rPr>
      </w:pPr>
      <w:r w:rsidRPr="005E0824">
        <w:rPr>
          <w:sz w:val="32"/>
          <w:szCs w:val="32"/>
          <w:lang w:val="en-US"/>
        </w:rPr>
        <w:t>Data Visualisation and Infographics</w:t>
      </w:r>
      <w:r>
        <w:rPr>
          <w:sz w:val="32"/>
          <w:szCs w:val="32"/>
          <w:lang w:val="en-US"/>
        </w:rPr>
        <w:t xml:space="preserve"> – a means to</w:t>
      </w:r>
      <w:r w:rsidRPr="005E0824">
        <w:rPr>
          <w:sz w:val="32"/>
          <w:szCs w:val="32"/>
          <w:lang w:val="en-US"/>
        </w:rPr>
        <w:t xml:space="preserve"> present the Impact Covid</w:t>
      </w:r>
      <w:r w:rsidR="00F03D4E">
        <w:rPr>
          <w:sz w:val="32"/>
          <w:szCs w:val="32"/>
          <w:lang w:val="en-US"/>
        </w:rPr>
        <w:t>-</w:t>
      </w:r>
      <w:r w:rsidRPr="005E0824">
        <w:rPr>
          <w:sz w:val="32"/>
          <w:szCs w:val="32"/>
          <w:lang w:val="en-US"/>
        </w:rPr>
        <w:t>19 did on Accelerating Print Industry Transformation</w:t>
      </w:r>
      <w:bookmarkEnd w:id="0"/>
    </w:p>
    <w:bookmarkEnd w:id="1"/>
    <w:p w14:paraId="11C4C33B" w14:textId="77777777" w:rsidR="005E0824" w:rsidRPr="005E0824" w:rsidRDefault="005E0824" w:rsidP="002F4A7A">
      <w:pPr>
        <w:jc w:val="center"/>
        <w:rPr>
          <w:rFonts w:ascii="Arial" w:hAnsi="Arial" w:cs="Arial"/>
          <w:bCs/>
          <w:sz w:val="36"/>
          <w:szCs w:val="36"/>
          <w:lang w:val="en-US"/>
        </w:rPr>
      </w:pPr>
    </w:p>
    <w:p w14:paraId="6F6FE38B" w14:textId="3581E351" w:rsidR="002F4A7A" w:rsidRDefault="002F4A7A" w:rsidP="002F4A7A">
      <w:pPr>
        <w:jc w:val="center"/>
        <w:rPr>
          <w:bCs/>
          <w:sz w:val="36"/>
          <w:szCs w:val="36"/>
          <w:lang w:val="en-US"/>
        </w:rPr>
      </w:pPr>
    </w:p>
    <w:p w14:paraId="52FA7550" w14:textId="6D736490" w:rsidR="006F123F" w:rsidRDefault="006F123F" w:rsidP="002F4A7A">
      <w:pPr>
        <w:jc w:val="center"/>
        <w:rPr>
          <w:bCs/>
          <w:sz w:val="36"/>
          <w:szCs w:val="36"/>
          <w:lang w:val="en-US"/>
        </w:rPr>
      </w:pPr>
    </w:p>
    <w:p w14:paraId="7EE5D4BB" w14:textId="521F03D7" w:rsidR="006F123F" w:rsidRDefault="006F123F" w:rsidP="002F4A7A">
      <w:pPr>
        <w:jc w:val="center"/>
        <w:rPr>
          <w:bCs/>
          <w:sz w:val="36"/>
          <w:szCs w:val="36"/>
          <w:lang w:val="en-US"/>
        </w:rPr>
      </w:pPr>
    </w:p>
    <w:p w14:paraId="0AE33D54" w14:textId="4AB47A69" w:rsidR="006F123F" w:rsidRDefault="006F123F" w:rsidP="002F4A7A">
      <w:pPr>
        <w:jc w:val="center"/>
        <w:rPr>
          <w:bCs/>
          <w:sz w:val="36"/>
          <w:szCs w:val="36"/>
          <w:lang w:val="en-US"/>
        </w:rPr>
      </w:pPr>
    </w:p>
    <w:p w14:paraId="08C8DF25" w14:textId="1D254F7B" w:rsidR="006F123F" w:rsidRDefault="006F123F" w:rsidP="002F4A7A">
      <w:pPr>
        <w:jc w:val="center"/>
        <w:rPr>
          <w:bCs/>
          <w:sz w:val="36"/>
          <w:szCs w:val="36"/>
          <w:lang w:val="en-US"/>
        </w:rPr>
      </w:pPr>
    </w:p>
    <w:p w14:paraId="3B66EEA3" w14:textId="76DDAB98" w:rsidR="006F123F" w:rsidRDefault="006F123F" w:rsidP="002F4A7A">
      <w:pPr>
        <w:jc w:val="center"/>
        <w:rPr>
          <w:bCs/>
          <w:sz w:val="36"/>
          <w:szCs w:val="36"/>
          <w:lang w:val="en-US"/>
        </w:rPr>
      </w:pPr>
    </w:p>
    <w:p w14:paraId="310CD1E4" w14:textId="06C2C860" w:rsidR="006F123F" w:rsidRDefault="006F123F" w:rsidP="006F123F">
      <w:pPr>
        <w:jc w:val="right"/>
        <w:rPr>
          <w:bCs/>
          <w:sz w:val="36"/>
          <w:szCs w:val="36"/>
          <w:lang w:val="en-US"/>
        </w:rPr>
      </w:pPr>
      <w:r>
        <w:rPr>
          <w:bCs/>
          <w:sz w:val="36"/>
          <w:szCs w:val="36"/>
          <w:lang w:val="en-US"/>
        </w:rPr>
        <w:t>Ivan Naydenov</w:t>
      </w:r>
    </w:p>
    <w:p w14:paraId="798DAF70" w14:textId="5E397899" w:rsidR="006F123F" w:rsidRDefault="0037798D" w:rsidP="006F123F">
      <w:pPr>
        <w:jc w:val="right"/>
        <w:rPr>
          <w:bCs/>
          <w:sz w:val="36"/>
          <w:szCs w:val="36"/>
          <w:lang w:val="en-US"/>
        </w:rPr>
      </w:pPr>
      <w:r>
        <w:rPr>
          <w:bCs/>
          <w:sz w:val="36"/>
          <w:szCs w:val="36"/>
          <w:lang w:val="en-US"/>
        </w:rPr>
        <w:t>(2025312)</w:t>
      </w:r>
    </w:p>
    <w:p w14:paraId="5DD4614B" w14:textId="1B041173" w:rsidR="0037798D" w:rsidRDefault="0037798D" w:rsidP="006F123F">
      <w:pPr>
        <w:jc w:val="right"/>
        <w:rPr>
          <w:bCs/>
          <w:sz w:val="36"/>
          <w:szCs w:val="36"/>
          <w:lang w:val="en-US"/>
        </w:rPr>
      </w:pPr>
      <w:r>
        <w:rPr>
          <w:bCs/>
          <w:sz w:val="36"/>
          <w:szCs w:val="36"/>
          <w:lang w:val="en-US"/>
        </w:rPr>
        <w:t>BSc Cloud Computing</w:t>
      </w:r>
    </w:p>
    <w:p w14:paraId="061E1776" w14:textId="77777777" w:rsidR="0037798D" w:rsidRDefault="0037798D">
      <w:pPr>
        <w:spacing w:after="0"/>
        <w:ind w:firstLine="340"/>
        <w:rPr>
          <w:bCs/>
          <w:sz w:val="36"/>
          <w:szCs w:val="36"/>
          <w:lang w:val="en-US"/>
        </w:rPr>
      </w:pPr>
      <w:r>
        <w:rPr>
          <w:bCs/>
          <w:sz w:val="36"/>
          <w:szCs w:val="36"/>
          <w:lang w:val="en-US"/>
        </w:rPr>
        <w:br w:type="page"/>
      </w:r>
    </w:p>
    <w:p w14:paraId="25D639D6" w14:textId="77777777" w:rsidR="0037798D" w:rsidRPr="00FE4755" w:rsidRDefault="0037798D" w:rsidP="0037798D">
      <w:pPr>
        <w:rPr>
          <w:lang w:val="en-US"/>
        </w:rPr>
      </w:pPr>
      <w:r>
        <w:rPr>
          <w:lang w:val="en-US"/>
        </w:rPr>
        <w:lastRenderedPageBreak/>
        <w:t xml:space="preserve">       </w:t>
      </w:r>
      <w:r w:rsidRPr="00FE4755">
        <w:rPr>
          <w:lang w:val="en-US"/>
        </w:rPr>
        <w:t>There is no doubt that the Covid-19 pandemic had a significantly strong impact on the printing industry and all its aspects in 2019. The consequences of this pandemic will continue to be felt on every possible level in the business environment at least in the next few years but apart from all the negative influence it had on the printing business, it has brought a huge number of opportunities connected with digitalizing of those services that were priorly fulfilled by physical means rather than using modern digital tools and methods.</w:t>
      </w:r>
    </w:p>
    <w:p w14:paraId="267584DC" w14:textId="77777777" w:rsidR="0037798D" w:rsidRPr="00FE4755" w:rsidRDefault="0037798D" w:rsidP="0037798D">
      <w:pPr>
        <w:rPr>
          <w:lang w:val="en-US"/>
        </w:rPr>
      </w:pPr>
    </w:p>
    <w:p w14:paraId="0576B5A8" w14:textId="77777777" w:rsidR="0037798D" w:rsidRPr="00FE4755" w:rsidRDefault="0037798D" w:rsidP="0037798D">
      <w:pPr>
        <w:rPr>
          <w:lang w:val="en-US"/>
        </w:rPr>
      </w:pPr>
      <w:r w:rsidRPr="00FE4755">
        <w:rPr>
          <w:lang w:val="en-US"/>
        </w:rPr>
        <w:t xml:space="preserve">     The “COVID – 19 Accelerating Print Industry Transformation” infographic presents an online snapshot survey carried on with the idea of understanding what was the effect of the pandemic on the office print industry[1].</w:t>
      </w:r>
    </w:p>
    <w:p w14:paraId="36239751" w14:textId="77777777" w:rsidR="0037798D" w:rsidRPr="00FE4755" w:rsidRDefault="0037798D" w:rsidP="0037798D">
      <w:pPr>
        <w:rPr>
          <w:lang w:val="en-US"/>
        </w:rPr>
      </w:pPr>
      <w:r w:rsidRPr="00FE4755">
        <w:rPr>
          <w:lang w:val="en-US"/>
        </w:rPr>
        <w:t xml:space="preserve">     The statistical infographics published in Quocirca research visualise the actual strength the Covid-19 outbreak hit the print industry with. From the pie chart in the upper left corner on the infographic sheet called “Impact on Covid-19 on business,” we can conclude easily that almost no companies were operating in the office print industry that remained intact during the pandemic outbreak Not only 98% have experienced the influence of the pandemic but more than half of the responders assessed it as a “critical threat to business”. A small amount of the responders – 4% pointed out that the impact of the Covid-19 was so strong that they might need to close permanently, while 13% of the asked companies evaluated that pandemic as a “minimal threat” to their businesses. What is curious about this research is that 15 % of all included, assessed the pandemic as an opportunity for the business and got a positive outcome of the emerged situation[2]. At first sight, there are few issues with data representation in this pie chart. The first one is a minor technical mistake in imaging the 2% that felt no threat for their businesses as double the size of the 4% who felt a critical impact by the Covid-19 outbreak. Another obvious problem is the </w:t>
      </w:r>
      <w:proofErr w:type="spellStart"/>
      <w:r w:rsidRPr="00FE4755">
        <w:rPr>
          <w:lang w:val="en-US"/>
        </w:rPr>
        <w:t>colour</w:t>
      </w:r>
      <w:proofErr w:type="spellEnd"/>
      <w:r w:rsidRPr="00FE4755">
        <w:rPr>
          <w:lang w:val="en-US"/>
        </w:rPr>
        <w:t xml:space="preserve"> selection – a black </w:t>
      </w:r>
      <w:proofErr w:type="spellStart"/>
      <w:r w:rsidRPr="00FE4755">
        <w:rPr>
          <w:lang w:val="en-US"/>
        </w:rPr>
        <w:t>colour</w:t>
      </w:r>
      <w:proofErr w:type="spellEnd"/>
      <w:r w:rsidRPr="00FE4755">
        <w:rPr>
          <w:lang w:val="en-US"/>
        </w:rPr>
        <w:t xml:space="preserve"> was chosen for representing those, evaluated the pandemic as having a limited impact on their companies even though subconsciously this </w:t>
      </w:r>
      <w:proofErr w:type="spellStart"/>
      <w:r w:rsidRPr="00FE4755">
        <w:rPr>
          <w:lang w:val="en-US"/>
        </w:rPr>
        <w:t>colour</w:t>
      </w:r>
      <w:proofErr w:type="spellEnd"/>
      <w:r w:rsidRPr="00FE4755">
        <w:rPr>
          <w:lang w:val="en-US"/>
        </w:rPr>
        <w:t xml:space="preserve"> is very often connected with a negative meaning.</w:t>
      </w:r>
    </w:p>
    <w:p w14:paraId="0E70DB7D" w14:textId="77777777" w:rsidR="0037798D" w:rsidRPr="00FE4755" w:rsidRDefault="0037798D" w:rsidP="0037798D">
      <w:pPr>
        <w:rPr>
          <w:lang w:val="en-US"/>
        </w:rPr>
      </w:pPr>
      <w:r w:rsidRPr="00FE4755">
        <w:rPr>
          <w:lang w:val="en-US"/>
        </w:rPr>
        <w:t xml:space="preserve">      The next infographic, situated in the middle on the top part of the poster, shows the percentages of those who agreed strongly to the question of whether the “Market disruption will drive innovation”. This data visualisation speaks about participants’ positive expectations and attitudes towards any opportunities that might occur because of the Covid 19 pandemic. As most of the interviewed (almost 85%) agreed on the fact there is significant market disruption, a huge number (77%) of the included in the survey companies saw an opportunity for innovation, and two-thirds of those who answered these questions admitted that a need for changing their business model has emerged due to virus outbreak. When we look at the data representation, we might ask why those blue arrows are showing increasing in numbers, when there is nothing to be compared with, for example,  collected before the start of the pandemic, regarding the same questions asked in the survey. Using these arrows gives the wrong impression for any growth in the expectations of the interviewed.</w:t>
      </w:r>
    </w:p>
    <w:p w14:paraId="1AA114D1" w14:textId="77777777" w:rsidR="0037798D" w:rsidRPr="00FE4755" w:rsidRDefault="0037798D" w:rsidP="0037798D">
      <w:pPr>
        <w:rPr>
          <w:lang w:val="en-US"/>
        </w:rPr>
      </w:pPr>
      <w:r w:rsidRPr="00FE4755">
        <w:rPr>
          <w:lang w:val="en-US"/>
        </w:rPr>
        <w:t xml:space="preserve">    The third graphic (right-most, top of the sheet) is the most important in terms of describing how the industry was hit by the pandemic with more than two-thirds reporting about a strong decline in customer print volumes. Only 2% answered that there was no change in the customers' volumes, and 3 per cent of the participants in the survey scored a marginal increase in total contrast to that 27% that reported a marginal decline in their customers' volumes. Yet the graphic has a serious problem in communicating the data with a single bar chart. The “No change” and “Marginal increase” has merged in one and cannot be differentiated one from another because both were presented in black </w:t>
      </w:r>
      <w:proofErr w:type="spellStart"/>
      <w:r w:rsidRPr="00FE4755">
        <w:rPr>
          <w:lang w:val="en-US"/>
        </w:rPr>
        <w:t>colour</w:t>
      </w:r>
      <w:proofErr w:type="spellEnd"/>
      <w:r w:rsidRPr="00FE4755">
        <w:rPr>
          <w:lang w:val="en-US"/>
        </w:rPr>
        <w:t>. If the observers do not read the accompanying text carefully, they would easily misunderstand the results as an increase of the print volumes. Much more readable and correct would be in this case to represent the resulting data with dynamic bar charts which shows separately the marginal decline and marginal increase as opposing to a single baseline [3].</w:t>
      </w:r>
    </w:p>
    <w:p w14:paraId="30A85790" w14:textId="77777777" w:rsidR="0037798D" w:rsidRPr="00FE4755" w:rsidRDefault="0037798D" w:rsidP="0037798D">
      <w:pPr>
        <w:rPr>
          <w:lang w:val="en-US"/>
        </w:rPr>
      </w:pPr>
      <w:r w:rsidRPr="00FE4755">
        <w:rPr>
          <w:lang w:val="en-US"/>
        </w:rPr>
        <w:lastRenderedPageBreak/>
        <w:t xml:space="preserve">      The second row of the poster consists of two graphics. The first one is called “Vertical demands varies” and is trying to visualise the answer to the question: “How is demand changing by industry sector”. Although it is called “vertical” the data has been presented in a horizontal bar graph as this follows the standard of representation of nominal variables data[4]. Despite this, a more readable and understandable approach would be presenting the data with vertical column charts. Comparing the decrease and at the same time increase in each sector leaves a somewhat confusing message for the reader. How come there is a decrease and at the same time increase in the demand in each industry sector? What exactly has been compared by picturing ups and at the same time downs in the demands? It becomes hard for the reader to answer these questions while looking at the graphs. </w:t>
      </w:r>
    </w:p>
    <w:p w14:paraId="45340DA6" w14:textId="0885E35B" w:rsidR="0037798D" w:rsidRPr="00FE4755" w:rsidRDefault="0037798D" w:rsidP="0037798D">
      <w:pPr>
        <w:rPr>
          <w:lang w:val="en-US"/>
        </w:rPr>
      </w:pPr>
      <w:r w:rsidRPr="00FE4755">
        <w:rPr>
          <w:lang w:val="en-US"/>
        </w:rPr>
        <w:t xml:space="preserve">        On the same – second row, there is a short information block with the title: “Collaboration, Cloud and digitisation opportunities” followed by a percentage number put as a result against each of these opportunities with an arrow next to it pointing up. Once again, these arrows even though imply increasing in the measurements, do not present a meaningful purpose because there aren’t any comparable variables on the base of which we can conclude about such growth. They should be removed to make the data less confusing. Thus the infographic will increase its benefits when the people in its target group read it.[5]</w:t>
      </w:r>
    </w:p>
    <w:p w14:paraId="78FC6714" w14:textId="77777777" w:rsidR="0037798D" w:rsidRDefault="0037798D" w:rsidP="0037798D">
      <w:r w:rsidRPr="00FE4755">
        <w:rPr>
          <w:lang w:val="en-US"/>
        </w:rPr>
        <w:t xml:space="preserve">       Finally, at the bottom of the information poster, the author has presented two visualisations of the collected survey data. The left one shows the expecting support of the channel partners from their suppliers showed as percentages corresponding to the concrete support types.  Because this is nominal data using horizontal bar charts looks readable and adequate so the examiner could easily understand which type of support is the most desirable of all. On the other hand,  the other data representation, sitting on the right side of the poster in the form of a pie chart, shows the distribution of the answers regarding the business recovery time. As the results are diversified this makes the different slices of the pie chart quite distinguishable. Nevertheless, the variables are ordinal and vertical bar graphs including the horizontal axis presenting the increasing time sequence and the vertical axis measures the number of people who voted for a particular recovery time that would be more appropriate here.</w:t>
      </w:r>
      <w:r>
        <w:br w:type="page"/>
      </w:r>
    </w:p>
    <w:p w14:paraId="060B58F0" w14:textId="77777777" w:rsidR="0037798D" w:rsidRPr="00FE4755" w:rsidRDefault="0037798D" w:rsidP="0037798D">
      <w:pPr>
        <w:pStyle w:val="Bibliography"/>
        <w:rPr>
          <w:sz w:val="40"/>
          <w:szCs w:val="40"/>
        </w:rPr>
      </w:pPr>
      <w:r w:rsidRPr="00FE4755">
        <w:rPr>
          <w:sz w:val="40"/>
          <w:szCs w:val="40"/>
        </w:rPr>
        <w:lastRenderedPageBreak/>
        <w:t>References:</w:t>
      </w:r>
    </w:p>
    <w:p w14:paraId="7C5FAD99" w14:textId="77777777" w:rsidR="0037798D" w:rsidRDefault="0037798D" w:rsidP="0037798D">
      <w:pPr>
        <w:pStyle w:val="Bibliography"/>
      </w:pPr>
    </w:p>
    <w:p w14:paraId="7D93D28B" w14:textId="77777777" w:rsidR="0037798D" w:rsidRDefault="0037798D" w:rsidP="0037798D">
      <w:pPr>
        <w:pStyle w:val="Bibliography"/>
      </w:pPr>
    </w:p>
    <w:p w14:paraId="2B012A64" w14:textId="77777777" w:rsidR="0037798D" w:rsidRDefault="0037798D" w:rsidP="0037798D">
      <w:pPr>
        <w:pStyle w:val="Bibliography"/>
      </w:pPr>
    </w:p>
    <w:p w14:paraId="66C3F699" w14:textId="77777777" w:rsidR="0037798D" w:rsidRDefault="0037798D" w:rsidP="0037798D">
      <w:pPr>
        <w:pStyle w:val="Bibliography"/>
      </w:pPr>
    </w:p>
    <w:p w14:paraId="06D8353C" w14:textId="77777777" w:rsidR="0037798D" w:rsidRPr="00E9344A" w:rsidRDefault="0037798D" w:rsidP="0037798D">
      <w:pPr>
        <w:pStyle w:val="Bibliography"/>
        <w:rPr>
          <w:rFonts w:ascii="Calibri" w:hAnsi="Calibri" w:cs="Calibri"/>
        </w:rPr>
      </w:pPr>
      <w:r>
        <w:fldChar w:fldCharType="begin"/>
      </w:r>
      <w:r>
        <w:instrText xml:space="preserve"> ADDIN ZOTERO_BIBL {"uncited":[],"omitted":[],"custom":[]} CSL_BIBLIOGRAPHY </w:instrText>
      </w:r>
      <w:r>
        <w:fldChar w:fldCharType="separate"/>
      </w:r>
      <w:r w:rsidRPr="00E9344A">
        <w:rPr>
          <w:rFonts w:ascii="Calibri" w:hAnsi="Calibri" w:cs="Calibri"/>
        </w:rPr>
        <w:t>[1]</w:t>
      </w:r>
      <w:r w:rsidRPr="00E9344A">
        <w:rPr>
          <w:rFonts w:ascii="Calibri" w:hAnsi="Calibri" w:cs="Calibri"/>
        </w:rPr>
        <w:tab/>
        <w:t xml:space="preserve">Louella Fernandes, “Infographic: COVID-19 Accelerating Print Industry Transformation,” </w:t>
      </w:r>
      <w:r w:rsidRPr="00E9344A">
        <w:rPr>
          <w:rFonts w:ascii="Calibri" w:hAnsi="Calibri" w:cs="Calibri"/>
          <w:i/>
          <w:iCs/>
        </w:rPr>
        <w:t>Quocirca</w:t>
      </w:r>
      <w:r w:rsidRPr="00E9344A">
        <w:rPr>
          <w:rFonts w:ascii="Calibri" w:hAnsi="Calibri" w:cs="Calibri"/>
        </w:rPr>
        <w:t>, Apr. 29, 2020. https://quocirca.com/content/infographic-covid-19-accelerating-print-industry-transformation.</w:t>
      </w:r>
    </w:p>
    <w:p w14:paraId="2F7EF69F" w14:textId="77777777" w:rsidR="0037798D" w:rsidRPr="00E9344A" w:rsidRDefault="0037798D" w:rsidP="0037798D">
      <w:pPr>
        <w:pStyle w:val="Bibliography"/>
        <w:rPr>
          <w:rFonts w:ascii="Calibri" w:hAnsi="Calibri" w:cs="Calibri"/>
        </w:rPr>
      </w:pPr>
      <w:r w:rsidRPr="00E9344A">
        <w:rPr>
          <w:rFonts w:ascii="Calibri" w:hAnsi="Calibri" w:cs="Calibri"/>
        </w:rPr>
        <w:t>[2]</w:t>
      </w:r>
      <w:r w:rsidRPr="00E9344A">
        <w:rPr>
          <w:rFonts w:ascii="Calibri" w:hAnsi="Calibri" w:cs="Calibri"/>
        </w:rPr>
        <w:tab/>
        <w:t xml:space="preserve">“How Covid-19 Has Affected the Print Industry,” </w:t>
      </w:r>
      <w:r w:rsidRPr="00E9344A">
        <w:rPr>
          <w:rFonts w:ascii="Calibri" w:hAnsi="Calibri" w:cs="Calibri"/>
          <w:i/>
          <w:iCs/>
        </w:rPr>
        <w:t>Printing &amp; Marketing Tips</w:t>
      </w:r>
      <w:r w:rsidRPr="00E9344A">
        <w:rPr>
          <w:rFonts w:ascii="Calibri" w:hAnsi="Calibri" w:cs="Calibri"/>
        </w:rPr>
        <w:t>. https://www.print2day.com.au/blog/how-covid-19-has-affected-the-print-industry.</w:t>
      </w:r>
    </w:p>
    <w:p w14:paraId="34C7F19A" w14:textId="77777777" w:rsidR="0037798D" w:rsidRPr="00E9344A" w:rsidRDefault="0037798D" w:rsidP="0037798D">
      <w:pPr>
        <w:pStyle w:val="Bibliography"/>
        <w:rPr>
          <w:rFonts w:ascii="Calibri" w:hAnsi="Calibri" w:cs="Calibri"/>
        </w:rPr>
      </w:pPr>
      <w:r w:rsidRPr="00E9344A">
        <w:rPr>
          <w:rFonts w:ascii="Calibri" w:hAnsi="Calibri" w:cs="Calibri"/>
        </w:rPr>
        <w:t>[3]</w:t>
      </w:r>
      <w:r w:rsidRPr="00E9344A">
        <w:rPr>
          <w:rFonts w:ascii="Calibri" w:hAnsi="Calibri" w:cs="Calibri"/>
        </w:rPr>
        <w:tab/>
        <w:t xml:space="preserve">Tim Stobierski, “Bad Data Visualization: 5 Examples of Misleading Data,” </w:t>
      </w:r>
      <w:r w:rsidRPr="00E9344A">
        <w:rPr>
          <w:rFonts w:ascii="Calibri" w:hAnsi="Calibri" w:cs="Calibri"/>
          <w:i/>
          <w:iCs/>
        </w:rPr>
        <w:t>Business Insights - Blog</w:t>
      </w:r>
      <w:r w:rsidRPr="00E9344A">
        <w:rPr>
          <w:rFonts w:ascii="Calibri" w:hAnsi="Calibri" w:cs="Calibri"/>
        </w:rPr>
        <w:t>, Jan. 28, 2021. https://online.hbs.edu/blog/post/bad-data-visualization.</w:t>
      </w:r>
    </w:p>
    <w:p w14:paraId="758C717E" w14:textId="77777777" w:rsidR="0037798D" w:rsidRPr="00E9344A" w:rsidRDefault="0037798D" w:rsidP="0037798D">
      <w:pPr>
        <w:pStyle w:val="Bibliography"/>
        <w:rPr>
          <w:rFonts w:ascii="Calibri" w:hAnsi="Calibri" w:cs="Calibri"/>
        </w:rPr>
      </w:pPr>
      <w:r w:rsidRPr="00E9344A">
        <w:rPr>
          <w:rFonts w:ascii="Calibri" w:hAnsi="Calibri" w:cs="Calibri"/>
        </w:rPr>
        <w:t>[4]</w:t>
      </w:r>
      <w:r w:rsidRPr="00E9344A">
        <w:rPr>
          <w:rFonts w:ascii="Calibri" w:hAnsi="Calibri" w:cs="Calibri"/>
        </w:rPr>
        <w:tab/>
        <w:t xml:space="preserve">Ann K. Emery, “When to Use Horizontal Bar Charts vs. Vertical Column ChartsDepict Data Studio,” </w:t>
      </w:r>
      <w:r w:rsidRPr="00E9344A">
        <w:rPr>
          <w:rFonts w:ascii="Calibri" w:hAnsi="Calibri" w:cs="Calibri"/>
          <w:i/>
          <w:iCs/>
        </w:rPr>
        <w:t>Depict Data Studio</w:t>
      </w:r>
      <w:r w:rsidRPr="00E9344A">
        <w:rPr>
          <w:rFonts w:ascii="Calibri" w:hAnsi="Calibri" w:cs="Calibri"/>
        </w:rPr>
        <w:t>. http://depictdatastudio.com/when-to-use-horizontal-bar-charts-vs-vertical-column-charts.</w:t>
      </w:r>
    </w:p>
    <w:p w14:paraId="27EAD2BB" w14:textId="77777777" w:rsidR="0037798D" w:rsidRPr="00E9344A" w:rsidRDefault="0037798D" w:rsidP="0037798D">
      <w:pPr>
        <w:pStyle w:val="Bibliography"/>
        <w:rPr>
          <w:rFonts w:ascii="Calibri" w:hAnsi="Calibri" w:cs="Calibri"/>
        </w:rPr>
      </w:pPr>
      <w:r w:rsidRPr="00E9344A">
        <w:rPr>
          <w:rFonts w:ascii="Calibri" w:hAnsi="Calibri" w:cs="Calibri"/>
        </w:rPr>
        <w:t>[5]</w:t>
      </w:r>
      <w:r w:rsidRPr="00E9344A">
        <w:rPr>
          <w:rFonts w:ascii="Calibri" w:hAnsi="Calibri" w:cs="Calibri"/>
        </w:rPr>
        <w:tab/>
        <w:t xml:space="preserve">Kate Brush and Ed Burns, “What is data visualization and why is it important?,” </w:t>
      </w:r>
      <w:r w:rsidRPr="00E9344A">
        <w:rPr>
          <w:rFonts w:ascii="Calibri" w:hAnsi="Calibri" w:cs="Calibri"/>
          <w:i/>
          <w:iCs/>
        </w:rPr>
        <w:t>SearchBusinessAnalytics</w:t>
      </w:r>
      <w:r w:rsidRPr="00E9344A">
        <w:rPr>
          <w:rFonts w:ascii="Calibri" w:hAnsi="Calibri" w:cs="Calibri"/>
        </w:rPr>
        <w:t>. https://searchbusinessanalytics.techtarget.com/definition/data-visualization.</w:t>
      </w:r>
    </w:p>
    <w:p w14:paraId="31336059" w14:textId="76A30F65" w:rsidR="0037798D" w:rsidRPr="002F4A7A" w:rsidRDefault="0037798D" w:rsidP="0037798D">
      <w:pPr>
        <w:jc w:val="right"/>
        <w:rPr>
          <w:bCs/>
          <w:sz w:val="36"/>
          <w:szCs w:val="36"/>
          <w:lang w:val="en-US"/>
        </w:rPr>
      </w:pPr>
      <w:r>
        <w:fldChar w:fldCharType="end"/>
      </w:r>
    </w:p>
    <w:sectPr w:rsidR="0037798D" w:rsidRPr="002F4A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54D"/>
    <w:rsid w:val="0001154D"/>
    <w:rsid w:val="0011643C"/>
    <w:rsid w:val="00143263"/>
    <w:rsid w:val="001B2A9C"/>
    <w:rsid w:val="001D312A"/>
    <w:rsid w:val="00272B7F"/>
    <w:rsid w:val="00272F21"/>
    <w:rsid w:val="002F4A7A"/>
    <w:rsid w:val="00317BE0"/>
    <w:rsid w:val="0037798D"/>
    <w:rsid w:val="003E7451"/>
    <w:rsid w:val="00426A89"/>
    <w:rsid w:val="00456539"/>
    <w:rsid w:val="004A374A"/>
    <w:rsid w:val="004A6B22"/>
    <w:rsid w:val="004A7831"/>
    <w:rsid w:val="0053695E"/>
    <w:rsid w:val="005D6430"/>
    <w:rsid w:val="005E0824"/>
    <w:rsid w:val="006D4A75"/>
    <w:rsid w:val="006F123F"/>
    <w:rsid w:val="007D0346"/>
    <w:rsid w:val="00810962"/>
    <w:rsid w:val="009C0515"/>
    <w:rsid w:val="009C4FE3"/>
    <w:rsid w:val="00B3111E"/>
    <w:rsid w:val="00B3742D"/>
    <w:rsid w:val="00D14279"/>
    <w:rsid w:val="00E31141"/>
    <w:rsid w:val="00E65ED2"/>
    <w:rsid w:val="00EC7ACA"/>
    <w:rsid w:val="00F03D4E"/>
    <w:rsid w:val="00F13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500E2"/>
  <w15:chartTrackingRefBased/>
  <w15:docId w15:val="{C3E7120E-5596-480C-9511-54DBFE0D8B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1"/>
        <w:szCs w:val="21"/>
        <w:lang w:val="en-GB" w:eastAsia="en-US" w:bidi="ar-SA"/>
      </w:rPr>
    </w:rPrDefault>
    <w:pPrDefault>
      <w:pPr>
        <w:spacing w:line="259" w:lineRule="auto"/>
        <w:ind w:firstLine="34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263"/>
    <w:pPr>
      <w:spacing w:after="160"/>
      <w:ind w:firstLine="567"/>
    </w:pPr>
  </w:style>
  <w:style w:type="paragraph" w:styleId="Heading1">
    <w:name w:val="heading 1"/>
    <w:basedOn w:val="Normal"/>
    <w:next w:val="Normal"/>
    <w:link w:val="Heading1Char"/>
    <w:uiPriority w:val="9"/>
    <w:qFormat/>
    <w:rsid w:val="00143263"/>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43263"/>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143263"/>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43263"/>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43263"/>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43263"/>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43263"/>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143263"/>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43263"/>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326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43263"/>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143263"/>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43263"/>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4326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4326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4326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4326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43263"/>
    <w:rPr>
      <w:b/>
      <w:bCs/>
      <w:i/>
      <w:iCs/>
    </w:rPr>
  </w:style>
  <w:style w:type="paragraph" w:styleId="Caption">
    <w:name w:val="caption"/>
    <w:basedOn w:val="Normal"/>
    <w:next w:val="Normal"/>
    <w:uiPriority w:val="35"/>
    <w:semiHidden/>
    <w:unhideWhenUsed/>
    <w:qFormat/>
    <w:rsid w:val="00143263"/>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143263"/>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143263"/>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143263"/>
    <w:pPr>
      <w:numPr>
        <w:ilvl w:val="1"/>
      </w:numPr>
      <w:ind w:firstLine="567"/>
      <w:jc w:val="center"/>
    </w:pPr>
    <w:rPr>
      <w:color w:val="44546A" w:themeColor="text2"/>
      <w:sz w:val="28"/>
      <w:szCs w:val="28"/>
    </w:rPr>
  </w:style>
  <w:style w:type="character" w:customStyle="1" w:styleId="SubtitleChar">
    <w:name w:val="Subtitle Char"/>
    <w:basedOn w:val="DefaultParagraphFont"/>
    <w:link w:val="Subtitle"/>
    <w:uiPriority w:val="11"/>
    <w:rsid w:val="00143263"/>
    <w:rPr>
      <w:color w:val="44546A" w:themeColor="text2"/>
      <w:sz w:val="28"/>
      <w:szCs w:val="28"/>
    </w:rPr>
  </w:style>
  <w:style w:type="character" w:styleId="Strong">
    <w:name w:val="Strong"/>
    <w:basedOn w:val="DefaultParagraphFont"/>
    <w:uiPriority w:val="22"/>
    <w:qFormat/>
    <w:rsid w:val="00143263"/>
    <w:rPr>
      <w:b/>
      <w:bCs/>
    </w:rPr>
  </w:style>
  <w:style w:type="character" w:styleId="Emphasis">
    <w:name w:val="Emphasis"/>
    <w:basedOn w:val="DefaultParagraphFont"/>
    <w:uiPriority w:val="20"/>
    <w:qFormat/>
    <w:rsid w:val="00143263"/>
    <w:rPr>
      <w:i/>
      <w:iCs/>
      <w:color w:val="000000" w:themeColor="text1"/>
    </w:rPr>
  </w:style>
  <w:style w:type="paragraph" w:styleId="NoSpacing">
    <w:name w:val="No Spacing"/>
    <w:link w:val="NoSpacingChar"/>
    <w:uiPriority w:val="1"/>
    <w:qFormat/>
    <w:rsid w:val="00143263"/>
    <w:pPr>
      <w:spacing w:line="240" w:lineRule="auto"/>
    </w:pPr>
  </w:style>
  <w:style w:type="paragraph" w:styleId="Quote">
    <w:name w:val="Quote"/>
    <w:basedOn w:val="Normal"/>
    <w:next w:val="Normal"/>
    <w:link w:val="QuoteChar"/>
    <w:uiPriority w:val="29"/>
    <w:qFormat/>
    <w:rsid w:val="00143263"/>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143263"/>
    <w:rPr>
      <w:i/>
      <w:iCs/>
      <w:color w:val="7B7B7B" w:themeColor="accent3" w:themeShade="BF"/>
      <w:sz w:val="24"/>
      <w:szCs w:val="24"/>
    </w:rPr>
  </w:style>
  <w:style w:type="paragraph" w:styleId="IntenseQuote">
    <w:name w:val="Intense Quote"/>
    <w:basedOn w:val="Normal"/>
    <w:next w:val="Normal"/>
    <w:link w:val="IntenseQuoteChar"/>
    <w:uiPriority w:val="30"/>
    <w:qFormat/>
    <w:rsid w:val="00143263"/>
    <w:pPr>
      <w:spacing w:before="160"/>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143263"/>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143263"/>
    <w:rPr>
      <w:i/>
      <w:iCs/>
      <w:color w:val="595959" w:themeColor="text1" w:themeTint="A6"/>
    </w:rPr>
  </w:style>
  <w:style w:type="character" w:styleId="IntenseEmphasis">
    <w:name w:val="Intense Emphasis"/>
    <w:basedOn w:val="DefaultParagraphFont"/>
    <w:uiPriority w:val="21"/>
    <w:qFormat/>
    <w:rsid w:val="00143263"/>
    <w:rPr>
      <w:b/>
      <w:bCs/>
      <w:i/>
      <w:iCs/>
      <w:color w:val="auto"/>
    </w:rPr>
  </w:style>
  <w:style w:type="character" w:styleId="SubtleReference">
    <w:name w:val="Subtle Reference"/>
    <w:basedOn w:val="DefaultParagraphFont"/>
    <w:uiPriority w:val="31"/>
    <w:qFormat/>
    <w:rsid w:val="0014326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43263"/>
    <w:rPr>
      <w:b/>
      <w:bCs/>
      <w:caps w:val="0"/>
      <w:smallCaps/>
      <w:color w:val="auto"/>
      <w:spacing w:val="0"/>
      <w:u w:val="single"/>
    </w:rPr>
  </w:style>
  <w:style w:type="character" w:styleId="BookTitle">
    <w:name w:val="Book Title"/>
    <w:basedOn w:val="DefaultParagraphFont"/>
    <w:uiPriority w:val="33"/>
    <w:qFormat/>
    <w:rsid w:val="00143263"/>
    <w:rPr>
      <w:b/>
      <w:bCs/>
      <w:caps w:val="0"/>
      <w:smallCaps/>
      <w:spacing w:val="0"/>
    </w:rPr>
  </w:style>
  <w:style w:type="paragraph" w:styleId="TOCHeading">
    <w:name w:val="TOC Heading"/>
    <w:basedOn w:val="Heading1"/>
    <w:next w:val="Normal"/>
    <w:uiPriority w:val="39"/>
    <w:semiHidden/>
    <w:unhideWhenUsed/>
    <w:qFormat/>
    <w:rsid w:val="00143263"/>
    <w:pPr>
      <w:outlineLvl w:val="9"/>
    </w:pPr>
  </w:style>
  <w:style w:type="character" w:customStyle="1" w:styleId="NoSpacingChar">
    <w:name w:val="No Spacing Char"/>
    <w:basedOn w:val="DefaultParagraphFont"/>
    <w:link w:val="NoSpacing"/>
    <w:uiPriority w:val="1"/>
    <w:rsid w:val="004A374A"/>
  </w:style>
  <w:style w:type="paragraph" w:styleId="Bibliography">
    <w:name w:val="Bibliography"/>
    <w:basedOn w:val="Normal"/>
    <w:next w:val="Normal"/>
    <w:uiPriority w:val="37"/>
    <w:semiHidden/>
    <w:unhideWhenUsed/>
    <w:rsid w:val="0037798D"/>
    <w:pPr>
      <w:spacing w:line="252" w:lineRule="auto"/>
      <w:ind w:firstLine="0"/>
    </w:pPr>
    <w:rPr>
      <w:rFonts w:eastAsiaTheme="minorEastAsia"/>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1914635">
      <w:bodyDiv w:val="1"/>
      <w:marLeft w:val="0"/>
      <w:marRight w:val="0"/>
      <w:marTop w:val="0"/>
      <w:marBottom w:val="0"/>
      <w:divBdr>
        <w:top w:val="none" w:sz="0" w:space="0" w:color="auto"/>
        <w:left w:val="none" w:sz="0" w:space="0" w:color="auto"/>
        <w:bottom w:val="none" w:sz="0" w:space="0" w:color="auto"/>
        <w:right w:val="none" w:sz="0" w:space="0" w:color="auto"/>
      </w:divBdr>
      <w:divsChild>
        <w:div w:id="930315304">
          <w:marLeft w:val="0"/>
          <w:marRight w:val="0"/>
          <w:marTop w:val="0"/>
          <w:marBottom w:val="0"/>
          <w:divBdr>
            <w:top w:val="none" w:sz="0" w:space="0" w:color="auto"/>
            <w:left w:val="none" w:sz="0" w:space="0" w:color="auto"/>
            <w:bottom w:val="none" w:sz="0" w:space="0" w:color="auto"/>
            <w:right w:val="none" w:sz="0" w:space="0" w:color="auto"/>
          </w:divBdr>
          <w:divsChild>
            <w:div w:id="619264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1228</Words>
  <Characters>7005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Naydenov (2025312)</dc:creator>
  <cp:keywords/>
  <dc:description/>
  <cp:lastModifiedBy>Ivan Naydenov (2025312)</cp:lastModifiedBy>
  <cp:revision>4</cp:revision>
  <dcterms:created xsi:type="dcterms:W3CDTF">2021-07-14T18:03:00Z</dcterms:created>
  <dcterms:modified xsi:type="dcterms:W3CDTF">2021-07-15T10:41:00Z</dcterms:modified>
</cp:coreProperties>
</file>