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28822" w14:textId="31F8E37E" w:rsidR="00375A7E" w:rsidRDefault="00375A7E" w:rsidP="00375A7E">
      <w:r>
        <w:t xml:space="preserve">                                                                                                              </w:t>
      </w:r>
      <w:r>
        <w:t xml:space="preserve">              </w:t>
      </w:r>
      <w:r>
        <w:t>2025/2026</w:t>
      </w:r>
    </w:p>
    <w:p w14:paraId="6E24E929" w14:textId="1B3DEEA5" w:rsidR="001B7A48" w:rsidRPr="001B7A48" w:rsidRDefault="00C021C1" w:rsidP="001B7A48">
      <w:pPr>
        <w:pStyle w:val="Titre"/>
        <w:jc w:val="center"/>
        <w:rPr>
          <w:rFonts w:ascii="Arial" w:eastAsia="Verdana" w:hAnsi="Arial" w:cs="Arial"/>
          <w:b/>
          <w:bCs/>
          <w:color w:val="000000" w:themeColor="text1"/>
          <w:sz w:val="22"/>
          <w:szCs w:val="22"/>
        </w:rPr>
      </w:pPr>
      <w:r w:rsidRPr="00074402">
        <w:rPr>
          <w:rFonts w:ascii="Arial" w:hAnsi="Arial" w:cs="Arial"/>
          <w:noProof/>
          <w:szCs w:val="24"/>
        </w:rPr>
        <w:drawing>
          <wp:anchor distT="0" distB="0" distL="114300" distR="114300" simplePos="0" relativeHeight="251659264" behindDoc="0" locked="0" layoutInCell="1" allowOverlap="1" wp14:anchorId="50C136E8" wp14:editId="4186DD6C">
            <wp:simplePos x="0" y="0"/>
            <wp:positionH relativeFrom="margin">
              <wp:posOffset>-752475</wp:posOffset>
            </wp:positionH>
            <wp:positionV relativeFrom="paragraph">
              <wp:posOffset>0</wp:posOffset>
            </wp:positionV>
            <wp:extent cx="1809750" cy="695325"/>
            <wp:effectExtent l="0" t="0" r="0" b="9525"/>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695325"/>
                    </a:xfrm>
                    <a:prstGeom prst="rect">
                      <a:avLst/>
                    </a:prstGeom>
                    <a:noFill/>
                    <a:ln>
                      <a:noFill/>
                    </a:ln>
                  </pic:spPr>
                </pic:pic>
              </a:graphicData>
            </a:graphic>
            <wp14:sizeRelV relativeFrom="margin">
              <wp14:pctHeight>0</wp14:pctHeight>
            </wp14:sizeRelV>
          </wp:anchor>
        </w:drawing>
      </w:r>
    </w:p>
    <w:p w14:paraId="235BD511" w14:textId="1911C4B4" w:rsidR="001B7A48" w:rsidRDefault="001B7A48" w:rsidP="001B7A48">
      <w:pPr>
        <w:rPr>
          <w:b/>
          <w:bCs/>
          <w:color w:val="000000" w:themeColor="text1"/>
          <w:u w:val="single"/>
        </w:rPr>
      </w:pPr>
    </w:p>
    <w:p w14:paraId="2D5978DC" w14:textId="77777777" w:rsidR="001B7A48" w:rsidRDefault="001B7A48" w:rsidP="001B7A48">
      <w:pPr>
        <w:rPr>
          <w:b/>
          <w:bCs/>
          <w:color w:val="000000" w:themeColor="text1"/>
          <w:u w:val="single"/>
        </w:rPr>
      </w:pPr>
    </w:p>
    <w:p w14:paraId="7553960C" w14:textId="77777777" w:rsidR="001B7A48" w:rsidRDefault="001B7A48" w:rsidP="001B7A48">
      <w:pPr>
        <w:rPr>
          <w:b/>
          <w:bCs/>
          <w:color w:val="000000" w:themeColor="text1"/>
          <w:u w:val="single"/>
        </w:rPr>
      </w:pPr>
    </w:p>
    <w:p w14:paraId="3100F172" w14:textId="77777777" w:rsidR="00C021C1" w:rsidRDefault="00C021C1" w:rsidP="001B7A48">
      <w:pPr>
        <w:rPr>
          <w:b/>
          <w:bCs/>
          <w:color w:val="000000" w:themeColor="text1"/>
          <w:u w:val="single"/>
        </w:rPr>
      </w:pPr>
    </w:p>
    <w:p w14:paraId="60B31FF0" w14:textId="77777777" w:rsidR="00C021C1" w:rsidRDefault="00C021C1" w:rsidP="001B7A48">
      <w:pPr>
        <w:rPr>
          <w:b/>
          <w:bCs/>
          <w:color w:val="000000" w:themeColor="text1"/>
          <w:u w:val="single"/>
        </w:rPr>
      </w:pPr>
    </w:p>
    <w:p w14:paraId="0B412993" w14:textId="43A2BFAF" w:rsidR="00C021C1" w:rsidRDefault="00C021C1" w:rsidP="001B7A48">
      <w:pPr>
        <w:rPr>
          <w:b/>
          <w:bCs/>
          <w:color w:val="000000" w:themeColor="text1"/>
          <w:u w:val="single"/>
        </w:rPr>
      </w:pPr>
      <w:r>
        <w:rPr>
          <w:rFonts w:eastAsia="Verdana"/>
          <w:b/>
          <w:bCs/>
          <w:color w:val="000000" w:themeColor="text1"/>
        </w:rPr>
        <w:t xml:space="preserve">                                    </w:t>
      </w:r>
      <w:r w:rsidRPr="001B7A48">
        <w:rPr>
          <w:rFonts w:eastAsia="Verdana"/>
          <w:b/>
          <w:bCs/>
          <w:color w:val="000000" w:themeColor="text1"/>
        </w:rPr>
        <w:t xml:space="preserve">Psychology in Health and Social Care </w:t>
      </w:r>
    </w:p>
    <w:p w14:paraId="267A508D" w14:textId="77777777" w:rsidR="00C021C1" w:rsidRDefault="00C021C1" w:rsidP="001B7A48">
      <w:pPr>
        <w:rPr>
          <w:b/>
          <w:bCs/>
          <w:color w:val="000000" w:themeColor="text1"/>
          <w:u w:val="single"/>
        </w:rPr>
      </w:pPr>
    </w:p>
    <w:p w14:paraId="31751C82" w14:textId="77777777" w:rsidR="00C021C1" w:rsidRDefault="00C021C1" w:rsidP="001B7A48">
      <w:pPr>
        <w:rPr>
          <w:b/>
          <w:bCs/>
          <w:color w:val="000000" w:themeColor="text1"/>
          <w:u w:val="single"/>
        </w:rPr>
      </w:pPr>
    </w:p>
    <w:p w14:paraId="34683780" w14:textId="77777777" w:rsidR="00C021C1" w:rsidRDefault="00C021C1" w:rsidP="001B7A48">
      <w:pPr>
        <w:rPr>
          <w:b/>
          <w:bCs/>
          <w:color w:val="000000" w:themeColor="text1"/>
          <w:u w:val="single"/>
        </w:rPr>
      </w:pPr>
    </w:p>
    <w:p w14:paraId="2D9B4399" w14:textId="77777777" w:rsidR="00C021C1" w:rsidRDefault="00C021C1" w:rsidP="001B7A48">
      <w:pPr>
        <w:rPr>
          <w:b/>
          <w:bCs/>
          <w:color w:val="000000" w:themeColor="text1"/>
          <w:u w:val="single"/>
        </w:rPr>
      </w:pPr>
    </w:p>
    <w:p w14:paraId="32BFEA03" w14:textId="77777777" w:rsidR="00C021C1" w:rsidRDefault="00C021C1" w:rsidP="001B7A48">
      <w:pPr>
        <w:rPr>
          <w:b/>
          <w:bCs/>
          <w:color w:val="000000" w:themeColor="text1"/>
          <w:u w:val="single"/>
        </w:rPr>
      </w:pPr>
    </w:p>
    <w:p w14:paraId="6029480F" w14:textId="77777777" w:rsidR="001B7A48" w:rsidRDefault="001B7A48" w:rsidP="001B7A48">
      <w:pPr>
        <w:rPr>
          <w:b/>
          <w:bCs/>
          <w:color w:val="000000" w:themeColor="text1"/>
          <w:u w:val="single"/>
        </w:rPr>
      </w:pPr>
    </w:p>
    <w:p w14:paraId="1E250AD7" w14:textId="4DE9163E" w:rsidR="001B7A48" w:rsidRPr="00D212FD" w:rsidRDefault="00FC71BE" w:rsidP="001B7A48">
      <w:pPr>
        <w:rPr>
          <w:b/>
          <w:bCs/>
          <w:color w:val="000000" w:themeColor="text1"/>
          <w:sz w:val="24"/>
          <w:szCs w:val="24"/>
          <w:u w:val="single"/>
        </w:rPr>
      </w:pPr>
      <w:r>
        <w:rPr>
          <w:b/>
          <w:bCs/>
          <w:color w:val="000000" w:themeColor="text1"/>
          <w:u w:val="single"/>
        </w:rPr>
        <w:t>Name of Student:</w:t>
      </w:r>
      <w:r w:rsidR="001B7A48" w:rsidRPr="001B7A48">
        <w:t xml:space="preserve"> AHOU</w:t>
      </w:r>
      <w:r w:rsidR="001B7A48" w:rsidRPr="00921D36">
        <w:t xml:space="preserve"> ANNA YASMINE KRAMO</w:t>
      </w:r>
    </w:p>
    <w:p w14:paraId="1DF32CD4" w14:textId="77777777" w:rsidR="001B6F31" w:rsidRDefault="001B6F31"/>
    <w:p w14:paraId="1CE6D101" w14:textId="69801F94" w:rsidR="001B7A48" w:rsidRDefault="00FC71BE" w:rsidP="001B7A48">
      <w:pPr>
        <w:rPr>
          <w:lang w:val="nl-NL"/>
        </w:rPr>
      </w:pPr>
      <w:r>
        <w:rPr>
          <w:b/>
          <w:bCs/>
          <w:color w:val="000000" w:themeColor="text1"/>
          <w:sz w:val="24"/>
          <w:szCs w:val="24"/>
          <w:u w:val="single"/>
        </w:rPr>
        <w:t xml:space="preserve">ID Number: </w:t>
      </w:r>
      <w:r w:rsidR="001B7A48" w:rsidRPr="00921D36">
        <w:rPr>
          <w:lang w:val="nl-NL"/>
        </w:rPr>
        <w:t>2437213</w:t>
      </w:r>
    </w:p>
    <w:p w14:paraId="032A629D" w14:textId="77777777" w:rsidR="001B7A48" w:rsidRPr="00D212FD" w:rsidRDefault="001B7A48" w:rsidP="001B7A48">
      <w:pPr>
        <w:rPr>
          <w:b/>
          <w:bCs/>
          <w:color w:val="000000" w:themeColor="text1"/>
          <w:sz w:val="24"/>
          <w:szCs w:val="24"/>
          <w:u w:val="single"/>
        </w:rPr>
      </w:pPr>
    </w:p>
    <w:p w14:paraId="65FBEA0E" w14:textId="3BF4D958" w:rsidR="001B7A48" w:rsidRPr="00921D36" w:rsidRDefault="00FC71BE" w:rsidP="001B7A48">
      <w:pPr>
        <w:rPr>
          <w:color w:val="000000" w:themeColor="text1"/>
          <w:sz w:val="24"/>
          <w:szCs w:val="24"/>
        </w:rPr>
      </w:pPr>
      <w:r>
        <w:rPr>
          <w:b/>
          <w:bCs/>
          <w:color w:val="000000" w:themeColor="text1"/>
          <w:sz w:val="24"/>
          <w:szCs w:val="24"/>
          <w:u w:val="single"/>
        </w:rPr>
        <w:t>Lecturer name:</w:t>
      </w:r>
      <w:r w:rsidR="001B7A48" w:rsidRPr="00921D36">
        <w:rPr>
          <w:b/>
          <w:bCs/>
          <w:color w:val="000000" w:themeColor="text1"/>
          <w:sz w:val="24"/>
          <w:szCs w:val="24"/>
        </w:rPr>
        <w:t xml:space="preserve"> </w:t>
      </w:r>
      <w:r w:rsidR="001B7A48">
        <w:rPr>
          <w:color w:val="000000" w:themeColor="text1"/>
          <w:sz w:val="24"/>
          <w:szCs w:val="24"/>
        </w:rPr>
        <w:t>Farah Wiita</w:t>
      </w:r>
    </w:p>
    <w:p w14:paraId="0C4EFFCB" w14:textId="77777777" w:rsidR="001B7A48" w:rsidRDefault="001B7A48" w:rsidP="001B7A48">
      <w:pPr>
        <w:rPr>
          <w:b/>
          <w:bCs/>
          <w:color w:val="000000" w:themeColor="text1"/>
          <w:sz w:val="24"/>
          <w:szCs w:val="24"/>
          <w:u w:val="single"/>
        </w:rPr>
      </w:pPr>
    </w:p>
    <w:p w14:paraId="60DBD476" w14:textId="781F1102" w:rsidR="00C021C1" w:rsidRDefault="00FC71BE" w:rsidP="00C021C1">
      <w:pPr>
        <w:rPr>
          <w:rFonts w:eastAsia="Verdana"/>
          <w:color w:val="000000" w:themeColor="text1"/>
        </w:rPr>
      </w:pPr>
      <w:r>
        <w:rPr>
          <w:b/>
          <w:bCs/>
          <w:u w:val="single"/>
          <w:lang w:val="fr-FR"/>
        </w:rPr>
        <w:t xml:space="preserve">Module Code </w:t>
      </w:r>
      <w:r w:rsidR="00C021C1">
        <w:rPr>
          <w:b/>
          <w:bCs/>
          <w:u w:val="single"/>
          <w:lang w:val="fr-FR"/>
        </w:rPr>
        <w:t>:</w:t>
      </w:r>
      <w:r w:rsidR="00C021C1">
        <w:rPr>
          <w:b/>
          <w:bCs/>
          <w:lang w:val="fr-FR"/>
        </w:rPr>
        <w:t xml:space="preserve"> </w:t>
      </w:r>
      <w:r w:rsidR="00C021C1" w:rsidRPr="00C021C1">
        <w:rPr>
          <w:rFonts w:eastAsia="Verdana"/>
          <w:color w:val="000000" w:themeColor="text1"/>
        </w:rPr>
        <w:t>(LCHS4010)</w:t>
      </w:r>
    </w:p>
    <w:p w14:paraId="1FBFE015" w14:textId="77777777" w:rsidR="00C021C1" w:rsidRDefault="00C021C1" w:rsidP="00C021C1">
      <w:pPr>
        <w:rPr>
          <w:rFonts w:eastAsia="Verdana"/>
          <w:color w:val="000000" w:themeColor="text1"/>
        </w:rPr>
      </w:pPr>
    </w:p>
    <w:p w14:paraId="010C871B" w14:textId="77777777" w:rsidR="00C021C1" w:rsidRDefault="00C021C1" w:rsidP="00C021C1">
      <w:pPr>
        <w:rPr>
          <w:rFonts w:eastAsia="Verdana"/>
          <w:color w:val="000000" w:themeColor="text1"/>
        </w:rPr>
      </w:pPr>
    </w:p>
    <w:p w14:paraId="56634830" w14:textId="77777777" w:rsidR="00C021C1" w:rsidRDefault="00C021C1" w:rsidP="00C021C1">
      <w:pPr>
        <w:rPr>
          <w:rFonts w:eastAsia="Verdana"/>
          <w:color w:val="000000" w:themeColor="text1"/>
        </w:rPr>
      </w:pPr>
    </w:p>
    <w:p w14:paraId="44143158" w14:textId="77777777" w:rsidR="00C021C1" w:rsidRDefault="00C021C1" w:rsidP="00C021C1">
      <w:pPr>
        <w:rPr>
          <w:rFonts w:eastAsia="Verdana"/>
          <w:color w:val="000000" w:themeColor="text1"/>
        </w:rPr>
      </w:pPr>
    </w:p>
    <w:p w14:paraId="355C02F9" w14:textId="77777777" w:rsidR="00C021C1" w:rsidRDefault="00C021C1" w:rsidP="00C021C1">
      <w:pPr>
        <w:rPr>
          <w:rFonts w:eastAsia="Verdana"/>
          <w:color w:val="000000" w:themeColor="text1"/>
        </w:rPr>
      </w:pPr>
    </w:p>
    <w:p w14:paraId="3E6D72FB" w14:textId="77777777" w:rsidR="00C021C1" w:rsidRDefault="00C021C1" w:rsidP="00C021C1">
      <w:pPr>
        <w:rPr>
          <w:rFonts w:eastAsia="Verdana"/>
          <w:color w:val="000000" w:themeColor="text1"/>
        </w:rPr>
      </w:pPr>
    </w:p>
    <w:p w14:paraId="17ED9626" w14:textId="52FD60AB" w:rsidR="00C021C1" w:rsidRPr="00C021C1" w:rsidRDefault="00C021C1" w:rsidP="00C021C1">
      <w:pPr>
        <w:suppressAutoHyphens w:val="0"/>
        <w:autoSpaceDN/>
        <w:spacing w:after="160" w:line="259" w:lineRule="auto"/>
        <w:textAlignment w:val="auto"/>
        <w:rPr>
          <w:color w:val="000000" w:themeColor="text1"/>
          <w:u w:val="single"/>
        </w:rPr>
      </w:pPr>
      <w:r>
        <w:rPr>
          <w:rFonts w:eastAsia="Verdana"/>
          <w:color w:val="000000" w:themeColor="text1"/>
        </w:rPr>
        <w:t xml:space="preserve">                                                      </w:t>
      </w:r>
      <w:r>
        <w:rPr>
          <w:b/>
          <w:bCs/>
        </w:rPr>
        <w:t xml:space="preserve">   </w:t>
      </w:r>
      <w:r w:rsidRPr="00C021C1">
        <w:rPr>
          <w:b/>
          <w:bCs/>
        </w:rPr>
        <w:t>Assessment 2</w:t>
      </w:r>
    </w:p>
    <w:p w14:paraId="10A5FFC2" w14:textId="77777777" w:rsidR="00C021C1" w:rsidRPr="00C021C1" w:rsidRDefault="00C021C1" w:rsidP="00C021C1">
      <w:pPr>
        <w:tabs>
          <w:tab w:val="left" w:pos="3465"/>
        </w:tabs>
        <w:rPr>
          <w:b/>
          <w:bCs/>
        </w:rPr>
      </w:pPr>
      <w:r w:rsidRPr="00C021C1">
        <w:rPr>
          <w:b/>
          <w:bCs/>
        </w:rPr>
        <w:t xml:space="preserve">                                                </w:t>
      </w:r>
      <w:r>
        <w:rPr>
          <w:b/>
          <w:bCs/>
        </w:rPr>
        <w:t xml:space="preserve">   </w:t>
      </w:r>
      <w:r w:rsidRPr="00C021C1">
        <w:rPr>
          <w:b/>
          <w:bCs/>
        </w:rPr>
        <w:t xml:space="preserve"> B</w:t>
      </w:r>
      <w:r>
        <w:rPr>
          <w:b/>
          <w:bCs/>
        </w:rPr>
        <w:t>i</w:t>
      </w:r>
      <w:r w:rsidRPr="00C021C1">
        <w:rPr>
          <w:b/>
          <w:bCs/>
        </w:rPr>
        <w:t>bliography &amp; report</w:t>
      </w:r>
    </w:p>
    <w:p w14:paraId="596791E0" w14:textId="4B5161AF" w:rsidR="00C021C1" w:rsidRDefault="00C021C1" w:rsidP="00C021C1">
      <w:pPr>
        <w:rPr>
          <w:rFonts w:eastAsia="Verdana"/>
          <w:color w:val="000000" w:themeColor="text1"/>
        </w:rPr>
      </w:pPr>
    </w:p>
    <w:p w14:paraId="598B3FBA" w14:textId="03E07BB8" w:rsidR="00C021C1" w:rsidRDefault="00C021C1" w:rsidP="00C021C1">
      <w:pPr>
        <w:suppressAutoHyphens w:val="0"/>
        <w:autoSpaceDN/>
        <w:spacing w:after="160" w:line="259" w:lineRule="auto"/>
        <w:textAlignment w:val="auto"/>
        <w:rPr>
          <w:rFonts w:eastAsia="Verdana"/>
          <w:b/>
          <w:bCs/>
          <w:color w:val="000000" w:themeColor="text1"/>
        </w:rPr>
      </w:pPr>
      <w:r>
        <w:rPr>
          <w:rFonts w:eastAsia="Verdana"/>
          <w:color w:val="000000" w:themeColor="text1"/>
        </w:rPr>
        <w:br w:type="page"/>
      </w:r>
      <w:r w:rsidRPr="00C021C1">
        <w:rPr>
          <w:rFonts w:eastAsia="Verdana"/>
          <w:b/>
          <w:bCs/>
          <w:color w:val="000000" w:themeColor="text1"/>
        </w:rPr>
        <w:lastRenderedPageBreak/>
        <w:t>Part A:</w:t>
      </w:r>
      <w:r w:rsidR="004705CE">
        <w:rPr>
          <w:rFonts w:eastAsia="Verdana"/>
          <w:b/>
          <w:bCs/>
          <w:color w:val="000000" w:themeColor="text1"/>
        </w:rPr>
        <w:t xml:space="preserve"> Bibliography </w:t>
      </w:r>
    </w:p>
    <w:p w14:paraId="3C586E62" w14:textId="03FC7520" w:rsidR="00C021C1" w:rsidRDefault="00C021C1" w:rsidP="00C021C1">
      <w:p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STEP 1 </w:t>
      </w:r>
    </w:p>
    <w:p w14:paraId="7E0E7DE1" w14:textId="647E3E3B" w:rsidR="004705CE" w:rsidRDefault="004705CE" w:rsidP="00C021C1">
      <w:p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                             </w:t>
      </w:r>
    </w:p>
    <w:p w14:paraId="0A59651E" w14:textId="13AE375F" w:rsidR="004705CE" w:rsidRDefault="004705CE" w:rsidP="00C021C1">
      <w:p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                                                         Introduction </w:t>
      </w:r>
    </w:p>
    <w:p w14:paraId="12F00E83" w14:textId="77777777" w:rsidR="004705CE" w:rsidRDefault="004705CE" w:rsidP="00C021C1">
      <w:pPr>
        <w:suppressAutoHyphens w:val="0"/>
        <w:autoSpaceDN/>
        <w:spacing w:after="160" w:line="259" w:lineRule="auto"/>
        <w:textAlignment w:val="auto"/>
        <w:rPr>
          <w:rFonts w:eastAsia="Verdana"/>
          <w:b/>
          <w:bCs/>
          <w:color w:val="000000" w:themeColor="text1"/>
        </w:rPr>
      </w:pPr>
    </w:p>
    <w:p w14:paraId="2ED86067" w14:textId="41A62B68" w:rsidR="003D2092" w:rsidRDefault="003D2092" w:rsidP="00C021C1">
      <w:pPr>
        <w:suppressAutoHyphens w:val="0"/>
        <w:autoSpaceDN/>
        <w:spacing w:after="160" w:line="259" w:lineRule="auto"/>
        <w:textAlignment w:val="auto"/>
        <w:rPr>
          <w:rFonts w:eastAsia="Verdana"/>
          <w:b/>
          <w:bCs/>
          <w:color w:val="000000" w:themeColor="text1"/>
        </w:rPr>
      </w:pPr>
      <w:r w:rsidRPr="003D2092">
        <w:rPr>
          <w:rFonts w:eastAsia="Verdana"/>
          <w:color w:val="000000" w:themeColor="text1"/>
        </w:rPr>
        <w:t>Ageing is an important issue for health and social care services, as it is a natural process that often requires increased support to maintain individuals’ health and wellbeing. In addition, adult development involves psychological, emotional and social changes throughout life. Therefore, it is important to understand these changes in order to provide appropriate care. Several psychological theories help to explain these processes and their impact on wellbeing. This annotated bibliography will therefore examine four academic sources to explore how these theories can be applied to support older adults in health and social care settings</w:t>
      </w:r>
      <w:r w:rsidRPr="003D2092">
        <w:rPr>
          <w:rFonts w:eastAsia="Verdana"/>
          <w:b/>
          <w:bCs/>
          <w:color w:val="000000" w:themeColor="text1"/>
        </w:rPr>
        <w:t>.</w:t>
      </w:r>
    </w:p>
    <w:p w14:paraId="6D679A6C" w14:textId="77777777" w:rsidR="00375A7E" w:rsidRDefault="00375A7E" w:rsidP="00375A7E">
      <w:pPr>
        <w:suppressAutoHyphens w:val="0"/>
        <w:autoSpaceDN/>
        <w:spacing w:after="160" w:line="259" w:lineRule="auto"/>
        <w:textAlignment w:val="auto"/>
      </w:pPr>
    </w:p>
    <w:p w14:paraId="1A09EAF3" w14:textId="3B7CC586" w:rsidR="00375A7E" w:rsidRDefault="00375A7E" w:rsidP="00375A7E">
      <w:pPr>
        <w:pStyle w:val="Paragraphedeliste"/>
        <w:numPr>
          <w:ilvl w:val="0"/>
          <w:numId w:val="1"/>
        </w:numPr>
        <w:suppressAutoHyphens w:val="0"/>
        <w:autoSpaceDN/>
        <w:spacing w:after="160" w:line="259" w:lineRule="auto"/>
        <w:textAlignment w:val="auto"/>
        <w:rPr>
          <w:b/>
          <w:bCs/>
        </w:rPr>
      </w:pPr>
      <w:r>
        <w:rPr>
          <w:b/>
          <w:bCs/>
        </w:rPr>
        <w:t>1</w:t>
      </w:r>
      <w:r w:rsidRPr="00375A7E">
        <w:rPr>
          <w:b/>
          <w:bCs/>
        </w:rPr>
        <w:t>:</w:t>
      </w:r>
      <w:r>
        <w:t xml:space="preserve"> </w:t>
      </w:r>
      <w:r w:rsidRPr="00375A7E">
        <w:rPr>
          <w:b/>
          <w:bCs/>
        </w:rPr>
        <w:t>Bowlby’s attachment theory and</w:t>
      </w:r>
      <w:r>
        <w:rPr>
          <w:b/>
          <w:bCs/>
        </w:rPr>
        <w:t xml:space="preserve"> Ageing </w:t>
      </w:r>
    </w:p>
    <w:p w14:paraId="66BA8466" w14:textId="77777777" w:rsidR="00375A7E" w:rsidRPr="00375A7E" w:rsidRDefault="00375A7E" w:rsidP="00375A7E">
      <w:pPr>
        <w:pStyle w:val="Paragraphedeliste"/>
        <w:suppressAutoHyphens w:val="0"/>
        <w:autoSpaceDN/>
        <w:spacing w:after="160" w:line="259" w:lineRule="auto"/>
        <w:ind w:left="775"/>
        <w:textAlignment w:val="auto"/>
        <w:rPr>
          <w:b/>
          <w:bCs/>
        </w:rPr>
      </w:pPr>
    </w:p>
    <w:p w14:paraId="6B672400" w14:textId="7D5789DB" w:rsidR="00375A7E" w:rsidRPr="00375A7E" w:rsidRDefault="00375A7E" w:rsidP="00375A7E">
      <w:pPr>
        <w:pStyle w:val="Paragraphedeliste"/>
        <w:suppressAutoHyphens w:val="0"/>
        <w:autoSpaceDN/>
        <w:spacing w:after="160" w:line="259" w:lineRule="auto"/>
        <w:ind w:left="775"/>
        <w:textAlignment w:val="auto"/>
      </w:pPr>
      <w:r w:rsidRPr="00375A7E">
        <w:t>John Bowlby’s attachment theory</w:t>
      </w:r>
      <w:r w:rsidR="004E643E" w:rsidRPr="004E643E">
        <w:t xml:space="preserve"> </w:t>
      </w:r>
      <w:r w:rsidR="004E643E" w:rsidRPr="004E643E">
        <w:t>This theory proposes that humans have an inborn tendency to develop strong emotional attachments, which are important for survival and wellbeing</w:t>
      </w:r>
      <w:r w:rsidRPr="00375A7E">
        <w:t xml:space="preserve">, as it provides a framework for understanding relationships across the lifespan. In adulthood, early caregiving experiences </w:t>
      </w:r>
      <w:r w:rsidR="004E643E" w:rsidRPr="004E643E">
        <w:t>These experiences form internal working models, which are mental frameworks of how individuals view themselves and others. These models affect how people manage emotions, build relationships, and deal with stress, loss, and challenging situations.</w:t>
      </w:r>
    </w:p>
    <w:p w14:paraId="6EDD0943" w14:textId="77777777" w:rsidR="00375A7E" w:rsidRPr="00375A7E" w:rsidRDefault="00375A7E" w:rsidP="00375A7E">
      <w:pPr>
        <w:pStyle w:val="Paragraphedeliste"/>
        <w:suppressAutoHyphens w:val="0"/>
        <w:autoSpaceDN/>
        <w:spacing w:after="160" w:line="259" w:lineRule="auto"/>
        <w:ind w:left="775"/>
        <w:textAlignment w:val="auto"/>
      </w:pPr>
    </w:p>
    <w:p w14:paraId="79967AB2" w14:textId="7EC7209D" w:rsidR="00375A7E" w:rsidRDefault="00375A7E" w:rsidP="00375A7E">
      <w:pPr>
        <w:pStyle w:val="Paragraphedeliste"/>
        <w:suppressAutoHyphens w:val="0"/>
        <w:autoSpaceDN/>
        <w:spacing w:after="160" w:line="259" w:lineRule="auto"/>
        <w:ind w:left="775"/>
        <w:textAlignment w:val="auto"/>
      </w:pPr>
      <w:r>
        <w:t xml:space="preserve">However, according to </w:t>
      </w:r>
      <w:r w:rsidRPr="00375A7E">
        <w:t>Phillipson</w:t>
      </w:r>
      <w:r>
        <w:t xml:space="preserve"> (2013), </w:t>
      </w:r>
      <w:r w:rsidRPr="00375A7E">
        <w:t>In this chapter</w:t>
      </w:r>
      <w:r>
        <w:t xml:space="preserve"> </w:t>
      </w:r>
      <w:r>
        <w:t>explains how ideas about age and ageing have changed over time. He argues that ageing should not be seen only as a biological process, but also as a social construction influenced by culture, history, and policies. Perceptions of ageing vary across societies and historical periods, which affects how older people are viewed and treated.</w:t>
      </w:r>
    </w:p>
    <w:p w14:paraId="1CEDF8BA" w14:textId="77777777" w:rsidR="00375A7E" w:rsidRDefault="00375A7E" w:rsidP="00375A7E">
      <w:pPr>
        <w:pStyle w:val="Paragraphedeliste"/>
        <w:suppressAutoHyphens w:val="0"/>
        <w:autoSpaceDN/>
        <w:spacing w:after="160" w:line="259" w:lineRule="auto"/>
        <w:ind w:left="775"/>
        <w:textAlignment w:val="auto"/>
      </w:pPr>
    </w:p>
    <w:p w14:paraId="219A6C9D" w14:textId="2EBF5F34" w:rsidR="00375A7E" w:rsidRDefault="00375A7E" w:rsidP="00375A7E">
      <w:pPr>
        <w:pStyle w:val="Paragraphedeliste"/>
        <w:suppressAutoHyphens w:val="0"/>
        <w:autoSpaceDN/>
        <w:spacing w:after="160" w:line="259" w:lineRule="auto"/>
        <w:ind w:left="775"/>
        <w:textAlignment w:val="auto"/>
        <w:rPr>
          <w:b/>
          <w:bCs/>
        </w:rPr>
      </w:pPr>
      <w:r>
        <w:t>The chapter also highlights that ageing can be represented in both negative and positive ways. On one hand, it is often associated with decline and dependency. On the other hand, it can be seen as a stage of life that values experience and contribution.</w:t>
      </w:r>
      <w:r w:rsidRPr="00375A7E">
        <w:t xml:space="preserve"> </w:t>
      </w:r>
    </w:p>
    <w:p w14:paraId="1CB6E926" w14:textId="77777777" w:rsidR="00375A7E" w:rsidRDefault="00375A7E" w:rsidP="00375A7E">
      <w:pPr>
        <w:pStyle w:val="Paragraphedeliste"/>
        <w:suppressAutoHyphens w:val="0"/>
        <w:autoSpaceDN/>
        <w:spacing w:after="160" w:line="259" w:lineRule="auto"/>
        <w:ind w:left="775"/>
        <w:textAlignment w:val="auto"/>
        <w:rPr>
          <w:b/>
          <w:bCs/>
        </w:rPr>
      </w:pPr>
    </w:p>
    <w:p w14:paraId="5420D8B5" w14:textId="383B25BD" w:rsidR="00375A7E" w:rsidRP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The connection between John Bowlby’s attachment theory and Phillipson’s work helps explain adult development in health and social care. Bowlby suggests that early relationships shape how individuals manage emotions and interact with others later in life. As a result, older adults may benefit from stable and supportive relationships with caregivers.</w:t>
      </w:r>
    </w:p>
    <w:p w14:paraId="0B2670B3" w14:textId="77777777" w:rsidR="00375A7E" w:rsidRP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650EC579" w14:textId="5CBE2771"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In a similar way, Phillipson shows that ageing is influenced by social conditions, including relationships and life experiences. This highlights the need for care that considers both emotional support and social context. Using these ideas together can help improve wellbeing and reduce feelings of isolation among older adults.</w:t>
      </w:r>
    </w:p>
    <w:p w14:paraId="0243FED4"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12445F54"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2156289C"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6665C957" w14:textId="3861EA67" w:rsidR="00375A7E" w:rsidRDefault="00375A7E" w:rsidP="00375A7E">
      <w:pPr>
        <w:pStyle w:val="Paragraphedeliste"/>
        <w:numPr>
          <w:ilvl w:val="0"/>
          <w:numId w:val="1"/>
        </w:numPr>
        <w:suppressAutoHyphens w:val="0"/>
        <w:autoSpaceDN/>
        <w:spacing w:after="160" w:line="259" w:lineRule="auto"/>
        <w:textAlignment w:val="auto"/>
        <w:rPr>
          <w:rFonts w:eastAsia="Verdana"/>
          <w:b/>
          <w:bCs/>
          <w:color w:val="000000" w:themeColor="text1"/>
        </w:rPr>
      </w:pPr>
      <w:r>
        <w:rPr>
          <w:rFonts w:eastAsia="Verdana"/>
          <w:b/>
          <w:bCs/>
          <w:color w:val="000000" w:themeColor="text1"/>
        </w:rPr>
        <w:t xml:space="preserve">2: Bandura &amp; Maslow and Social psychology </w:t>
      </w:r>
    </w:p>
    <w:p w14:paraId="49BF4CB4"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p>
    <w:p w14:paraId="37FFFE2D" w14:textId="1CE3E15F"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Pr>
          <w:rFonts w:eastAsia="Verdana"/>
          <w:color w:val="000000" w:themeColor="text1"/>
        </w:rPr>
        <w:t>Firstly,</w:t>
      </w:r>
      <w:r w:rsidR="004E643E" w:rsidRPr="004E643E">
        <w:t xml:space="preserve"> </w:t>
      </w:r>
      <w:r w:rsidR="004E643E" w:rsidRPr="004E643E">
        <w:rPr>
          <w:rFonts w:eastAsia="Verdana"/>
          <w:color w:val="000000" w:themeColor="text1"/>
        </w:rPr>
        <w:t xml:space="preserve">Bandura’s social learning theory states that people develop behaviours by observing others, imitating them, and reproducing what they have seen. He also explains that learning is not limited to direct personal </w:t>
      </w:r>
      <w:r w:rsidR="00B30BB4" w:rsidRPr="004E643E">
        <w:rPr>
          <w:rFonts w:eastAsia="Verdana"/>
          <w:color w:val="000000" w:themeColor="text1"/>
        </w:rPr>
        <w:t>experience but</w:t>
      </w:r>
      <w:r w:rsidR="004E643E" w:rsidRPr="004E643E">
        <w:rPr>
          <w:rFonts w:eastAsia="Verdana"/>
          <w:color w:val="000000" w:themeColor="text1"/>
        </w:rPr>
        <w:t xml:space="preserve"> can also occur through watching the actions of others and the outcomes of those behaviours</w:t>
      </w:r>
      <w:r w:rsidRPr="00375A7E">
        <w:rPr>
          <w:rFonts w:eastAsia="Verdana"/>
          <w:color w:val="000000" w:themeColor="text1"/>
        </w:rPr>
        <w:t>. A key idea in this theory is self-efficacy, which is a person’s belief in their ability to succeed in a task or deal with a situation. In adulthood, this is very important because it affects how individuals cope with challenges such as illness, disability, unemployment, or caring responsibilities. Higher self-efficacy usually helps people adapt better, become more resilient, and make healthier choices (Bandura, 1997).</w:t>
      </w:r>
    </w:p>
    <w:p w14:paraId="02DD8ADC"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05C360ED" w14:textId="78DA0BBB" w:rsidR="00375A7E" w:rsidRP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Pr>
          <w:rFonts w:eastAsia="Verdana"/>
          <w:color w:val="000000" w:themeColor="text1"/>
        </w:rPr>
        <w:t>Secondly, fo</w:t>
      </w:r>
      <w:r w:rsidRPr="00375A7E">
        <w:rPr>
          <w:rFonts w:eastAsia="Verdana"/>
          <w:color w:val="000000" w:themeColor="text1"/>
        </w:rPr>
        <w:t xml:space="preserve">r its part, Maslow’s hierarchy of needs focusses on human motivation. It suggests that individuals seek to satisfy their needs according to a hierarchical progression, ranging from basic physiological needs (such as food and housing), to the needs of security, belonging, self-esteem, and finally personal fulfilment. In adults, this theory helps to understand how unmet needs can affect overall well-being. For example, a person facing financial difficulties or housing instability may have difficulty focussing on their personal or emotional development. Similarly, an individual suffering from social isolation may not be able to fulfil their need for belonging, which can have a negative impact on their mental health and quality of life. In health and social care services, this approach is often used to identify the priority needs of users </w:t>
      </w:r>
      <w:r w:rsidRPr="00375A7E">
        <w:rPr>
          <w:rFonts w:eastAsia="Verdana"/>
          <w:color w:val="000000" w:themeColor="text1"/>
        </w:rPr>
        <w:t>to</w:t>
      </w:r>
      <w:r w:rsidRPr="00375A7E">
        <w:rPr>
          <w:rFonts w:eastAsia="Verdana"/>
          <w:color w:val="000000" w:themeColor="text1"/>
        </w:rPr>
        <w:t xml:space="preserve"> offer adapted and person-centred support (Maslow, 1943).</w:t>
      </w:r>
    </w:p>
    <w:p w14:paraId="03EE2FEF"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p>
    <w:p w14:paraId="36B6AAEC" w14:textId="3F48220E"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Also, according to </w:t>
      </w:r>
      <w:r>
        <w:rPr>
          <w:rFonts w:eastAsia="Verdana"/>
          <w:color w:val="000000" w:themeColor="text1"/>
        </w:rPr>
        <w:t xml:space="preserve">(Brown,2006) </w:t>
      </w:r>
      <w:r w:rsidRPr="00375A7E">
        <w:rPr>
          <w:rFonts w:eastAsia="Verdana"/>
          <w:color w:val="000000" w:themeColor="text1"/>
        </w:rPr>
        <w:t xml:space="preserve">social influence explains how people’s thoughts, feelings, and behaviours are shaped by others. Individuals are influenced by observing others, following social norms, and responding to group expectations. This process includes imitation, conformity, and learning from role </w:t>
      </w:r>
      <w:r w:rsidRPr="00375A7E">
        <w:rPr>
          <w:rFonts w:eastAsia="Verdana"/>
          <w:color w:val="000000" w:themeColor="text1"/>
        </w:rPr>
        <w:t>models. That</w:t>
      </w:r>
      <w:r w:rsidRPr="00375A7E">
        <w:rPr>
          <w:rFonts w:eastAsia="Verdana"/>
          <w:color w:val="000000" w:themeColor="text1"/>
        </w:rPr>
        <w:t xml:space="preserve"> social influence works through processes like copying others, conforming to group behaviour, and following social expectations. </w:t>
      </w:r>
      <w:r w:rsidRPr="00375A7E">
        <w:rPr>
          <w:rFonts w:eastAsia="Verdana"/>
          <w:color w:val="000000" w:themeColor="text1"/>
        </w:rPr>
        <w:t>Both, show</w:t>
      </w:r>
      <w:r w:rsidRPr="00375A7E">
        <w:rPr>
          <w:rFonts w:eastAsia="Verdana"/>
          <w:color w:val="000000" w:themeColor="text1"/>
        </w:rPr>
        <w:t xml:space="preserve"> that people’s actions are not only based on personal decisions but are also shaped by those around them. This demonstrates that behaviour and learning are closely connected to the social environment. In health and social care, this is important because supportive role models and positive group settings can encourage healthier choices and improve overall wellbeing.</w:t>
      </w:r>
    </w:p>
    <w:p w14:paraId="3F9EBA6F"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0AFB49E5" w14:textId="77777777" w:rsidR="00375A7E" w:rsidRDefault="00375A7E" w:rsidP="00375A7E">
      <w:pPr>
        <w:pStyle w:val="Paragraphedeliste"/>
        <w:suppressAutoHyphens w:val="0"/>
        <w:autoSpaceDN/>
        <w:spacing w:after="160" w:line="259" w:lineRule="auto"/>
        <w:ind w:left="775"/>
        <w:textAlignment w:val="auto"/>
        <w:rPr>
          <w:rFonts w:eastAsia="Verdana"/>
          <w:color w:val="000000" w:themeColor="text1"/>
        </w:rPr>
      </w:pPr>
    </w:p>
    <w:p w14:paraId="125D2747" w14:textId="53D5EE38"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r w:rsidRPr="00375A7E">
        <w:rPr>
          <w:rFonts w:eastAsia="Verdana"/>
          <w:b/>
          <w:bCs/>
          <w:color w:val="000000" w:themeColor="text1"/>
        </w:rPr>
        <w:t>STEP 2</w:t>
      </w:r>
    </w:p>
    <w:p w14:paraId="4F94677C"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rPr>
      </w:pPr>
    </w:p>
    <w:p w14:paraId="0504C510" w14:textId="2AF684B0"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u w:val="single"/>
        </w:rPr>
      </w:pPr>
      <w:r w:rsidRPr="00375A7E">
        <w:rPr>
          <w:rFonts w:eastAsia="Verdana"/>
          <w:b/>
          <w:bCs/>
          <w:color w:val="000000" w:themeColor="text1"/>
          <w:u w:val="single"/>
        </w:rPr>
        <w:t xml:space="preserve">Report </w:t>
      </w:r>
    </w:p>
    <w:p w14:paraId="7CAC38F8" w14:textId="77777777" w:rsidR="00375A7E" w:rsidRDefault="00375A7E" w:rsidP="00375A7E">
      <w:pPr>
        <w:pStyle w:val="Paragraphedeliste"/>
        <w:suppressAutoHyphens w:val="0"/>
        <w:autoSpaceDN/>
        <w:spacing w:after="160" w:line="259" w:lineRule="auto"/>
        <w:ind w:left="775"/>
        <w:textAlignment w:val="auto"/>
        <w:rPr>
          <w:rFonts w:eastAsia="Verdana"/>
          <w:b/>
          <w:bCs/>
          <w:color w:val="000000" w:themeColor="text1"/>
          <w:u w:val="single"/>
        </w:rPr>
      </w:pPr>
    </w:p>
    <w:p w14:paraId="74137877" w14:textId="3432E6B0" w:rsidR="00375A7E" w:rsidRPr="00375A7E" w:rsidRDefault="004E643E" w:rsidP="00375A7E">
      <w:pPr>
        <w:pStyle w:val="Paragraphedeliste"/>
        <w:suppressAutoHyphens w:val="0"/>
        <w:autoSpaceDN/>
        <w:spacing w:after="160" w:line="259" w:lineRule="auto"/>
        <w:ind w:left="775"/>
        <w:textAlignment w:val="auto"/>
        <w:rPr>
          <w:rFonts w:eastAsia="Verdana"/>
          <w:color w:val="000000" w:themeColor="text1"/>
        </w:rPr>
      </w:pPr>
      <w:r w:rsidRPr="004E643E">
        <w:rPr>
          <w:rFonts w:eastAsia="Verdana"/>
          <w:color w:val="000000" w:themeColor="text1"/>
        </w:rPr>
        <w:t xml:space="preserve">Bandura’s Social Learning Theory explains that individuals learn new behaviours by observing others and copying what they </w:t>
      </w:r>
      <w:r w:rsidRPr="004E643E">
        <w:rPr>
          <w:rFonts w:eastAsia="Verdana"/>
          <w:color w:val="000000" w:themeColor="text1"/>
        </w:rPr>
        <w:t>see</w:t>
      </w:r>
      <w:r w:rsidRPr="00375A7E">
        <w:rPr>
          <w:rFonts w:eastAsia="Verdana"/>
          <w:color w:val="000000" w:themeColor="text1"/>
        </w:rPr>
        <w:t xml:space="preserve"> </w:t>
      </w:r>
      <w:r>
        <w:rPr>
          <w:rFonts w:eastAsia="Verdana"/>
          <w:color w:val="000000" w:themeColor="text1"/>
        </w:rPr>
        <w:t>t</w:t>
      </w:r>
      <w:r w:rsidRPr="00375A7E">
        <w:rPr>
          <w:rFonts w:eastAsia="Verdana"/>
          <w:color w:val="000000" w:themeColor="text1"/>
        </w:rPr>
        <w:t>hem and</w:t>
      </w:r>
      <w:r w:rsidR="00375A7E" w:rsidRPr="00375A7E">
        <w:rPr>
          <w:rFonts w:eastAsia="Verdana"/>
          <w:color w:val="000000" w:themeColor="text1"/>
        </w:rPr>
        <w:t xml:space="preserve"> learning from role models rather than relying solely on direct personal experience. In addition, Bandura highlights that learning is influenced by the consequences of observed behaviours. </w:t>
      </w:r>
      <w:r w:rsidRPr="004E643E">
        <w:rPr>
          <w:rFonts w:eastAsia="Verdana"/>
          <w:color w:val="000000" w:themeColor="text1"/>
        </w:rPr>
        <w:t xml:space="preserve">A key concept in this theory is self-efficacy, which refers to an individual’s belief in their own ability to successfully complete a task or handle a </w:t>
      </w:r>
      <w:r w:rsidRPr="004E643E">
        <w:rPr>
          <w:rFonts w:eastAsia="Verdana"/>
          <w:color w:val="000000" w:themeColor="text1"/>
        </w:rPr>
        <w:t>situatio</w:t>
      </w:r>
      <w:r>
        <w:rPr>
          <w:rFonts w:eastAsia="Verdana"/>
          <w:color w:val="000000" w:themeColor="text1"/>
        </w:rPr>
        <w:t xml:space="preserve">n </w:t>
      </w:r>
      <w:r w:rsidRPr="00375A7E">
        <w:rPr>
          <w:rFonts w:eastAsia="Verdana"/>
          <w:color w:val="000000" w:themeColor="text1"/>
        </w:rPr>
        <w:t>complete task</w:t>
      </w:r>
      <w:r w:rsidR="00375A7E" w:rsidRPr="00375A7E">
        <w:rPr>
          <w:rFonts w:eastAsia="Verdana"/>
          <w:color w:val="000000" w:themeColor="text1"/>
        </w:rPr>
        <w:t xml:space="preserve"> or manage situations (Bandura, 1997). Therefore, this theory is highly relevant in health and social care settings, particularly in residential care, where older adults may experience reduced confidence, isolation, and loss of independence.</w:t>
      </w:r>
    </w:p>
    <w:p w14:paraId="1082F319" w14:textId="7A13D303" w:rsidR="00375A7E" w:rsidRDefault="00375A7E" w:rsidP="00375A7E">
      <w:pPr>
        <w:pStyle w:val="Paragraphedeliste"/>
        <w:numPr>
          <w:ilvl w:val="0"/>
          <w:numId w:val="2"/>
        </w:numPr>
        <w:suppressAutoHyphens w:val="0"/>
        <w:autoSpaceDN/>
        <w:spacing w:after="160" w:line="259" w:lineRule="auto"/>
        <w:textAlignment w:val="auto"/>
        <w:rPr>
          <w:rFonts w:eastAsia="Verdana"/>
          <w:b/>
          <w:bCs/>
          <w:color w:val="000000" w:themeColor="text1"/>
        </w:rPr>
      </w:pPr>
      <w:r w:rsidRPr="00375A7E">
        <w:rPr>
          <w:rFonts w:eastAsia="Verdana"/>
          <w:b/>
          <w:bCs/>
          <w:color w:val="000000" w:themeColor="text1"/>
        </w:rPr>
        <w:lastRenderedPageBreak/>
        <w:t>Application of theory to improve psychological well-being</w:t>
      </w:r>
    </w:p>
    <w:p w14:paraId="3CD0F23F"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In residential care settings, Bandura’s theory can be effectively applied to improve older adults’ psychological wellbeing by increasing confidence, motivation, and participation in daily activities. Many residents may withdraw from activities due to physical limitations, low self-esteem, or fear of failure.</w:t>
      </w:r>
    </w:p>
    <w:p w14:paraId="36EA39AC"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p w14:paraId="52B34CB5"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However, through observational learning, individuals are more likely to engage when they see others of similar age successfully participating. This process helps strengthen self-efficacy and encourages a sense of capability.</w:t>
      </w:r>
    </w:p>
    <w:p w14:paraId="439291B2"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p w14:paraId="68EC409D"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Care staff play a key role by acting as positive role models and demonstrating activities such as gentle exercise, arts and crafts, gardening, or group-based games. When residents observe successful participation, they are more likely to imitate these behaviours. Furthermore, verbal encouragement and positive reinforcement from staff help maintain motivation and build confidence over time.</w:t>
      </w:r>
    </w:p>
    <w:p w14:paraId="4A77B6E7"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p w14:paraId="46D8B043" w14:textId="6DB09D06"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In addition, group activities promote social interaction, which is essential for emotional wellbeing. Social learning naturally occurs in these settings as residents observe one another, share experiences, and learn collaboratively. As a result, this reduces loneliness and promotes a stronger sense of belonging and community within the care home environment.</w:t>
      </w:r>
    </w:p>
    <w:p w14:paraId="22767BAA"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4ACF5475" w14:textId="1F2AEE56" w:rsidR="00375A7E" w:rsidRDefault="00375A7E" w:rsidP="00375A7E">
      <w:pPr>
        <w:suppressAutoHyphens w:val="0"/>
        <w:autoSpaceDN/>
        <w:spacing w:after="160" w:line="259" w:lineRule="auto"/>
        <w:jc w:val="both"/>
        <w:textAlignment w:val="auto"/>
        <w:rPr>
          <w:rFonts w:eastAsia="Verdana"/>
          <w:b/>
          <w:bCs/>
          <w:color w:val="000000" w:themeColor="text1"/>
        </w:rPr>
      </w:pPr>
      <w:r>
        <w:rPr>
          <w:rFonts w:eastAsia="Verdana"/>
          <w:b/>
          <w:bCs/>
          <w:color w:val="000000" w:themeColor="text1"/>
        </w:rPr>
        <w:t xml:space="preserve">              II.</w:t>
      </w:r>
      <w:r w:rsidRPr="00375A7E">
        <w:rPr>
          <w:rFonts w:eastAsia="Verdana"/>
          <w:b/>
          <w:bCs/>
          <w:color w:val="000000" w:themeColor="text1"/>
        </w:rPr>
        <w:t xml:space="preserve">One potential challenge for Bandura’s theory </w:t>
      </w:r>
    </w:p>
    <w:p w14:paraId="121C85FB" w14:textId="0FC43160"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One potential challenge when applying Bandura’s Social Learning Theory in care homes is that some residents may struggle to learn effectively through observation due to cognitive impairments such as dementia. These individuals may find it difficult to understand, remember, or replicate observed </w:t>
      </w:r>
      <w:r w:rsidRPr="00375A7E">
        <w:rPr>
          <w:rFonts w:eastAsia="Verdana"/>
          <w:color w:val="000000" w:themeColor="text1"/>
        </w:rPr>
        <w:t>behaviours</w:t>
      </w:r>
      <w:r>
        <w:rPr>
          <w:rFonts w:eastAsia="Verdana"/>
          <w:color w:val="000000" w:themeColor="text1"/>
        </w:rPr>
        <w:t>.</w:t>
      </w:r>
      <w:r w:rsidRPr="00375A7E">
        <w:rPr>
          <w:rFonts w:eastAsia="Verdana"/>
          <w:color w:val="000000" w:themeColor="text1"/>
        </w:rPr>
        <w:t xml:space="preserve"> As</w:t>
      </w:r>
      <w:r w:rsidRPr="00375A7E">
        <w:rPr>
          <w:rFonts w:eastAsia="Verdana"/>
          <w:color w:val="000000" w:themeColor="text1"/>
        </w:rPr>
        <w:t xml:space="preserve"> a result, the effectiveness of modelling-based activities may be limited for certain service users, as they may not process social cues in the same way as others.</w:t>
      </w:r>
    </w:p>
    <w:p w14:paraId="6C402306" w14:textId="77191419"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To address this, care staff should adapt their approach by simplifying tasks into small, manageable steps and repeating demonstrations consistently. In addition, one-to-one support and the use of familiar, routine-based activities can improve understanding and engagement. This personalised approach ensures inclusivity and allows all residents to benefit from the intervention at their own level of ability (Bandura, 1997).</w:t>
      </w:r>
    </w:p>
    <w:p w14:paraId="73D7D1D9" w14:textId="0AB1BB5E" w:rsidR="00375A7E" w:rsidRDefault="00375A7E" w:rsidP="00375A7E">
      <w:pPr>
        <w:suppressAutoHyphens w:val="0"/>
        <w:autoSpaceDN/>
        <w:spacing w:after="160" w:line="259" w:lineRule="auto"/>
        <w:ind w:left="775"/>
        <w:textAlignment w:val="auto"/>
        <w:rPr>
          <w:rFonts w:eastAsia="Verdana"/>
          <w:b/>
          <w:bCs/>
          <w:color w:val="000000" w:themeColor="text1"/>
        </w:rPr>
      </w:pPr>
      <w:r w:rsidRPr="00375A7E">
        <w:rPr>
          <w:rFonts w:eastAsia="Verdana"/>
          <w:b/>
          <w:bCs/>
          <w:color w:val="000000" w:themeColor="text1"/>
        </w:rPr>
        <w:t xml:space="preserve">Conclusion </w:t>
      </w:r>
    </w:p>
    <w:p w14:paraId="60D85440" w14:textId="5800675C" w:rsidR="00375A7E" w:rsidRDefault="00375A7E" w:rsidP="00375A7E">
      <w:pPr>
        <w:suppressAutoHyphens w:val="0"/>
        <w:autoSpaceDN/>
        <w:spacing w:after="160" w:line="259" w:lineRule="auto"/>
        <w:ind w:left="775"/>
        <w:textAlignment w:val="auto"/>
        <w:rPr>
          <w:rFonts w:eastAsia="Verdana"/>
          <w:color w:val="000000" w:themeColor="text1"/>
        </w:rPr>
      </w:pPr>
      <w:r>
        <w:rPr>
          <w:rFonts w:eastAsia="Verdana"/>
          <w:color w:val="000000" w:themeColor="text1"/>
        </w:rPr>
        <w:t>I</w:t>
      </w:r>
      <w:r w:rsidRPr="00375A7E">
        <w:rPr>
          <w:rFonts w:eastAsia="Verdana"/>
          <w:color w:val="000000" w:themeColor="text1"/>
        </w:rPr>
        <w:t xml:space="preserve">n conclusion, Bandura’s Social Learning Theory is highly effective in explaining behaviour change within residential care settings. Through observation, modelling, and self-efficacy, care professionals can support older adults in becoming more confident, engaged, and socially active. Overall, this approach enhances psychological wellbeing by promoting independence, increasing social interaction, and encouraging positive behavioural change in care </w:t>
      </w:r>
      <w:r w:rsidR="00B30BB4" w:rsidRPr="00375A7E">
        <w:rPr>
          <w:rFonts w:eastAsia="Verdana"/>
          <w:color w:val="000000" w:themeColor="text1"/>
        </w:rPr>
        <w:t>home</w:t>
      </w:r>
      <w:r w:rsidR="00B30BB4">
        <w:rPr>
          <w:rFonts w:eastAsia="Verdana"/>
          <w:color w:val="000000" w:themeColor="text1"/>
        </w:rPr>
        <w:t>.</w:t>
      </w:r>
    </w:p>
    <w:p w14:paraId="36C957C4"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4CAAA404"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7A01388C"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7C88CC73"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6CB4A157" w14:textId="77777777" w:rsidR="00375A7E" w:rsidRDefault="00375A7E" w:rsidP="00375A7E">
      <w:pPr>
        <w:suppressAutoHyphens w:val="0"/>
        <w:autoSpaceDN/>
        <w:spacing w:after="160" w:line="259" w:lineRule="auto"/>
        <w:ind w:left="775"/>
        <w:textAlignment w:val="auto"/>
        <w:rPr>
          <w:rFonts w:eastAsia="Verdana"/>
          <w:color w:val="000000" w:themeColor="text1"/>
        </w:rPr>
      </w:pPr>
    </w:p>
    <w:p w14:paraId="69B12224" w14:textId="19D18307" w:rsidR="00375A7E" w:rsidRDefault="00375A7E" w:rsidP="00375A7E">
      <w:pPr>
        <w:suppressAutoHyphens w:val="0"/>
        <w:autoSpaceDN/>
        <w:spacing w:after="160" w:line="259" w:lineRule="auto"/>
        <w:ind w:left="775"/>
        <w:textAlignment w:val="auto"/>
        <w:rPr>
          <w:rFonts w:eastAsia="Verdana"/>
          <w:b/>
          <w:bCs/>
          <w:color w:val="000000" w:themeColor="text1"/>
        </w:rPr>
      </w:pPr>
      <w:r w:rsidRPr="00375A7E">
        <w:rPr>
          <w:rFonts w:eastAsia="Verdana"/>
          <w:b/>
          <w:bCs/>
          <w:color w:val="000000" w:themeColor="text1"/>
        </w:rPr>
        <w:t xml:space="preserve">References </w:t>
      </w:r>
    </w:p>
    <w:p w14:paraId="7F1132D6" w14:textId="77777777" w:rsidR="00375A7E" w:rsidRDefault="00375A7E" w:rsidP="00375A7E">
      <w:pPr>
        <w:suppressAutoHyphens w:val="0"/>
        <w:autoSpaceDN/>
        <w:spacing w:after="160" w:line="259" w:lineRule="auto"/>
        <w:ind w:left="775"/>
        <w:textAlignment w:val="auto"/>
        <w:rPr>
          <w:rFonts w:eastAsia="Verdana"/>
          <w:b/>
          <w:bCs/>
          <w:color w:val="000000" w:themeColor="text1"/>
        </w:rPr>
      </w:pPr>
    </w:p>
    <w:p w14:paraId="653064F3" w14:textId="77777777"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Bandura, A. (1997) </w:t>
      </w:r>
      <w:r w:rsidRPr="00375A7E">
        <w:rPr>
          <w:rFonts w:eastAsia="Verdana"/>
          <w:i/>
          <w:iCs/>
          <w:color w:val="000000" w:themeColor="text1"/>
        </w:rPr>
        <w:t>Self-efficacy: The exercise of control</w:t>
      </w:r>
      <w:r w:rsidRPr="00375A7E">
        <w:rPr>
          <w:rFonts w:eastAsia="Verdana"/>
          <w:color w:val="000000" w:themeColor="text1"/>
        </w:rPr>
        <w:t>. New York: Freeman</w:t>
      </w:r>
    </w:p>
    <w:p w14:paraId="4CF35C3A" w14:textId="77777777"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 xml:space="preserve">Brown, C. (2006) </w:t>
      </w:r>
      <w:r w:rsidRPr="00375A7E">
        <w:rPr>
          <w:rFonts w:eastAsia="Verdana"/>
          <w:i/>
          <w:iCs/>
          <w:color w:val="000000" w:themeColor="text1"/>
        </w:rPr>
        <w:t>Social psychology</w:t>
      </w:r>
      <w:r w:rsidRPr="00375A7E">
        <w:rPr>
          <w:rFonts w:eastAsia="Verdana"/>
          <w:color w:val="000000" w:themeColor="text1"/>
        </w:rPr>
        <w:t>. London: SAGE Publications. (SAGE Course Companions</w:t>
      </w:r>
    </w:p>
    <w:p w14:paraId="2E0985BA" w14:textId="77777777" w:rsidR="00375A7E" w:rsidRDefault="00375A7E" w:rsidP="00375A7E">
      <w:pPr>
        <w:suppressAutoHyphens w:val="0"/>
        <w:autoSpaceDN/>
        <w:spacing w:after="160" w:line="259" w:lineRule="auto"/>
        <w:ind w:left="775"/>
        <w:textAlignment w:val="auto"/>
        <w:rPr>
          <w:rFonts w:eastAsia="Verdana"/>
          <w:color w:val="000000" w:themeColor="text1"/>
        </w:rPr>
      </w:pPr>
      <w:r w:rsidRPr="00375A7E">
        <w:rPr>
          <w:rFonts w:eastAsia="Verdana"/>
          <w:color w:val="000000" w:themeColor="text1"/>
        </w:rPr>
        <w:t>Maslow, A. H. (1943) ‘A theory of human motivation’</w:t>
      </w:r>
      <w:r w:rsidRPr="00375A7E">
        <w:rPr>
          <w:rFonts w:eastAsia="Verdana"/>
          <w:i/>
          <w:iCs/>
          <w:color w:val="000000" w:themeColor="text1"/>
        </w:rPr>
        <w:t>, Psychological Review</w:t>
      </w:r>
      <w:r w:rsidRPr="00375A7E">
        <w:rPr>
          <w:rFonts w:eastAsia="Verdana"/>
          <w:color w:val="000000" w:themeColor="text1"/>
        </w:rPr>
        <w:t>, 50(4), pp. 370–396.</w:t>
      </w:r>
    </w:p>
    <w:p w14:paraId="2AD16055" w14:textId="35F3C3AC" w:rsidR="00375A7E" w:rsidRPr="00375A7E" w:rsidRDefault="00375A7E" w:rsidP="00375A7E">
      <w:pPr>
        <w:suppressAutoHyphens w:val="0"/>
        <w:autoSpaceDN/>
        <w:spacing w:after="160" w:line="259" w:lineRule="auto"/>
        <w:textAlignment w:val="auto"/>
        <w:rPr>
          <w:rFonts w:eastAsia="Verdana"/>
          <w:color w:val="000000" w:themeColor="text1"/>
        </w:rPr>
      </w:pPr>
      <w:r>
        <w:rPr>
          <w:rFonts w:eastAsia="Verdana"/>
          <w:b/>
          <w:bCs/>
          <w:color w:val="000000" w:themeColor="text1"/>
        </w:rPr>
        <w:t xml:space="preserve">             </w:t>
      </w:r>
      <w:r w:rsidRPr="00375A7E">
        <w:rPr>
          <w:rFonts w:eastAsia="Verdana"/>
          <w:color w:val="000000" w:themeColor="text1"/>
        </w:rPr>
        <w:t xml:space="preserve">Phillipson, C. (2013) </w:t>
      </w:r>
      <w:r w:rsidRPr="00375A7E">
        <w:rPr>
          <w:rFonts w:eastAsia="Verdana"/>
          <w:i/>
          <w:iCs/>
          <w:color w:val="000000" w:themeColor="text1"/>
        </w:rPr>
        <w:t>Ageing.</w:t>
      </w:r>
      <w:r w:rsidRPr="00375A7E">
        <w:rPr>
          <w:rFonts w:eastAsia="Verdana"/>
          <w:color w:val="000000" w:themeColor="text1"/>
        </w:rPr>
        <w:t xml:space="preserve"> Cambridge: Polity Press. Chapter 8: ‘Late Old Age’.</w:t>
      </w:r>
    </w:p>
    <w:p w14:paraId="5E34E882" w14:textId="51D82A43" w:rsidR="00375A7E" w:rsidRDefault="00375A7E" w:rsidP="00375A7E">
      <w:pPr>
        <w:suppressAutoHyphens w:val="0"/>
        <w:autoSpaceDN/>
        <w:spacing w:after="160" w:line="259" w:lineRule="auto"/>
        <w:ind w:left="775"/>
        <w:textAlignment w:val="auto"/>
        <w:rPr>
          <w:rFonts w:eastAsia="Verdana"/>
          <w:color w:val="000000" w:themeColor="text1"/>
        </w:rPr>
      </w:pPr>
    </w:p>
    <w:p w14:paraId="2CCA4092" w14:textId="77777777" w:rsidR="00375A7E" w:rsidRPr="00375A7E" w:rsidRDefault="00375A7E" w:rsidP="00375A7E">
      <w:pPr>
        <w:suppressAutoHyphens w:val="0"/>
        <w:autoSpaceDN/>
        <w:spacing w:after="160" w:line="259" w:lineRule="auto"/>
        <w:ind w:left="775"/>
        <w:textAlignment w:val="auto"/>
        <w:rPr>
          <w:rFonts w:eastAsia="Verdana"/>
          <w:color w:val="000000" w:themeColor="text1"/>
        </w:rPr>
      </w:pPr>
    </w:p>
    <w:sectPr w:rsidR="00375A7E" w:rsidRPr="00375A7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C5708F"/>
    <w:multiLevelType w:val="hybridMultilevel"/>
    <w:tmpl w:val="D18A2960"/>
    <w:lvl w:ilvl="0" w:tplc="040C0001">
      <w:start w:val="1"/>
      <w:numFmt w:val="bullet"/>
      <w:lvlText w:val=""/>
      <w:lvlJc w:val="left"/>
      <w:pPr>
        <w:ind w:left="775" w:hanging="360"/>
      </w:pPr>
      <w:rPr>
        <w:rFonts w:ascii="Symbol" w:hAnsi="Symbol" w:hint="default"/>
      </w:rPr>
    </w:lvl>
    <w:lvl w:ilvl="1" w:tplc="040C0003" w:tentative="1">
      <w:start w:val="1"/>
      <w:numFmt w:val="bullet"/>
      <w:lvlText w:val="o"/>
      <w:lvlJc w:val="left"/>
      <w:pPr>
        <w:ind w:left="1495" w:hanging="360"/>
      </w:pPr>
      <w:rPr>
        <w:rFonts w:ascii="Courier New" w:hAnsi="Courier New" w:cs="Courier New" w:hint="default"/>
      </w:rPr>
    </w:lvl>
    <w:lvl w:ilvl="2" w:tplc="040C0005" w:tentative="1">
      <w:start w:val="1"/>
      <w:numFmt w:val="bullet"/>
      <w:lvlText w:val=""/>
      <w:lvlJc w:val="left"/>
      <w:pPr>
        <w:ind w:left="2215" w:hanging="360"/>
      </w:pPr>
      <w:rPr>
        <w:rFonts w:ascii="Wingdings" w:hAnsi="Wingdings" w:hint="default"/>
      </w:rPr>
    </w:lvl>
    <w:lvl w:ilvl="3" w:tplc="040C0001" w:tentative="1">
      <w:start w:val="1"/>
      <w:numFmt w:val="bullet"/>
      <w:lvlText w:val=""/>
      <w:lvlJc w:val="left"/>
      <w:pPr>
        <w:ind w:left="2935" w:hanging="360"/>
      </w:pPr>
      <w:rPr>
        <w:rFonts w:ascii="Symbol" w:hAnsi="Symbol" w:hint="default"/>
      </w:rPr>
    </w:lvl>
    <w:lvl w:ilvl="4" w:tplc="040C0003" w:tentative="1">
      <w:start w:val="1"/>
      <w:numFmt w:val="bullet"/>
      <w:lvlText w:val="o"/>
      <w:lvlJc w:val="left"/>
      <w:pPr>
        <w:ind w:left="3655" w:hanging="360"/>
      </w:pPr>
      <w:rPr>
        <w:rFonts w:ascii="Courier New" w:hAnsi="Courier New" w:cs="Courier New" w:hint="default"/>
      </w:rPr>
    </w:lvl>
    <w:lvl w:ilvl="5" w:tplc="040C0005" w:tentative="1">
      <w:start w:val="1"/>
      <w:numFmt w:val="bullet"/>
      <w:lvlText w:val=""/>
      <w:lvlJc w:val="left"/>
      <w:pPr>
        <w:ind w:left="4375" w:hanging="360"/>
      </w:pPr>
      <w:rPr>
        <w:rFonts w:ascii="Wingdings" w:hAnsi="Wingdings" w:hint="default"/>
      </w:rPr>
    </w:lvl>
    <w:lvl w:ilvl="6" w:tplc="040C0001" w:tentative="1">
      <w:start w:val="1"/>
      <w:numFmt w:val="bullet"/>
      <w:lvlText w:val=""/>
      <w:lvlJc w:val="left"/>
      <w:pPr>
        <w:ind w:left="5095" w:hanging="360"/>
      </w:pPr>
      <w:rPr>
        <w:rFonts w:ascii="Symbol" w:hAnsi="Symbol" w:hint="default"/>
      </w:rPr>
    </w:lvl>
    <w:lvl w:ilvl="7" w:tplc="040C0003" w:tentative="1">
      <w:start w:val="1"/>
      <w:numFmt w:val="bullet"/>
      <w:lvlText w:val="o"/>
      <w:lvlJc w:val="left"/>
      <w:pPr>
        <w:ind w:left="5815" w:hanging="360"/>
      </w:pPr>
      <w:rPr>
        <w:rFonts w:ascii="Courier New" w:hAnsi="Courier New" w:cs="Courier New" w:hint="default"/>
      </w:rPr>
    </w:lvl>
    <w:lvl w:ilvl="8" w:tplc="040C0005" w:tentative="1">
      <w:start w:val="1"/>
      <w:numFmt w:val="bullet"/>
      <w:lvlText w:val=""/>
      <w:lvlJc w:val="left"/>
      <w:pPr>
        <w:ind w:left="6535" w:hanging="360"/>
      </w:pPr>
      <w:rPr>
        <w:rFonts w:ascii="Wingdings" w:hAnsi="Wingdings" w:hint="default"/>
      </w:rPr>
    </w:lvl>
  </w:abstractNum>
  <w:abstractNum w:abstractNumId="1" w15:restartNumberingAfterBreak="0">
    <w:nsid w:val="7CE77323"/>
    <w:multiLevelType w:val="hybridMultilevel"/>
    <w:tmpl w:val="C4C2C5B4"/>
    <w:lvl w:ilvl="0" w:tplc="E05E2DE2">
      <w:start w:val="1"/>
      <w:numFmt w:val="upperRoman"/>
      <w:lvlText w:val="%1."/>
      <w:lvlJc w:val="left"/>
      <w:pPr>
        <w:ind w:left="1495" w:hanging="720"/>
      </w:pPr>
      <w:rPr>
        <w:rFonts w:hint="default"/>
      </w:rPr>
    </w:lvl>
    <w:lvl w:ilvl="1" w:tplc="040C0019" w:tentative="1">
      <w:start w:val="1"/>
      <w:numFmt w:val="lowerLetter"/>
      <w:lvlText w:val="%2."/>
      <w:lvlJc w:val="left"/>
      <w:pPr>
        <w:ind w:left="1855" w:hanging="360"/>
      </w:pPr>
    </w:lvl>
    <w:lvl w:ilvl="2" w:tplc="040C001B" w:tentative="1">
      <w:start w:val="1"/>
      <w:numFmt w:val="lowerRoman"/>
      <w:lvlText w:val="%3."/>
      <w:lvlJc w:val="right"/>
      <w:pPr>
        <w:ind w:left="2575" w:hanging="180"/>
      </w:pPr>
    </w:lvl>
    <w:lvl w:ilvl="3" w:tplc="040C000F" w:tentative="1">
      <w:start w:val="1"/>
      <w:numFmt w:val="decimal"/>
      <w:lvlText w:val="%4."/>
      <w:lvlJc w:val="left"/>
      <w:pPr>
        <w:ind w:left="3295" w:hanging="360"/>
      </w:pPr>
    </w:lvl>
    <w:lvl w:ilvl="4" w:tplc="040C0019" w:tentative="1">
      <w:start w:val="1"/>
      <w:numFmt w:val="lowerLetter"/>
      <w:lvlText w:val="%5."/>
      <w:lvlJc w:val="left"/>
      <w:pPr>
        <w:ind w:left="4015" w:hanging="360"/>
      </w:pPr>
    </w:lvl>
    <w:lvl w:ilvl="5" w:tplc="040C001B" w:tentative="1">
      <w:start w:val="1"/>
      <w:numFmt w:val="lowerRoman"/>
      <w:lvlText w:val="%6."/>
      <w:lvlJc w:val="right"/>
      <w:pPr>
        <w:ind w:left="4735" w:hanging="180"/>
      </w:pPr>
    </w:lvl>
    <w:lvl w:ilvl="6" w:tplc="040C000F" w:tentative="1">
      <w:start w:val="1"/>
      <w:numFmt w:val="decimal"/>
      <w:lvlText w:val="%7."/>
      <w:lvlJc w:val="left"/>
      <w:pPr>
        <w:ind w:left="5455" w:hanging="360"/>
      </w:pPr>
    </w:lvl>
    <w:lvl w:ilvl="7" w:tplc="040C0019" w:tentative="1">
      <w:start w:val="1"/>
      <w:numFmt w:val="lowerLetter"/>
      <w:lvlText w:val="%8."/>
      <w:lvlJc w:val="left"/>
      <w:pPr>
        <w:ind w:left="6175" w:hanging="360"/>
      </w:pPr>
    </w:lvl>
    <w:lvl w:ilvl="8" w:tplc="040C001B" w:tentative="1">
      <w:start w:val="1"/>
      <w:numFmt w:val="lowerRoman"/>
      <w:lvlText w:val="%9."/>
      <w:lvlJc w:val="right"/>
      <w:pPr>
        <w:ind w:left="6895" w:hanging="180"/>
      </w:pPr>
    </w:lvl>
  </w:abstractNum>
  <w:num w:numId="1" w16cid:durableId="582374204">
    <w:abstractNumId w:val="0"/>
  </w:num>
  <w:num w:numId="2" w16cid:durableId="15704574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A48"/>
    <w:rsid w:val="001A41A3"/>
    <w:rsid w:val="001B6F31"/>
    <w:rsid w:val="001B7A48"/>
    <w:rsid w:val="00375A7E"/>
    <w:rsid w:val="003D2092"/>
    <w:rsid w:val="004705CE"/>
    <w:rsid w:val="004E643E"/>
    <w:rsid w:val="00597677"/>
    <w:rsid w:val="008246E5"/>
    <w:rsid w:val="00B30BB4"/>
    <w:rsid w:val="00C021C1"/>
    <w:rsid w:val="00D54A54"/>
    <w:rsid w:val="00FC71BE"/>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5BA61"/>
  <w15:chartTrackingRefBased/>
  <w15:docId w15:val="{FDC0043C-B987-43A9-A3D5-DE7B78CC1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fr-FR"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5A7E"/>
    <w:pPr>
      <w:suppressAutoHyphens/>
      <w:autoSpaceDN w:val="0"/>
      <w:spacing w:after="0" w:line="276" w:lineRule="auto"/>
      <w:textAlignment w:val="baseline"/>
    </w:pPr>
    <w:rPr>
      <w:rFonts w:ascii="Arial" w:eastAsia="Arial" w:hAnsi="Arial" w:cs="Arial"/>
      <w:kern w:val="0"/>
      <w:lang w:val="en-GB" w:eastAsia="en-GB"/>
      <w14:ligatures w14:val="none"/>
    </w:rPr>
  </w:style>
  <w:style w:type="paragraph" w:styleId="Titre1">
    <w:name w:val="heading 1"/>
    <w:basedOn w:val="Normal"/>
    <w:next w:val="Normal"/>
    <w:link w:val="Titre1Car"/>
    <w:uiPriority w:val="9"/>
    <w:qFormat/>
    <w:rsid w:val="001B7A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semiHidden/>
    <w:unhideWhenUsed/>
    <w:qFormat/>
    <w:rsid w:val="001B7A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1B7A4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1B7A4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1B7A4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1B7A48"/>
    <w:pPr>
      <w:keepNext/>
      <w:keepLines/>
      <w:spacing w:before="4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1B7A48"/>
    <w:pPr>
      <w:keepNext/>
      <w:keepLines/>
      <w:spacing w:before="4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1B7A48"/>
    <w:pPr>
      <w:keepNext/>
      <w:keepLines/>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1B7A48"/>
    <w:pPr>
      <w:keepNext/>
      <w:keepLines/>
      <w:outlineLvl w:val="8"/>
    </w:pPr>
    <w:rPr>
      <w:rFonts w:eastAsiaTheme="majorEastAsia" w:cstheme="majorBidi"/>
      <w:color w:val="272727" w:themeColor="text1" w:themeTint="D8"/>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basedOn w:val="Policepardfaut"/>
    <w:link w:val="Titre1"/>
    <w:uiPriority w:val="9"/>
    <w:rsid w:val="001B7A48"/>
    <w:rPr>
      <w:rFonts w:asciiTheme="majorHAnsi" w:eastAsiaTheme="majorEastAsia" w:hAnsiTheme="majorHAnsi" w:cstheme="majorBidi"/>
      <w:color w:val="0F4761" w:themeColor="accent1" w:themeShade="BF"/>
      <w:sz w:val="40"/>
      <w:szCs w:val="40"/>
      <w:lang w:val="en-GB"/>
    </w:rPr>
  </w:style>
  <w:style w:type="character" w:customStyle="1" w:styleId="Titre2Car">
    <w:name w:val="Titre 2 Car"/>
    <w:basedOn w:val="Policepardfaut"/>
    <w:link w:val="Titre2"/>
    <w:uiPriority w:val="9"/>
    <w:semiHidden/>
    <w:rsid w:val="001B7A48"/>
    <w:rPr>
      <w:rFonts w:asciiTheme="majorHAnsi" w:eastAsiaTheme="majorEastAsia" w:hAnsiTheme="majorHAnsi" w:cstheme="majorBidi"/>
      <w:color w:val="0F4761" w:themeColor="accent1" w:themeShade="BF"/>
      <w:sz w:val="32"/>
      <w:szCs w:val="32"/>
      <w:lang w:val="en-GB"/>
    </w:rPr>
  </w:style>
  <w:style w:type="character" w:customStyle="1" w:styleId="Titre3Car">
    <w:name w:val="Titre 3 Car"/>
    <w:basedOn w:val="Policepardfaut"/>
    <w:link w:val="Titre3"/>
    <w:uiPriority w:val="9"/>
    <w:semiHidden/>
    <w:rsid w:val="001B7A48"/>
    <w:rPr>
      <w:rFonts w:eastAsiaTheme="majorEastAsia" w:cstheme="majorBidi"/>
      <w:color w:val="0F4761" w:themeColor="accent1" w:themeShade="BF"/>
      <w:sz w:val="28"/>
      <w:szCs w:val="28"/>
      <w:lang w:val="en-GB"/>
    </w:rPr>
  </w:style>
  <w:style w:type="character" w:customStyle="1" w:styleId="Titre4Car">
    <w:name w:val="Titre 4 Car"/>
    <w:basedOn w:val="Policepardfaut"/>
    <w:link w:val="Titre4"/>
    <w:uiPriority w:val="9"/>
    <w:semiHidden/>
    <w:rsid w:val="001B7A48"/>
    <w:rPr>
      <w:rFonts w:eastAsiaTheme="majorEastAsia" w:cstheme="majorBidi"/>
      <w:i/>
      <w:iCs/>
      <w:color w:val="0F4761" w:themeColor="accent1" w:themeShade="BF"/>
      <w:lang w:val="en-GB"/>
    </w:rPr>
  </w:style>
  <w:style w:type="character" w:customStyle="1" w:styleId="Titre5Car">
    <w:name w:val="Titre 5 Car"/>
    <w:basedOn w:val="Policepardfaut"/>
    <w:link w:val="Titre5"/>
    <w:uiPriority w:val="9"/>
    <w:semiHidden/>
    <w:rsid w:val="001B7A48"/>
    <w:rPr>
      <w:rFonts w:eastAsiaTheme="majorEastAsia" w:cstheme="majorBidi"/>
      <w:color w:val="0F4761" w:themeColor="accent1" w:themeShade="BF"/>
      <w:lang w:val="en-GB"/>
    </w:rPr>
  </w:style>
  <w:style w:type="character" w:customStyle="1" w:styleId="Titre6Car">
    <w:name w:val="Titre 6 Car"/>
    <w:basedOn w:val="Policepardfaut"/>
    <w:link w:val="Titre6"/>
    <w:uiPriority w:val="9"/>
    <w:semiHidden/>
    <w:rsid w:val="001B7A48"/>
    <w:rPr>
      <w:rFonts w:eastAsiaTheme="majorEastAsia" w:cstheme="majorBidi"/>
      <w:i/>
      <w:iCs/>
      <w:color w:val="595959" w:themeColor="text1" w:themeTint="A6"/>
      <w:lang w:val="en-GB"/>
    </w:rPr>
  </w:style>
  <w:style w:type="character" w:customStyle="1" w:styleId="Titre7Car">
    <w:name w:val="Titre 7 Car"/>
    <w:basedOn w:val="Policepardfaut"/>
    <w:link w:val="Titre7"/>
    <w:uiPriority w:val="9"/>
    <w:semiHidden/>
    <w:rsid w:val="001B7A48"/>
    <w:rPr>
      <w:rFonts w:eastAsiaTheme="majorEastAsia" w:cstheme="majorBidi"/>
      <w:color w:val="595959" w:themeColor="text1" w:themeTint="A6"/>
      <w:lang w:val="en-GB"/>
    </w:rPr>
  </w:style>
  <w:style w:type="character" w:customStyle="1" w:styleId="Titre8Car">
    <w:name w:val="Titre 8 Car"/>
    <w:basedOn w:val="Policepardfaut"/>
    <w:link w:val="Titre8"/>
    <w:uiPriority w:val="9"/>
    <w:semiHidden/>
    <w:rsid w:val="001B7A48"/>
    <w:rPr>
      <w:rFonts w:eastAsiaTheme="majorEastAsia" w:cstheme="majorBidi"/>
      <w:i/>
      <w:iCs/>
      <w:color w:val="272727" w:themeColor="text1" w:themeTint="D8"/>
      <w:lang w:val="en-GB"/>
    </w:rPr>
  </w:style>
  <w:style w:type="character" w:customStyle="1" w:styleId="Titre9Car">
    <w:name w:val="Titre 9 Car"/>
    <w:basedOn w:val="Policepardfaut"/>
    <w:link w:val="Titre9"/>
    <w:uiPriority w:val="9"/>
    <w:semiHidden/>
    <w:rsid w:val="001B7A48"/>
    <w:rPr>
      <w:rFonts w:eastAsiaTheme="majorEastAsia" w:cstheme="majorBidi"/>
      <w:color w:val="272727" w:themeColor="text1" w:themeTint="D8"/>
      <w:lang w:val="en-GB"/>
    </w:rPr>
  </w:style>
  <w:style w:type="paragraph" w:styleId="Titre">
    <w:name w:val="Title"/>
    <w:basedOn w:val="Normal"/>
    <w:next w:val="Normal"/>
    <w:link w:val="TitreCar"/>
    <w:uiPriority w:val="1"/>
    <w:qFormat/>
    <w:rsid w:val="001B7A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Car">
    <w:name w:val="Titre Car"/>
    <w:basedOn w:val="Policepardfaut"/>
    <w:link w:val="Titre"/>
    <w:uiPriority w:val="1"/>
    <w:rsid w:val="001B7A48"/>
    <w:rPr>
      <w:rFonts w:asciiTheme="majorHAnsi" w:eastAsiaTheme="majorEastAsia" w:hAnsiTheme="majorHAnsi" w:cstheme="majorBidi"/>
      <w:spacing w:val="-10"/>
      <w:kern w:val="28"/>
      <w:sz w:val="56"/>
      <w:szCs w:val="56"/>
      <w:lang w:val="en-GB"/>
    </w:rPr>
  </w:style>
  <w:style w:type="paragraph" w:styleId="Sous-titre">
    <w:name w:val="Subtitle"/>
    <w:basedOn w:val="Normal"/>
    <w:next w:val="Normal"/>
    <w:link w:val="Sous-titreCar"/>
    <w:uiPriority w:val="11"/>
    <w:qFormat/>
    <w:rsid w:val="001B7A48"/>
    <w:pPr>
      <w:numPr>
        <w:ilvl w:val="1"/>
      </w:numPr>
    </w:pPr>
    <w:rPr>
      <w:rFonts w:eastAsiaTheme="majorEastAsia" w:cstheme="majorBidi"/>
      <w:color w:val="595959" w:themeColor="text1" w:themeTint="A6"/>
      <w:spacing w:val="15"/>
      <w:sz w:val="28"/>
      <w:szCs w:val="28"/>
    </w:rPr>
  </w:style>
  <w:style w:type="character" w:customStyle="1" w:styleId="Sous-titreCar">
    <w:name w:val="Sous-titre Car"/>
    <w:basedOn w:val="Policepardfaut"/>
    <w:link w:val="Sous-titre"/>
    <w:uiPriority w:val="11"/>
    <w:rsid w:val="001B7A48"/>
    <w:rPr>
      <w:rFonts w:eastAsiaTheme="majorEastAsia" w:cstheme="majorBidi"/>
      <w:color w:val="595959" w:themeColor="text1" w:themeTint="A6"/>
      <w:spacing w:val="15"/>
      <w:sz w:val="28"/>
      <w:szCs w:val="28"/>
      <w:lang w:val="en-GB"/>
    </w:rPr>
  </w:style>
  <w:style w:type="paragraph" w:styleId="Citation">
    <w:name w:val="Quote"/>
    <w:basedOn w:val="Normal"/>
    <w:next w:val="Normal"/>
    <w:link w:val="CitationCar"/>
    <w:uiPriority w:val="29"/>
    <w:qFormat/>
    <w:rsid w:val="001B7A48"/>
    <w:pPr>
      <w:spacing w:before="160"/>
      <w:jc w:val="center"/>
    </w:pPr>
    <w:rPr>
      <w:i/>
      <w:iCs/>
      <w:color w:val="404040" w:themeColor="text1" w:themeTint="BF"/>
    </w:rPr>
  </w:style>
  <w:style w:type="character" w:customStyle="1" w:styleId="CitationCar">
    <w:name w:val="Citation Car"/>
    <w:basedOn w:val="Policepardfaut"/>
    <w:link w:val="Citation"/>
    <w:uiPriority w:val="29"/>
    <w:rsid w:val="001B7A48"/>
    <w:rPr>
      <w:i/>
      <w:iCs/>
      <w:color w:val="404040" w:themeColor="text1" w:themeTint="BF"/>
      <w:lang w:val="en-GB"/>
    </w:rPr>
  </w:style>
  <w:style w:type="paragraph" w:styleId="Paragraphedeliste">
    <w:name w:val="List Paragraph"/>
    <w:basedOn w:val="Normal"/>
    <w:uiPriority w:val="34"/>
    <w:qFormat/>
    <w:rsid w:val="001B7A48"/>
    <w:pPr>
      <w:ind w:left="720"/>
      <w:contextualSpacing/>
    </w:pPr>
  </w:style>
  <w:style w:type="character" w:styleId="Accentuationintense">
    <w:name w:val="Intense Emphasis"/>
    <w:basedOn w:val="Policepardfaut"/>
    <w:uiPriority w:val="21"/>
    <w:qFormat/>
    <w:rsid w:val="001B7A48"/>
    <w:rPr>
      <w:i/>
      <w:iCs/>
      <w:color w:val="0F4761" w:themeColor="accent1" w:themeShade="BF"/>
    </w:rPr>
  </w:style>
  <w:style w:type="paragraph" w:styleId="Citationintense">
    <w:name w:val="Intense Quote"/>
    <w:basedOn w:val="Normal"/>
    <w:next w:val="Normal"/>
    <w:link w:val="CitationintenseCar"/>
    <w:uiPriority w:val="30"/>
    <w:qFormat/>
    <w:rsid w:val="001B7A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1B7A48"/>
    <w:rPr>
      <w:i/>
      <w:iCs/>
      <w:color w:val="0F4761" w:themeColor="accent1" w:themeShade="BF"/>
      <w:lang w:val="en-GB"/>
    </w:rPr>
  </w:style>
  <w:style w:type="character" w:styleId="Rfrenceintense">
    <w:name w:val="Intense Reference"/>
    <w:basedOn w:val="Policepardfaut"/>
    <w:uiPriority w:val="32"/>
    <w:qFormat/>
    <w:rsid w:val="001B7A4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5" ma:contentTypeDescription="Create a new document." ma:contentTypeScope="" ma:versionID="3d992db15729bc6b66f34fd5bb9818cb">
  <xsd:schema xmlns:xsd="http://www.w3.org/2001/XMLSchema" xmlns:xs="http://www.w3.org/2001/XMLSchema" xmlns:p="http://schemas.microsoft.com/office/2006/metadata/properties" xmlns:ns3="aff4f36f-8ef1-4cda-9937-423737be097f" targetNamespace="http://schemas.microsoft.com/office/2006/metadata/properties" ma:root="true" ma:fieldsID="1c10d6706a20b67473ab48526de18483"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Props1.xml><?xml version="1.0" encoding="utf-8"?>
<ds:datastoreItem xmlns:ds="http://schemas.openxmlformats.org/officeDocument/2006/customXml" ds:itemID="{3D815B9C-45B6-4421-BDEE-C40C79A657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917B8E-0FCD-4056-907D-A4BD6547D3DD}">
  <ds:schemaRefs>
    <ds:schemaRef ds:uri="http://schemas.microsoft.com/sharepoint/v3/contenttype/forms"/>
  </ds:schemaRefs>
</ds:datastoreItem>
</file>

<file path=customXml/itemProps3.xml><?xml version="1.0" encoding="utf-8"?>
<ds:datastoreItem xmlns:ds="http://schemas.openxmlformats.org/officeDocument/2006/customXml" ds:itemID="{0CC34B07-F969-4975-9CF8-59BB7B4426E9}">
  <ds:schemaRefs>
    <ds:schemaRef ds:uri="http://schemas.microsoft.com/office/2006/metadata/properties"/>
    <ds:schemaRef ds:uri="http://schemas.microsoft.com/office/infopath/2007/PartnerControls"/>
    <ds:schemaRef ds:uri="aff4f36f-8ef1-4cda-9937-423737be097f"/>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5</Pages>
  <Words>1418</Words>
  <Characters>8228</Characters>
  <Application>Microsoft Office Word</Application>
  <DocSecurity>0</DocSecurity>
  <Lines>257</Lines>
  <Paragraphs>67</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9579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Ahou Anna Yasmine Kramo (2437213)</dc:creator>
  <cp:keywords/>
  <dc:description/>
  <cp:lastModifiedBy>Ahou Anna Yasmine Kramo (2437213)</cp:lastModifiedBy>
  <cp:revision>5</cp:revision>
  <dcterms:created xsi:type="dcterms:W3CDTF">2026-04-21T02:41:00Z</dcterms:created>
  <dcterms:modified xsi:type="dcterms:W3CDTF">2026-04-21T03:05:00Z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ies>
</file>