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CDAE3" w14:textId="6E079A25" w:rsidR="00C54558" w:rsidRDefault="002645B7" w:rsidP="003F255A">
      <w:pPr>
        <w:jc w:val="center"/>
        <w:rPr>
          <w:rFonts w:ascii="Times New Roman" w:hAnsi="Times New Roman" w:cs="Times New Roman"/>
          <w:b/>
          <w:bCs/>
          <w:sz w:val="32"/>
          <w:szCs w:val="32"/>
          <w:u w:val="single"/>
        </w:rPr>
      </w:pPr>
      <w:bookmarkStart w:id="0" w:name="_Hlk89010179"/>
      <w:r>
        <w:rPr>
          <w:rFonts w:ascii="Times New Roman" w:hAnsi="Times New Roman" w:cs="Times New Roman"/>
          <w:b/>
          <w:bCs/>
          <w:sz w:val="32"/>
          <w:szCs w:val="32"/>
          <w:u w:val="single"/>
        </w:rPr>
        <w:t>Biocentrism: An outline and assessment</w:t>
      </w:r>
    </w:p>
    <w:bookmarkEnd w:id="0"/>
    <w:p w14:paraId="34B18224" w14:textId="18DA6CEE" w:rsidR="002645B7" w:rsidRDefault="002645B7" w:rsidP="002645B7">
      <w:pPr>
        <w:rPr>
          <w:rFonts w:ascii="Times New Roman" w:hAnsi="Times New Roman" w:cs="Times New Roman"/>
          <w:b/>
          <w:bCs/>
          <w:sz w:val="32"/>
          <w:szCs w:val="32"/>
          <w:u w:val="single"/>
        </w:rPr>
      </w:pPr>
    </w:p>
    <w:p w14:paraId="6E9C149A" w14:textId="6FD60B9A" w:rsidR="00934DC9" w:rsidRDefault="00653EB5" w:rsidP="00934DC9">
      <w:pPr>
        <w:ind w:firstLine="720"/>
        <w:rPr>
          <w:rFonts w:ascii="Times New Roman" w:hAnsi="Times New Roman" w:cs="Times New Roman"/>
          <w:sz w:val="24"/>
          <w:szCs w:val="24"/>
        </w:rPr>
      </w:pPr>
      <w:r>
        <w:rPr>
          <w:rFonts w:ascii="Times New Roman" w:hAnsi="Times New Roman" w:cs="Times New Roman"/>
          <w:sz w:val="24"/>
          <w:szCs w:val="24"/>
        </w:rPr>
        <w:t>Biocentrism is a branch of environmental philosophy which holds that all individual living things have moral standing owing to them having their own good.</w:t>
      </w:r>
      <w:r>
        <w:rPr>
          <w:rStyle w:val="FootnoteReference"/>
          <w:rFonts w:ascii="Times New Roman" w:hAnsi="Times New Roman" w:cs="Times New Roman"/>
          <w:sz w:val="24"/>
          <w:szCs w:val="24"/>
        </w:rPr>
        <w:footnoteReference w:id="1"/>
      </w:r>
      <w:r w:rsidR="000F4E59">
        <w:rPr>
          <w:rFonts w:ascii="Times New Roman" w:hAnsi="Times New Roman" w:cs="Times New Roman"/>
          <w:sz w:val="24"/>
          <w:szCs w:val="24"/>
        </w:rPr>
        <w:t xml:space="preserve"> This </w:t>
      </w:r>
      <w:r w:rsidR="00252CFE">
        <w:rPr>
          <w:rFonts w:ascii="Times New Roman" w:hAnsi="Times New Roman" w:cs="Times New Roman"/>
          <w:sz w:val="24"/>
          <w:szCs w:val="24"/>
        </w:rPr>
        <w:t>moral standing</w:t>
      </w:r>
      <w:r w:rsidR="00E36EE9">
        <w:rPr>
          <w:rFonts w:ascii="Times New Roman" w:hAnsi="Times New Roman" w:cs="Times New Roman"/>
          <w:sz w:val="24"/>
          <w:szCs w:val="24"/>
        </w:rPr>
        <w:t xml:space="preserve"> is what an entity has if it is taken into consideration in moral decisions</w:t>
      </w:r>
      <w:r w:rsidR="00056A3B">
        <w:rPr>
          <w:rFonts w:ascii="Times New Roman" w:hAnsi="Times New Roman" w:cs="Times New Roman"/>
          <w:sz w:val="24"/>
          <w:szCs w:val="24"/>
        </w:rPr>
        <w:t>;</w:t>
      </w:r>
      <w:r w:rsidR="00E36EE9">
        <w:rPr>
          <w:rStyle w:val="FootnoteReference"/>
          <w:rFonts w:ascii="Times New Roman" w:hAnsi="Times New Roman" w:cs="Times New Roman"/>
          <w:sz w:val="24"/>
          <w:szCs w:val="24"/>
        </w:rPr>
        <w:footnoteReference w:id="2"/>
      </w:r>
      <w:r w:rsidR="00E36EE9">
        <w:rPr>
          <w:rFonts w:ascii="Times New Roman" w:hAnsi="Times New Roman" w:cs="Times New Roman"/>
          <w:sz w:val="24"/>
          <w:szCs w:val="24"/>
        </w:rPr>
        <w:t xml:space="preserve"> while whether or not they have good of their own is determined by their recognisable interests.</w:t>
      </w:r>
      <w:r w:rsidR="00BA4FD2">
        <w:rPr>
          <w:rFonts w:ascii="Times New Roman" w:hAnsi="Times New Roman" w:cs="Times New Roman"/>
          <w:sz w:val="24"/>
          <w:szCs w:val="24"/>
        </w:rPr>
        <w:t xml:space="preserve"> Joel Feinberg suggests that these interests rely on whether something can be harmed and benefitted</w:t>
      </w:r>
      <w:r w:rsidR="00056A3B">
        <w:rPr>
          <w:rFonts w:ascii="Times New Roman" w:hAnsi="Times New Roman" w:cs="Times New Roman"/>
          <w:sz w:val="24"/>
          <w:szCs w:val="24"/>
        </w:rPr>
        <w:t xml:space="preserve"> and if it can’t it has no benefits.</w:t>
      </w:r>
      <w:r w:rsidR="00BA4FD2">
        <w:rPr>
          <w:rStyle w:val="FootnoteReference"/>
          <w:rFonts w:ascii="Times New Roman" w:hAnsi="Times New Roman" w:cs="Times New Roman"/>
          <w:sz w:val="24"/>
          <w:szCs w:val="24"/>
        </w:rPr>
        <w:footnoteReference w:id="3"/>
      </w:r>
      <w:r w:rsidR="00056A3B">
        <w:rPr>
          <w:rFonts w:ascii="Times New Roman" w:hAnsi="Times New Roman" w:cs="Times New Roman"/>
          <w:sz w:val="24"/>
          <w:szCs w:val="24"/>
        </w:rPr>
        <w:t xml:space="preserve"> Biocentrism extends this and argues that trees and plants are capable of being harmed and benefitted</w:t>
      </w:r>
      <w:r w:rsidR="00BB7403">
        <w:rPr>
          <w:rFonts w:ascii="Times New Roman" w:hAnsi="Times New Roman" w:cs="Times New Roman"/>
          <w:sz w:val="24"/>
          <w:szCs w:val="24"/>
        </w:rPr>
        <w:t>. Robin Attfield, in particular, propounds this capacity in trees which he points out</w:t>
      </w:r>
      <w:r w:rsidR="00507F67">
        <w:rPr>
          <w:rFonts w:ascii="Times New Roman" w:hAnsi="Times New Roman" w:cs="Times New Roman"/>
          <w:sz w:val="24"/>
          <w:szCs w:val="24"/>
        </w:rPr>
        <w:t>,</w:t>
      </w:r>
      <w:r w:rsidR="00507F67" w:rsidRPr="00507F67">
        <w:rPr>
          <w:rFonts w:ascii="Times New Roman" w:hAnsi="Times New Roman" w:cs="Times New Roman"/>
          <w:sz w:val="24"/>
          <w:szCs w:val="24"/>
        </w:rPr>
        <w:t xml:space="preserve"> </w:t>
      </w:r>
      <w:r w:rsidR="00507F67">
        <w:rPr>
          <w:rFonts w:ascii="Times New Roman" w:hAnsi="Times New Roman" w:cs="Times New Roman"/>
          <w:sz w:val="24"/>
          <w:szCs w:val="24"/>
        </w:rPr>
        <w:t>may not be capable of conscious thought as we understand it</w:t>
      </w:r>
      <w:r w:rsidR="00507F67">
        <w:rPr>
          <w:rFonts w:ascii="Times New Roman" w:hAnsi="Times New Roman" w:cs="Times New Roman"/>
          <w:sz w:val="24"/>
          <w:szCs w:val="24"/>
        </w:rPr>
        <w:t xml:space="preserve">, but </w:t>
      </w:r>
      <w:r w:rsidR="00BB7403">
        <w:rPr>
          <w:rFonts w:ascii="Times New Roman" w:hAnsi="Times New Roman" w:cs="Times New Roman"/>
          <w:sz w:val="24"/>
          <w:szCs w:val="24"/>
        </w:rPr>
        <w:t>can flourish for their own benefit as well as be harmed by natural forces or by the machinations of humans.</w:t>
      </w:r>
      <w:r w:rsidR="00BB7403">
        <w:rPr>
          <w:rStyle w:val="FootnoteReference"/>
          <w:rFonts w:ascii="Times New Roman" w:hAnsi="Times New Roman" w:cs="Times New Roman"/>
          <w:sz w:val="24"/>
          <w:szCs w:val="24"/>
        </w:rPr>
        <w:footnoteReference w:id="4"/>
      </w:r>
      <w:r w:rsidR="00BB7403">
        <w:rPr>
          <w:rFonts w:ascii="Times New Roman" w:hAnsi="Times New Roman" w:cs="Times New Roman"/>
          <w:sz w:val="24"/>
          <w:szCs w:val="24"/>
        </w:rPr>
        <w:t xml:space="preserve"> </w:t>
      </w:r>
      <w:r w:rsidR="00507F67">
        <w:rPr>
          <w:rFonts w:ascii="Times New Roman" w:hAnsi="Times New Roman" w:cs="Times New Roman"/>
          <w:sz w:val="24"/>
          <w:szCs w:val="24"/>
        </w:rPr>
        <w:t xml:space="preserve">Trees can grow, reproduce, heal and be damaged which makes it difficult to argue that they don’t have interests. </w:t>
      </w:r>
      <w:r w:rsidR="00BB7403">
        <w:rPr>
          <w:rFonts w:ascii="Times New Roman" w:hAnsi="Times New Roman" w:cs="Times New Roman"/>
          <w:sz w:val="24"/>
          <w:szCs w:val="24"/>
        </w:rPr>
        <w:t>As such, Bio</w:t>
      </w:r>
      <w:r w:rsidR="00F64C09">
        <w:rPr>
          <w:rFonts w:ascii="Times New Roman" w:hAnsi="Times New Roman" w:cs="Times New Roman"/>
          <w:sz w:val="24"/>
          <w:szCs w:val="24"/>
        </w:rPr>
        <w:t>-</w:t>
      </w:r>
      <w:r w:rsidR="00BB7403">
        <w:rPr>
          <w:rFonts w:ascii="Times New Roman" w:hAnsi="Times New Roman" w:cs="Times New Roman"/>
          <w:sz w:val="24"/>
          <w:szCs w:val="24"/>
        </w:rPr>
        <w:t>centrists maintain the position that all living things have moral standing and deserve moral consideration</w:t>
      </w:r>
      <w:r w:rsidR="00934DC9">
        <w:rPr>
          <w:rFonts w:ascii="Times New Roman" w:hAnsi="Times New Roman" w:cs="Times New Roman"/>
          <w:sz w:val="24"/>
          <w:szCs w:val="24"/>
        </w:rPr>
        <w:t>, however there are some objections to this standpoint.</w:t>
      </w:r>
    </w:p>
    <w:p w14:paraId="37FD4255" w14:textId="36E14687" w:rsidR="00934DC9" w:rsidRDefault="00934DC9" w:rsidP="002645B7">
      <w:pPr>
        <w:rPr>
          <w:rFonts w:ascii="Times New Roman" w:hAnsi="Times New Roman" w:cs="Times New Roman"/>
          <w:sz w:val="24"/>
          <w:szCs w:val="24"/>
        </w:rPr>
      </w:pPr>
    </w:p>
    <w:p w14:paraId="7B5B7E3C" w14:textId="44246A51" w:rsidR="00934DC9" w:rsidRDefault="00934DC9" w:rsidP="002645B7">
      <w:pPr>
        <w:rPr>
          <w:rFonts w:ascii="Times New Roman" w:hAnsi="Times New Roman" w:cs="Times New Roman"/>
          <w:sz w:val="24"/>
          <w:szCs w:val="24"/>
        </w:rPr>
      </w:pPr>
      <w:r>
        <w:rPr>
          <w:rFonts w:ascii="Times New Roman" w:hAnsi="Times New Roman" w:cs="Times New Roman"/>
          <w:sz w:val="24"/>
          <w:szCs w:val="24"/>
        </w:rPr>
        <w:tab/>
        <w:t xml:space="preserve">The first of these objections raises the question of where moral consideration ends – should the line be drawn at living </w:t>
      </w:r>
      <w:r w:rsidR="00507F67">
        <w:rPr>
          <w:rFonts w:ascii="Times New Roman" w:hAnsi="Times New Roman" w:cs="Times New Roman"/>
          <w:sz w:val="24"/>
          <w:szCs w:val="24"/>
        </w:rPr>
        <w:t>things,</w:t>
      </w:r>
      <w:r>
        <w:rPr>
          <w:rFonts w:ascii="Times New Roman" w:hAnsi="Times New Roman" w:cs="Times New Roman"/>
          <w:sz w:val="24"/>
          <w:szCs w:val="24"/>
        </w:rPr>
        <w:t xml:space="preserve"> or should other inanimate objects be included? </w:t>
      </w:r>
      <w:r w:rsidR="004B0255">
        <w:rPr>
          <w:rFonts w:ascii="Times New Roman" w:hAnsi="Times New Roman" w:cs="Times New Roman"/>
          <w:sz w:val="24"/>
          <w:szCs w:val="24"/>
        </w:rPr>
        <w:t>Again</w:t>
      </w:r>
      <w:r w:rsidR="003974A8">
        <w:rPr>
          <w:rFonts w:ascii="Times New Roman" w:hAnsi="Times New Roman" w:cs="Times New Roman"/>
          <w:sz w:val="24"/>
          <w:szCs w:val="24"/>
        </w:rPr>
        <w:t>,</w:t>
      </w:r>
      <w:r w:rsidR="004B0255">
        <w:rPr>
          <w:rFonts w:ascii="Times New Roman" w:hAnsi="Times New Roman" w:cs="Times New Roman"/>
          <w:sz w:val="24"/>
          <w:szCs w:val="24"/>
        </w:rPr>
        <w:t xml:space="preserve"> a capacity for interests comes into the picture. Inanimate objects such as rocks or rivers cannot be benefitted or harmed which results in them having no moral standing - so do not need to be taken into account by questions of a moral nature</w:t>
      </w:r>
      <w:r w:rsidR="00412A51">
        <w:rPr>
          <w:rFonts w:ascii="Times New Roman" w:hAnsi="Times New Roman" w:cs="Times New Roman"/>
          <w:sz w:val="24"/>
          <w:szCs w:val="24"/>
        </w:rPr>
        <w:t>.</w:t>
      </w:r>
      <w:r w:rsidR="00412A51">
        <w:rPr>
          <w:rStyle w:val="FootnoteReference"/>
          <w:rFonts w:ascii="Times New Roman" w:hAnsi="Times New Roman" w:cs="Times New Roman"/>
          <w:sz w:val="24"/>
          <w:szCs w:val="24"/>
        </w:rPr>
        <w:footnoteReference w:id="5"/>
      </w:r>
      <w:r w:rsidR="00412A51">
        <w:rPr>
          <w:rFonts w:ascii="Times New Roman" w:hAnsi="Times New Roman" w:cs="Times New Roman"/>
          <w:sz w:val="24"/>
          <w:szCs w:val="24"/>
        </w:rPr>
        <w:t xml:space="preserve"> As an example of this, take a car. If this car is beautifully washed and maintained, it does not gain any benefit. The maintenance may, indeed, benefit the car’s owner, but the car itself is incapable of knowing, caring or really being affected. By the same token, leaving the car to rust or actively damaging it doesn’t cause any harm to the car because it cannot comprehend it. </w:t>
      </w:r>
      <w:r w:rsidR="001D4BF9">
        <w:rPr>
          <w:rFonts w:ascii="Times New Roman" w:hAnsi="Times New Roman" w:cs="Times New Roman"/>
          <w:sz w:val="24"/>
          <w:szCs w:val="24"/>
        </w:rPr>
        <w:t xml:space="preserve">The point is that inanimate objects have no moral standing and do not need to be considered in a moral sense - according to </w:t>
      </w:r>
      <w:r w:rsidR="00F64C09">
        <w:rPr>
          <w:rFonts w:ascii="Times New Roman" w:hAnsi="Times New Roman" w:cs="Times New Roman"/>
          <w:sz w:val="24"/>
          <w:szCs w:val="24"/>
        </w:rPr>
        <w:t>Bio-centrists</w:t>
      </w:r>
      <w:r w:rsidR="001D4BF9">
        <w:rPr>
          <w:rFonts w:ascii="Times New Roman" w:hAnsi="Times New Roman" w:cs="Times New Roman"/>
          <w:sz w:val="24"/>
          <w:szCs w:val="24"/>
        </w:rPr>
        <w:t xml:space="preserve"> - as they have no recognisable interests</w:t>
      </w:r>
      <w:r w:rsidR="003974A8">
        <w:rPr>
          <w:rFonts w:ascii="Times New Roman" w:hAnsi="Times New Roman" w:cs="Times New Roman"/>
          <w:sz w:val="24"/>
          <w:szCs w:val="24"/>
        </w:rPr>
        <w:t xml:space="preserve"> in their own right but rather as systems which maintain things with interests; something Biocentrism is not concerned with</w:t>
      </w:r>
      <w:r w:rsidR="00F64C09">
        <w:rPr>
          <w:rFonts w:ascii="Times New Roman" w:hAnsi="Times New Roman" w:cs="Times New Roman"/>
          <w:sz w:val="24"/>
          <w:szCs w:val="24"/>
        </w:rPr>
        <w:t>.</w:t>
      </w:r>
    </w:p>
    <w:p w14:paraId="52144C70" w14:textId="6FC53755" w:rsidR="00F64C09" w:rsidRDefault="00F64C09" w:rsidP="002645B7">
      <w:pPr>
        <w:rPr>
          <w:rFonts w:ascii="Times New Roman" w:hAnsi="Times New Roman" w:cs="Times New Roman"/>
          <w:sz w:val="24"/>
          <w:szCs w:val="24"/>
        </w:rPr>
      </w:pPr>
    </w:p>
    <w:p w14:paraId="7BE89F20" w14:textId="41D7E251" w:rsidR="00F64C09" w:rsidRDefault="00F64C09" w:rsidP="002645B7">
      <w:pPr>
        <w:rPr>
          <w:rFonts w:ascii="Times New Roman" w:hAnsi="Times New Roman" w:cs="Times New Roman"/>
          <w:sz w:val="24"/>
          <w:szCs w:val="24"/>
        </w:rPr>
      </w:pPr>
      <w:r>
        <w:rPr>
          <w:rFonts w:ascii="Times New Roman" w:hAnsi="Times New Roman" w:cs="Times New Roman"/>
          <w:sz w:val="24"/>
          <w:szCs w:val="24"/>
        </w:rPr>
        <w:tab/>
        <w:t xml:space="preserve">Another commonly raised objection to Biocentrism is </w:t>
      </w:r>
      <w:r w:rsidR="00C84E7E">
        <w:rPr>
          <w:rFonts w:ascii="Times New Roman" w:hAnsi="Times New Roman" w:cs="Times New Roman"/>
          <w:sz w:val="24"/>
          <w:szCs w:val="24"/>
        </w:rPr>
        <w:t>that there are a considerable number of disanalogies which can be drawn between conscious and nonconscious things.</w:t>
      </w:r>
      <w:r w:rsidR="004269A4">
        <w:rPr>
          <w:rFonts w:ascii="Times New Roman" w:hAnsi="Times New Roman" w:cs="Times New Roman"/>
          <w:sz w:val="24"/>
          <w:szCs w:val="24"/>
        </w:rPr>
        <w:t xml:space="preserve"> The suggestion here is that things which are nonconscious or non-sentient are incapable of taking </w:t>
      </w:r>
      <w:r w:rsidR="004269A4">
        <w:rPr>
          <w:rFonts w:ascii="Times New Roman" w:hAnsi="Times New Roman" w:cs="Times New Roman"/>
          <w:sz w:val="24"/>
          <w:szCs w:val="24"/>
        </w:rPr>
        <w:lastRenderedPageBreak/>
        <w:t>an interest in benefits or harm which they gain or befall them.</w:t>
      </w:r>
      <w:r w:rsidR="004269A4">
        <w:rPr>
          <w:rStyle w:val="FootnoteReference"/>
          <w:rFonts w:ascii="Times New Roman" w:hAnsi="Times New Roman" w:cs="Times New Roman"/>
          <w:sz w:val="24"/>
          <w:szCs w:val="24"/>
        </w:rPr>
        <w:footnoteReference w:id="6"/>
      </w:r>
      <w:r w:rsidR="004269A4">
        <w:rPr>
          <w:rFonts w:ascii="Times New Roman" w:hAnsi="Times New Roman" w:cs="Times New Roman"/>
          <w:sz w:val="24"/>
          <w:szCs w:val="24"/>
        </w:rPr>
        <w:t xml:space="preserve"> </w:t>
      </w:r>
      <w:r w:rsidR="00540249">
        <w:rPr>
          <w:rFonts w:ascii="Times New Roman" w:hAnsi="Times New Roman" w:cs="Times New Roman"/>
          <w:sz w:val="24"/>
          <w:szCs w:val="24"/>
        </w:rPr>
        <w:t xml:space="preserve">A usual conclusion reached from this point is that nonconscious things do not have interests thus having no moral standing. However, taking an interest and having interests are not the same thing in any capacity, especially to a Bio-centrist who would counter that something does not need to comprehend its interests, but rather simply have some that can be recognised by morally conscious beings. </w:t>
      </w:r>
      <w:r w:rsidR="00101852">
        <w:rPr>
          <w:rFonts w:ascii="Times New Roman" w:hAnsi="Times New Roman" w:cs="Times New Roman"/>
          <w:sz w:val="24"/>
          <w:szCs w:val="24"/>
        </w:rPr>
        <w:t xml:space="preserve">If anything, these disanalogies have more bearing on the moral significance or status of something as opposed to its moral standing. Moral standing differs from moral </w:t>
      </w:r>
      <w:r w:rsidR="00101852">
        <w:rPr>
          <w:rFonts w:ascii="Times New Roman" w:hAnsi="Times New Roman" w:cs="Times New Roman"/>
          <w:sz w:val="24"/>
          <w:szCs w:val="24"/>
        </w:rPr>
        <w:t>status</w:t>
      </w:r>
      <w:r w:rsidR="00101852">
        <w:rPr>
          <w:rFonts w:ascii="Times New Roman" w:hAnsi="Times New Roman" w:cs="Times New Roman"/>
          <w:sz w:val="24"/>
          <w:szCs w:val="24"/>
        </w:rPr>
        <w:t xml:space="preserve"> in so far as something has the </w:t>
      </w:r>
      <w:r w:rsidR="000A2E23">
        <w:rPr>
          <w:rFonts w:ascii="Times New Roman" w:hAnsi="Times New Roman" w:cs="Times New Roman"/>
          <w:sz w:val="24"/>
          <w:szCs w:val="24"/>
        </w:rPr>
        <w:t>former</w:t>
      </w:r>
      <w:r w:rsidR="00101852">
        <w:rPr>
          <w:rFonts w:ascii="Times New Roman" w:hAnsi="Times New Roman" w:cs="Times New Roman"/>
          <w:sz w:val="24"/>
          <w:szCs w:val="24"/>
        </w:rPr>
        <w:t xml:space="preserve"> if it should be taken into moral consideration</w:t>
      </w:r>
      <w:r w:rsidR="000A2E23">
        <w:rPr>
          <w:rFonts w:ascii="Times New Roman" w:hAnsi="Times New Roman" w:cs="Times New Roman"/>
          <w:sz w:val="24"/>
          <w:szCs w:val="24"/>
        </w:rPr>
        <w:t xml:space="preserve"> while the latter covers the amount of moral importance a thing has in relation to others.</w:t>
      </w:r>
      <w:r w:rsidR="000A2E23">
        <w:rPr>
          <w:rStyle w:val="FootnoteReference"/>
          <w:rFonts w:ascii="Times New Roman" w:hAnsi="Times New Roman" w:cs="Times New Roman"/>
          <w:sz w:val="24"/>
          <w:szCs w:val="24"/>
        </w:rPr>
        <w:footnoteReference w:id="7"/>
      </w:r>
      <w:r w:rsidR="000A2E23">
        <w:rPr>
          <w:rFonts w:ascii="Times New Roman" w:hAnsi="Times New Roman" w:cs="Times New Roman"/>
          <w:sz w:val="24"/>
          <w:szCs w:val="24"/>
        </w:rPr>
        <w:t xml:space="preserve"> </w:t>
      </w:r>
      <w:r w:rsidR="00704C50">
        <w:rPr>
          <w:rFonts w:ascii="Times New Roman" w:hAnsi="Times New Roman" w:cs="Times New Roman"/>
          <w:sz w:val="24"/>
          <w:szCs w:val="24"/>
        </w:rPr>
        <w:t>As an example, a tree and a sentient being both have interests but, in most cases, the sentient being’s interests</w:t>
      </w:r>
      <w:r w:rsidR="00A27B95">
        <w:rPr>
          <w:rFonts w:ascii="Times New Roman" w:hAnsi="Times New Roman" w:cs="Times New Roman"/>
          <w:sz w:val="24"/>
          <w:szCs w:val="24"/>
        </w:rPr>
        <w:t xml:space="preserve"> </w:t>
      </w:r>
      <w:r w:rsidR="00704C50">
        <w:rPr>
          <w:rFonts w:ascii="Times New Roman" w:hAnsi="Times New Roman" w:cs="Times New Roman"/>
          <w:sz w:val="24"/>
          <w:szCs w:val="24"/>
        </w:rPr>
        <w:t xml:space="preserve">override those of the tree – both have moral standing; one has higher moral status. Therefore, </w:t>
      </w:r>
      <w:r w:rsidR="00A27B95">
        <w:rPr>
          <w:rFonts w:ascii="Times New Roman" w:hAnsi="Times New Roman" w:cs="Times New Roman"/>
          <w:sz w:val="24"/>
          <w:szCs w:val="24"/>
        </w:rPr>
        <w:t xml:space="preserve">the disanalogies connecting conscious and nonconscious things could be used to argue that the former has more moral status than the latter but really has no bearing on </w:t>
      </w:r>
      <w:r w:rsidR="00704C50">
        <w:rPr>
          <w:rFonts w:ascii="Times New Roman" w:hAnsi="Times New Roman" w:cs="Times New Roman"/>
          <w:sz w:val="24"/>
          <w:szCs w:val="24"/>
        </w:rPr>
        <w:t>anything’s</w:t>
      </w:r>
      <w:r w:rsidR="00A27B95">
        <w:rPr>
          <w:rFonts w:ascii="Times New Roman" w:hAnsi="Times New Roman" w:cs="Times New Roman"/>
          <w:sz w:val="24"/>
          <w:szCs w:val="24"/>
        </w:rPr>
        <w:t xml:space="preserve"> moral standing.</w:t>
      </w:r>
    </w:p>
    <w:p w14:paraId="614928EB" w14:textId="4EB3B0D0" w:rsidR="00A27B95" w:rsidRDefault="00A27B95" w:rsidP="002645B7">
      <w:pPr>
        <w:rPr>
          <w:rFonts w:ascii="Times New Roman" w:hAnsi="Times New Roman" w:cs="Times New Roman"/>
          <w:sz w:val="24"/>
          <w:szCs w:val="24"/>
        </w:rPr>
      </w:pPr>
    </w:p>
    <w:p w14:paraId="5E930C8E" w14:textId="09987F35" w:rsidR="00A27B95" w:rsidRDefault="00A27B95" w:rsidP="002645B7">
      <w:pPr>
        <w:rPr>
          <w:rFonts w:ascii="Times New Roman" w:hAnsi="Times New Roman" w:cs="Times New Roman"/>
          <w:sz w:val="24"/>
          <w:szCs w:val="24"/>
        </w:rPr>
      </w:pPr>
      <w:r>
        <w:rPr>
          <w:rFonts w:ascii="Times New Roman" w:hAnsi="Times New Roman" w:cs="Times New Roman"/>
          <w:sz w:val="24"/>
          <w:szCs w:val="24"/>
        </w:rPr>
        <w:tab/>
        <w:t>The final counter to Biocentrism propounds the notion that it is impossible to consider all life in a moral sense as doing so would make it impossible to live.</w:t>
      </w:r>
      <w:r w:rsidR="006236AC">
        <w:rPr>
          <w:rFonts w:ascii="Times New Roman" w:hAnsi="Times New Roman" w:cs="Times New Roman"/>
          <w:sz w:val="24"/>
          <w:szCs w:val="24"/>
        </w:rPr>
        <w:t xml:space="preserve"> In its most basic form, this counterview holds that if plants have moral standing, then they deserve moral consideration. How then can people live if they have to consider grass, say, in a moral sense every time they walk across it?</w:t>
      </w:r>
      <w:r w:rsidR="00704C50">
        <w:rPr>
          <w:rFonts w:ascii="Times New Roman" w:hAnsi="Times New Roman" w:cs="Times New Roman"/>
          <w:sz w:val="24"/>
          <w:szCs w:val="24"/>
        </w:rPr>
        <w:t xml:space="preserve"> In many respects, the response to this objection is similar to the previous </w:t>
      </w:r>
      <w:r w:rsidR="006236AC">
        <w:rPr>
          <w:rFonts w:ascii="Times New Roman" w:hAnsi="Times New Roman" w:cs="Times New Roman"/>
          <w:sz w:val="24"/>
          <w:szCs w:val="24"/>
        </w:rPr>
        <w:t xml:space="preserve">point: </w:t>
      </w:r>
      <w:r w:rsidR="00704C50">
        <w:rPr>
          <w:rFonts w:ascii="Times New Roman" w:hAnsi="Times New Roman" w:cs="Times New Roman"/>
          <w:sz w:val="24"/>
          <w:szCs w:val="24"/>
        </w:rPr>
        <w:t xml:space="preserve">the view of Biocentrism hinges upon the distinction between moral standing and moral status. </w:t>
      </w:r>
      <w:r w:rsidR="006236AC">
        <w:rPr>
          <w:rFonts w:ascii="Times New Roman" w:hAnsi="Times New Roman" w:cs="Times New Roman"/>
          <w:sz w:val="24"/>
          <w:szCs w:val="24"/>
        </w:rPr>
        <w:t>The Bio-centrist would observe that plants can have moral standing but, in the same breath, have little moral status or significance. As aforementioned, this does not take away their moral standing</w:t>
      </w:r>
      <w:r w:rsidR="003A4A4E">
        <w:rPr>
          <w:rFonts w:ascii="Times New Roman" w:hAnsi="Times New Roman" w:cs="Times New Roman"/>
          <w:sz w:val="24"/>
          <w:szCs w:val="24"/>
        </w:rPr>
        <w:t>,</w:t>
      </w:r>
      <w:r w:rsidR="006236AC">
        <w:rPr>
          <w:rFonts w:ascii="Times New Roman" w:hAnsi="Times New Roman" w:cs="Times New Roman"/>
          <w:sz w:val="24"/>
          <w:szCs w:val="24"/>
        </w:rPr>
        <w:t xml:space="preserve"> it just means that compared to the interests of a human </w:t>
      </w:r>
      <w:r w:rsidR="003A4A4E">
        <w:rPr>
          <w:rFonts w:ascii="Times New Roman" w:hAnsi="Times New Roman" w:cs="Times New Roman"/>
          <w:sz w:val="24"/>
          <w:szCs w:val="24"/>
        </w:rPr>
        <w:t xml:space="preserve">- </w:t>
      </w:r>
      <w:r w:rsidR="006236AC">
        <w:rPr>
          <w:rFonts w:ascii="Times New Roman" w:hAnsi="Times New Roman" w:cs="Times New Roman"/>
          <w:sz w:val="24"/>
          <w:szCs w:val="24"/>
        </w:rPr>
        <w:t>Bio-centrists would argue</w:t>
      </w:r>
      <w:r w:rsidR="003A4A4E">
        <w:rPr>
          <w:rFonts w:ascii="Times New Roman" w:hAnsi="Times New Roman" w:cs="Times New Roman"/>
          <w:sz w:val="24"/>
          <w:szCs w:val="24"/>
        </w:rPr>
        <w:t xml:space="preserve"> – the interests of grass are miniscule, hence people can walk over plants without needing to consider the moral implications. In essence, it is possible to consider nonconscious things to have moral standing and still live life as normal.</w:t>
      </w:r>
    </w:p>
    <w:p w14:paraId="3A54D032" w14:textId="62C3F3FD" w:rsidR="003A4A4E" w:rsidRDefault="003A4A4E" w:rsidP="002645B7">
      <w:pPr>
        <w:rPr>
          <w:rFonts w:ascii="Times New Roman" w:hAnsi="Times New Roman" w:cs="Times New Roman"/>
          <w:sz w:val="24"/>
          <w:szCs w:val="24"/>
        </w:rPr>
      </w:pPr>
    </w:p>
    <w:p w14:paraId="12742B59" w14:textId="7CD2BE5D" w:rsidR="003A4A4E" w:rsidRDefault="003A4A4E" w:rsidP="002645B7">
      <w:pPr>
        <w:rPr>
          <w:rFonts w:ascii="Times New Roman" w:hAnsi="Times New Roman" w:cs="Times New Roman"/>
          <w:sz w:val="24"/>
          <w:szCs w:val="24"/>
        </w:rPr>
      </w:pPr>
      <w:r>
        <w:rPr>
          <w:rFonts w:ascii="Times New Roman" w:hAnsi="Times New Roman" w:cs="Times New Roman"/>
          <w:sz w:val="24"/>
          <w:szCs w:val="24"/>
        </w:rPr>
        <w:tab/>
      </w:r>
      <w:r w:rsidR="004D45C8">
        <w:rPr>
          <w:rFonts w:ascii="Times New Roman" w:hAnsi="Times New Roman" w:cs="Times New Roman"/>
          <w:sz w:val="24"/>
          <w:szCs w:val="24"/>
        </w:rPr>
        <w:t>Overall</w:t>
      </w:r>
      <w:r>
        <w:rPr>
          <w:rFonts w:ascii="Times New Roman" w:hAnsi="Times New Roman" w:cs="Times New Roman"/>
          <w:sz w:val="24"/>
          <w:szCs w:val="24"/>
        </w:rPr>
        <w:t xml:space="preserve">, </w:t>
      </w:r>
      <w:r w:rsidR="003974A8">
        <w:rPr>
          <w:rFonts w:ascii="Times New Roman" w:hAnsi="Times New Roman" w:cs="Times New Roman"/>
          <w:sz w:val="24"/>
          <w:szCs w:val="24"/>
        </w:rPr>
        <w:t xml:space="preserve">Biocentrism stands up remarkably well to the major objections levelled against it. Non-living things do not have moral standing as they do not have any interests aside from those within systems which maintain morally considerable things. Biocentrism, though, </w:t>
      </w:r>
      <w:r w:rsidR="002E22AE">
        <w:rPr>
          <w:rFonts w:ascii="Times New Roman" w:hAnsi="Times New Roman" w:cs="Times New Roman"/>
          <w:sz w:val="24"/>
          <w:szCs w:val="24"/>
        </w:rPr>
        <w:t xml:space="preserve">does not consider such systems – its only major drawback. Otherwise, the disanalogies which can be drawn between conscious and nonconscious things do not relate to </w:t>
      </w:r>
      <w:r w:rsidR="004D45C8">
        <w:rPr>
          <w:rFonts w:ascii="Times New Roman" w:hAnsi="Times New Roman" w:cs="Times New Roman"/>
          <w:sz w:val="24"/>
          <w:szCs w:val="24"/>
        </w:rPr>
        <w:t xml:space="preserve">moral standing but rather moral status, in so far as something does not need to take an interest to have interests. In much the same vein, it is possible to live if Biocentrism is your accepted view because, while all life is worthy of moral consideration, different things’ moral status varies sufficiently for humans to live with these beliefs. Therefore, despite the lack of consideration for life sustaining systems, </w:t>
      </w:r>
      <w:r w:rsidR="005A4898">
        <w:rPr>
          <w:rFonts w:ascii="Times New Roman" w:hAnsi="Times New Roman" w:cs="Times New Roman"/>
          <w:sz w:val="24"/>
          <w:szCs w:val="24"/>
        </w:rPr>
        <w:t>the Biocentric view of moral standing is justifiable against most counterarguments and, as such, carries a considerable amount of weight.</w:t>
      </w:r>
    </w:p>
    <w:p w14:paraId="26F2EE84" w14:textId="77777777" w:rsidR="005A4898" w:rsidRDefault="005A4898" w:rsidP="002645B7">
      <w:pPr>
        <w:rPr>
          <w:rFonts w:ascii="Times New Roman" w:hAnsi="Times New Roman" w:cs="Times New Roman"/>
          <w:sz w:val="24"/>
          <w:szCs w:val="24"/>
        </w:rPr>
      </w:pPr>
      <w:bookmarkStart w:id="1" w:name="_Hlk89018796"/>
    </w:p>
    <w:p w14:paraId="2AF85E4E" w14:textId="624C5F5A" w:rsidR="003A4A4E" w:rsidRDefault="003A4A4E" w:rsidP="002645B7">
      <w:pPr>
        <w:rPr>
          <w:rFonts w:ascii="Times New Roman" w:hAnsi="Times New Roman" w:cs="Times New Roman"/>
          <w:b/>
          <w:bCs/>
          <w:sz w:val="24"/>
          <w:szCs w:val="24"/>
        </w:rPr>
      </w:pPr>
      <w:r w:rsidRPr="003A4A4E">
        <w:rPr>
          <w:rFonts w:ascii="Times New Roman" w:hAnsi="Times New Roman" w:cs="Times New Roman"/>
          <w:b/>
          <w:bCs/>
          <w:sz w:val="24"/>
          <w:szCs w:val="24"/>
        </w:rPr>
        <w:lastRenderedPageBreak/>
        <w:t>Word Count:</w:t>
      </w:r>
      <w:r>
        <w:rPr>
          <w:rFonts w:ascii="Times New Roman" w:hAnsi="Times New Roman" w:cs="Times New Roman"/>
          <w:b/>
          <w:bCs/>
          <w:sz w:val="24"/>
          <w:szCs w:val="24"/>
        </w:rPr>
        <w:t xml:space="preserve"> </w:t>
      </w:r>
      <w:bookmarkEnd w:id="1"/>
      <w:r w:rsidR="004D45C8">
        <w:rPr>
          <w:rFonts w:ascii="Times New Roman" w:hAnsi="Times New Roman" w:cs="Times New Roman"/>
          <w:b/>
          <w:bCs/>
          <w:sz w:val="24"/>
          <w:szCs w:val="24"/>
        </w:rPr>
        <w:t>9</w:t>
      </w:r>
      <w:r w:rsidR="005A4898">
        <w:rPr>
          <w:rFonts w:ascii="Times New Roman" w:hAnsi="Times New Roman" w:cs="Times New Roman"/>
          <w:b/>
          <w:bCs/>
          <w:sz w:val="24"/>
          <w:szCs w:val="24"/>
        </w:rPr>
        <w:t>52</w:t>
      </w:r>
    </w:p>
    <w:p w14:paraId="7F9716A3" w14:textId="77777777" w:rsidR="005A4898" w:rsidRDefault="005A4898" w:rsidP="005A4898">
      <w:pPr>
        <w:jc w:val="center"/>
        <w:rPr>
          <w:rFonts w:ascii="Times New Roman" w:hAnsi="Times New Roman" w:cs="Times New Roman"/>
          <w:b/>
          <w:bCs/>
          <w:sz w:val="32"/>
          <w:szCs w:val="32"/>
          <w:u w:val="single"/>
        </w:rPr>
      </w:pPr>
    </w:p>
    <w:p w14:paraId="019EFBFE" w14:textId="517138A6" w:rsidR="005A4898" w:rsidRDefault="005A4898" w:rsidP="005A4898">
      <w:pPr>
        <w:jc w:val="center"/>
        <w:rPr>
          <w:rFonts w:ascii="Times New Roman" w:hAnsi="Times New Roman" w:cs="Times New Roman"/>
          <w:sz w:val="32"/>
          <w:szCs w:val="32"/>
        </w:rPr>
      </w:pPr>
      <w:r>
        <w:rPr>
          <w:rFonts w:ascii="Times New Roman" w:hAnsi="Times New Roman" w:cs="Times New Roman"/>
          <w:b/>
          <w:bCs/>
          <w:sz w:val="32"/>
          <w:szCs w:val="32"/>
          <w:u w:val="single"/>
        </w:rPr>
        <w:t>Bibliography</w:t>
      </w:r>
    </w:p>
    <w:p w14:paraId="4B35E45D" w14:textId="77777777" w:rsidR="005A4898" w:rsidRPr="00AC7607" w:rsidRDefault="005A4898" w:rsidP="005A4898">
      <w:pPr>
        <w:rPr>
          <w:rFonts w:ascii="Times New Roman" w:hAnsi="Times New Roman" w:cs="Times New Roman"/>
          <w:sz w:val="32"/>
          <w:szCs w:val="32"/>
        </w:rPr>
      </w:pPr>
    </w:p>
    <w:p w14:paraId="6D869A40" w14:textId="77777777" w:rsidR="005A4898" w:rsidRPr="00C95C9C" w:rsidRDefault="005A4898" w:rsidP="005A4898">
      <w:pPr>
        <w:rPr>
          <w:rFonts w:ascii="Times New Roman" w:hAnsi="Times New Roman" w:cs="Times New Roman"/>
          <w:sz w:val="24"/>
          <w:szCs w:val="24"/>
          <w:shd w:val="clear" w:color="auto" w:fill="FBF7F5"/>
        </w:rPr>
      </w:pPr>
      <w:bookmarkStart w:id="2" w:name="_Hlk89011616"/>
      <w:r w:rsidRPr="00C95C9C">
        <w:rPr>
          <w:rFonts w:ascii="Times New Roman" w:hAnsi="Times New Roman" w:cs="Times New Roman"/>
          <w:sz w:val="24"/>
          <w:szCs w:val="24"/>
          <w:shd w:val="clear" w:color="auto" w:fill="FBF7F5"/>
        </w:rPr>
        <w:t>Attfield,</w:t>
      </w:r>
      <w:r>
        <w:rPr>
          <w:rFonts w:ascii="Times New Roman" w:hAnsi="Times New Roman" w:cs="Times New Roman"/>
          <w:sz w:val="24"/>
          <w:szCs w:val="24"/>
          <w:shd w:val="clear" w:color="auto" w:fill="FBF7F5"/>
        </w:rPr>
        <w:t xml:space="preserve"> R.,</w:t>
      </w:r>
      <w:r w:rsidRPr="00C95C9C">
        <w:rPr>
          <w:rFonts w:ascii="Times New Roman" w:hAnsi="Times New Roman" w:cs="Times New Roman"/>
          <w:sz w:val="24"/>
          <w:szCs w:val="24"/>
          <w:shd w:val="clear" w:color="auto" w:fill="FBF7F5"/>
        </w:rPr>
        <w:t xml:space="preserve"> ‘The Good of Trees’, in </w:t>
      </w:r>
      <w:r w:rsidRPr="00C95C9C">
        <w:rPr>
          <w:rFonts w:ascii="Times New Roman" w:hAnsi="Times New Roman" w:cs="Times New Roman"/>
          <w:i/>
          <w:iCs/>
          <w:sz w:val="24"/>
          <w:szCs w:val="24"/>
          <w:shd w:val="clear" w:color="auto" w:fill="FBF7F5"/>
        </w:rPr>
        <w:t>Environmental Philosophy: Principles and Prospects</w:t>
      </w:r>
      <w:r>
        <w:rPr>
          <w:rFonts w:ascii="Times New Roman" w:hAnsi="Times New Roman" w:cs="Times New Roman"/>
          <w:i/>
          <w:iCs/>
          <w:sz w:val="24"/>
          <w:szCs w:val="24"/>
          <w:shd w:val="clear" w:color="auto" w:fill="FBF7F5"/>
        </w:rPr>
        <w:t xml:space="preserve">, </w:t>
      </w:r>
      <w:r w:rsidRPr="00C95C9C">
        <w:rPr>
          <w:rFonts w:ascii="Times New Roman" w:hAnsi="Times New Roman" w:cs="Times New Roman"/>
          <w:sz w:val="24"/>
          <w:szCs w:val="24"/>
          <w:shd w:val="clear" w:color="auto" w:fill="FBF7F5"/>
        </w:rPr>
        <w:t>(Aldershot: Averbury, 1994).</w:t>
      </w:r>
    </w:p>
    <w:bookmarkEnd w:id="2"/>
    <w:p w14:paraId="5FD88614" w14:textId="77777777" w:rsidR="005A4898" w:rsidRDefault="005A4898" w:rsidP="005A4898">
      <w:pPr>
        <w:rPr>
          <w:rFonts w:ascii="Times New Roman" w:hAnsi="Times New Roman" w:cs="Times New Roman"/>
          <w:sz w:val="24"/>
          <w:szCs w:val="24"/>
          <w:shd w:val="clear" w:color="auto" w:fill="FBF7F5"/>
        </w:rPr>
      </w:pPr>
      <w:r w:rsidRPr="008267AD">
        <w:rPr>
          <w:rFonts w:ascii="Times New Roman" w:hAnsi="Times New Roman" w:cs="Times New Roman"/>
          <w:sz w:val="24"/>
          <w:szCs w:val="24"/>
          <w:shd w:val="clear" w:color="auto" w:fill="FBF7F5"/>
        </w:rPr>
        <w:t>Benson, J., </w:t>
      </w:r>
      <w:r w:rsidRPr="008267AD">
        <w:rPr>
          <w:rFonts w:ascii="Times New Roman" w:hAnsi="Times New Roman" w:cs="Times New Roman"/>
          <w:i/>
          <w:iCs/>
          <w:sz w:val="24"/>
          <w:szCs w:val="24"/>
          <w:shd w:val="clear" w:color="auto" w:fill="FBF7F5"/>
        </w:rPr>
        <w:t>Environmental Ethics: an introduction with </w:t>
      </w:r>
      <w:hyperlink r:id="rId6" w:tooltip="Readings" w:history="1">
        <w:r w:rsidRPr="008267AD">
          <w:rPr>
            <w:rStyle w:val="Hyperlink"/>
            <w:rFonts w:ascii="Times New Roman" w:hAnsi="Times New Roman" w:cs="Times New Roman"/>
            <w:i/>
            <w:iCs/>
            <w:color w:val="auto"/>
            <w:sz w:val="24"/>
            <w:szCs w:val="24"/>
          </w:rPr>
          <w:t>readings</w:t>
        </w:r>
      </w:hyperlink>
      <w:r>
        <w:rPr>
          <w:rFonts w:ascii="Times New Roman" w:hAnsi="Times New Roman" w:cs="Times New Roman"/>
          <w:i/>
          <w:iCs/>
          <w:sz w:val="24"/>
          <w:szCs w:val="24"/>
          <w:shd w:val="clear" w:color="auto" w:fill="FBF7F5"/>
        </w:rPr>
        <w:t>,</w:t>
      </w:r>
      <w:r w:rsidRPr="008267AD">
        <w:rPr>
          <w:rFonts w:ascii="Times New Roman" w:hAnsi="Times New Roman" w:cs="Times New Roman"/>
          <w:sz w:val="24"/>
          <w:szCs w:val="24"/>
          <w:shd w:val="clear" w:color="auto" w:fill="FBF7F5"/>
        </w:rPr>
        <w:t> (London and NY: Routledge, 2000)</w:t>
      </w:r>
    </w:p>
    <w:p w14:paraId="109C9EC9" w14:textId="77777777" w:rsidR="005A4898" w:rsidRPr="00460A9B" w:rsidRDefault="005A4898" w:rsidP="005A4898">
      <w:pPr>
        <w:rPr>
          <w:rFonts w:ascii="Times New Roman" w:hAnsi="Times New Roman" w:cs="Times New Roman"/>
          <w:sz w:val="24"/>
          <w:szCs w:val="24"/>
          <w:shd w:val="clear" w:color="auto" w:fill="FBF7F5"/>
        </w:rPr>
      </w:pPr>
      <w:bookmarkStart w:id="3" w:name="_Hlk89011227"/>
      <w:r>
        <w:rPr>
          <w:rFonts w:ascii="Times New Roman" w:hAnsi="Times New Roman" w:cs="Times New Roman"/>
          <w:sz w:val="24"/>
          <w:szCs w:val="24"/>
          <w:shd w:val="clear" w:color="auto" w:fill="FBF7F5"/>
        </w:rPr>
        <w:t xml:space="preserve">Feinberg, J., ‘The Rights of Animals and Unborn Generations’, in </w:t>
      </w:r>
      <w:r>
        <w:rPr>
          <w:rFonts w:ascii="Times New Roman" w:hAnsi="Times New Roman" w:cs="Times New Roman"/>
          <w:i/>
          <w:iCs/>
          <w:sz w:val="24"/>
          <w:szCs w:val="24"/>
          <w:shd w:val="clear" w:color="auto" w:fill="FBF7F5"/>
        </w:rPr>
        <w:t>Philosophy and Environmental Crisis</w:t>
      </w:r>
      <w:r>
        <w:rPr>
          <w:rFonts w:ascii="Times New Roman" w:hAnsi="Times New Roman" w:cs="Times New Roman"/>
          <w:sz w:val="24"/>
          <w:szCs w:val="24"/>
          <w:shd w:val="clear" w:color="auto" w:fill="FBF7F5"/>
        </w:rPr>
        <w:t>, ed. William T. Blackstone, (Athens: University of Georgia Press, 1974)</w:t>
      </w:r>
    </w:p>
    <w:bookmarkEnd w:id="3"/>
    <w:p w14:paraId="63843F9D" w14:textId="77777777" w:rsidR="005A4898" w:rsidRPr="008267AD" w:rsidRDefault="005A4898" w:rsidP="005A4898">
      <w:pPr>
        <w:rPr>
          <w:rFonts w:ascii="Times New Roman" w:hAnsi="Times New Roman" w:cs="Times New Roman"/>
          <w:sz w:val="24"/>
          <w:szCs w:val="24"/>
          <w:shd w:val="clear" w:color="auto" w:fill="FBF7F5"/>
        </w:rPr>
      </w:pPr>
      <w:r w:rsidRPr="008267AD">
        <w:rPr>
          <w:rFonts w:ascii="Times New Roman" w:hAnsi="Times New Roman" w:cs="Times New Roman"/>
          <w:sz w:val="24"/>
          <w:szCs w:val="24"/>
          <w:shd w:val="clear" w:color="auto" w:fill="FBF7F5"/>
        </w:rPr>
        <w:t>Goodpaster, K., ‘On Being Morally Considerable’, in </w:t>
      </w:r>
      <w:r w:rsidRPr="008267AD">
        <w:rPr>
          <w:rFonts w:ascii="Times New Roman" w:hAnsi="Times New Roman" w:cs="Times New Roman"/>
          <w:i/>
          <w:iCs/>
          <w:sz w:val="24"/>
          <w:szCs w:val="24"/>
          <w:shd w:val="clear" w:color="auto" w:fill="FBF7F5"/>
        </w:rPr>
        <w:t>Journal of Philosophy</w:t>
      </w:r>
      <w:r w:rsidRPr="008267AD">
        <w:rPr>
          <w:rFonts w:ascii="Times New Roman" w:hAnsi="Times New Roman" w:cs="Times New Roman"/>
          <w:sz w:val="24"/>
          <w:szCs w:val="24"/>
          <w:shd w:val="clear" w:color="auto" w:fill="FBF7F5"/>
        </w:rPr>
        <w:t>, 75, (1978), 308-25. </w:t>
      </w:r>
    </w:p>
    <w:p w14:paraId="63894585" w14:textId="77777777" w:rsidR="005A4898" w:rsidRPr="008267AD" w:rsidRDefault="005A4898" w:rsidP="005A4898">
      <w:pPr>
        <w:rPr>
          <w:rFonts w:ascii="Times New Roman" w:hAnsi="Times New Roman" w:cs="Times New Roman"/>
          <w:sz w:val="24"/>
          <w:szCs w:val="24"/>
          <w:shd w:val="clear" w:color="auto" w:fill="FBF7F5"/>
        </w:rPr>
      </w:pPr>
      <w:r w:rsidRPr="008267AD">
        <w:rPr>
          <w:rFonts w:ascii="Times New Roman" w:hAnsi="Times New Roman" w:cs="Times New Roman"/>
          <w:sz w:val="24"/>
          <w:szCs w:val="24"/>
          <w:shd w:val="clear" w:color="auto" w:fill="FBF7F5"/>
        </w:rPr>
        <w:t> Humphreys, R., 'Biocentrism', Springer, </w:t>
      </w:r>
      <w:r w:rsidRPr="008267AD">
        <w:rPr>
          <w:rStyle w:val="Emphasis"/>
          <w:rFonts w:ascii="Times New Roman" w:hAnsi="Times New Roman" w:cs="Times New Roman"/>
          <w:sz w:val="24"/>
          <w:szCs w:val="24"/>
          <w:shd w:val="clear" w:color="auto" w:fill="FBF7F5"/>
        </w:rPr>
        <w:t>Encyclopedia of Bioethics</w:t>
      </w:r>
      <w:r w:rsidRPr="008267AD">
        <w:rPr>
          <w:rFonts w:ascii="Times New Roman" w:hAnsi="Times New Roman" w:cs="Times New Roman"/>
          <w:sz w:val="24"/>
          <w:szCs w:val="24"/>
          <w:shd w:val="clear" w:color="auto" w:fill="FBF7F5"/>
        </w:rPr>
        <w:t>, (2014). </w:t>
      </w:r>
    </w:p>
    <w:p w14:paraId="243CF734" w14:textId="77777777" w:rsidR="005A4898" w:rsidRDefault="005A4898" w:rsidP="005A4898">
      <w:pPr>
        <w:rPr>
          <w:rFonts w:ascii="Times New Roman" w:hAnsi="Times New Roman" w:cs="Times New Roman"/>
          <w:color w:val="373A3C"/>
          <w:sz w:val="24"/>
          <w:szCs w:val="24"/>
          <w:shd w:val="clear" w:color="auto" w:fill="FBF7F5"/>
        </w:rPr>
      </w:pPr>
    </w:p>
    <w:p w14:paraId="51E45158" w14:textId="77777777" w:rsidR="005A4898" w:rsidRDefault="005A4898" w:rsidP="005A4898">
      <w:pPr>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Webliography</w:t>
      </w:r>
    </w:p>
    <w:p w14:paraId="3F117370" w14:textId="77777777" w:rsidR="005A4898" w:rsidRPr="008267AD" w:rsidRDefault="005A4898" w:rsidP="005A4898">
      <w:pPr>
        <w:rPr>
          <w:rFonts w:ascii="Times New Roman" w:hAnsi="Times New Roman" w:cs="Times New Roman"/>
          <w:sz w:val="24"/>
          <w:szCs w:val="24"/>
        </w:rPr>
      </w:pPr>
      <w:bookmarkStart w:id="4" w:name="_Hlk89010792"/>
      <w:r>
        <w:rPr>
          <w:rFonts w:ascii="Times New Roman" w:hAnsi="Times New Roman" w:cs="Times New Roman"/>
          <w:sz w:val="24"/>
          <w:szCs w:val="24"/>
        </w:rPr>
        <w:t xml:space="preserve">Britannia, ‘Moral Standing’, from: </w:t>
      </w:r>
      <w:hyperlink r:id="rId7" w:history="1">
        <w:r w:rsidRPr="001A7E08">
          <w:rPr>
            <w:rStyle w:val="Hyperlink"/>
            <w:rFonts w:ascii="Times New Roman" w:hAnsi="Times New Roman" w:cs="Times New Roman"/>
            <w:sz w:val="24"/>
            <w:szCs w:val="24"/>
          </w:rPr>
          <w:t>https://www.britannica.com/topic/moral-standing</w:t>
        </w:r>
      </w:hyperlink>
      <w:r>
        <w:rPr>
          <w:rFonts w:ascii="Times New Roman" w:hAnsi="Times New Roman" w:cs="Times New Roman"/>
          <w:sz w:val="24"/>
          <w:szCs w:val="24"/>
        </w:rPr>
        <w:t>; [accessed 26</w:t>
      </w:r>
      <w:r w:rsidRPr="008267AD">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2021]</w:t>
      </w:r>
      <w:bookmarkEnd w:id="4"/>
    </w:p>
    <w:p w14:paraId="40225EE3" w14:textId="77777777" w:rsidR="005A4898" w:rsidRPr="005A4898" w:rsidRDefault="005A4898" w:rsidP="002645B7">
      <w:pPr>
        <w:rPr>
          <w:rFonts w:ascii="Times New Roman" w:hAnsi="Times New Roman" w:cs="Times New Roman"/>
          <w:sz w:val="24"/>
          <w:szCs w:val="24"/>
        </w:rPr>
      </w:pPr>
    </w:p>
    <w:sectPr w:rsidR="005A4898" w:rsidRPr="005A48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9CFFC" w14:textId="77777777" w:rsidR="00E61928" w:rsidRDefault="00E61928" w:rsidP="00653EB5">
      <w:pPr>
        <w:spacing w:after="0" w:line="240" w:lineRule="auto"/>
      </w:pPr>
      <w:r>
        <w:separator/>
      </w:r>
    </w:p>
  </w:endnote>
  <w:endnote w:type="continuationSeparator" w:id="0">
    <w:p w14:paraId="25CA91E0" w14:textId="77777777" w:rsidR="00E61928" w:rsidRDefault="00E61928" w:rsidP="00653E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26F1D" w14:textId="77777777" w:rsidR="00E61928" w:rsidRDefault="00E61928" w:rsidP="00653EB5">
      <w:pPr>
        <w:spacing w:after="0" w:line="240" w:lineRule="auto"/>
      </w:pPr>
      <w:r>
        <w:separator/>
      </w:r>
    </w:p>
  </w:footnote>
  <w:footnote w:type="continuationSeparator" w:id="0">
    <w:p w14:paraId="1CE689B0" w14:textId="77777777" w:rsidR="00E61928" w:rsidRDefault="00E61928" w:rsidP="00653EB5">
      <w:pPr>
        <w:spacing w:after="0" w:line="240" w:lineRule="auto"/>
      </w:pPr>
      <w:r>
        <w:continuationSeparator/>
      </w:r>
    </w:p>
  </w:footnote>
  <w:footnote w:id="1">
    <w:p w14:paraId="09101BCB" w14:textId="5B215F00" w:rsidR="00653EB5" w:rsidRPr="00412A51" w:rsidRDefault="00653EB5">
      <w:pPr>
        <w:pStyle w:val="FootnoteText"/>
        <w:rPr>
          <w:rFonts w:ascii="Times New Roman" w:hAnsi="Times New Roman" w:cs="Times New Roman"/>
        </w:rPr>
      </w:pPr>
      <w:r w:rsidRPr="00412A51">
        <w:rPr>
          <w:rStyle w:val="FootnoteReference"/>
          <w:rFonts w:ascii="Times New Roman" w:hAnsi="Times New Roman" w:cs="Times New Roman"/>
        </w:rPr>
        <w:footnoteRef/>
      </w:r>
      <w:r w:rsidRPr="00412A51">
        <w:rPr>
          <w:rFonts w:ascii="Times New Roman" w:hAnsi="Times New Roman" w:cs="Times New Roman"/>
        </w:rPr>
        <w:t xml:space="preserve"> </w:t>
      </w:r>
      <w:r w:rsidR="00E36EE9" w:rsidRPr="00412A51">
        <w:rPr>
          <w:rFonts w:ascii="Times New Roman" w:hAnsi="Times New Roman" w:cs="Times New Roman"/>
        </w:rPr>
        <w:t xml:space="preserve">R. </w:t>
      </w:r>
      <w:r w:rsidR="00CE09A6" w:rsidRPr="00412A51">
        <w:rPr>
          <w:rFonts w:ascii="Times New Roman" w:hAnsi="Times New Roman" w:cs="Times New Roman"/>
          <w:shd w:val="clear" w:color="auto" w:fill="FBF7F5"/>
        </w:rPr>
        <w:t>Humphreys, 'Biocentrism', Springer, </w:t>
      </w:r>
      <w:r w:rsidR="00CE09A6" w:rsidRPr="00412A51">
        <w:rPr>
          <w:rStyle w:val="Emphasis"/>
          <w:rFonts w:ascii="Times New Roman" w:hAnsi="Times New Roman" w:cs="Times New Roman"/>
          <w:shd w:val="clear" w:color="auto" w:fill="FBF7F5"/>
        </w:rPr>
        <w:t>Encyclopedia of Bioethics</w:t>
      </w:r>
      <w:r w:rsidR="00CE09A6" w:rsidRPr="00412A51">
        <w:rPr>
          <w:rFonts w:ascii="Times New Roman" w:hAnsi="Times New Roman" w:cs="Times New Roman"/>
          <w:shd w:val="clear" w:color="auto" w:fill="FBF7F5"/>
        </w:rPr>
        <w:t>, (2014)</w:t>
      </w:r>
      <w:r w:rsidR="00CE09A6" w:rsidRPr="00412A51">
        <w:rPr>
          <w:rFonts w:ascii="Times New Roman" w:hAnsi="Times New Roman" w:cs="Times New Roman"/>
          <w:shd w:val="clear" w:color="auto" w:fill="FBF7F5"/>
        </w:rPr>
        <w:t xml:space="preserve"> p. 4</w:t>
      </w:r>
    </w:p>
  </w:footnote>
  <w:footnote w:id="2">
    <w:p w14:paraId="55ECB8D7" w14:textId="72065B9D" w:rsidR="00E36EE9" w:rsidRPr="00BA4FD2" w:rsidRDefault="00E36EE9" w:rsidP="00BA4FD2">
      <w:pPr>
        <w:rPr>
          <w:rFonts w:ascii="Times New Roman" w:hAnsi="Times New Roman" w:cs="Times New Roman"/>
          <w:sz w:val="20"/>
          <w:szCs w:val="20"/>
        </w:rPr>
      </w:pPr>
      <w:r>
        <w:rPr>
          <w:rStyle w:val="FootnoteReference"/>
        </w:rPr>
        <w:footnoteRef/>
      </w:r>
      <w:r>
        <w:t xml:space="preserve"> </w:t>
      </w:r>
      <w:r w:rsidRPr="00E36EE9">
        <w:rPr>
          <w:rFonts w:ascii="Times New Roman" w:hAnsi="Times New Roman" w:cs="Times New Roman"/>
          <w:sz w:val="20"/>
          <w:szCs w:val="20"/>
        </w:rPr>
        <w:t xml:space="preserve">Britannia, ‘Moral Standing’, from: </w:t>
      </w:r>
      <w:hyperlink r:id="rId1" w:history="1">
        <w:r w:rsidRPr="00E36EE9">
          <w:rPr>
            <w:rStyle w:val="Hyperlink"/>
            <w:rFonts w:ascii="Times New Roman" w:hAnsi="Times New Roman" w:cs="Times New Roman"/>
            <w:sz w:val="20"/>
            <w:szCs w:val="20"/>
          </w:rPr>
          <w:t>https://www.britannica.com/topic/moral-standing</w:t>
        </w:r>
      </w:hyperlink>
      <w:r w:rsidRPr="00E36EE9">
        <w:rPr>
          <w:rFonts w:ascii="Times New Roman" w:hAnsi="Times New Roman" w:cs="Times New Roman"/>
          <w:sz w:val="20"/>
          <w:szCs w:val="20"/>
        </w:rPr>
        <w:t>; [accessed 26</w:t>
      </w:r>
      <w:r w:rsidRPr="00E36EE9">
        <w:rPr>
          <w:rFonts w:ascii="Times New Roman" w:hAnsi="Times New Roman" w:cs="Times New Roman"/>
          <w:sz w:val="20"/>
          <w:szCs w:val="20"/>
          <w:vertAlign w:val="superscript"/>
        </w:rPr>
        <w:t>th</w:t>
      </w:r>
      <w:r w:rsidRPr="00E36EE9">
        <w:rPr>
          <w:rFonts w:ascii="Times New Roman" w:hAnsi="Times New Roman" w:cs="Times New Roman"/>
          <w:sz w:val="20"/>
          <w:szCs w:val="20"/>
        </w:rPr>
        <w:t xml:space="preserve"> November 2021]</w:t>
      </w:r>
    </w:p>
  </w:footnote>
  <w:footnote w:id="3">
    <w:p w14:paraId="6C6E5EC7" w14:textId="67EE38B7" w:rsidR="00BA4FD2" w:rsidRPr="00056A3B" w:rsidRDefault="00BA4FD2" w:rsidP="00056A3B">
      <w:pPr>
        <w:rPr>
          <w:rFonts w:ascii="Times New Roman" w:hAnsi="Times New Roman" w:cs="Times New Roman"/>
          <w:sz w:val="24"/>
          <w:szCs w:val="24"/>
          <w:shd w:val="clear" w:color="auto" w:fill="FBF7F5"/>
        </w:rPr>
      </w:pPr>
      <w:r>
        <w:rPr>
          <w:rStyle w:val="FootnoteReference"/>
        </w:rPr>
        <w:footnoteRef/>
      </w:r>
      <w:r>
        <w:t xml:space="preserve"> </w:t>
      </w:r>
      <w:r w:rsidR="00056A3B">
        <w:t xml:space="preserve">J. </w:t>
      </w:r>
      <w:r w:rsidR="00056A3B" w:rsidRPr="00056A3B">
        <w:rPr>
          <w:rFonts w:ascii="Times New Roman" w:hAnsi="Times New Roman" w:cs="Times New Roman"/>
          <w:sz w:val="20"/>
          <w:szCs w:val="20"/>
          <w:shd w:val="clear" w:color="auto" w:fill="FBF7F5"/>
        </w:rPr>
        <w:t>Feinberg,</w:t>
      </w:r>
      <w:r w:rsidR="00056A3B">
        <w:rPr>
          <w:rFonts w:ascii="Times New Roman" w:hAnsi="Times New Roman" w:cs="Times New Roman"/>
          <w:sz w:val="20"/>
          <w:szCs w:val="20"/>
          <w:shd w:val="clear" w:color="auto" w:fill="FBF7F5"/>
        </w:rPr>
        <w:t xml:space="preserve"> </w:t>
      </w:r>
      <w:r w:rsidR="00056A3B" w:rsidRPr="00056A3B">
        <w:rPr>
          <w:rFonts w:ascii="Times New Roman" w:hAnsi="Times New Roman" w:cs="Times New Roman"/>
          <w:sz w:val="20"/>
          <w:szCs w:val="20"/>
          <w:shd w:val="clear" w:color="auto" w:fill="FBF7F5"/>
        </w:rPr>
        <w:t xml:space="preserve">‘The Rights of Animals and Unborn Generations’, in </w:t>
      </w:r>
      <w:r w:rsidR="00056A3B" w:rsidRPr="00056A3B">
        <w:rPr>
          <w:rFonts w:ascii="Times New Roman" w:hAnsi="Times New Roman" w:cs="Times New Roman"/>
          <w:i/>
          <w:iCs/>
          <w:sz w:val="20"/>
          <w:szCs w:val="20"/>
          <w:shd w:val="clear" w:color="auto" w:fill="FBF7F5"/>
        </w:rPr>
        <w:t>Philosophy and Environmental Crisis</w:t>
      </w:r>
      <w:r w:rsidR="00056A3B" w:rsidRPr="00056A3B">
        <w:rPr>
          <w:rFonts w:ascii="Times New Roman" w:hAnsi="Times New Roman" w:cs="Times New Roman"/>
          <w:sz w:val="20"/>
          <w:szCs w:val="20"/>
          <w:shd w:val="clear" w:color="auto" w:fill="FBF7F5"/>
        </w:rPr>
        <w:t>, ed. William T. Blackstone, (Athens: University of Georgia Press, 1974)</w:t>
      </w:r>
      <w:r w:rsidR="00056A3B">
        <w:rPr>
          <w:rFonts w:ascii="Times New Roman" w:hAnsi="Times New Roman" w:cs="Times New Roman"/>
          <w:sz w:val="20"/>
          <w:szCs w:val="20"/>
          <w:shd w:val="clear" w:color="auto" w:fill="FBF7F5"/>
        </w:rPr>
        <w:t>, p. 51</w:t>
      </w:r>
    </w:p>
  </w:footnote>
  <w:footnote w:id="4">
    <w:p w14:paraId="5D85E4F4" w14:textId="6D2FE37B" w:rsidR="00BB7403" w:rsidRPr="00BB7403" w:rsidRDefault="00BB7403" w:rsidP="00BB7403">
      <w:pPr>
        <w:rPr>
          <w:rFonts w:ascii="Times New Roman" w:hAnsi="Times New Roman" w:cs="Times New Roman"/>
          <w:sz w:val="24"/>
          <w:szCs w:val="24"/>
          <w:shd w:val="clear" w:color="auto" w:fill="FBF7F5"/>
        </w:rPr>
      </w:pPr>
      <w:r>
        <w:rPr>
          <w:rStyle w:val="FootnoteReference"/>
        </w:rPr>
        <w:footnoteRef/>
      </w:r>
      <w:r>
        <w:t xml:space="preserve"> R. </w:t>
      </w:r>
      <w:r w:rsidRPr="00BB7403">
        <w:rPr>
          <w:rFonts w:ascii="Times New Roman" w:hAnsi="Times New Roman" w:cs="Times New Roman"/>
          <w:sz w:val="20"/>
          <w:szCs w:val="20"/>
          <w:shd w:val="clear" w:color="auto" w:fill="FBF7F5"/>
        </w:rPr>
        <w:t>Attfield, ‘The Good of Trees’, in </w:t>
      </w:r>
      <w:r w:rsidRPr="00BB7403">
        <w:rPr>
          <w:rFonts w:ascii="Times New Roman" w:hAnsi="Times New Roman" w:cs="Times New Roman"/>
          <w:i/>
          <w:iCs/>
          <w:sz w:val="20"/>
          <w:szCs w:val="20"/>
          <w:shd w:val="clear" w:color="auto" w:fill="FBF7F5"/>
        </w:rPr>
        <w:t xml:space="preserve">Environmental Philosophy: Principles and Prospects, </w:t>
      </w:r>
      <w:r w:rsidRPr="00BB7403">
        <w:rPr>
          <w:rFonts w:ascii="Times New Roman" w:hAnsi="Times New Roman" w:cs="Times New Roman"/>
          <w:sz w:val="20"/>
          <w:szCs w:val="20"/>
          <w:shd w:val="clear" w:color="auto" w:fill="FBF7F5"/>
        </w:rPr>
        <w:t>(Aldershot: Averbury, 1994)</w:t>
      </w:r>
      <w:r>
        <w:rPr>
          <w:rFonts w:ascii="Times New Roman" w:hAnsi="Times New Roman" w:cs="Times New Roman"/>
          <w:sz w:val="20"/>
          <w:szCs w:val="20"/>
          <w:shd w:val="clear" w:color="auto" w:fill="FBF7F5"/>
        </w:rPr>
        <w:t>, p. 157</w:t>
      </w:r>
    </w:p>
  </w:footnote>
  <w:footnote w:id="5">
    <w:p w14:paraId="6D64A9D9" w14:textId="724D352D" w:rsidR="00412A51" w:rsidRDefault="00412A51">
      <w:pPr>
        <w:pStyle w:val="FootnoteText"/>
      </w:pPr>
      <w:r>
        <w:rPr>
          <w:rStyle w:val="FootnoteReference"/>
        </w:rPr>
        <w:footnoteRef/>
      </w:r>
      <w:r>
        <w:t xml:space="preserve"> </w:t>
      </w:r>
      <w:r w:rsidRPr="00412A51">
        <w:rPr>
          <w:rFonts w:ascii="Times New Roman" w:hAnsi="Times New Roman" w:cs="Times New Roman"/>
          <w:shd w:val="clear" w:color="auto" w:fill="FBF7F5"/>
        </w:rPr>
        <w:t>Humphreys, 'Biocentrism'</w:t>
      </w:r>
      <w:r>
        <w:rPr>
          <w:rFonts w:ascii="Times New Roman" w:hAnsi="Times New Roman" w:cs="Times New Roman"/>
          <w:shd w:val="clear" w:color="auto" w:fill="FBF7F5"/>
        </w:rPr>
        <w:t>, (2014), p. 6</w:t>
      </w:r>
    </w:p>
  </w:footnote>
  <w:footnote w:id="6">
    <w:p w14:paraId="60143EA1" w14:textId="091DA928" w:rsidR="004269A4" w:rsidRPr="004269A4" w:rsidRDefault="004269A4">
      <w:pPr>
        <w:pStyle w:val="FootnoteText"/>
        <w:rPr>
          <w:rFonts w:ascii="Times New Roman" w:hAnsi="Times New Roman" w:cs="Times New Roman"/>
        </w:rPr>
      </w:pPr>
      <w:r w:rsidRPr="004269A4">
        <w:rPr>
          <w:rStyle w:val="FootnoteReference"/>
          <w:rFonts w:ascii="Times New Roman" w:hAnsi="Times New Roman" w:cs="Times New Roman"/>
        </w:rPr>
        <w:footnoteRef/>
      </w:r>
      <w:r w:rsidRPr="004269A4">
        <w:rPr>
          <w:rFonts w:ascii="Times New Roman" w:hAnsi="Times New Roman" w:cs="Times New Roman"/>
        </w:rPr>
        <w:t xml:space="preserve"> </w:t>
      </w:r>
      <w:r w:rsidRPr="00412A51">
        <w:rPr>
          <w:rFonts w:ascii="Times New Roman" w:hAnsi="Times New Roman" w:cs="Times New Roman"/>
          <w:shd w:val="clear" w:color="auto" w:fill="FBF7F5"/>
        </w:rPr>
        <w:t>Humphreys, 'Biocentrism'</w:t>
      </w:r>
      <w:r>
        <w:rPr>
          <w:rFonts w:ascii="Times New Roman" w:hAnsi="Times New Roman" w:cs="Times New Roman"/>
          <w:shd w:val="clear" w:color="auto" w:fill="FBF7F5"/>
        </w:rPr>
        <w:t xml:space="preserve">, (2014), </w:t>
      </w:r>
      <w:r>
        <w:rPr>
          <w:rFonts w:ascii="Times New Roman" w:hAnsi="Times New Roman" w:cs="Times New Roman"/>
        </w:rPr>
        <w:t>p. 9</w:t>
      </w:r>
    </w:p>
  </w:footnote>
  <w:footnote w:id="7">
    <w:p w14:paraId="1B277921" w14:textId="2DDDD66A" w:rsidR="000A2E23" w:rsidRPr="000A2E23" w:rsidRDefault="000A2E23" w:rsidP="000A2E23">
      <w:pPr>
        <w:rPr>
          <w:rFonts w:ascii="Times New Roman" w:hAnsi="Times New Roman" w:cs="Times New Roman"/>
          <w:sz w:val="24"/>
          <w:szCs w:val="24"/>
          <w:shd w:val="clear" w:color="auto" w:fill="FBF7F5"/>
        </w:rPr>
      </w:pPr>
      <w:r>
        <w:rPr>
          <w:rStyle w:val="FootnoteReference"/>
        </w:rPr>
        <w:footnoteRef/>
      </w:r>
      <w:r>
        <w:t xml:space="preserve"> K. </w:t>
      </w:r>
      <w:r w:rsidRPr="000A2E23">
        <w:rPr>
          <w:rFonts w:ascii="Times New Roman" w:hAnsi="Times New Roman" w:cs="Times New Roman"/>
          <w:sz w:val="20"/>
          <w:szCs w:val="20"/>
          <w:shd w:val="clear" w:color="auto" w:fill="FBF7F5"/>
        </w:rPr>
        <w:t>Goodpaster, ‘On Being Morally Considerable’, in </w:t>
      </w:r>
      <w:r w:rsidRPr="000A2E23">
        <w:rPr>
          <w:rFonts w:ascii="Times New Roman" w:hAnsi="Times New Roman" w:cs="Times New Roman"/>
          <w:i/>
          <w:iCs/>
          <w:sz w:val="20"/>
          <w:szCs w:val="20"/>
          <w:shd w:val="clear" w:color="auto" w:fill="FBF7F5"/>
        </w:rPr>
        <w:t>Journal of Philosophy</w:t>
      </w:r>
      <w:r w:rsidRPr="000A2E23">
        <w:rPr>
          <w:rFonts w:ascii="Times New Roman" w:hAnsi="Times New Roman" w:cs="Times New Roman"/>
          <w:sz w:val="20"/>
          <w:szCs w:val="20"/>
          <w:shd w:val="clear" w:color="auto" w:fill="FBF7F5"/>
        </w:rPr>
        <w:t>, 75, (1978), 308-25</w:t>
      </w:r>
      <w:r>
        <w:rPr>
          <w:rFonts w:ascii="Times New Roman" w:hAnsi="Times New Roman" w:cs="Times New Roman"/>
          <w:sz w:val="20"/>
          <w:szCs w:val="20"/>
          <w:shd w:val="clear" w:color="auto" w:fill="FBF7F5"/>
        </w:rPr>
        <w:t>, (p. 311)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558"/>
    <w:rsid w:val="00056A3B"/>
    <w:rsid w:val="000A2E23"/>
    <w:rsid w:val="000F4E59"/>
    <w:rsid w:val="00101852"/>
    <w:rsid w:val="001D4BF9"/>
    <w:rsid w:val="00252CFE"/>
    <w:rsid w:val="002645B7"/>
    <w:rsid w:val="002E22AE"/>
    <w:rsid w:val="003974A8"/>
    <w:rsid w:val="003A4A4E"/>
    <w:rsid w:val="003F255A"/>
    <w:rsid w:val="00412A51"/>
    <w:rsid w:val="004269A4"/>
    <w:rsid w:val="004B0255"/>
    <w:rsid w:val="004D45C8"/>
    <w:rsid w:val="00507F67"/>
    <w:rsid w:val="00540249"/>
    <w:rsid w:val="005A4898"/>
    <w:rsid w:val="006236AC"/>
    <w:rsid w:val="00653EB5"/>
    <w:rsid w:val="00704C50"/>
    <w:rsid w:val="00934DC9"/>
    <w:rsid w:val="00A27B95"/>
    <w:rsid w:val="00BA4FD2"/>
    <w:rsid w:val="00BB7403"/>
    <w:rsid w:val="00C54558"/>
    <w:rsid w:val="00C84E7E"/>
    <w:rsid w:val="00CE09A6"/>
    <w:rsid w:val="00E36EE9"/>
    <w:rsid w:val="00E61928"/>
    <w:rsid w:val="00F64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A7CB19"/>
  <w15:chartTrackingRefBased/>
  <w15:docId w15:val="{5BD9F867-5C05-40AD-BB99-93338FF34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53EB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3EB5"/>
    <w:rPr>
      <w:sz w:val="20"/>
      <w:szCs w:val="20"/>
    </w:rPr>
  </w:style>
  <w:style w:type="character" w:styleId="FootnoteReference">
    <w:name w:val="footnote reference"/>
    <w:basedOn w:val="DefaultParagraphFont"/>
    <w:uiPriority w:val="99"/>
    <w:semiHidden/>
    <w:unhideWhenUsed/>
    <w:rsid w:val="00653EB5"/>
    <w:rPr>
      <w:vertAlign w:val="superscript"/>
    </w:rPr>
  </w:style>
  <w:style w:type="character" w:styleId="Emphasis">
    <w:name w:val="Emphasis"/>
    <w:basedOn w:val="DefaultParagraphFont"/>
    <w:uiPriority w:val="20"/>
    <w:qFormat/>
    <w:rsid w:val="00CE09A6"/>
    <w:rPr>
      <w:i/>
      <w:iCs/>
    </w:rPr>
  </w:style>
  <w:style w:type="character" w:styleId="Hyperlink">
    <w:name w:val="Hyperlink"/>
    <w:basedOn w:val="DefaultParagraphFont"/>
    <w:uiPriority w:val="99"/>
    <w:unhideWhenUsed/>
    <w:rsid w:val="00E36EE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ritannica.com/topic/moral-stand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odle.uwtsd.ac.uk/mod/folder/view.php?id=379428"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britannica.com/topic/moral-stan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1027</TotalTime>
  <Pages>3</Pages>
  <Words>1013</Words>
  <Characters>5718</Characters>
  <Application>Microsoft Office Word</Application>
  <DocSecurity>0</DocSecurity>
  <Lines>121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Law (2103525)</dc:creator>
  <cp:keywords/>
  <dc:description/>
  <cp:lastModifiedBy>Isaac Law (2103525)</cp:lastModifiedBy>
  <cp:revision>3</cp:revision>
  <dcterms:created xsi:type="dcterms:W3CDTF">2021-11-26T14:24:00Z</dcterms:created>
  <dcterms:modified xsi:type="dcterms:W3CDTF">2021-11-28T19:26:00Z</dcterms:modified>
</cp:coreProperties>
</file>