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imes New Roman" w:hAnsi="Times New Roman" w:cs="Times New Roman"/>
          <w:sz w:val="24"/>
          <w:szCs w:val="24"/>
        </w:rPr>
        <w:id w:val="930390944"/>
        <w:docPartObj>
          <w:docPartGallery w:val="autotext"/>
        </w:docPartObj>
      </w:sdtPr>
      <w:sdtEndPr>
        <w:rPr>
          <w:rFonts w:ascii="Times New Roman" w:hAnsi="Times New Roman" w:cs="Times New Roman"/>
          <w:sz w:val="24"/>
          <w:szCs w:val="24"/>
        </w:rPr>
      </w:sdtEndPr>
      <w:sdtContent>
        <w:p>
          <w:pPr>
            <w:spacing w:before="240" w:after="120" w:line="36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595"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11"/>
                                  <w:tblW w:w="4427"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fixed"/>
                                  <w:tblCellMar>
                                    <w:top w:w="1296" w:type="dxa"/>
                                    <w:left w:w="360" w:type="dxa"/>
                                    <w:bottom w:w="1296" w:type="dxa"/>
                                    <w:right w:w="360" w:type="dxa"/>
                                  </w:tblCellMar>
                                </w:tblPr>
                                <w:tblGrid>
                                  <w:gridCol w:w="5519"/>
                                  <w:gridCol w:w="5027"/>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trHeight w:val="12784" w:hRule="atLeast"/>
                                    <w:jc w:val="center"/>
                                  </w:trPr>
                                  <w:tc>
                                    <w:tcPr>
                                      <w:tcW w:w="2616" w:type="pct"/>
                                      <w:vAlign w:val="center"/>
                                    </w:tcPr>
                                    <w:p>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pStyle w:val="16"/>
                                        <w:spacing w:line="312" w:lineRule="auto"/>
                                        <w:jc w:val="both"/>
                                        <w:rPr>
                                          <w:rFonts w:hint="eastAsia" w:eastAsiaTheme="minorEastAsia"/>
                                          <w:caps/>
                                          <w:color w:val="1A1A1A" w:themeColor="text1" w:themeTint="E6"/>
                                          <w:sz w:val="72"/>
                                          <w:szCs w:val="72"/>
                                          <w:lang w:val="en-US" w:eastAsia="zh-CN"/>
                                          <w14:textFill>
                                            <w14:solidFill>
                                              <w14:schemeClr w14:val="tx1">
                                                <w14:lumMod w14:val="90000"/>
                                                <w14:lumOff w14:val="10000"/>
                                              </w14:schemeClr>
                                            </w14:solidFill>
                                          </w14:textFill>
                                        </w:rPr>
                                      </w:pPr>
                                      <w:r>
                                        <w:rPr>
                                          <w:rFonts w:hint="eastAsia"/>
                                          <w:caps/>
                                          <w:color w:val="1A1A1A" w:themeColor="text1" w:themeTint="E6"/>
                                          <w:sz w:val="28"/>
                                          <w:szCs w:val="28"/>
                                          <w:lang w:val="en-US" w:eastAsia="zh-CN"/>
                                          <w14:textFill>
                                            <w14:solidFill>
                                              <w14:schemeClr w14:val="tx1">
                                                <w14:lumMod w14:val="90000"/>
                                                <w14:lumOff w14:val="10000"/>
                                              </w14:schemeClr>
                                            </w14:solidFill>
                                          </w14:textFill>
                                        </w:rPr>
                                        <w:t>[</w:t>
                                      </w:r>
                                      <w:r>
                                        <w:rPr>
                                          <w:rFonts w:hint="default" w:ascii="Arial" w:hAnsi="Arial" w:cs="Arial"/>
                                          <w:caps/>
                                          <w:color w:val="1A1A1A" w:themeColor="text1" w:themeTint="E6"/>
                                          <w:sz w:val="30"/>
                                          <w:szCs w:val="30"/>
                                          <w14:textFill>
                                            <w14:solidFill>
                                              <w14:schemeClr w14:val="tx1">
                                                <w14:lumMod w14:val="90000"/>
                                                <w14:lumOff w14:val="10000"/>
                                              </w14:schemeClr>
                                            </w14:solidFill>
                                          </w14:textFill>
                                        </w:rPr>
                                        <w:t>Cultural Exchange in the Expansion of Clothing Business</w:t>
                                      </w:r>
                                      <w:r>
                                        <w:rPr>
                                          <w:rFonts w:hint="eastAsia"/>
                                          <w:caps/>
                                          <w:color w:val="1A1A1A" w:themeColor="text1" w:themeTint="E6"/>
                                          <w:sz w:val="28"/>
                                          <w:szCs w:val="28"/>
                                          <w:lang w:val="en-US" w:eastAsia="zh-CN"/>
                                          <w14:textFill>
                                            <w14:solidFill>
                                              <w14:schemeClr w14:val="tx1">
                                                <w14:lumMod w14:val="90000"/>
                                                <w14:lumOff w14:val="10000"/>
                                              </w14:schemeClr>
                                            </w14:solidFill>
                                          </w14:textFill>
                                        </w:rPr>
                                        <w:t>]</w:t>
                                      </w:r>
                                    </w:p>
                                    <w:p/>
                                    <w:p>
                                      <w:pPr>
                                        <w:ind w:firstLine="3360" w:firstLineChars="1400"/>
                                        <w:rPr>
                                          <w:rFonts w:hint="default" w:eastAsia="宋体"/>
                                          <w:lang w:val="en-US" w:eastAsia="zh-CN"/>
                                        </w:rPr>
                                      </w:pPr>
                                      <w:r>
                                        <w:rPr>
                                          <w:rFonts w:hint="eastAsia" w:eastAsia="宋体"/>
                                          <w:lang w:val="en-US" w:eastAsia="zh-CN"/>
                                        </w:rPr>
                                        <w:t>[Junyu Yang]</w:t>
                                      </w:r>
                                    </w:p>
                                  </w:tc>
                                  <w:tc>
                                    <w:tcPr>
                                      <w:tcW w:w="2383" w:type="pct"/>
                                      <w:vAlign w:val="center"/>
                                    </w:tcPr>
                                    <w:p>
                                      <w:pPr>
                                        <w:pStyle w:val="2"/>
                                        <w:rPr>
                                          <w:rFonts w:asciiTheme="minorHAnsi" w:hAnsiTheme="minorHAnsi" w:eastAsiaTheme="minorEastAsia" w:cstheme="minorBidi"/>
                                          <w:color w:val="ED7D31" w:themeColor="accent2"/>
                                          <w:sz w:val="26"/>
                                          <w:szCs w:val="26"/>
                                          <w:lang w:val="en-US" w:eastAsia="en-US" w:bidi="ar-SA"/>
                                          <w14:textFill>
                                            <w14:solidFill>
                                              <w14:schemeClr w14:val="accent2"/>
                                            </w14:solidFill>
                                          </w14:textFill>
                                        </w:rPr>
                                      </w:pPr>
                                      <w:r>
                                        <w:rPr>
                                          <w:rFonts w:asciiTheme="minorHAnsi" w:hAnsiTheme="minorHAnsi" w:eastAsiaTheme="minorEastAsia" w:cstheme="minorBidi"/>
                                          <w:color w:val="ED7D31" w:themeColor="accent2"/>
                                          <w:sz w:val="26"/>
                                          <w:szCs w:val="26"/>
                                          <w:lang w:val="en-US" w:eastAsia="en-US" w:bidi="ar-SA"/>
                                          <w14:textFill>
                                            <w14:solidFill>
                                              <w14:schemeClr w14:val="accent2"/>
                                            </w14:solidFill>
                                          </w14:textFill>
                                        </w:rPr>
                                        <w:t>Abstract</w:t>
                                      </w:r>
                                    </w:p>
                                    <w:p>
                                      <w:pPr>
                                        <w:jc w:val="both"/>
                                      </w:pPr>
                                      <w:r>
                                        <w:rPr>
                                          <w:rFonts w:hint="eastAsia"/>
                                        </w:rPr>
                                        <w:t>This report explores the complexity of a clothing retailer's expansion into the Asian market, emphasizing the key roles of cultural awareness, relationship building, and effective communication.</w:t>
                                      </w:r>
                                      <w:r>
                                        <w:t xml:space="preserve"> The analysis underscores the significance of trust as a cornerstone for successful collaborations. Key findings highlight the impact of cultural nuances on business dynamics, urging strategic adaptation. The report concludes with recommendations, including cultural training and strategic flexibility, to navigate the complexities of international business in Asia.</w:t>
                                      </w:r>
                                    </w:p>
                                    <w:p>
                                      <w:pPr>
                                        <w:jc w:val="both"/>
                                      </w:pPr>
                                    </w:p>
                                    <w:sdt>
                                      <w:sdtPr>
                                        <w:rPr>
                                          <w:color w:val="ED7D31" w:themeColor="accent2"/>
                                          <w:sz w:val="26"/>
                                          <w:szCs w:val="26"/>
                                          <w14:textFill>
                                            <w14:solidFill>
                                              <w14:schemeClr w14:val="accent2"/>
                                            </w14:solidFill>
                                          </w14:textFill>
                                        </w:rPr>
                                        <w:alias w:val="Author"/>
                                        <w:id w:val="-279026076"/>
                                        <w:showingPlcHdr/>
                                        <w:dataBinding w:prefixMappings="xmlns:ns0='http://purl.org/dc/elements/1.1/' xmlns:ns1='http://schemas.openxmlformats.org/package/2006/metadata/core-properties' " w:xpath="/ns1:coreProperties[1]/ns0:creator[1]" w:storeItemID="{6C3C8BC8-F283-45AE-878A-BAB7291924A1}"/>
                                        <w:text/>
                                      </w:sdtPr>
                                      <w:sdtEndPr>
                                        <w:rPr>
                                          <w:color w:val="ED7D31" w:themeColor="accent2"/>
                                          <w:sz w:val="26"/>
                                          <w:szCs w:val="26"/>
                                          <w14:textFill>
                                            <w14:solidFill>
                                              <w14:schemeClr w14:val="accent2"/>
                                            </w14:solidFill>
                                          </w14:textFill>
                                        </w:rPr>
                                      </w:sdtEndPr>
                                      <w:sdtContent>
                                        <w:p>
                                          <w:pPr>
                                            <w:pStyle w:val="16"/>
                                            <w:rPr>
                                              <w:color w:val="ED7D31" w:themeColor="accent2"/>
                                              <w:sz w:val="26"/>
                                              <w:szCs w:val="26"/>
                                              <w14:textFill>
                                                <w14:solidFill>
                                                  <w14:schemeClr w14:val="accent2"/>
                                                </w14:solidFill>
                                              </w14:textFill>
                                            </w:rPr>
                                          </w:pPr>
                                        </w:p>
                                      </w:sdtContent>
                                    </w:sdt>
                                    <w:p>
                                      <w:sdt>
                                        <w:sdtPr>
                                          <w:rPr>
                                            <w:color w:val="44546A" w:themeColor="text2"/>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14:textFill>
                                              <w14:solidFill>
                                                <w14:schemeClr w14:val="tx2"/>
                                              </w14:solidFill>
                                            </w14:textFill>
                                          </w:rPr>
                                        </w:sdtEndPr>
                                        <w:sdtContent/>
                                      </w:sdt>
                                      <w:r>
                                        <w:rPr>
                                          <w:rFonts w:hint="eastAsia"/>
                                          <w:color w:val="44546A" w:themeColor="text2"/>
                                          <w14:textFill>
                                            <w14:solidFill>
                                              <w14:schemeClr w14:val="tx2"/>
                                            </w14:solidFill>
                                          </w14:textFill>
                                        </w:rPr>
                                        <w:t>International Business Communication</w:t>
                                      </w:r>
                                    </w:p>
                                  </w:tc>
                                </w:tr>
                              </w:tbl>
                              <w:p/>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6" o:spt="202" type="#_x0000_t202" style="position:absolute;left:0pt;height:302.4pt;width:134.85pt;mso-position-horizontal:center;mso-position-horizontal-relative:page;mso-position-vertical:center;mso-position-vertical-relative:page;z-index:251659264;v-text-anchor:middle;mso-width-relative:page;mso-height-relative:page;mso-width-percent:941;mso-height-percent:773;" fillcolor="#FFFFFF [3201]" filled="t" stroked="f" coordsize="21600,21600" o:gfxdata="UEsDBAoAAAAAAIdO4kAAAAAAAAAAAAAAAAAEAAAAZHJzL1BLAwQUAAAACACHTuJAYftLZ9UAAAAF&#10;AQAADwAAAGRycy9kb3ducmV2LnhtbE2PwU7DMBBE70j8g7VI3KjdCkIJcSrUinNFCkTctvGSRNjr&#10;KHbb8PcYLuWy0mhGM2+L1eSsONIYes8a5jMFgrjxpudWw+vu+WYJIkRkg9YzafimAKvy8qLA3PgT&#10;v9Cxiq1IJRxy1NDFOORShqYjh2HmB+LkffrRYUxybKUZ8ZTKnZULpTLpsOe00OFA646ar+rgNHwM&#10;brtx73fVk6q3602o7W6q37S+vpqrRxCRpngOwy9+QocyMe39gU0QVkN6JP7d5C2yh3sQew2Zul2C&#10;LAv5n778AVBLAwQUAAAACACHTuJAfZnjhkECAACTBAAADgAAAGRycy9lMm9Eb2MueG1srVRNbxMx&#10;EL0j8R8s3+nmo5QQdVOFVkFIFa2UIs6O15u15PUY28lu+fU8e7MtFA49kIMz9ozf+L2Z2curvjXs&#10;qHzQZEs+PZtwpqykStt9yb89bN4tOAtR2EoYsqrkjyrwq9XbN5edW6oZNWQq5RlAbFh2ruRNjG5Z&#10;FEE2qhXhjJyycNbkWxGx9fui8qIDemuK2WRyUXTkK+dJqhBwejM4+QnRvwaQ6lpLdUPy0CobB1Sv&#10;jIigFBrtAl/l19a1kvGuroOKzJQcTGNekQT2Lq3F6lIs9164RsvTE8RrnvCCUyu0RdInqBsRBTt4&#10;/RdUq6WnQHU8k9QWA5GsCFhMJy+02TbCqcwFUgf3JHr4f7Dy6/HeM12hE+YovBUtSv6g+sg+Uc/S&#10;GRTqXFgicOsQGns4ED2eBxwm4n3t2/QPSgx+6Pv4pG+Ck+nSh+ls8REuCd98cT45X+QKFM/XnQ/x&#10;s6KWJaPkHgXMuorjbYh4CkLHkJQtkNHVRhuTN36/uzaeHQWKvcm/9Epc+SPMWNaV/GL+fpKRLaX7&#10;Q5yxCUflvjnlS9wHjsmK/a4/CbKj6hF6eBp6Kji50XjzrQjxXng0EXhizOIdltoQUtLJ4qwh//Nf&#10;5yketYWXsw5NWfLw4yC84sx8sag6IONo+NHYjYY9tNcE6lMMsJPZxAUfzWjWntrvmL51ygKXsBK5&#10;Si6jHzfXcRgOzK9U63UOQ6c6EW/t1skEniSytD5EqnUuSRJmUANipw16Nct+mqs0DL/vc9Tzt2T1&#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GH7S2fVAAAABQEAAA8AAAAAAAAAAQAgAAAAIgAAAGRy&#10;cy9kb3ducmV2LnhtbFBLAQIUABQAAAAIAIdO4kB9meOGQQIAAJMEAAAOAAAAAAAAAAEAIAAAACQB&#10;AABkcnMvZTJvRG9jLnhtbFBLBQYAAAAABgAGAFkBAADXBQAAAAA=&#10;">
                    <v:fill on="t" focussize="0,0"/>
                    <v:stroke on="f" weight="0.5pt"/>
                    <v:imagedata o:title=""/>
                    <o:lock v:ext="edit" aspectratio="f"/>
                    <v:textbox inset="0mm,0mm,0mm,0mm">
                      <w:txbxContent>
                        <w:tbl>
                          <w:tblPr>
                            <w:tblStyle w:val="11"/>
                            <w:tblW w:w="4427"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fixed"/>
                            <w:tblCellMar>
                              <w:top w:w="1296" w:type="dxa"/>
                              <w:left w:w="360" w:type="dxa"/>
                              <w:bottom w:w="1296" w:type="dxa"/>
                              <w:right w:w="360" w:type="dxa"/>
                            </w:tblCellMar>
                          </w:tblPr>
                          <w:tblGrid>
                            <w:gridCol w:w="5519"/>
                            <w:gridCol w:w="5027"/>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trHeight w:val="12784" w:hRule="atLeast"/>
                              <w:jc w:val="center"/>
                            </w:trPr>
                            <w:tc>
                              <w:tcPr>
                                <w:tcW w:w="2616" w:type="pct"/>
                                <w:vAlign w:val="center"/>
                              </w:tcPr>
                              <w:p>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pStyle w:val="16"/>
                                  <w:spacing w:line="312" w:lineRule="auto"/>
                                  <w:jc w:val="both"/>
                                  <w:rPr>
                                    <w:rFonts w:hint="eastAsia" w:eastAsiaTheme="minorEastAsia"/>
                                    <w:caps/>
                                    <w:color w:val="1A1A1A" w:themeColor="text1" w:themeTint="E6"/>
                                    <w:sz w:val="72"/>
                                    <w:szCs w:val="72"/>
                                    <w:lang w:val="en-US" w:eastAsia="zh-CN"/>
                                    <w14:textFill>
                                      <w14:solidFill>
                                        <w14:schemeClr w14:val="tx1">
                                          <w14:lumMod w14:val="90000"/>
                                          <w14:lumOff w14:val="10000"/>
                                        </w14:schemeClr>
                                      </w14:solidFill>
                                    </w14:textFill>
                                  </w:rPr>
                                </w:pPr>
                                <w:r>
                                  <w:rPr>
                                    <w:rFonts w:hint="eastAsia"/>
                                    <w:caps/>
                                    <w:color w:val="1A1A1A" w:themeColor="text1" w:themeTint="E6"/>
                                    <w:sz w:val="28"/>
                                    <w:szCs w:val="28"/>
                                    <w:lang w:val="en-US" w:eastAsia="zh-CN"/>
                                    <w14:textFill>
                                      <w14:solidFill>
                                        <w14:schemeClr w14:val="tx1">
                                          <w14:lumMod w14:val="90000"/>
                                          <w14:lumOff w14:val="10000"/>
                                        </w14:schemeClr>
                                      </w14:solidFill>
                                    </w14:textFill>
                                  </w:rPr>
                                  <w:t>[</w:t>
                                </w:r>
                                <w:r>
                                  <w:rPr>
                                    <w:rFonts w:hint="default" w:ascii="Arial" w:hAnsi="Arial" w:cs="Arial"/>
                                    <w:caps/>
                                    <w:color w:val="1A1A1A" w:themeColor="text1" w:themeTint="E6"/>
                                    <w:sz w:val="30"/>
                                    <w:szCs w:val="30"/>
                                    <w14:textFill>
                                      <w14:solidFill>
                                        <w14:schemeClr w14:val="tx1">
                                          <w14:lumMod w14:val="90000"/>
                                          <w14:lumOff w14:val="10000"/>
                                        </w14:schemeClr>
                                      </w14:solidFill>
                                    </w14:textFill>
                                  </w:rPr>
                                  <w:t>Cultural Exchange in the Expansion of Clothing Business</w:t>
                                </w:r>
                                <w:r>
                                  <w:rPr>
                                    <w:rFonts w:hint="eastAsia"/>
                                    <w:caps/>
                                    <w:color w:val="1A1A1A" w:themeColor="text1" w:themeTint="E6"/>
                                    <w:sz w:val="28"/>
                                    <w:szCs w:val="28"/>
                                    <w:lang w:val="en-US" w:eastAsia="zh-CN"/>
                                    <w14:textFill>
                                      <w14:solidFill>
                                        <w14:schemeClr w14:val="tx1">
                                          <w14:lumMod w14:val="90000"/>
                                          <w14:lumOff w14:val="10000"/>
                                        </w14:schemeClr>
                                      </w14:solidFill>
                                    </w14:textFill>
                                  </w:rPr>
                                  <w:t>]</w:t>
                                </w:r>
                              </w:p>
                              <w:p/>
                              <w:p>
                                <w:pPr>
                                  <w:ind w:firstLine="3360" w:firstLineChars="1400"/>
                                  <w:rPr>
                                    <w:rFonts w:hint="default" w:eastAsia="宋体"/>
                                    <w:lang w:val="en-US" w:eastAsia="zh-CN"/>
                                  </w:rPr>
                                </w:pPr>
                                <w:r>
                                  <w:rPr>
                                    <w:rFonts w:hint="eastAsia" w:eastAsia="宋体"/>
                                    <w:lang w:val="en-US" w:eastAsia="zh-CN"/>
                                  </w:rPr>
                                  <w:t>[Junyu Yang]</w:t>
                                </w:r>
                              </w:p>
                            </w:tc>
                            <w:tc>
                              <w:tcPr>
                                <w:tcW w:w="2383" w:type="pct"/>
                                <w:vAlign w:val="center"/>
                              </w:tcPr>
                              <w:p>
                                <w:pPr>
                                  <w:pStyle w:val="2"/>
                                  <w:rPr>
                                    <w:rFonts w:asciiTheme="minorHAnsi" w:hAnsiTheme="minorHAnsi" w:eastAsiaTheme="minorEastAsia" w:cstheme="minorBidi"/>
                                    <w:color w:val="ED7D31" w:themeColor="accent2"/>
                                    <w:sz w:val="26"/>
                                    <w:szCs w:val="26"/>
                                    <w:lang w:val="en-US" w:eastAsia="en-US" w:bidi="ar-SA"/>
                                    <w14:textFill>
                                      <w14:solidFill>
                                        <w14:schemeClr w14:val="accent2"/>
                                      </w14:solidFill>
                                    </w14:textFill>
                                  </w:rPr>
                                </w:pPr>
                                <w:r>
                                  <w:rPr>
                                    <w:rFonts w:asciiTheme="minorHAnsi" w:hAnsiTheme="minorHAnsi" w:eastAsiaTheme="minorEastAsia" w:cstheme="minorBidi"/>
                                    <w:color w:val="ED7D31" w:themeColor="accent2"/>
                                    <w:sz w:val="26"/>
                                    <w:szCs w:val="26"/>
                                    <w:lang w:val="en-US" w:eastAsia="en-US" w:bidi="ar-SA"/>
                                    <w14:textFill>
                                      <w14:solidFill>
                                        <w14:schemeClr w14:val="accent2"/>
                                      </w14:solidFill>
                                    </w14:textFill>
                                  </w:rPr>
                                  <w:t>Abstract</w:t>
                                </w:r>
                              </w:p>
                              <w:p>
                                <w:pPr>
                                  <w:jc w:val="both"/>
                                </w:pPr>
                                <w:r>
                                  <w:rPr>
                                    <w:rFonts w:hint="eastAsia"/>
                                  </w:rPr>
                                  <w:t>This report explores the complexity of a clothing retailer's expansion into the Asian market, emphasizing the key roles of cultural awareness, relationship building, and effective communication.</w:t>
                                </w:r>
                                <w:r>
                                  <w:t xml:space="preserve"> The analysis underscores the significance of trust as a cornerstone for successful collaborations. Key findings highlight the impact of cultural nuances on business dynamics, urging strategic adaptation. The report concludes with recommendations, including cultural training and strategic flexibility, to navigate the complexities of international business in Asia.</w:t>
                                </w:r>
                              </w:p>
                              <w:p>
                                <w:pPr>
                                  <w:jc w:val="both"/>
                                </w:pPr>
                              </w:p>
                              <w:sdt>
                                <w:sdtPr>
                                  <w:rPr>
                                    <w:color w:val="ED7D31" w:themeColor="accent2"/>
                                    <w:sz w:val="26"/>
                                    <w:szCs w:val="26"/>
                                    <w14:textFill>
                                      <w14:solidFill>
                                        <w14:schemeClr w14:val="accent2"/>
                                      </w14:solidFill>
                                    </w14:textFill>
                                  </w:rPr>
                                  <w:alias w:val="Author"/>
                                  <w:id w:val="-279026076"/>
                                  <w:showingPlcHdr/>
                                  <w:dataBinding w:prefixMappings="xmlns:ns0='http://purl.org/dc/elements/1.1/' xmlns:ns1='http://schemas.openxmlformats.org/package/2006/metadata/core-properties' " w:xpath="/ns1:coreProperties[1]/ns0:creator[1]" w:storeItemID="{6C3C8BC8-F283-45AE-878A-BAB7291924A1}"/>
                                  <w:text/>
                                </w:sdtPr>
                                <w:sdtEndPr>
                                  <w:rPr>
                                    <w:color w:val="ED7D31" w:themeColor="accent2"/>
                                    <w:sz w:val="26"/>
                                    <w:szCs w:val="26"/>
                                    <w14:textFill>
                                      <w14:solidFill>
                                        <w14:schemeClr w14:val="accent2"/>
                                      </w14:solidFill>
                                    </w14:textFill>
                                  </w:rPr>
                                </w:sdtEndPr>
                                <w:sdtContent>
                                  <w:p>
                                    <w:pPr>
                                      <w:pStyle w:val="16"/>
                                      <w:rPr>
                                        <w:color w:val="ED7D31" w:themeColor="accent2"/>
                                        <w:sz w:val="26"/>
                                        <w:szCs w:val="26"/>
                                        <w14:textFill>
                                          <w14:solidFill>
                                            <w14:schemeClr w14:val="accent2"/>
                                          </w14:solidFill>
                                        </w14:textFill>
                                      </w:rPr>
                                    </w:pPr>
                                  </w:p>
                                </w:sdtContent>
                              </w:sdt>
                              <w:p>
                                <w:sdt>
                                  <w:sdtPr>
                                    <w:rPr>
                                      <w:color w:val="44546A" w:themeColor="text2"/>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14:textFill>
                                        <w14:solidFill>
                                          <w14:schemeClr w14:val="tx2"/>
                                        </w14:solidFill>
                                      </w14:textFill>
                                    </w:rPr>
                                  </w:sdtEndPr>
                                  <w:sdtContent/>
                                </w:sdt>
                                <w:r>
                                  <w:rPr>
                                    <w:rFonts w:hint="eastAsia"/>
                                    <w:color w:val="44546A" w:themeColor="text2"/>
                                    <w14:textFill>
                                      <w14:solidFill>
                                        <w14:schemeClr w14:val="tx2"/>
                                      </w14:solidFill>
                                    </w14:textFill>
                                  </w:rPr>
                                  <w:t>International Business Communication</w:t>
                                </w:r>
                              </w:p>
                            </w:tc>
                          </w:tr>
                        </w:tbl>
                        <w:p/>
                      </w:txbxContent>
                    </v:textbox>
                  </v:shape>
                </w:pict>
              </mc:Fallback>
            </mc:AlternateContent>
          </w:r>
          <w:r>
            <w:rPr>
              <w:rFonts w:ascii="Times New Roman" w:hAnsi="Times New Roman" w:cs="Times New Roman"/>
              <w:sz w:val="24"/>
              <w:szCs w:val="24"/>
            </w:rPr>
            <w:br w:type="page"/>
          </w:r>
        </w:p>
      </w:sdtContent>
    </w:sdt>
    <w:p>
      <w:pPr>
        <w:pStyle w:val="2"/>
        <w:spacing w:after="120" w:line="360" w:lineRule="auto"/>
        <w:rPr>
          <w:rFonts w:ascii="Arial" w:hAnsi="Arial" w:cs="Times New Roman"/>
          <w:b/>
          <w:bCs/>
          <w:color w:val="auto"/>
          <w:sz w:val="24"/>
          <w:szCs w:val="24"/>
        </w:rPr>
      </w:pPr>
      <w:bookmarkStart w:id="0" w:name="_Toc23376"/>
      <w:r>
        <w:rPr>
          <w:rFonts w:ascii="Arial" w:hAnsi="Arial" w:cs="Times New Roman"/>
          <w:b/>
          <w:bCs/>
          <w:color w:val="auto"/>
          <w:sz w:val="24"/>
          <w:szCs w:val="24"/>
        </w:rPr>
        <w:t>Executive Summary</w:t>
      </w:r>
      <w:bookmarkEnd w:id="0"/>
    </w:p>
    <w:p>
      <w:pPr>
        <w:pBdr>
          <w:bottom w:val="single" w:color="auto" w:sz="4" w:space="1"/>
        </w:pBdr>
        <w:spacing w:before="240" w:after="120" w:line="360" w:lineRule="auto"/>
        <w:rPr>
          <w:rFonts w:ascii="Arial" w:hAnsi="Arial" w:cs="Times New Roman"/>
          <w:b/>
          <w:bCs/>
          <w:sz w:val="24"/>
          <w:szCs w:val="24"/>
        </w:rPr>
      </w:pPr>
    </w:p>
    <w:p>
      <w:pPr>
        <w:spacing w:before="240" w:after="120" w:line="360" w:lineRule="auto"/>
        <w:jc w:val="both"/>
        <w:rPr>
          <w:rFonts w:hint="eastAsia" w:ascii="Arial" w:hAnsi="Arial" w:eastAsia="宋体" w:cs="Times New Roman"/>
          <w:sz w:val="24"/>
          <w:szCs w:val="24"/>
          <w:lang w:val="en-US" w:eastAsia="zh-CN"/>
        </w:rPr>
      </w:pPr>
      <w:r>
        <w:rPr>
          <w:rFonts w:hint="eastAsia" w:ascii="Arial" w:hAnsi="Arial" w:cs="Times New Roman"/>
          <w:sz w:val="24"/>
          <w:szCs w:val="24"/>
        </w:rPr>
        <w:t>The purpose of this report is to discuss the skills required to promote successful international business exchange, while paying attention to the diverse cultures of clothing retailers seeking to enter the Asian market. Through extensive research on cultural and business aspects in international business communication, this report finds that there are different communication styles in the Asian market. According to Hall's cultural model, high context cultures prefer indirect, implicit, and nonverbal communication methods, while low context cultures prefer direct, explicit, and dependent language expression (Shynkaruk et al., 2018). For clothing retailers entering the Asian market, Trompenaar's dimensions provide a framework for understanding and adapting to diverse cultural landscapes (Trompenaars, 1996). In addition to communication methods, trust is also important in driving these Asian markets to achieve effective international business cooperation. It helps to establish business relationships with key stakeholders. However, companies need to be aware that cultural misunderstandings, communication barriers, lack of trust, mismatched expectations, and lack of cultural sensitivity can lead to the failure of these markets. Therefore, in the event of failure, they need to conduct root cause analysis, adapt and learn, make strategic adjustments, and strengthen communication with stakeholders. In this way, they will demonstrate commitment and be able to repair their relationship and trust with consumers. This will also help them establish customer loyalty. By adopting proactive and adaptable methods, retailers can not only effectively solve failure problems, but also transform them into valuable learning experiences. In addition, retailers also need to make significant investments in cultural training, continuous monitoring, and strategic flexibility</w:t>
      </w:r>
      <w:r>
        <w:rPr>
          <w:rFonts w:hint="eastAsia" w:eastAsia="宋体" w:cs="Times New Roman"/>
          <w:sz w:val="24"/>
          <w:szCs w:val="24"/>
          <w:lang w:val="en-US" w:eastAsia="zh-CN"/>
        </w:rPr>
        <w:t>.</w:t>
      </w: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b/>
          <w:bCs/>
          <w:sz w:val="24"/>
          <w:szCs w:val="24"/>
        </w:rPr>
      </w:pPr>
    </w:p>
    <w:p>
      <w:pPr>
        <w:pBdr>
          <w:bottom w:val="single" w:color="auto" w:sz="4" w:space="1"/>
        </w:pBdr>
        <w:spacing w:before="240" w:after="120" w:line="360" w:lineRule="auto"/>
        <w:rPr>
          <w:rFonts w:ascii="Arial" w:hAnsi="Arial" w:cs="Times New Roman"/>
          <w:b/>
          <w:bCs/>
          <w:sz w:val="24"/>
          <w:szCs w:val="24"/>
        </w:rPr>
      </w:pPr>
      <w:r>
        <w:rPr>
          <w:rFonts w:ascii="Arial" w:hAnsi="Arial" w:cs="Times New Roman"/>
          <w:b/>
          <w:bCs/>
          <w:sz w:val="24"/>
          <w:szCs w:val="24"/>
        </w:rPr>
        <w:t>Content Page</w:t>
      </w:r>
    </w:p>
    <w:sdt>
      <w:sdtPr>
        <w:rPr>
          <w:rFonts w:ascii="Arial" w:hAnsi="Arial" w:cs="Times New Roman" w:eastAsiaTheme="minorEastAsia"/>
          <w:color w:val="auto"/>
          <w:sz w:val="24"/>
          <w:szCs w:val="24"/>
          <w:lang w:val="en-GB" w:eastAsia="zh-CN"/>
        </w:rPr>
        <w:id w:val="2070991690"/>
        <w:docPartObj>
          <w:docPartGallery w:val="Table of Contents"/>
          <w:docPartUnique/>
        </w:docPartObj>
      </w:sdtPr>
      <w:sdtEndPr>
        <w:rPr>
          <w:rFonts w:ascii="Arial" w:hAnsi="Arial" w:cs="Times New Roman" w:eastAsiaTheme="minorEastAsia"/>
          <w:color w:val="auto"/>
          <w:sz w:val="24"/>
          <w:szCs w:val="24"/>
          <w:lang w:val="en-GB" w:eastAsia="zh-CN"/>
        </w:rPr>
      </w:sdtEndPr>
      <w:sdtContent>
        <w:p>
          <w:pPr>
            <w:pStyle w:val="20"/>
            <w:spacing w:after="120" w:line="360" w:lineRule="auto"/>
            <w:jc w:val="center"/>
            <w:rPr>
              <w:rFonts w:ascii="Arial" w:hAnsi="Arial" w:cs="Times New Roman"/>
              <w:b/>
              <w:bCs/>
              <w:color w:val="auto"/>
              <w:sz w:val="24"/>
              <w:szCs w:val="24"/>
            </w:rPr>
          </w:pPr>
        </w:p>
        <w:p>
          <w:pPr>
            <w:pStyle w:val="8"/>
            <w:tabs>
              <w:tab w:val="right" w:leader="dot" w:pos="9026"/>
            </w:tabs>
          </w:pPr>
          <w:r>
            <w:rPr>
              <w:rFonts w:ascii="Arial" w:hAnsi="Arial" w:cs="Times New Roman"/>
              <w:sz w:val="24"/>
              <w:szCs w:val="24"/>
            </w:rPr>
            <w:fldChar w:fldCharType="begin"/>
          </w:r>
          <w:r>
            <w:rPr>
              <w:rFonts w:ascii="Arial" w:hAnsi="Arial" w:cs="Times New Roman"/>
              <w:sz w:val="24"/>
              <w:szCs w:val="24"/>
            </w:rPr>
            <w:instrText xml:space="preserve"> TOC \o "1-3" \h \z \u </w:instrText>
          </w:r>
          <w:r>
            <w:rPr>
              <w:rFonts w:ascii="Arial" w:hAnsi="Arial" w:cs="Times New Roman"/>
              <w:sz w:val="24"/>
              <w:szCs w:val="24"/>
            </w:rPr>
            <w:fldChar w:fldCharType="separate"/>
          </w:r>
          <w:r>
            <w:rPr>
              <w:rFonts w:ascii="Arial" w:hAnsi="Arial" w:cs="Times New Roman"/>
              <w:szCs w:val="24"/>
            </w:rPr>
            <w:fldChar w:fldCharType="begin"/>
          </w:r>
          <w:r>
            <w:rPr>
              <w:rFonts w:ascii="Arial" w:hAnsi="Arial" w:cs="Times New Roman"/>
              <w:szCs w:val="24"/>
            </w:rPr>
            <w:instrText xml:space="preserve"> HYPERLINK \l _Toc23376 </w:instrText>
          </w:r>
          <w:r>
            <w:rPr>
              <w:rFonts w:ascii="Arial" w:hAnsi="Arial" w:cs="Times New Roman"/>
              <w:szCs w:val="24"/>
            </w:rPr>
            <w:fldChar w:fldCharType="separate"/>
          </w:r>
          <w:r>
            <w:rPr>
              <w:rFonts w:ascii="Arial" w:hAnsi="Arial" w:cs="Times New Roman"/>
              <w:bCs/>
              <w:szCs w:val="24"/>
            </w:rPr>
            <w:t>Executive Summary</w:t>
          </w:r>
          <w:r>
            <w:tab/>
          </w:r>
          <w:r>
            <w:fldChar w:fldCharType="begin"/>
          </w:r>
          <w:r>
            <w:instrText xml:space="preserve"> PAGEREF _Toc23376 \h </w:instrText>
          </w:r>
          <w:r>
            <w:fldChar w:fldCharType="separate"/>
          </w:r>
          <w:r>
            <w:t>1</w:t>
          </w:r>
          <w:r>
            <w:fldChar w:fldCharType="end"/>
          </w:r>
          <w:r>
            <w:rPr>
              <w:rFonts w:ascii="Arial" w:hAnsi="Arial" w:cs="Times New Roman"/>
              <w:szCs w:val="24"/>
            </w:rPr>
            <w:fldChar w:fldCharType="end"/>
          </w:r>
        </w:p>
        <w:p>
          <w:pPr>
            <w:pStyle w:val="8"/>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_Toc17437 </w:instrText>
          </w:r>
          <w:r>
            <w:rPr>
              <w:rFonts w:ascii="Arial" w:hAnsi="Arial" w:cs="Times New Roman"/>
              <w:szCs w:val="24"/>
            </w:rPr>
            <w:fldChar w:fldCharType="separate"/>
          </w:r>
          <w:r>
            <w:rPr>
              <w:rFonts w:ascii="Arial" w:hAnsi="Arial" w:cs="Times New Roman"/>
              <w:bCs/>
              <w:szCs w:val="24"/>
            </w:rPr>
            <w:t>1.0. – Introduction</w:t>
          </w:r>
          <w:r>
            <w:tab/>
          </w:r>
          <w:r>
            <w:fldChar w:fldCharType="begin"/>
          </w:r>
          <w:r>
            <w:instrText xml:space="preserve"> PAGEREF _Toc17437 \h </w:instrText>
          </w:r>
          <w:r>
            <w:fldChar w:fldCharType="separate"/>
          </w:r>
          <w:r>
            <w:t>3</w:t>
          </w:r>
          <w:r>
            <w:fldChar w:fldCharType="end"/>
          </w:r>
          <w:r>
            <w:rPr>
              <w:rFonts w:ascii="Arial" w:hAnsi="Arial" w:cs="Times New Roman"/>
              <w:szCs w:val="24"/>
            </w:rPr>
            <w:fldChar w:fldCharType="end"/>
          </w:r>
        </w:p>
        <w:p>
          <w:pPr>
            <w:pStyle w:val="8"/>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_Toc28125 </w:instrText>
          </w:r>
          <w:r>
            <w:rPr>
              <w:rFonts w:ascii="Arial" w:hAnsi="Arial" w:cs="Times New Roman"/>
              <w:szCs w:val="24"/>
            </w:rPr>
            <w:fldChar w:fldCharType="separate"/>
          </w:r>
          <w:r>
            <w:rPr>
              <w:rFonts w:ascii="Arial" w:hAnsi="Arial" w:cs="Times New Roman"/>
              <w:bCs/>
              <w:szCs w:val="24"/>
            </w:rPr>
            <w:t>2.0 – Main Findings</w:t>
          </w:r>
          <w:r>
            <w:tab/>
          </w:r>
          <w:r>
            <w:fldChar w:fldCharType="begin"/>
          </w:r>
          <w:r>
            <w:instrText xml:space="preserve"> PAGEREF _Toc28125 \h </w:instrText>
          </w:r>
          <w:r>
            <w:fldChar w:fldCharType="separate"/>
          </w:r>
          <w:r>
            <w:t>4</w:t>
          </w:r>
          <w:r>
            <w:fldChar w:fldCharType="end"/>
          </w:r>
          <w:r>
            <w:rPr>
              <w:rFonts w:ascii="Arial" w:hAnsi="Arial" w:cs="Times New Roman"/>
              <w:szCs w:val="24"/>
            </w:rPr>
            <w:fldChar w:fldCharType="end"/>
          </w:r>
        </w:p>
        <w:p>
          <w:pPr>
            <w:pStyle w:val="9"/>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_Toc30996 </w:instrText>
          </w:r>
          <w:r>
            <w:rPr>
              <w:rFonts w:ascii="Arial" w:hAnsi="Arial" w:cs="Times New Roman"/>
              <w:szCs w:val="24"/>
            </w:rPr>
            <w:fldChar w:fldCharType="separate"/>
          </w:r>
          <w:r>
            <w:rPr>
              <w:rFonts w:ascii="Arial" w:hAnsi="Arial" w:cs="Times New Roman"/>
              <w:bCs/>
              <w:szCs w:val="24"/>
            </w:rPr>
            <w:t>2.1 – International Business Communication</w:t>
          </w:r>
          <w:r>
            <w:tab/>
          </w:r>
          <w:r>
            <w:fldChar w:fldCharType="begin"/>
          </w:r>
          <w:r>
            <w:instrText xml:space="preserve"> PAGEREF _Toc30996 \h </w:instrText>
          </w:r>
          <w:r>
            <w:fldChar w:fldCharType="separate"/>
          </w:r>
          <w:r>
            <w:t>4</w:t>
          </w:r>
          <w:r>
            <w:fldChar w:fldCharType="end"/>
          </w:r>
          <w:r>
            <w:rPr>
              <w:rFonts w:ascii="Arial" w:hAnsi="Arial" w:cs="Times New Roman"/>
              <w:szCs w:val="24"/>
            </w:rPr>
            <w:fldChar w:fldCharType="end"/>
          </w:r>
        </w:p>
        <w:p>
          <w:pPr>
            <w:pStyle w:val="9"/>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_Toc24378 </w:instrText>
          </w:r>
          <w:r>
            <w:rPr>
              <w:rFonts w:ascii="Arial" w:hAnsi="Arial" w:cs="Times New Roman"/>
              <w:szCs w:val="24"/>
            </w:rPr>
            <w:fldChar w:fldCharType="separate"/>
          </w:r>
          <w:r>
            <w:rPr>
              <w:rFonts w:ascii="Arial" w:hAnsi="Arial" w:cs="Times New Roman"/>
              <w:bCs/>
              <w:szCs w:val="24"/>
            </w:rPr>
            <w:t>2.2 – Skills Requirements</w:t>
          </w:r>
          <w:r>
            <w:tab/>
          </w:r>
          <w:r>
            <w:fldChar w:fldCharType="begin"/>
          </w:r>
          <w:r>
            <w:instrText xml:space="preserve"> PAGEREF _Toc24378 \h </w:instrText>
          </w:r>
          <w:r>
            <w:fldChar w:fldCharType="separate"/>
          </w:r>
          <w:r>
            <w:t>4</w:t>
          </w:r>
          <w:r>
            <w:fldChar w:fldCharType="end"/>
          </w:r>
          <w:r>
            <w:rPr>
              <w:rFonts w:ascii="Arial" w:hAnsi="Arial" w:cs="Times New Roman"/>
              <w:szCs w:val="24"/>
            </w:rPr>
            <w:fldChar w:fldCharType="end"/>
          </w:r>
        </w:p>
        <w:p>
          <w:pPr>
            <w:pStyle w:val="9"/>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_Toc29139 </w:instrText>
          </w:r>
          <w:r>
            <w:rPr>
              <w:rFonts w:ascii="Arial" w:hAnsi="Arial" w:cs="Times New Roman"/>
              <w:szCs w:val="24"/>
            </w:rPr>
            <w:fldChar w:fldCharType="separate"/>
          </w:r>
          <w:r>
            <w:rPr>
              <w:rFonts w:ascii="Arial" w:hAnsi="Arial" w:cs="Times New Roman"/>
              <w:bCs/>
              <w:szCs w:val="24"/>
            </w:rPr>
            <w:t>2.3 – Methods of Communication</w:t>
          </w:r>
          <w:r>
            <w:tab/>
          </w:r>
          <w:r>
            <w:fldChar w:fldCharType="begin"/>
          </w:r>
          <w:r>
            <w:instrText xml:space="preserve"> PAGEREF _Toc29139 \h </w:instrText>
          </w:r>
          <w:r>
            <w:fldChar w:fldCharType="separate"/>
          </w:r>
          <w:r>
            <w:t>6</w:t>
          </w:r>
          <w:r>
            <w:fldChar w:fldCharType="end"/>
          </w:r>
          <w:r>
            <w:rPr>
              <w:rFonts w:ascii="Arial" w:hAnsi="Arial" w:cs="Times New Roman"/>
              <w:szCs w:val="24"/>
            </w:rPr>
            <w:fldChar w:fldCharType="end"/>
          </w:r>
        </w:p>
        <w:p>
          <w:pPr>
            <w:pStyle w:val="5"/>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_Toc5528 </w:instrText>
          </w:r>
          <w:r>
            <w:rPr>
              <w:rFonts w:ascii="Arial" w:hAnsi="Arial" w:cs="Times New Roman"/>
              <w:szCs w:val="24"/>
            </w:rPr>
            <w:fldChar w:fldCharType="separate"/>
          </w:r>
          <w:r>
            <w:rPr>
              <w:rFonts w:ascii="Arial" w:hAnsi="Arial" w:cs="Times New Roman"/>
              <w:bCs/>
            </w:rPr>
            <w:t>2.3.1 - Halls High Low Context</w:t>
          </w:r>
          <w:r>
            <w:tab/>
          </w:r>
          <w:r>
            <w:fldChar w:fldCharType="begin"/>
          </w:r>
          <w:r>
            <w:instrText xml:space="preserve"> PAGEREF _Toc5528 \h </w:instrText>
          </w:r>
          <w:r>
            <w:fldChar w:fldCharType="separate"/>
          </w:r>
          <w:r>
            <w:t>6</w:t>
          </w:r>
          <w:r>
            <w:fldChar w:fldCharType="end"/>
          </w:r>
          <w:r>
            <w:rPr>
              <w:rFonts w:ascii="Arial" w:hAnsi="Arial" w:cs="Times New Roman"/>
              <w:szCs w:val="24"/>
            </w:rPr>
            <w:fldChar w:fldCharType="end"/>
          </w:r>
        </w:p>
        <w:p>
          <w:pPr>
            <w:pStyle w:val="9"/>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_Toc22411 </w:instrText>
          </w:r>
          <w:r>
            <w:rPr>
              <w:rFonts w:ascii="Arial" w:hAnsi="Arial" w:cs="Times New Roman"/>
              <w:szCs w:val="24"/>
            </w:rPr>
            <w:fldChar w:fldCharType="separate"/>
          </w:r>
          <w:r>
            <w:rPr>
              <w:rFonts w:ascii="Arial" w:hAnsi="Arial" w:cs="Times New Roman"/>
              <w:bCs/>
              <w:szCs w:val="24"/>
            </w:rPr>
            <w:t>2.4 – Effective Communication</w:t>
          </w:r>
          <w:r>
            <w:tab/>
          </w:r>
          <w:r>
            <w:fldChar w:fldCharType="begin"/>
          </w:r>
          <w:r>
            <w:instrText xml:space="preserve"> PAGEREF _Toc22411 \h </w:instrText>
          </w:r>
          <w:r>
            <w:fldChar w:fldCharType="separate"/>
          </w:r>
          <w:r>
            <w:t>7</w:t>
          </w:r>
          <w:r>
            <w:fldChar w:fldCharType="end"/>
          </w:r>
          <w:r>
            <w:rPr>
              <w:rFonts w:ascii="Arial" w:hAnsi="Arial" w:cs="Times New Roman"/>
              <w:szCs w:val="24"/>
            </w:rPr>
            <w:fldChar w:fldCharType="end"/>
          </w:r>
        </w:p>
        <w:p>
          <w:pPr>
            <w:pStyle w:val="9"/>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_Toc2586 </w:instrText>
          </w:r>
          <w:r>
            <w:rPr>
              <w:rFonts w:ascii="Arial" w:hAnsi="Arial" w:cs="Times New Roman"/>
              <w:szCs w:val="24"/>
            </w:rPr>
            <w:fldChar w:fldCharType="separate"/>
          </w:r>
          <w:r>
            <w:rPr>
              <w:rFonts w:ascii="Arial" w:hAnsi="Arial" w:cs="Times New Roman"/>
              <w:bCs/>
              <w:szCs w:val="24"/>
              <w:lang w:val="fr-FR"/>
            </w:rPr>
            <w:t>2.5 – International Culture</w:t>
          </w:r>
          <w:r>
            <w:tab/>
          </w:r>
          <w:r>
            <w:fldChar w:fldCharType="begin"/>
          </w:r>
          <w:r>
            <w:instrText xml:space="preserve"> PAGEREF _Toc2586 \h </w:instrText>
          </w:r>
          <w:r>
            <w:fldChar w:fldCharType="separate"/>
          </w:r>
          <w:r>
            <w:t>7</w:t>
          </w:r>
          <w:r>
            <w:fldChar w:fldCharType="end"/>
          </w:r>
          <w:r>
            <w:rPr>
              <w:rFonts w:ascii="Arial" w:hAnsi="Arial" w:cs="Times New Roman"/>
              <w:szCs w:val="24"/>
            </w:rPr>
            <w:fldChar w:fldCharType="end"/>
          </w:r>
        </w:p>
        <w:p>
          <w:pPr>
            <w:pStyle w:val="5"/>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_Toc18595 </w:instrText>
          </w:r>
          <w:r>
            <w:rPr>
              <w:rFonts w:ascii="Arial" w:hAnsi="Arial" w:cs="Times New Roman"/>
              <w:szCs w:val="24"/>
            </w:rPr>
            <w:fldChar w:fldCharType="separate"/>
          </w:r>
          <w:r>
            <w:rPr>
              <w:rFonts w:ascii="Arial" w:hAnsi="Arial" w:cs="Times New Roman"/>
              <w:bCs/>
              <w:lang w:val="fr-FR"/>
            </w:rPr>
            <w:t>2.5.1 - Trompenaar’s 7 dimensions to culture</w:t>
          </w:r>
          <w:r>
            <w:tab/>
          </w:r>
          <w:r>
            <w:fldChar w:fldCharType="begin"/>
          </w:r>
          <w:r>
            <w:instrText xml:space="preserve"> PAGEREF _Toc18595 \h </w:instrText>
          </w:r>
          <w:r>
            <w:fldChar w:fldCharType="separate"/>
          </w:r>
          <w:r>
            <w:t>8</w:t>
          </w:r>
          <w:r>
            <w:fldChar w:fldCharType="end"/>
          </w:r>
          <w:r>
            <w:rPr>
              <w:rFonts w:ascii="Arial" w:hAnsi="Arial" w:cs="Times New Roman"/>
              <w:szCs w:val="24"/>
            </w:rPr>
            <w:fldChar w:fldCharType="end"/>
          </w:r>
        </w:p>
        <w:p>
          <w:pPr>
            <w:pStyle w:val="9"/>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_Toc3100 </w:instrText>
          </w:r>
          <w:r>
            <w:rPr>
              <w:rFonts w:ascii="Arial" w:hAnsi="Arial" w:cs="Times New Roman"/>
              <w:szCs w:val="24"/>
            </w:rPr>
            <w:fldChar w:fldCharType="separate"/>
          </w:r>
          <w:r>
            <w:rPr>
              <w:rFonts w:ascii="Arial" w:hAnsi="Arial" w:cs="Times New Roman"/>
              <w:bCs/>
              <w:szCs w:val="24"/>
            </w:rPr>
            <w:t>2.6 – Importance of Building Relationships</w:t>
          </w:r>
          <w:r>
            <w:tab/>
          </w:r>
          <w:r>
            <w:fldChar w:fldCharType="begin"/>
          </w:r>
          <w:r>
            <w:instrText xml:space="preserve"> PAGEREF _Toc3100 \h </w:instrText>
          </w:r>
          <w:r>
            <w:fldChar w:fldCharType="separate"/>
          </w:r>
          <w:r>
            <w:t>9</w:t>
          </w:r>
          <w:r>
            <w:fldChar w:fldCharType="end"/>
          </w:r>
          <w:r>
            <w:rPr>
              <w:rFonts w:ascii="Arial" w:hAnsi="Arial" w:cs="Times New Roman"/>
              <w:szCs w:val="24"/>
            </w:rPr>
            <w:fldChar w:fldCharType="end"/>
          </w:r>
        </w:p>
        <w:p>
          <w:pPr>
            <w:pStyle w:val="9"/>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_Toc32618 </w:instrText>
          </w:r>
          <w:r>
            <w:rPr>
              <w:rFonts w:ascii="Arial" w:hAnsi="Arial" w:cs="Times New Roman"/>
              <w:szCs w:val="24"/>
            </w:rPr>
            <w:fldChar w:fldCharType="separate"/>
          </w:r>
          <w:r>
            <w:rPr>
              <w:rFonts w:ascii="Arial" w:hAnsi="Arial" w:cs="Times New Roman"/>
              <w:bCs/>
              <w:szCs w:val="24"/>
            </w:rPr>
            <w:t>2.7 – How to Build Trust</w:t>
          </w:r>
          <w:r>
            <w:tab/>
          </w:r>
          <w:r>
            <w:fldChar w:fldCharType="begin"/>
          </w:r>
          <w:r>
            <w:instrText xml:space="preserve"> PAGEREF _Toc32618 \h </w:instrText>
          </w:r>
          <w:r>
            <w:fldChar w:fldCharType="separate"/>
          </w:r>
          <w:r>
            <w:t>10</w:t>
          </w:r>
          <w:r>
            <w:fldChar w:fldCharType="end"/>
          </w:r>
          <w:r>
            <w:rPr>
              <w:rFonts w:ascii="Arial" w:hAnsi="Arial" w:cs="Times New Roman"/>
              <w:szCs w:val="24"/>
            </w:rPr>
            <w:fldChar w:fldCharType="end"/>
          </w:r>
        </w:p>
        <w:p>
          <w:pPr>
            <w:pStyle w:val="9"/>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_Toc31617 </w:instrText>
          </w:r>
          <w:r>
            <w:rPr>
              <w:rFonts w:ascii="Arial" w:hAnsi="Arial" w:cs="Times New Roman"/>
              <w:szCs w:val="24"/>
            </w:rPr>
            <w:fldChar w:fldCharType="separate"/>
          </w:r>
          <w:r>
            <w:rPr>
              <w:rFonts w:ascii="Arial" w:hAnsi="Arial" w:cs="Times New Roman"/>
              <w:bCs/>
              <w:szCs w:val="24"/>
            </w:rPr>
            <w:t>2.8 – Failed Relationships</w:t>
          </w:r>
          <w:r>
            <w:tab/>
          </w:r>
          <w:r>
            <w:fldChar w:fldCharType="begin"/>
          </w:r>
          <w:r>
            <w:instrText xml:space="preserve"> PAGEREF _Toc31617 \h </w:instrText>
          </w:r>
          <w:r>
            <w:fldChar w:fldCharType="separate"/>
          </w:r>
          <w:r>
            <w:t>10</w:t>
          </w:r>
          <w:r>
            <w:fldChar w:fldCharType="end"/>
          </w:r>
          <w:r>
            <w:rPr>
              <w:rFonts w:ascii="Arial" w:hAnsi="Arial" w:cs="Times New Roman"/>
              <w:szCs w:val="24"/>
            </w:rPr>
            <w:fldChar w:fldCharType="end"/>
          </w:r>
        </w:p>
        <w:p>
          <w:pPr>
            <w:pStyle w:val="8"/>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_Toc6056 </w:instrText>
          </w:r>
          <w:r>
            <w:rPr>
              <w:rFonts w:ascii="Arial" w:hAnsi="Arial" w:cs="Times New Roman"/>
              <w:szCs w:val="24"/>
            </w:rPr>
            <w:fldChar w:fldCharType="separate"/>
          </w:r>
          <w:r>
            <w:rPr>
              <w:rFonts w:ascii="Arial" w:hAnsi="Arial" w:cs="Times New Roman"/>
              <w:bCs/>
              <w:szCs w:val="24"/>
            </w:rPr>
            <w:t>3.0 – Conclusion</w:t>
          </w:r>
          <w:r>
            <w:tab/>
          </w:r>
          <w:r>
            <w:fldChar w:fldCharType="begin"/>
          </w:r>
          <w:r>
            <w:instrText xml:space="preserve"> PAGEREF _Toc6056 \h </w:instrText>
          </w:r>
          <w:r>
            <w:fldChar w:fldCharType="separate"/>
          </w:r>
          <w:r>
            <w:t>12</w:t>
          </w:r>
          <w:r>
            <w:fldChar w:fldCharType="end"/>
          </w:r>
          <w:r>
            <w:rPr>
              <w:rFonts w:ascii="Arial" w:hAnsi="Arial" w:cs="Times New Roman"/>
              <w:szCs w:val="24"/>
            </w:rPr>
            <w:fldChar w:fldCharType="end"/>
          </w:r>
        </w:p>
        <w:p>
          <w:pPr>
            <w:pStyle w:val="8"/>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_Toc6819 </w:instrText>
          </w:r>
          <w:r>
            <w:rPr>
              <w:rFonts w:ascii="Arial" w:hAnsi="Arial" w:cs="Times New Roman"/>
              <w:szCs w:val="24"/>
            </w:rPr>
            <w:fldChar w:fldCharType="separate"/>
          </w:r>
          <w:r>
            <w:rPr>
              <w:rFonts w:ascii="Arial" w:hAnsi="Arial" w:cs="Times New Roman"/>
              <w:bCs/>
              <w:szCs w:val="24"/>
            </w:rPr>
            <w:t>4.0 – Recommendations</w:t>
          </w:r>
          <w:r>
            <w:tab/>
          </w:r>
          <w:r>
            <w:fldChar w:fldCharType="begin"/>
          </w:r>
          <w:r>
            <w:instrText xml:space="preserve"> PAGEREF _Toc6819 \h </w:instrText>
          </w:r>
          <w:r>
            <w:fldChar w:fldCharType="separate"/>
          </w:r>
          <w:r>
            <w:t>13</w:t>
          </w:r>
          <w:r>
            <w:fldChar w:fldCharType="end"/>
          </w:r>
          <w:r>
            <w:rPr>
              <w:rFonts w:ascii="Arial" w:hAnsi="Arial" w:cs="Times New Roman"/>
              <w:szCs w:val="24"/>
            </w:rPr>
            <w:fldChar w:fldCharType="end"/>
          </w:r>
        </w:p>
        <w:p>
          <w:pPr>
            <w:pStyle w:val="8"/>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_Toc12624 </w:instrText>
          </w:r>
          <w:r>
            <w:rPr>
              <w:rFonts w:ascii="Arial" w:hAnsi="Arial" w:cs="Times New Roman"/>
              <w:szCs w:val="24"/>
            </w:rPr>
            <w:fldChar w:fldCharType="separate"/>
          </w:r>
          <w:r>
            <w:rPr>
              <w:rFonts w:ascii="Arial" w:hAnsi="Arial" w:cs="Times New Roman"/>
              <w:bCs/>
              <w:szCs w:val="24"/>
            </w:rPr>
            <w:t>Appendices</w:t>
          </w:r>
          <w:r>
            <w:tab/>
          </w:r>
          <w:r>
            <w:fldChar w:fldCharType="begin"/>
          </w:r>
          <w:r>
            <w:instrText xml:space="preserve"> PAGEREF _Toc12624 \h </w:instrText>
          </w:r>
          <w:r>
            <w:fldChar w:fldCharType="separate"/>
          </w:r>
          <w:r>
            <w:t>14</w:t>
          </w:r>
          <w:r>
            <w:fldChar w:fldCharType="end"/>
          </w:r>
          <w:r>
            <w:rPr>
              <w:rFonts w:ascii="Arial" w:hAnsi="Arial" w:cs="Times New Roman"/>
              <w:szCs w:val="24"/>
            </w:rPr>
            <w:fldChar w:fldCharType="end"/>
          </w:r>
        </w:p>
        <w:p>
          <w:pPr>
            <w:pStyle w:val="8"/>
            <w:tabs>
              <w:tab w:val="right" w:leader="dot" w:pos="9026"/>
            </w:tabs>
          </w:pPr>
          <w:r>
            <w:rPr>
              <w:rFonts w:ascii="Arial" w:hAnsi="Arial" w:cs="Times New Roman"/>
              <w:szCs w:val="24"/>
            </w:rPr>
            <w:fldChar w:fldCharType="begin"/>
          </w:r>
          <w:r>
            <w:rPr>
              <w:rFonts w:ascii="Arial" w:hAnsi="Arial" w:cs="Times New Roman"/>
              <w:szCs w:val="24"/>
            </w:rPr>
            <w:instrText xml:space="preserve"> HYPERLINK \l _Toc23711 </w:instrText>
          </w:r>
          <w:r>
            <w:rPr>
              <w:rFonts w:ascii="Arial" w:hAnsi="Arial" w:cs="Times New Roman"/>
              <w:szCs w:val="24"/>
            </w:rPr>
            <w:fldChar w:fldCharType="separate"/>
          </w:r>
          <w:r>
            <w:rPr>
              <w:rFonts w:ascii="Arial" w:hAnsi="Arial" w:cs="Times New Roman"/>
              <w:bCs/>
              <w:szCs w:val="24"/>
            </w:rPr>
            <w:t>References</w:t>
          </w:r>
          <w:r>
            <w:tab/>
          </w:r>
          <w:r>
            <w:fldChar w:fldCharType="begin"/>
          </w:r>
          <w:r>
            <w:instrText xml:space="preserve"> PAGEREF _Toc23711 \h </w:instrText>
          </w:r>
          <w:r>
            <w:fldChar w:fldCharType="separate"/>
          </w:r>
          <w:r>
            <w:t>15</w:t>
          </w:r>
          <w:r>
            <w:fldChar w:fldCharType="end"/>
          </w:r>
          <w:r>
            <w:rPr>
              <w:rFonts w:ascii="Arial" w:hAnsi="Arial" w:cs="Times New Roman"/>
              <w:szCs w:val="24"/>
            </w:rPr>
            <w:fldChar w:fldCharType="end"/>
          </w:r>
        </w:p>
        <w:p>
          <w:pPr>
            <w:spacing w:before="240" w:after="120" w:line="360" w:lineRule="auto"/>
            <w:rPr>
              <w:rFonts w:ascii="Arial" w:hAnsi="Arial" w:cs="Times New Roman"/>
              <w:sz w:val="24"/>
              <w:szCs w:val="24"/>
            </w:rPr>
          </w:pPr>
          <w:r>
            <w:rPr>
              <w:rFonts w:ascii="Arial" w:hAnsi="Arial" w:cs="Times New Roman"/>
              <w:szCs w:val="24"/>
            </w:rPr>
            <w:fldChar w:fldCharType="end"/>
          </w:r>
        </w:p>
      </w:sdtContent>
    </w:sdt>
    <w:p>
      <w:pPr>
        <w:pStyle w:val="2"/>
        <w:spacing w:after="120" w:line="360" w:lineRule="auto"/>
        <w:rPr>
          <w:rFonts w:ascii="Arial" w:hAnsi="Arial" w:cs="Times New Roman"/>
          <w:b/>
          <w:bCs/>
          <w:color w:val="auto"/>
          <w:sz w:val="24"/>
          <w:szCs w:val="24"/>
        </w:rPr>
      </w:pPr>
    </w:p>
    <w:p>
      <w:pPr>
        <w:rPr>
          <w:rFonts w:ascii="Arial" w:hAnsi="Arial" w:cs="Times New Roman"/>
          <w:b/>
          <w:bCs/>
          <w:color w:val="auto"/>
          <w:sz w:val="24"/>
          <w:szCs w:val="24"/>
        </w:rPr>
      </w:pPr>
    </w:p>
    <w:p>
      <w:pPr>
        <w:rPr>
          <w:rFonts w:ascii="Arial" w:hAnsi="Arial" w:cs="Times New Roman"/>
          <w:b/>
          <w:bCs/>
          <w:color w:val="auto"/>
          <w:sz w:val="24"/>
          <w:szCs w:val="24"/>
        </w:rPr>
      </w:pPr>
    </w:p>
    <w:p>
      <w:pPr>
        <w:pStyle w:val="2"/>
        <w:spacing w:after="120" w:line="360" w:lineRule="auto"/>
        <w:rPr>
          <w:rFonts w:ascii="Arial" w:hAnsi="Arial" w:cs="Times New Roman"/>
          <w:b/>
          <w:bCs/>
          <w:color w:val="auto"/>
          <w:sz w:val="24"/>
          <w:szCs w:val="24"/>
        </w:rPr>
      </w:pPr>
    </w:p>
    <w:p>
      <w:pPr>
        <w:rPr>
          <w:rFonts w:ascii="Arial" w:hAnsi="Arial" w:cs="Times New Roman"/>
          <w:b/>
          <w:bCs/>
          <w:color w:val="auto"/>
          <w:sz w:val="24"/>
          <w:szCs w:val="24"/>
        </w:rPr>
      </w:pPr>
    </w:p>
    <w:p>
      <w:pPr>
        <w:rPr>
          <w:rFonts w:ascii="Arial" w:hAnsi="Arial" w:cs="Times New Roman"/>
          <w:b/>
          <w:bCs/>
          <w:color w:val="auto"/>
          <w:sz w:val="24"/>
          <w:szCs w:val="24"/>
        </w:rPr>
      </w:pPr>
    </w:p>
    <w:p>
      <w:pPr>
        <w:rPr>
          <w:rFonts w:ascii="Arial" w:hAnsi="Arial" w:cs="Times New Roman"/>
          <w:b/>
          <w:bCs/>
          <w:color w:val="auto"/>
          <w:sz w:val="24"/>
          <w:szCs w:val="24"/>
        </w:rPr>
      </w:pPr>
    </w:p>
    <w:p>
      <w:pPr>
        <w:rPr>
          <w:rFonts w:ascii="Arial" w:hAnsi="Arial" w:cs="Times New Roman"/>
          <w:b/>
          <w:bCs/>
          <w:color w:val="auto"/>
          <w:sz w:val="24"/>
          <w:szCs w:val="24"/>
        </w:rPr>
      </w:pPr>
    </w:p>
    <w:p>
      <w:pPr>
        <w:rPr>
          <w:rFonts w:ascii="Arial" w:hAnsi="Arial" w:cs="Times New Roman"/>
          <w:b/>
          <w:bCs/>
          <w:color w:val="auto"/>
          <w:sz w:val="24"/>
          <w:szCs w:val="24"/>
        </w:rPr>
      </w:pPr>
    </w:p>
    <w:p>
      <w:pPr>
        <w:pStyle w:val="2"/>
        <w:spacing w:after="120" w:line="360" w:lineRule="auto"/>
        <w:rPr>
          <w:rFonts w:ascii="Arial" w:hAnsi="Arial" w:cs="Times New Roman"/>
          <w:b/>
          <w:bCs/>
          <w:color w:val="auto"/>
          <w:sz w:val="24"/>
          <w:szCs w:val="24"/>
        </w:rPr>
      </w:pPr>
      <w:bookmarkStart w:id="1" w:name="_Toc17437"/>
      <w:r>
        <w:rPr>
          <w:rFonts w:ascii="Arial" w:hAnsi="Arial" w:cs="Times New Roman"/>
          <w:b/>
          <w:bCs/>
          <w:color w:val="auto"/>
          <w:sz w:val="24"/>
          <w:szCs w:val="24"/>
        </w:rPr>
        <w:t>1.0. – Introduction</w:t>
      </w:r>
      <w:bookmarkEnd w:id="1"/>
      <w:r>
        <w:rPr>
          <w:rFonts w:ascii="Arial" w:hAnsi="Arial" w:cs="Times New Roman"/>
          <w:b/>
          <w:bCs/>
          <w:color w:val="auto"/>
          <w:sz w:val="24"/>
          <w:szCs w:val="24"/>
        </w:rPr>
        <w:t xml:space="preserve"> </w:t>
      </w:r>
    </w:p>
    <w:p>
      <w:pPr>
        <w:pBdr>
          <w:bottom w:val="single" w:color="auto" w:sz="4" w:space="1"/>
        </w:pBdr>
        <w:spacing w:before="240" w:after="120" w:line="360" w:lineRule="auto"/>
        <w:rPr>
          <w:rFonts w:ascii="Arial" w:hAnsi="Arial" w:cs="Times New Roman"/>
          <w:b/>
          <w:bCs/>
          <w:sz w:val="24"/>
          <w:szCs w:val="24"/>
        </w:rPr>
      </w:pPr>
    </w:p>
    <w:p>
      <w:pPr>
        <w:spacing w:before="240" w:after="120" w:line="360" w:lineRule="auto"/>
        <w:jc w:val="both"/>
        <w:rPr>
          <w:rFonts w:hint="eastAsia" w:ascii="Arial" w:hAnsi="Arial" w:cs="Times New Roman"/>
          <w:sz w:val="24"/>
          <w:szCs w:val="24"/>
        </w:rPr>
      </w:pPr>
      <w:r>
        <w:rPr>
          <w:rFonts w:hint="eastAsia" w:ascii="Arial" w:hAnsi="Arial" w:cs="Times New Roman"/>
          <w:sz w:val="24"/>
          <w:szCs w:val="24"/>
        </w:rPr>
        <w:t>In the constantly changing business environment where internationalization has become the language of enterprises, effective communication is crucial for the success of any company seeking to go global and establish relationships (Takino, 2020). The purpose of this report is to discuss the skills required to promote successful international business exchange, while paying attention to the diverse cultures of clothing retailers seeking to enter the Asian market. This report aims to provide retailers and their stakeholders with the necessary knowledge and insights to navigate Asia's unique cultural landscape, cultivate strong professional relationships, and ensure seamless communication of information.</w:t>
      </w:r>
    </w:p>
    <w:p>
      <w:pPr>
        <w:spacing w:before="240" w:after="120" w:line="360" w:lineRule="auto"/>
        <w:jc w:val="both"/>
        <w:rPr>
          <w:rFonts w:ascii="Arial" w:hAnsi="Arial" w:cs="Times New Roman"/>
          <w:sz w:val="24"/>
          <w:szCs w:val="24"/>
        </w:rPr>
      </w:pPr>
      <w:r>
        <w:rPr>
          <w:rFonts w:hint="eastAsia" w:ascii="Arial" w:hAnsi="Arial" w:cs="Times New Roman"/>
          <w:sz w:val="24"/>
          <w:szCs w:val="24"/>
        </w:rPr>
        <w:t>This report explores the concepts, basic skills, various communication methods, importance of effective communication, importance of building relationships, factors that lead to relationship failure, definition of culture and its components, Hall's high and low context, Trompenaar's seven dimensions of culture, and how to build trust in retailers in Asia.</w:t>
      </w: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pStyle w:val="2"/>
        <w:spacing w:after="120" w:line="360" w:lineRule="auto"/>
        <w:rPr>
          <w:rFonts w:ascii="Arial" w:hAnsi="Arial" w:cs="Times New Roman"/>
          <w:b/>
          <w:bCs/>
          <w:color w:val="auto"/>
          <w:sz w:val="24"/>
          <w:szCs w:val="24"/>
        </w:rPr>
      </w:pPr>
      <w:bookmarkStart w:id="2" w:name="_Toc28125"/>
      <w:r>
        <w:rPr>
          <w:rFonts w:ascii="Arial" w:hAnsi="Arial" w:cs="Times New Roman"/>
          <w:b/>
          <w:bCs/>
          <w:color w:val="auto"/>
          <w:sz w:val="24"/>
          <w:szCs w:val="24"/>
        </w:rPr>
        <w:t>2.0 – Main Findings</w:t>
      </w:r>
      <w:bookmarkEnd w:id="2"/>
    </w:p>
    <w:p>
      <w:pPr>
        <w:pBdr>
          <w:bottom w:val="single" w:color="auto" w:sz="4" w:space="1"/>
        </w:pBdr>
        <w:spacing w:before="240" w:after="120" w:line="360" w:lineRule="auto"/>
        <w:rPr>
          <w:rFonts w:ascii="Arial" w:hAnsi="Arial" w:cs="Times New Roman"/>
          <w:b/>
          <w:bCs/>
          <w:sz w:val="24"/>
          <w:szCs w:val="24"/>
        </w:rPr>
      </w:pPr>
    </w:p>
    <w:p>
      <w:pPr>
        <w:spacing w:before="240" w:after="120" w:line="360" w:lineRule="auto"/>
        <w:jc w:val="both"/>
        <w:rPr>
          <w:rFonts w:ascii="Arial" w:hAnsi="Arial" w:cs="Times New Roman"/>
          <w:sz w:val="24"/>
          <w:szCs w:val="24"/>
        </w:rPr>
      </w:pPr>
      <w:r>
        <w:rPr>
          <w:rFonts w:ascii="Arial" w:hAnsi="Arial" w:cs="Times New Roman"/>
          <w:sz w:val="24"/>
          <w:szCs w:val="24"/>
        </w:rPr>
        <w:t xml:space="preserve">This section presents the core findings of this report following investigations into the key elements of international business communication, focusing on the skills, methods, and cultural considerations crucial for </w:t>
      </w:r>
      <w:r>
        <w:rPr>
          <w:rFonts w:hint="eastAsia" w:eastAsia="宋体" w:cs="Times New Roman"/>
          <w:sz w:val="24"/>
          <w:szCs w:val="24"/>
          <w:lang w:val="en-US" w:eastAsia="zh-CN"/>
        </w:rPr>
        <w:t>company</w:t>
      </w:r>
      <w:r>
        <w:rPr>
          <w:rFonts w:ascii="Arial" w:hAnsi="Arial" w:cs="Times New Roman"/>
          <w:sz w:val="24"/>
          <w:szCs w:val="24"/>
        </w:rPr>
        <w:t>'s successful entry into the Asian markets.</w:t>
      </w:r>
    </w:p>
    <w:p>
      <w:pPr>
        <w:pStyle w:val="3"/>
        <w:spacing w:before="240" w:after="120" w:line="360" w:lineRule="auto"/>
        <w:rPr>
          <w:rFonts w:ascii="Arial" w:hAnsi="Arial" w:cs="Times New Roman"/>
          <w:b/>
          <w:bCs/>
          <w:color w:val="auto"/>
          <w:sz w:val="24"/>
          <w:szCs w:val="24"/>
        </w:rPr>
      </w:pPr>
      <w:bookmarkStart w:id="3" w:name="_Toc30996"/>
      <w:r>
        <w:rPr>
          <w:rFonts w:ascii="Arial" w:hAnsi="Arial" w:cs="Times New Roman"/>
          <w:b/>
          <w:bCs/>
          <w:color w:val="auto"/>
          <w:sz w:val="24"/>
          <w:szCs w:val="24"/>
        </w:rPr>
        <w:t>2.1 – International Business Communication</w:t>
      </w:r>
      <w:bookmarkEnd w:id="3"/>
    </w:p>
    <w:p>
      <w:pPr>
        <w:spacing w:before="240" w:after="120" w:line="360" w:lineRule="auto"/>
        <w:jc w:val="both"/>
        <w:rPr>
          <w:rFonts w:ascii="Arial" w:hAnsi="Arial" w:cs="Times New Roman"/>
          <w:sz w:val="24"/>
          <w:szCs w:val="24"/>
        </w:rPr>
      </w:pPr>
      <w:r>
        <w:rPr>
          <w:rFonts w:ascii="Arial" w:hAnsi="Arial" w:cs="Times New Roman"/>
          <w:sz w:val="24"/>
          <w:szCs w:val="24"/>
        </w:rPr>
        <w:t>International business communication is not different from any other form of business communication except that it occurs across borders (</w:t>
      </w:r>
      <w:r>
        <w:rPr>
          <w:rFonts w:ascii="Arial" w:hAnsi="Arial" w:cs="Times New Roman"/>
          <w:sz w:val="24"/>
          <w:szCs w:val="24"/>
          <w:shd w:val="clear" w:color="auto" w:fill="FFFFFF"/>
        </w:rPr>
        <w:t>Szkudlarek et al., 2020)</w:t>
      </w:r>
      <w:r>
        <w:rPr>
          <w:rFonts w:ascii="Arial" w:hAnsi="Arial" w:cs="Times New Roman"/>
          <w:sz w:val="24"/>
          <w:szCs w:val="24"/>
        </w:rPr>
        <w:t>. In the context of international business, international business communication is the exchange of messages and information between individuals, organizations, or entities located in different countries or regions, intending to conduct business activities on a global scale (</w:t>
      </w:r>
      <w:r>
        <w:rPr>
          <w:rFonts w:ascii="Arial" w:hAnsi="Arial" w:cs="Times New Roman"/>
          <w:sz w:val="24"/>
          <w:szCs w:val="24"/>
          <w:shd w:val="clear" w:color="auto" w:fill="FFFFFF"/>
        </w:rPr>
        <w:t>Khamis and Wahi, 2021)</w:t>
      </w:r>
      <w:r>
        <w:rPr>
          <w:rFonts w:ascii="Arial" w:hAnsi="Arial" w:cs="Times New Roman"/>
          <w:sz w:val="24"/>
          <w:szCs w:val="24"/>
        </w:rPr>
        <w:t>. It encompasses various aspects of communication, including verbal and written communication, as well as non-verbal cues, and it plays a crucial role in the success of international business transactions, collaborations, and relationships.</w:t>
      </w:r>
    </w:p>
    <w:p>
      <w:pPr>
        <w:pStyle w:val="3"/>
        <w:spacing w:before="240" w:after="120" w:line="360" w:lineRule="auto"/>
        <w:rPr>
          <w:rFonts w:ascii="Arial" w:hAnsi="Arial" w:cs="Times New Roman"/>
          <w:b/>
          <w:bCs/>
          <w:color w:val="auto"/>
          <w:sz w:val="24"/>
          <w:szCs w:val="24"/>
        </w:rPr>
      </w:pPr>
      <w:bookmarkStart w:id="4" w:name="_Toc24378"/>
      <w:r>
        <w:rPr>
          <w:rFonts w:ascii="Arial" w:hAnsi="Arial" w:cs="Times New Roman"/>
          <w:b/>
          <w:bCs/>
          <w:color w:val="auto"/>
          <w:sz w:val="24"/>
          <w:szCs w:val="24"/>
        </w:rPr>
        <w:t>2.2 – Skills Requirements</w:t>
      </w:r>
      <w:bookmarkEnd w:id="4"/>
    </w:p>
    <w:p>
      <w:pPr>
        <w:spacing w:before="240" w:after="120" w:line="360" w:lineRule="auto"/>
        <w:jc w:val="both"/>
        <w:rPr>
          <w:rFonts w:ascii="Arial" w:hAnsi="Arial" w:cs="Times New Roman"/>
          <w:sz w:val="24"/>
          <w:szCs w:val="24"/>
        </w:rPr>
      </w:pPr>
      <w:r>
        <w:rPr>
          <w:rFonts w:ascii="Arial" w:hAnsi="Arial" w:cs="Times New Roman"/>
          <w:sz w:val="24"/>
          <w:szCs w:val="24"/>
        </w:rPr>
        <w:t>In international business communication, one of the skills required is cultural sensitivity. It involves the recognition, understanding, and respect for cultural differences existing between parties during any business transaction. According to Hofstede's Cultural Theory which examines cultural differences across countries, this skill is essential to building trust and fostering long-term positive relationships by eliminating possible misunderstanding (</w:t>
      </w:r>
      <w:r>
        <w:rPr>
          <w:rFonts w:ascii="Arial" w:hAnsi="Arial" w:cs="Times New Roman"/>
          <w:sz w:val="24"/>
          <w:szCs w:val="24"/>
          <w:shd w:val="clear" w:color="auto" w:fill="FFFFFF"/>
        </w:rPr>
        <w:t>Hofstede, 2009)</w:t>
      </w:r>
      <w:r>
        <w:rPr>
          <w:rFonts w:ascii="Arial" w:hAnsi="Arial" w:cs="Times New Roman"/>
          <w:sz w:val="24"/>
          <w:szCs w:val="24"/>
        </w:rPr>
        <w:t>. In the case of</w:t>
      </w:r>
      <w:r>
        <w:rPr>
          <w:rFonts w:hint="eastAsia" w:eastAsia="宋体" w:cs="Times New Roman"/>
          <w:sz w:val="24"/>
          <w:szCs w:val="24"/>
          <w:lang w:val="en-US" w:eastAsia="zh-CN"/>
        </w:rPr>
        <w:t xml:space="preserve"> </w:t>
      </w:r>
      <w:r>
        <w:rPr>
          <w:rFonts w:ascii="Arial" w:hAnsi="Arial" w:cs="Times New Roman"/>
          <w:sz w:val="24"/>
          <w:szCs w:val="24"/>
        </w:rPr>
        <w:t>retailer which seeks to enter Asian markets, this skill requires the retailer to understand, respect, and acknowledge the unique cultural landscape of each Asian market targeted by retailer to ensure that communication aligns with local expectations.</w:t>
      </w:r>
    </w:p>
    <w:p>
      <w:pPr>
        <w:spacing w:after="120" w:line="360" w:lineRule="auto"/>
        <w:jc w:val="both"/>
        <w:rPr>
          <w:rFonts w:ascii="Arial" w:hAnsi="Arial" w:cs="Times New Roman"/>
          <w:sz w:val="24"/>
          <w:szCs w:val="24"/>
        </w:rPr>
      </w:pPr>
      <w:r>
        <w:rPr>
          <w:rFonts w:ascii="Arial" w:hAnsi="Arial" w:cs="Times New Roman"/>
          <w:sz w:val="24"/>
          <w:szCs w:val="24"/>
        </w:rPr>
        <w:t>Another skill requirement is language proficiency, which requires businesses to have strong verbal and written communication skills in the languages relevant to the target markets. Language proficiency is useful for clear and accurate communication (</w:t>
      </w:r>
      <w:r>
        <w:rPr>
          <w:rFonts w:ascii="Arial" w:hAnsi="Arial" w:cs="Times New Roman"/>
          <w:sz w:val="24"/>
          <w:szCs w:val="24"/>
          <w:shd w:val="clear" w:color="auto" w:fill="FFFFFF"/>
        </w:rPr>
        <w:t>Klarin et al., 2021)</w:t>
      </w:r>
      <w:r>
        <w:rPr>
          <w:rFonts w:ascii="Arial" w:hAnsi="Arial" w:cs="Times New Roman"/>
          <w:sz w:val="24"/>
          <w:szCs w:val="24"/>
        </w:rPr>
        <w:t xml:space="preserve">. Proficiency not only involves language fluency but also an understanding of idioms, colloquialisms, and language variations that may exist in different Asian regions. </w:t>
      </w:r>
      <w:r>
        <w:rPr>
          <w:rFonts w:ascii="Arial" w:hAnsi="Arial" w:cs="Times New Roman"/>
          <w:sz w:val="24"/>
          <w:szCs w:val="24"/>
        </w:rPr>
        <w:br w:type="textWrapping"/>
      </w:r>
      <w:r>
        <w:rPr>
          <w:rFonts w:ascii="Arial" w:hAnsi="Arial" w:cs="Times New Roman"/>
          <w:sz w:val="24"/>
          <w:szCs w:val="24"/>
        </w:rPr>
        <w:t>In this situation, retailer must possess proficient verbal and written communication abilities.</w:t>
      </w:r>
    </w:p>
    <w:p>
      <w:pPr>
        <w:spacing w:after="120" w:line="360" w:lineRule="auto"/>
        <w:jc w:val="both"/>
        <w:rPr>
          <w:rFonts w:ascii="Arial" w:hAnsi="Arial" w:cs="Times New Roman"/>
          <w:sz w:val="24"/>
          <w:szCs w:val="24"/>
        </w:rPr>
      </w:pPr>
      <w:r>
        <w:rPr>
          <w:rFonts w:ascii="Arial" w:hAnsi="Arial" w:cs="Times New Roman"/>
          <w:sz w:val="24"/>
          <w:szCs w:val="24"/>
        </w:rPr>
        <w:t>Another important skill in the context of international business communication is the interpersonal skills as they play a vital role in fostering and maintaining positive relationships. These skills entail the ability to forge and sustain connections with individuals from diverse cultural backgrounds (</w:t>
      </w:r>
      <w:r>
        <w:rPr>
          <w:rFonts w:ascii="Arial" w:hAnsi="Arial" w:cs="Times New Roman"/>
          <w:sz w:val="24"/>
          <w:szCs w:val="24"/>
          <w:shd w:val="clear" w:color="auto" w:fill="FFFFFF"/>
        </w:rPr>
        <w:t>Damnjanovic et al., 2021)</w:t>
      </w:r>
      <w:r>
        <w:rPr>
          <w:rFonts w:ascii="Arial" w:hAnsi="Arial" w:cs="Times New Roman"/>
          <w:sz w:val="24"/>
          <w:szCs w:val="24"/>
        </w:rPr>
        <w:t>. Building rapport is essential for successful international business communication. Robust interpersonal abilities facilitate successful collaboration, negotiation, and conflict resolution in diverse cultural contexts. In this context, interpersonal skills encompass networking, team leadership, conflict resolution, negotiation, the demonstration of empathy, and the practice of active listening.</w:t>
      </w:r>
    </w:p>
    <w:p>
      <w:pPr>
        <w:spacing w:after="120" w:line="360" w:lineRule="auto"/>
        <w:jc w:val="both"/>
        <w:rPr>
          <w:rFonts w:ascii="Arial" w:hAnsi="Arial" w:cs="Times New Roman"/>
          <w:sz w:val="24"/>
          <w:szCs w:val="24"/>
        </w:rPr>
      </w:pPr>
      <w:r>
        <w:rPr>
          <w:rFonts w:ascii="Arial" w:hAnsi="Arial" w:cs="Times New Roman"/>
          <w:sz w:val="24"/>
          <w:szCs w:val="24"/>
        </w:rPr>
        <w:t>On the other hand, it is essential to pay attention to global business professionalism, etiquette, and uphold a professional attitude when interacting with diverse cultures (Khamis and Wahi, 2021). In this scenario, retailer should be conscious of and comply with the established standards of conduct in international business environments. Understanding and practicing global business etiquette helps in building professional relationships with potential business partners across different regions in Asia. It includes aspects such as greetings, gestures, and appropriate business attire, which differ across cultures.</w:t>
      </w:r>
    </w:p>
    <w:p>
      <w:pPr>
        <w:spacing w:before="240" w:after="120" w:line="360" w:lineRule="auto"/>
        <w:jc w:val="both"/>
        <w:rPr>
          <w:rFonts w:ascii="Arial" w:hAnsi="Arial" w:cs="Times New Roman"/>
          <w:sz w:val="24"/>
          <w:szCs w:val="24"/>
        </w:rPr>
      </w:pPr>
      <w:r>
        <w:rPr>
          <w:rFonts w:ascii="Arial" w:hAnsi="Arial" w:cs="Times New Roman"/>
          <w:sz w:val="24"/>
          <w:szCs w:val="24"/>
        </w:rPr>
        <w:t>Emotional intelligence is also a crucial skill across different cultures, especially when considering cultural diversity. It refers to the ability to recognize, understand, manage, and effectively use one's own emotions and the emotions of others (</w:t>
      </w:r>
      <w:r>
        <w:rPr>
          <w:rFonts w:ascii="Arial" w:hAnsi="Arial" w:cs="Times New Roman"/>
          <w:sz w:val="24"/>
          <w:szCs w:val="24"/>
          <w:shd w:val="clear" w:color="auto" w:fill="FFFFFF"/>
        </w:rPr>
        <w:t>Nguyen et al., 2019)</w:t>
      </w:r>
      <w:r>
        <w:rPr>
          <w:rFonts w:ascii="Arial" w:hAnsi="Arial" w:cs="Times New Roman"/>
          <w:sz w:val="24"/>
          <w:szCs w:val="24"/>
        </w:rPr>
        <w:t xml:space="preserve">. This skill is important in international business communication because it enhances self-awareness, and cultural empathy, builds strong interpersonal relationships, enhances conflict resolution skills, communication flexibility, and motivation. Developing cultural intelligence among employees facilitates smoother interactions with Asian partners and customers. </w:t>
      </w:r>
    </w:p>
    <w:p>
      <w:pPr>
        <w:pStyle w:val="3"/>
        <w:spacing w:before="240" w:after="120" w:line="360" w:lineRule="auto"/>
        <w:rPr>
          <w:rFonts w:ascii="Arial" w:hAnsi="Arial" w:cs="Times New Roman"/>
          <w:b/>
          <w:bCs/>
          <w:color w:val="auto"/>
          <w:sz w:val="24"/>
          <w:szCs w:val="24"/>
        </w:rPr>
      </w:pPr>
      <w:bookmarkStart w:id="5" w:name="_Toc29139"/>
      <w:r>
        <w:rPr>
          <w:rFonts w:ascii="Arial" w:hAnsi="Arial" w:cs="Times New Roman"/>
          <w:b/>
          <w:bCs/>
          <w:color w:val="auto"/>
          <w:sz w:val="24"/>
          <w:szCs w:val="24"/>
        </w:rPr>
        <w:t>2.3 – Methods of Communication</w:t>
      </w:r>
      <w:bookmarkEnd w:id="5"/>
    </w:p>
    <w:p>
      <w:pPr>
        <w:spacing w:before="240" w:after="120" w:line="360" w:lineRule="auto"/>
        <w:jc w:val="both"/>
        <w:rPr>
          <w:rFonts w:ascii="Arial" w:hAnsi="Arial" w:cs="Times New Roman"/>
          <w:sz w:val="24"/>
          <w:szCs w:val="24"/>
        </w:rPr>
      </w:pPr>
      <w:r>
        <w:rPr>
          <w:rFonts w:ascii="Arial" w:hAnsi="Arial" w:cs="Times New Roman"/>
          <w:sz w:val="24"/>
          <w:szCs w:val="24"/>
        </w:rPr>
        <w:t>Communication methods vary across different cultures as postulated in Edward Hall’s Model of low and high-context cultures. It is one of the dominant theoretical frameworks that is used to navigate cultural differences to build effective intercultural communication (</w:t>
      </w:r>
      <w:r>
        <w:rPr>
          <w:rFonts w:ascii="Arial" w:hAnsi="Arial" w:cs="Times New Roman"/>
          <w:sz w:val="24"/>
          <w:szCs w:val="24"/>
          <w:shd w:val="clear" w:color="auto" w:fill="FFFFFF"/>
        </w:rPr>
        <w:t>Verluyten, 2020)</w:t>
      </w:r>
      <w:r>
        <w:rPr>
          <w:rFonts w:ascii="Arial" w:hAnsi="Arial" w:cs="Times New Roman"/>
          <w:sz w:val="24"/>
          <w:szCs w:val="24"/>
        </w:rPr>
        <w:t>. According to this Edward Hall's proxemics theory  proposes that individuals will uphold varying levels of personal space based on both the social context and their cultural origins. In line with the theory, high-context cultures are where much of the communication is implicit and relies heavily on context and non-verbal cues (</w:t>
      </w:r>
      <w:r>
        <w:rPr>
          <w:rFonts w:ascii="Arial" w:hAnsi="Arial" w:cs="Times New Roman"/>
          <w:sz w:val="24"/>
          <w:szCs w:val="24"/>
          <w:shd w:val="clear" w:color="auto" w:fill="FFFFFF"/>
        </w:rPr>
        <w:t>Shynkaruk et al., 2018)</w:t>
      </w:r>
      <w:r>
        <w:rPr>
          <w:rFonts w:ascii="Arial" w:hAnsi="Arial" w:cs="Times New Roman"/>
          <w:sz w:val="24"/>
          <w:szCs w:val="24"/>
        </w:rPr>
        <w:t xml:space="preserve">. Low-context cultures, on the other hand, emphasize explicit communication, where the message is conveyed primarily through words rather than relying on contextual cues. </w:t>
      </w:r>
    </w:p>
    <w:p>
      <w:pPr>
        <w:pStyle w:val="4"/>
        <w:spacing w:before="240" w:after="120" w:line="360" w:lineRule="auto"/>
        <w:rPr>
          <w:rFonts w:ascii="Arial" w:hAnsi="Arial" w:cs="Times New Roman"/>
          <w:b/>
          <w:bCs/>
          <w:color w:val="auto"/>
          <w:sz w:val="24"/>
        </w:rPr>
      </w:pPr>
      <w:bookmarkStart w:id="6" w:name="_Toc5528"/>
      <w:r>
        <w:rPr>
          <w:rFonts w:ascii="Arial" w:hAnsi="Arial" w:cs="Times New Roman"/>
          <w:b/>
          <w:bCs/>
          <w:color w:val="auto"/>
          <w:sz w:val="24"/>
        </w:rPr>
        <w:t>2.3.1 - Halls High Low Context</w:t>
      </w:r>
      <w:bookmarkEnd w:id="6"/>
    </w:p>
    <w:p>
      <w:pPr>
        <w:spacing w:after="120" w:line="360" w:lineRule="auto"/>
        <w:jc w:val="both"/>
        <w:rPr>
          <w:rFonts w:ascii="Arial" w:hAnsi="Arial" w:cs="Times New Roman"/>
          <w:sz w:val="24"/>
          <w:szCs w:val="24"/>
        </w:rPr>
      </w:pPr>
      <w:r>
        <w:rPr>
          <w:rFonts w:ascii="Arial" w:hAnsi="Arial" w:cs="Times New Roman"/>
          <w:sz w:val="24"/>
          <w:szCs w:val="24"/>
        </w:rPr>
        <w:t>In low-context cultures in Asia such as Singapore, Hong Kong, Malaysia, Taiwan, Philippines, and Sri Lanka direct communication methods are preferred and emphasized. In such countries, the message is explicit, straightforward, and reliant on the spoken or written word. The primary focus is on clearly and precisely communicating information (Qingxue, 2003). Communication is predominantly marked by professionalism, with an emphasis on the task at hand and the accomplishment of specific objectives. People in low-context cultures tend to communicate more directly and may explicitly state their thoughts and expectations. Moreover, communications in these nations are direct, minimizing ambiguity. Typically, individuals in these societies anticipate information to be expressed with clarity and may not heavily depend on contextual cues or shared experiences to interpret messages (Gudykunst et al., 1996). Verbal communication takes precedence, and individuals in low-context cultures may value detailed explanations and clear instructions. The focus is on the content of the message rather than the surrounding context. Individual identity is often more emphasized than group identity and personal achievements and opinions are valued.</w:t>
      </w:r>
    </w:p>
    <w:p>
      <w:pPr>
        <w:spacing w:before="240" w:after="120" w:line="360" w:lineRule="auto"/>
        <w:jc w:val="both"/>
        <w:rPr>
          <w:rFonts w:ascii="Arial" w:hAnsi="Arial" w:cs="Times New Roman"/>
          <w:sz w:val="24"/>
          <w:szCs w:val="24"/>
        </w:rPr>
      </w:pPr>
      <w:r>
        <w:rPr>
          <w:rFonts w:ascii="Arial" w:hAnsi="Arial" w:cs="Times New Roman"/>
          <w:sz w:val="24"/>
          <w:szCs w:val="24"/>
        </w:rPr>
        <w:t>In high-context cultures such as Japan, Korea, China, Thailand, India, and Vietnam, communication style is mainly indirect as people may not explicitly express thoughts or feelings, and meaning is often derived from context and relationships. The meaning is embedded in the context, and people are expected to read between the lines (</w:t>
      </w:r>
      <w:r>
        <w:rPr>
          <w:rFonts w:ascii="Arial" w:hAnsi="Arial" w:cs="Times New Roman"/>
          <w:sz w:val="24"/>
          <w:szCs w:val="24"/>
          <w:shd w:val="clear" w:color="auto" w:fill="FFFFFF"/>
        </w:rPr>
        <w:t>Fakkar et al., 2010)</w:t>
      </w:r>
      <w:r>
        <w:rPr>
          <w:rFonts w:ascii="Arial" w:hAnsi="Arial" w:cs="Times New Roman"/>
          <w:sz w:val="24"/>
          <w:szCs w:val="24"/>
        </w:rPr>
        <w:t xml:space="preserve">. There is a strong emphasis on maintaining group harmony, and individuals may avoid direct confrontation to preserve relationships. Respect for authority and hierarchy is significant, and communication may be influenced by the status and relationship between individuals. </w:t>
      </w:r>
      <w:r>
        <w:rPr>
          <w:rFonts w:ascii="Arial" w:hAnsi="Arial" w:cs="Times New Roman"/>
          <w:sz w:val="24"/>
          <w:szCs w:val="24"/>
        </w:rPr>
        <w:br w:type="textWrapping"/>
      </w:r>
      <w:r>
        <w:rPr>
          <w:rFonts w:ascii="Arial" w:hAnsi="Arial" w:cs="Times New Roman"/>
          <w:sz w:val="24"/>
          <w:szCs w:val="24"/>
        </w:rPr>
        <w:t>In contrast to cultures that prioritize explicit communication, such as low-context cultures, high-context cultures place emphasis on implicit communication, utilizing non-verbal signals, context, and shared experiences to convey a significant portion of information (</w:t>
      </w:r>
      <w:r>
        <w:rPr>
          <w:rFonts w:ascii="Arial" w:hAnsi="Arial" w:cs="Times New Roman"/>
          <w:sz w:val="24"/>
          <w:szCs w:val="24"/>
          <w:shd w:val="clear" w:color="auto" w:fill="FFFFFF"/>
        </w:rPr>
        <w:t>Bjornsdottir and Rule, 2021)</w:t>
      </w:r>
      <w:r>
        <w:rPr>
          <w:rFonts w:ascii="Arial" w:hAnsi="Arial" w:cs="Times New Roman"/>
          <w:sz w:val="24"/>
          <w:szCs w:val="24"/>
        </w:rPr>
        <w:t>. Facial expressions, body language, and tone of voice carry substantial weight. Silence and pauses are often meaningful, and individuals are attuned to these non-verbal signals.</w:t>
      </w:r>
    </w:p>
    <w:p>
      <w:pPr>
        <w:pStyle w:val="3"/>
        <w:spacing w:before="240" w:after="120" w:line="360" w:lineRule="auto"/>
        <w:rPr>
          <w:rFonts w:ascii="Arial" w:hAnsi="Arial" w:cs="Times New Roman"/>
          <w:b/>
          <w:bCs/>
          <w:color w:val="auto"/>
          <w:sz w:val="24"/>
          <w:szCs w:val="24"/>
        </w:rPr>
      </w:pPr>
      <w:bookmarkStart w:id="7" w:name="_Toc22411"/>
      <w:r>
        <w:rPr>
          <w:rFonts w:ascii="Arial" w:hAnsi="Arial" w:cs="Times New Roman"/>
          <w:b/>
          <w:bCs/>
          <w:color w:val="auto"/>
          <w:sz w:val="24"/>
          <w:szCs w:val="24"/>
        </w:rPr>
        <w:t>2.4 – Effective Communication</w:t>
      </w:r>
      <w:bookmarkEnd w:id="7"/>
    </w:p>
    <w:p>
      <w:pPr>
        <w:spacing w:before="240" w:after="120" w:line="360" w:lineRule="auto"/>
        <w:jc w:val="both"/>
        <w:rPr>
          <w:rFonts w:ascii="Arial" w:hAnsi="Arial" w:cs="Times New Roman"/>
          <w:sz w:val="24"/>
          <w:szCs w:val="24"/>
        </w:rPr>
      </w:pPr>
      <w:r>
        <w:rPr>
          <w:rFonts w:ascii="Arial" w:hAnsi="Arial" w:cs="Times New Roman"/>
          <w:sz w:val="24"/>
          <w:szCs w:val="24"/>
        </w:rPr>
        <w:t>Ensuring effective communication across Asian markets that comprise both high-context and low-context cultures requires a combination of cultural awareness, adaptability, and effective communication skills (</w:t>
      </w:r>
      <w:r>
        <w:rPr>
          <w:rFonts w:ascii="Arial" w:hAnsi="Arial" w:cs="Times New Roman"/>
          <w:sz w:val="24"/>
          <w:szCs w:val="24"/>
          <w:shd w:val="clear" w:color="auto" w:fill="FFFFFF"/>
        </w:rPr>
        <w:t>Freeman and Browne, 2004)</w:t>
      </w:r>
      <w:r>
        <w:rPr>
          <w:rFonts w:ascii="Arial" w:hAnsi="Arial" w:cs="Times New Roman"/>
          <w:sz w:val="24"/>
          <w:szCs w:val="24"/>
        </w:rPr>
        <w:t>. When navigating through Asian countries, retailer must ensure its staff learn about the cultural values, norms, and communication styles of the cultures they are interacting with as well as comprehend the high-context or low-context nature of the culture. They must pay close attention to verbal and non-verbal cues as well as be open to understanding the underlying messages and emotions behind the words (</w:t>
      </w:r>
      <w:r>
        <w:rPr>
          <w:rFonts w:ascii="Arial" w:hAnsi="Arial" w:cs="Times New Roman"/>
          <w:sz w:val="24"/>
          <w:szCs w:val="24"/>
          <w:shd w:val="clear" w:color="auto" w:fill="FFFFFF"/>
        </w:rPr>
        <w:t>Freeman et al., 2002)</w:t>
      </w:r>
      <w:r>
        <w:rPr>
          <w:rFonts w:ascii="Arial" w:hAnsi="Arial" w:cs="Times New Roman"/>
          <w:sz w:val="24"/>
          <w:szCs w:val="24"/>
        </w:rPr>
        <w:t xml:space="preserve">. Because of the differences in communication styles, </w:t>
      </w:r>
      <w:r>
        <w:rPr>
          <w:rFonts w:hint="eastAsia" w:eastAsia="宋体" w:cs="Times New Roman"/>
          <w:sz w:val="24"/>
          <w:szCs w:val="24"/>
          <w:lang w:val="en-US" w:eastAsia="zh-CN"/>
        </w:rPr>
        <w:t>company</w:t>
      </w:r>
      <w:r>
        <w:rPr>
          <w:rFonts w:ascii="Arial" w:hAnsi="Arial" w:cs="Times New Roman"/>
          <w:sz w:val="24"/>
          <w:szCs w:val="24"/>
        </w:rPr>
        <w:t xml:space="preserve"> staff must be adaptable and more attentive to the different communication styles. Most importantly, </w:t>
      </w:r>
      <w:r>
        <w:rPr>
          <w:rFonts w:hint="eastAsia" w:eastAsia="宋体" w:cs="Times New Roman"/>
          <w:sz w:val="24"/>
          <w:szCs w:val="24"/>
          <w:lang w:val="en-US" w:eastAsia="zh-CN"/>
        </w:rPr>
        <w:t>retailer</w:t>
      </w:r>
      <w:r>
        <w:rPr>
          <w:rFonts w:ascii="Arial" w:hAnsi="Arial" w:cs="Times New Roman"/>
          <w:sz w:val="24"/>
          <w:szCs w:val="24"/>
        </w:rPr>
        <w:t xml:space="preserve"> needs to build cross-cultural training programs for its employees who will be working in selected Asian countries. </w:t>
      </w:r>
    </w:p>
    <w:p>
      <w:pPr>
        <w:pStyle w:val="3"/>
        <w:spacing w:before="240" w:after="120" w:line="360" w:lineRule="auto"/>
        <w:rPr>
          <w:rFonts w:ascii="Arial" w:hAnsi="Arial" w:cs="Times New Roman"/>
          <w:b/>
          <w:bCs/>
          <w:color w:val="auto"/>
          <w:sz w:val="24"/>
          <w:szCs w:val="24"/>
          <w:lang w:val="fr-FR"/>
        </w:rPr>
      </w:pPr>
      <w:bookmarkStart w:id="8" w:name="_Toc2586"/>
      <w:r>
        <w:rPr>
          <w:rFonts w:ascii="Arial" w:hAnsi="Arial" w:cs="Times New Roman"/>
          <w:b/>
          <w:bCs/>
          <w:color w:val="auto"/>
          <w:sz w:val="24"/>
          <w:szCs w:val="24"/>
          <w:lang w:val="fr-FR"/>
        </w:rPr>
        <w:t>2.5 – International Culture</w:t>
      </w:r>
      <w:bookmarkEnd w:id="8"/>
    </w:p>
    <w:p>
      <w:pPr>
        <w:spacing w:before="240" w:after="120" w:line="360" w:lineRule="auto"/>
        <w:jc w:val="both"/>
        <w:rPr>
          <w:rFonts w:ascii="Arial" w:hAnsi="Arial" w:cs="Times New Roman"/>
          <w:sz w:val="24"/>
          <w:szCs w:val="24"/>
        </w:rPr>
      </w:pPr>
      <w:r>
        <w:rPr>
          <w:rFonts w:ascii="Arial" w:hAnsi="Arial" w:cs="Times New Roman"/>
          <w:sz w:val="24"/>
          <w:szCs w:val="24"/>
        </w:rPr>
        <w:t>Understanding the context of international culture is important when navigating through international communication. Fons Trompenaars, a Dutch organizational theorist, proposed seven dimensions to analyse and compare cultures, providing valuable insights into how societies approach various aspects of life and work (</w:t>
      </w:r>
      <w:r>
        <w:rPr>
          <w:rFonts w:ascii="Arial" w:hAnsi="Arial" w:cs="Times New Roman"/>
          <w:sz w:val="24"/>
          <w:szCs w:val="24"/>
          <w:shd w:val="clear" w:color="auto" w:fill="FFFFFF"/>
        </w:rPr>
        <w:t>Trompenaars, 1996)</w:t>
      </w:r>
      <w:r>
        <w:rPr>
          <w:rFonts w:ascii="Arial" w:hAnsi="Arial" w:cs="Times New Roman"/>
          <w:sz w:val="24"/>
          <w:szCs w:val="24"/>
        </w:rPr>
        <w:t xml:space="preserve">. These dimensions help elucidate cultural variations, guiding </w:t>
      </w:r>
      <w:r>
        <w:rPr>
          <w:rFonts w:hint="eastAsia" w:eastAsia="宋体" w:cs="Times New Roman"/>
          <w:sz w:val="24"/>
          <w:szCs w:val="24"/>
          <w:lang w:val="en-US" w:eastAsia="zh-CN"/>
        </w:rPr>
        <w:t>retailer</w:t>
      </w:r>
      <w:r>
        <w:rPr>
          <w:rFonts w:ascii="Arial" w:hAnsi="Arial" w:cs="Times New Roman"/>
          <w:sz w:val="24"/>
          <w:szCs w:val="24"/>
        </w:rPr>
        <w:t xml:space="preserve"> in building successful relationships in diverse Asian markets. </w:t>
      </w:r>
    </w:p>
    <w:p>
      <w:pPr>
        <w:pStyle w:val="4"/>
        <w:spacing w:before="240" w:after="120" w:line="360" w:lineRule="auto"/>
        <w:rPr>
          <w:rFonts w:ascii="Arial" w:hAnsi="Arial" w:cs="Times New Roman"/>
          <w:b/>
          <w:bCs/>
          <w:color w:val="auto"/>
          <w:sz w:val="24"/>
          <w:lang w:val="fr-FR"/>
        </w:rPr>
      </w:pPr>
      <w:bookmarkStart w:id="9" w:name="_Toc18595"/>
      <w:r>
        <w:rPr>
          <w:rFonts w:ascii="Arial" w:hAnsi="Arial" w:cs="Times New Roman"/>
          <w:b/>
          <w:bCs/>
          <w:color w:val="auto"/>
          <w:sz w:val="24"/>
          <w:lang w:val="fr-FR"/>
        </w:rPr>
        <w:t>2.5.1 - Trompenaar’s 7 dimensions to culture</w:t>
      </w:r>
      <w:bookmarkEnd w:id="9"/>
    </w:p>
    <w:p>
      <w:pPr>
        <w:spacing w:before="240" w:after="120" w:line="360" w:lineRule="auto"/>
        <w:rPr>
          <w:rFonts w:ascii="Arial" w:hAnsi="Arial" w:cs="Times New Roman"/>
          <w:b/>
          <w:bCs/>
          <w:sz w:val="24"/>
          <w:szCs w:val="24"/>
        </w:rPr>
      </w:pPr>
      <w:r>
        <w:rPr>
          <w:rFonts w:ascii="Arial" w:hAnsi="Arial" w:cs="Times New Roman"/>
          <w:b/>
          <w:bCs/>
          <w:sz w:val="24"/>
          <w:szCs w:val="24"/>
        </w:rPr>
        <w:t>Universalism vs. Particularism</w:t>
      </w:r>
    </w:p>
    <w:p>
      <w:pPr>
        <w:spacing w:before="240" w:after="120" w:line="360" w:lineRule="auto"/>
        <w:jc w:val="both"/>
        <w:rPr>
          <w:rFonts w:ascii="Arial" w:hAnsi="Arial" w:cs="Times New Roman"/>
          <w:sz w:val="24"/>
          <w:szCs w:val="24"/>
        </w:rPr>
      </w:pPr>
      <w:r>
        <w:rPr>
          <w:rFonts w:ascii="Arial" w:hAnsi="Arial" w:cs="Times New Roman"/>
          <w:sz w:val="24"/>
          <w:szCs w:val="24"/>
        </w:rPr>
        <w:t>In cultures with a universalistic orientation such as Japan, there is a belief in applying general rules and standards consistently. The focus is on adhering to laws and principles that apply to all (</w:t>
      </w:r>
      <w:r>
        <w:rPr>
          <w:rFonts w:ascii="Arial" w:hAnsi="Arial" w:cs="Times New Roman"/>
          <w:sz w:val="24"/>
          <w:szCs w:val="24"/>
          <w:shd w:val="clear" w:color="auto" w:fill="FFFFFF"/>
        </w:rPr>
        <w:t>Sato et al., 2010)</w:t>
      </w:r>
      <w:r>
        <w:rPr>
          <w:rFonts w:ascii="Arial" w:hAnsi="Arial" w:cs="Times New Roman"/>
          <w:sz w:val="24"/>
          <w:szCs w:val="24"/>
        </w:rPr>
        <w:t>. Particularistic cultures such as China emphasize context and relationships, allowing for flexibility in applying rules based on individual circumstances.</w:t>
      </w:r>
    </w:p>
    <w:p>
      <w:pPr>
        <w:spacing w:before="240" w:after="120" w:line="360" w:lineRule="auto"/>
        <w:rPr>
          <w:rFonts w:ascii="Arial" w:hAnsi="Arial" w:cs="Times New Roman"/>
          <w:b/>
          <w:bCs/>
          <w:sz w:val="24"/>
          <w:szCs w:val="24"/>
        </w:rPr>
      </w:pPr>
      <w:r>
        <w:rPr>
          <w:rFonts w:ascii="Arial" w:hAnsi="Arial" w:cs="Times New Roman"/>
          <w:b/>
          <w:bCs/>
          <w:sz w:val="24"/>
          <w:szCs w:val="24"/>
        </w:rPr>
        <w:t>Individualism vs. Communitarianism</w:t>
      </w:r>
    </w:p>
    <w:p>
      <w:pPr>
        <w:spacing w:before="240" w:after="120" w:line="360" w:lineRule="auto"/>
        <w:jc w:val="both"/>
        <w:rPr>
          <w:rFonts w:ascii="Arial" w:hAnsi="Arial" w:cs="Times New Roman"/>
          <w:sz w:val="24"/>
          <w:szCs w:val="24"/>
        </w:rPr>
      </w:pPr>
      <w:r>
        <w:rPr>
          <w:rFonts w:ascii="Arial" w:hAnsi="Arial" w:cs="Times New Roman"/>
          <w:sz w:val="24"/>
          <w:szCs w:val="24"/>
        </w:rPr>
        <w:t>Individualistic cultures such as South Korea prioritize personal goals, autonomy, and self-expression. Independence and personal achievement are highly valued (</w:t>
      </w:r>
      <w:r>
        <w:rPr>
          <w:rFonts w:ascii="Arial" w:hAnsi="Arial" w:cs="Times New Roman"/>
          <w:sz w:val="24"/>
          <w:szCs w:val="24"/>
          <w:shd w:val="clear" w:color="auto" w:fill="FFFFFF"/>
        </w:rPr>
        <w:t>Hillenbrand, 2010)</w:t>
      </w:r>
      <w:r>
        <w:rPr>
          <w:rFonts w:ascii="Arial" w:hAnsi="Arial" w:cs="Times New Roman"/>
          <w:sz w:val="24"/>
          <w:szCs w:val="24"/>
        </w:rPr>
        <w:t>. Unlike individualistic, in communitarian cultures such as India, group harmony, loyalty, and collective well-being take precedence over individual interests. Collaboration and teamwork are highly valued.</w:t>
      </w:r>
    </w:p>
    <w:p>
      <w:pPr>
        <w:spacing w:before="240" w:after="120" w:line="360" w:lineRule="auto"/>
        <w:rPr>
          <w:rFonts w:ascii="Arial" w:hAnsi="Arial" w:cs="Times New Roman"/>
          <w:b/>
          <w:bCs/>
          <w:sz w:val="24"/>
          <w:szCs w:val="24"/>
        </w:rPr>
      </w:pPr>
      <w:r>
        <w:rPr>
          <w:rFonts w:ascii="Arial" w:hAnsi="Arial" w:cs="Times New Roman"/>
          <w:b/>
          <w:bCs/>
          <w:sz w:val="24"/>
          <w:szCs w:val="24"/>
        </w:rPr>
        <w:t>Specific vs. Diffuse</w:t>
      </w:r>
    </w:p>
    <w:p>
      <w:pPr>
        <w:spacing w:before="240" w:after="120" w:line="360" w:lineRule="auto"/>
        <w:jc w:val="both"/>
        <w:rPr>
          <w:rFonts w:ascii="Arial" w:hAnsi="Arial" w:cs="Times New Roman"/>
          <w:sz w:val="24"/>
          <w:szCs w:val="24"/>
        </w:rPr>
      </w:pPr>
      <w:r>
        <w:rPr>
          <w:rFonts w:ascii="Arial" w:hAnsi="Arial" w:cs="Times New Roman"/>
          <w:sz w:val="24"/>
          <w:szCs w:val="24"/>
        </w:rPr>
        <w:t>In specific cultures such as Singapore, there is a clear separation between personal and professional life. Relationships are compartmentalized, and the focus is on specific tasks or goals (</w:t>
      </w:r>
      <w:r>
        <w:rPr>
          <w:rFonts w:ascii="Arial" w:hAnsi="Arial" w:cs="Times New Roman"/>
          <w:sz w:val="24"/>
          <w:szCs w:val="24"/>
          <w:shd w:val="clear" w:color="auto" w:fill="FFFFFF"/>
        </w:rPr>
        <w:t>Bjornsdottir and Rule, 2021)</w:t>
      </w:r>
      <w:r>
        <w:rPr>
          <w:rFonts w:ascii="Arial" w:hAnsi="Arial" w:cs="Times New Roman"/>
          <w:sz w:val="24"/>
          <w:szCs w:val="24"/>
        </w:rPr>
        <w:t>. Diffuse cultures such as Thailand blur the lines between personal and professional relationships. Building trust and rapport is seen as essential before engaging in business transactions.</w:t>
      </w:r>
    </w:p>
    <w:p>
      <w:pPr>
        <w:spacing w:before="240" w:after="120" w:line="360" w:lineRule="auto"/>
        <w:rPr>
          <w:rFonts w:ascii="Arial" w:hAnsi="Arial" w:cs="Times New Roman"/>
          <w:b/>
          <w:bCs/>
          <w:sz w:val="24"/>
          <w:szCs w:val="24"/>
        </w:rPr>
      </w:pPr>
      <w:r>
        <w:rPr>
          <w:rFonts w:ascii="Arial" w:hAnsi="Arial" w:cs="Times New Roman"/>
          <w:b/>
          <w:bCs/>
          <w:sz w:val="24"/>
          <w:szCs w:val="24"/>
        </w:rPr>
        <w:t>Neutral vs. Emotional</w:t>
      </w:r>
    </w:p>
    <w:p>
      <w:pPr>
        <w:spacing w:before="240" w:after="120" w:line="360" w:lineRule="auto"/>
        <w:jc w:val="both"/>
        <w:rPr>
          <w:rFonts w:ascii="Arial" w:hAnsi="Arial" w:cs="Times New Roman"/>
          <w:sz w:val="24"/>
          <w:szCs w:val="24"/>
        </w:rPr>
      </w:pPr>
      <w:r>
        <w:rPr>
          <w:rFonts w:ascii="Arial" w:hAnsi="Arial" w:cs="Times New Roman"/>
          <w:sz w:val="24"/>
          <w:szCs w:val="24"/>
        </w:rPr>
        <w:t>Neutral cultures such as Japan tend to suppress emotions in professional settings, valuing objectivity and maintaining a calm demeanour (</w:t>
      </w:r>
      <w:r>
        <w:rPr>
          <w:rFonts w:ascii="Arial" w:hAnsi="Arial" w:cs="Times New Roman"/>
          <w:sz w:val="24"/>
          <w:szCs w:val="24"/>
          <w:shd w:val="clear" w:color="auto" w:fill="FFFFFF"/>
        </w:rPr>
        <w:t>Bjornsdottir and Rule, 2021)</w:t>
      </w:r>
      <w:r>
        <w:rPr>
          <w:rFonts w:ascii="Arial" w:hAnsi="Arial" w:cs="Times New Roman"/>
          <w:sz w:val="24"/>
          <w:szCs w:val="24"/>
        </w:rPr>
        <w:t>. On the other hand, emotional cultures such as Indonesia express feelings openly and consider emotions integral to work relationships. Emotional expression is not perceived as a hindrance to professionalism.</w:t>
      </w:r>
    </w:p>
    <w:p>
      <w:pPr>
        <w:spacing w:before="240" w:after="120" w:line="360" w:lineRule="auto"/>
        <w:rPr>
          <w:rFonts w:ascii="Arial" w:hAnsi="Arial" w:cs="Times New Roman"/>
          <w:b/>
          <w:bCs/>
          <w:sz w:val="24"/>
          <w:szCs w:val="24"/>
        </w:rPr>
      </w:pPr>
      <w:r>
        <w:rPr>
          <w:rFonts w:ascii="Arial" w:hAnsi="Arial" w:cs="Times New Roman"/>
          <w:b/>
          <w:bCs/>
          <w:sz w:val="24"/>
          <w:szCs w:val="24"/>
        </w:rPr>
        <w:t>Achievement vs. Ascription</w:t>
      </w:r>
    </w:p>
    <w:p>
      <w:pPr>
        <w:spacing w:before="240" w:after="120" w:line="360" w:lineRule="auto"/>
        <w:jc w:val="both"/>
        <w:rPr>
          <w:rFonts w:ascii="Arial" w:hAnsi="Arial" w:cs="Times New Roman"/>
          <w:sz w:val="24"/>
          <w:szCs w:val="24"/>
        </w:rPr>
      </w:pPr>
      <w:r>
        <w:rPr>
          <w:rFonts w:ascii="Arial" w:hAnsi="Arial" w:cs="Times New Roman"/>
          <w:sz w:val="24"/>
          <w:szCs w:val="24"/>
        </w:rPr>
        <w:t>Achievement-oriented cultures such as South Korea place emphasis on an individual's accomplishments, skills, and merit. Status is often earned based on performance (</w:t>
      </w:r>
      <w:r>
        <w:rPr>
          <w:rFonts w:ascii="Arial" w:hAnsi="Arial" w:cs="Times New Roman"/>
          <w:sz w:val="24"/>
          <w:szCs w:val="24"/>
          <w:shd w:val="clear" w:color="auto" w:fill="FFFFFF"/>
        </w:rPr>
        <w:t>Chitty, 2010)</w:t>
      </w:r>
      <w:r>
        <w:rPr>
          <w:rFonts w:ascii="Arial" w:hAnsi="Arial" w:cs="Times New Roman"/>
          <w:sz w:val="24"/>
          <w:szCs w:val="24"/>
        </w:rPr>
        <w:t>. In ascription cultures such as Saudi Arabia, status and authority are attributed based on factors such as age, gender, or social connections, irrespective of individual accomplishments.</w:t>
      </w:r>
    </w:p>
    <w:p>
      <w:pPr>
        <w:spacing w:before="240" w:after="120" w:line="360" w:lineRule="auto"/>
        <w:rPr>
          <w:rFonts w:ascii="Arial" w:hAnsi="Arial" w:cs="Times New Roman"/>
          <w:b/>
          <w:bCs/>
          <w:sz w:val="24"/>
          <w:szCs w:val="24"/>
        </w:rPr>
      </w:pPr>
      <w:r>
        <w:rPr>
          <w:rFonts w:ascii="Arial" w:hAnsi="Arial" w:cs="Times New Roman"/>
          <w:b/>
          <w:bCs/>
          <w:sz w:val="24"/>
          <w:szCs w:val="24"/>
        </w:rPr>
        <w:t>Sequential vs. Synchronous Time</w:t>
      </w:r>
    </w:p>
    <w:p>
      <w:pPr>
        <w:spacing w:before="240" w:after="120" w:line="360" w:lineRule="auto"/>
        <w:jc w:val="both"/>
        <w:rPr>
          <w:rFonts w:ascii="Arial" w:hAnsi="Arial" w:cs="Times New Roman"/>
          <w:sz w:val="24"/>
          <w:szCs w:val="24"/>
        </w:rPr>
      </w:pPr>
      <w:r>
        <w:rPr>
          <w:rFonts w:ascii="Arial" w:hAnsi="Arial" w:cs="Times New Roman"/>
          <w:sz w:val="24"/>
          <w:szCs w:val="24"/>
        </w:rPr>
        <w:t>Cultures that follow sequential time such as Japan prioritize punctuality, deadlines, and a linear approach to tasks (</w:t>
      </w:r>
      <w:r>
        <w:rPr>
          <w:rFonts w:ascii="Arial" w:hAnsi="Arial" w:cs="Times New Roman"/>
          <w:sz w:val="24"/>
          <w:szCs w:val="24"/>
          <w:shd w:val="clear" w:color="auto" w:fill="FFFFFF"/>
        </w:rPr>
        <w:t>Chitty, 2010)</w:t>
      </w:r>
      <w:r>
        <w:rPr>
          <w:rFonts w:ascii="Arial" w:hAnsi="Arial" w:cs="Times New Roman"/>
          <w:sz w:val="24"/>
          <w:szCs w:val="24"/>
        </w:rPr>
        <w:t>. Synchronous time cultures such as Indonesia have a more flexible approach to time, allowing for simultaneous engagement in multiple activities. Relationships and events often take precedence over strict adherence to schedules.</w:t>
      </w:r>
    </w:p>
    <w:p>
      <w:pPr>
        <w:spacing w:before="240" w:after="120" w:line="360" w:lineRule="auto"/>
        <w:rPr>
          <w:rFonts w:ascii="Arial" w:hAnsi="Arial" w:cs="Times New Roman"/>
          <w:b/>
          <w:bCs/>
          <w:sz w:val="24"/>
          <w:szCs w:val="24"/>
        </w:rPr>
      </w:pPr>
      <w:r>
        <w:rPr>
          <w:rFonts w:ascii="Arial" w:hAnsi="Arial" w:cs="Times New Roman"/>
          <w:b/>
          <w:bCs/>
          <w:sz w:val="24"/>
          <w:szCs w:val="24"/>
        </w:rPr>
        <w:t>Internal vs. External Control</w:t>
      </w:r>
    </w:p>
    <w:p>
      <w:pPr>
        <w:spacing w:before="240" w:after="120" w:line="360" w:lineRule="auto"/>
        <w:jc w:val="both"/>
        <w:rPr>
          <w:rFonts w:ascii="Arial" w:hAnsi="Arial" w:cs="Times New Roman"/>
          <w:sz w:val="24"/>
          <w:szCs w:val="24"/>
        </w:rPr>
      </w:pPr>
      <w:r>
        <w:rPr>
          <w:rFonts w:ascii="Arial" w:hAnsi="Arial" w:cs="Times New Roman"/>
          <w:sz w:val="24"/>
          <w:szCs w:val="24"/>
        </w:rPr>
        <w:t>In cultures with an internal locus of control such as Japan, individuals believe they influence their destinies through their actions and decisions (</w:t>
      </w:r>
      <w:r>
        <w:rPr>
          <w:rFonts w:ascii="Arial" w:hAnsi="Arial" w:cs="Times New Roman"/>
          <w:sz w:val="24"/>
          <w:szCs w:val="24"/>
          <w:shd w:val="clear" w:color="auto" w:fill="FFFFFF"/>
        </w:rPr>
        <w:t>Hillenbrand, 2010)</w:t>
      </w:r>
      <w:r>
        <w:rPr>
          <w:rFonts w:ascii="Arial" w:hAnsi="Arial" w:cs="Times New Roman"/>
          <w:sz w:val="24"/>
          <w:szCs w:val="24"/>
        </w:rPr>
        <w:t>. External control cultures such as Vietnam attribute events and outcomes to external factors such as fate, luck, or societal forces beyond individual control.</w:t>
      </w:r>
    </w:p>
    <w:p>
      <w:pPr>
        <w:pStyle w:val="3"/>
        <w:spacing w:before="240" w:after="120" w:line="360" w:lineRule="auto"/>
        <w:rPr>
          <w:rFonts w:ascii="Arial" w:hAnsi="Arial" w:cs="Times New Roman"/>
          <w:b/>
          <w:bCs/>
          <w:color w:val="auto"/>
          <w:sz w:val="24"/>
          <w:szCs w:val="24"/>
        </w:rPr>
      </w:pPr>
      <w:bookmarkStart w:id="10" w:name="_Toc3100"/>
      <w:r>
        <w:rPr>
          <w:rFonts w:ascii="Arial" w:hAnsi="Arial" w:cs="Times New Roman"/>
          <w:b/>
          <w:bCs/>
          <w:color w:val="auto"/>
          <w:sz w:val="24"/>
          <w:szCs w:val="24"/>
        </w:rPr>
        <w:t>2.6 – Importance of Building Relationships</w:t>
      </w:r>
      <w:bookmarkEnd w:id="10"/>
    </w:p>
    <w:p>
      <w:pPr>
        <w:spacing w:before="240" w:after="120" w:line="360" w:lineRule="auto"/>
        <w:jc w:val="both"/>
        <w:rPr>
          <w:rFonts w:ascii="Arial" w:hAnsi="Arial" w:cs="Times New Roman"/>
          <w:sz w:val="24"/>
          <w:szCs w:val="24"/>
        </w:rPr>
      </w:pPr>
      <w:r>
        <w:rPr>
          <w:rFonts w:ascii="Arial" w:hAnsi="Arial" w:cs="Times New Roman"/>
          <w:sz w:val="24"/>
          <w:szCs w:val="24"/>
        </w:rPr>
        <w:t>For retailers, building relationships in international business communication is important because it enhances trust and credibility. Trust and credibility are the foundation of successful collaboration in Asian markets, where personal connections often play a significant role in business interactions (</w:t>
      </w:r>
      <w:r>
        <w:rPr>
          <w:rFonts w:ascii="Arial" w:hAnsi="Arial" w:cs="Times New Roman"/>
          <w:sz w:val="24"/>
          <w:szCs w:val="24"/>
          <w:shd w:val="clear" w:color="auto" w:fill="FFFFFF"/>
        </w:rPr>
        <w:t>Havila et al., 2004)</w:t>
      </w:r>
      <w:r>
        <w:rPr>
          <w:rFonts w:ascii="Arial" w:hAnsi="Arial" w:cs="Times New Roman"/>
          <w:sz w:val="24"/>
          <w:szCs w:val="24"/>
        </w:rPr>
        <w:t>. Such relationships will also be important in enhancing effective communication, which is crucial in overcoming language barriers and ensuring that messages are conveyed accurately and in a culturally sensitive manner.</w:t>
      </w:r>
    </w:p>
    <w:p>
      <w:pPr>
        <w:spacing w:before="240" w:after="120" w:line="360" w:lineRule="auto"/>
        <w:jc w:val="both"/>
        <w:rPr>
          <w:rFonts w:ascii="Arial" w:hAnsi="Arial" w:cs="Times New Roman"/>
          <w:sz w:val="24"/>
          <w:szCs w:val="24"/>
        </w:rPr>
      </w:pPr>
      <w:r>
        <w:rPr>
          <w:rFonts w:ascii="Arial" w:hAnsi="Arial" w:cs="Times New Roman"/>
          <w:sz w:val="24"/>
          <w:szCs w:val="24"/>
        </w:rPr>
        <w:t>Building relationships is also important for cultural understanding. In Asian markets, where cultural nuances would greatly impact business dynamics, forming personal connections helps navigate cultural differences, demonstrating respect, and avoiding misunderstandings (</w:t>
      </w:r>
      <w:r>
        <w:rPr>
          <w:rFonts w:ascii="Arial" w:hAnsi="Arial" w:cs="Times New Roman"/>
          <w:sz w:val="24"/>
          <w:szCs w:val="24"/>
          <w:shd w:val="clear" w:color="auto" w:fill="FFFFFF"/>
        </w:rPr>
        <w:t>Racela</w:t>
      </w:r>
      <w:r>
        <w:rPr>
          <w:rFonts w:ascii="Arial" w:hAnsi="Arial" w:cs="Times New Roman"/>
          <w:sz w:val="24"/>
          <w:szCs w:val="24"/>
        </w:rPr>
        <w:t xml:space="preserve">et al., 2007). The success in these markets also relies on long-term partnerships. Hence, building relationships fosters commitment and loyalty, essential for enduring collaborations. In Asian cultures, which often prioritize long-term perspectives, investing in relationships aligns with local business values. </w:t>
      </w:r>
    </w:p>
    <w:p>
      <w:pPr>
        <w:spacing w:before="240" w:after="120" w:line="360" w:lineRule="auto"/>
        <w:jc w:val="both"/>
        <w:rPr>
          <w:rFonts w:ascii="Arial" w:hAnsi="Arial" w:cs="Times New Roman"/>
          <w:sz w:val="24"/>
          <w:szCs w:val="24"/>
        </w:rPr>
      </w:pPr>
      <w:r>
        <w:rPr>
          <w:rFonts w:ascii="Arial" w:hAnsi="Arial" w:cs="Times New Roman"/>
          <w:sz w:val="24"/>
          <w:szCs w:val="24"/>
        </w:rPr>
        <w:t xml:space="preserve">Lastly, building relationships will help retailers to adapt to the local preferences of the Asian markets. Understanding the preferences of Asian consumers will allow </w:t>
      </w:r>
      <w:r>
        <w:rPr>
          <w:rFonts w:hint="eastAsia" w:eastAsia="宋体" w:cs="Times New Roman"/>
          <w:sz w:val="24"/>
          <w:szCs w:val="24"/>
          <w:lang w:val="en-US" w:eastAsia="zh-CN"/>
        </w:rPr>
        <w:t>retailer</w:t>
      </w:r>
      <w:r>
        <w:rPr>
          <w:rFonts w:ascii="Arial" w:hAnsi="Arial" w:cs="Times New Roman"/>
          <w:sz w:val="24"/>
          <w:szCs w:val="24"/>
        </w:rPr>
        <w:t xml:space="preserve"> to tailor its products, services, and marketing strategies to align with the cultural context and consumer expectations, which will contribute to a strong brand image (</w:t>
      </w:r>
      <w:r>
        <w:rPr>
          <w:rFonts w:ascii="Arial" w:hAnsi="Arial" w:cs="Times New Roman"/>
          <w:sz w:val="24"/>
          <w:szCs w:val="24"/>
          <w:shd w:val="clear" w:color="auto" w:fill="FFFFFF"/>
        </w:rPr>
        <w:t>Gerbasi and Latusek, 2015)</w:t>
      </w:r>
      <w:r>
        <w:rPr>
          <w:rFonts w:ascii="Arial" w:hAnsi="Arial" w:cs="Times New Roman"/>
          <w:sz w:val="24"/>
          <w:szCs w:val="24"/>
        </w:rPr>
        <w:t xml:space="preserve">. Cultivating connections with local partners, suppliers, and customers in Asia helps </w:t>
      </w:r>
      <w:r>
        <w:rPr>
          <w:rFonts w:hint="eastAsia" w:eastAsia="宋体" w:cs="Times New Roman"/>
          <w:sz w:val="24"/>
          <w:szCs w:val="24"/>
          <w:lang w:val="en-US" w:eastAsia="zh-CN"/>
        </w:rPr>
        <w:t>retailer</w:t>
      </w:r>
      <w:r>
        <w:rPr>
          <w:rFonts w:ascii="Arial" w:hAnsi="Arial" w:cs="Times New Roman"/>
          <w:sz w:val="24"/>
          <w:szCs w:val="24"/>
        </w:rPr>
        <w:t xml:space="preserve"> create a favourable reputation, enhancing brand trust and appeal in the target markets.</w:t>
      </w:r>
    </w:p>
    <w:p>
      <w:pPr>
        <w:pStyle w:val="3"/>
        <w:spacing w:before="240" w:after="120" w:line="360" w:lineRule="auto"/>
        <w:rPr>
          <w:rFonts w:ascii="Arial" w:hAnsi="Arial" w:cs="Times New Roman"/>
          <w:b/>
          <w:bCs/>
          <w:color w:val="auto"/>
          <w:sz w:val="24"/>
          <w:szCs w:val="24"/>
        </w:rPr>
      </w:pPr>
      <w:bookmarkStart w:id="11" w:name="_Toc32618"/>
      <w:r>
        <w:rPr>
          <w:rFonts w:ascii="Arial" w:hAnsi="Arial" w:cs="Times New Roman"/>
          <w:b/>
          <w:bCs/>
          <w:color w:val="auto"/>
          <w:sz w:val="24"/>
          <w:szCs w:val="24"/>
        </w:rPr>
        <w:t>2.7 – How to Build Trust</w:t>
      </w:r>
      <w:bookmarkEnd w:id="11"/>
    </w:p>
    <w:p>
      <w:pPr>
        <w:spacing w:before="240" w:after="120" w:line="360" w:lineRule="auto"/>
        <w:jc w:val="both"/>
        <w:rPr>
          <w:rFonts w:ascii="Arial" w:hAnsi="Arial" w:cs="Times New Roman"/>
          <w:sz w:val="24"/>
          <w:szCs w:val="24"/>
        </w:rPr>
      </w:pPr>
      <w:r>
        <w:rPr>
          <w:rFonts w:ascii="Arial" w:hAnsi="Arial" w:cs="Times New Roman"/>
          <w:sz w:val="24"/>
          <w:szCs w:val="24"/>
        </w:rPr>
        <w:t>When exploring diverse markets such as Asia, building trust requires a robust cultural awareness and recognizing the importance of hierarchy, respect for elders, and other cultural values that influence trust-building (</w:t>
      </w:r>
      <w:r>
        <w:rPr>
          <w:rFonts w:ascii="Arial" w:hAnsi="Arial" w:cs="Times New Roman"/>
          <w:sz w:val="24"/>
          <w:szCs w:val="24"/>
          <w:shd w:val="clear" w:color="auto" w:fill="FFFFFF"/>
        </w:rPr>
        <w:t>Gerbasi and Latusek, 2015)</w:t>
      </w:r>
      <w:r>
        <w:rPr>
          <w:rFonts w:ascii="Arial" w:hAnsi="Arial" w:cs="Times New Roman"/>
          <w:sz w:val="24"/>
          <w:szCs w:val="24"/>
        </w:rPr>
        <w:t xml:space="preserve">. </w:t>
      </w:r>
      <w:r>
        <w:rPr>
          <w:rFonts w:hint="eastAsia" w:eastAsia="宋体" w:cs="Times New Roman"/>
          <w:sz w:val="24"/>
          <w:szCs w:val="24"/>
          <w:lang w:val="en-US" w:eastAsia="zh-CN"/>
        </w:rPr>
        <w:t>Retailer</w:t>
      </w:r>
      <w:r>
        <w:rPr>
          <w:rFonts w:ascii="Arial" w:hAnsi="Arial" w:cs="Times New Roman"/>
          <w:sz w:val="24"/>
          <w:szCs w:val="24"/>
        </w:rPr>
        <w:t xml:space="preserve"> would achieve this through cultural sensitivity training for its staff to ensure they are aware of and respect the cultural norms and practices of the target countries. This will help in avoiding unintentional misunderstandings.</w:t>
      </w:r>
    </w:p>
    <w:p>
      <w:pPr>
        <w:spacing w:before="240" w:after="120" w:line="360" w:lineRule="auto"/>
        <w:jc w:val="both"/>
        <w:rPr>
          <w:rFonts w:ascii="Arial" w:hAnsi="Arial" w:cs="Times New Roman"/>
          <w:sz w:val="24"/>
          <w:szCs w:val="24"/>
        </w:rPr>
      </w:pPr>
      <w:r>
        <w:rPr>
          <w:rFonts w:ascii="Arial" w:hAnsi="Arial" w:cs="Times New Roman"/>
          <w:sz w:val="24"/>
          <w:szCs w:val="24"/>
        </w:rPr>
        <w:t>Another way to build trust in diverse Asian cultures is to invest time in getting to know key partners, suppliers, and stakeholders on a personal level before delving into business (</w:t>
      </w:r>
      <w:r>
        <w:rPr>
          <w:rFonts w:ascii="Arial" w:hAnsi="Arial" w:cs="Times New Roman"/>
          <w:sz w:val="24"/>
          <w:szCs w:val="24"/>
          <w:shd w:val="clear" w:color="auto" w:fill="FFFFFF"/>
        </w:rPr>
        <w:t>Friman et al., 2002)</w:t>
      </w:r>
      <w:r>
        <w:rPr>
          <w:rFonts w:ascii="Arial" w:hAnsi="Arial" w:cs="Times New Roman"/>
          <w:sz w:val="24"/>
          <w:szCs w:val="24"/>
        </w:rPr>
        <w:t xml:space="preserve">. To achieve this, </w:t>
      </w:r>
      <w:r>
        <w:rPr>
          <w:rFonts w:hint="eastAsia" w:eastAsia="宋体" w:cs="Times New Roman"/>
          <w:sz w:val="24"/>
          <w:szCs w:val="24"/>
          <w:lang w:val="en-US" w:eastAsia="zh-CN"/>
        </w:rPr>
        <w:t>company</w:t>
      </w:r>
      <w:r>
        <w:rPr>
          <w:rFonts w:ascii="Arial" w:hAnsi="Arial" w:cs="Times New Roman"/>
          <w:sz w:val="24"/>
          <w:szCs w:val="24"/>
        </w:rPr>
        <w:t>’ staff would prioritize face-to-face interactions or in-person meetings to establish a personal connection, demonstrate commitment, and build trust more effectively than remote communication.</w:t>
      </w:r>
    </w:p>
    <w:p>
      <w:pPr>
        <w:spacing w:before="240" w:after="120" w:line="360" w:lineRule="auto"/>
        <w:jc w:val="both"/>
        <w:rPr>
          <w:rFonts w:ascii="Arial" w:hAnsi="Arial" w:cs="Times New Roman"/>
          <w:sz w:val="24"/>
          <w:szCs w:val="24"/>
        </w:rPr>
      </w:pPr>
      <w:r>
        <w:rPr>
          <w:rFonts w:ascii="Arial" w:hAnsi="Arial" w:cs="Times New Roman"/>
          <w:sz w:val="24"/>
          <w:szCs w:val="24"/>
        </w:rPr>
        <w:t xml:space="preserve">Lastly, </w:t>
      </w:r>
      <w:r>
        <w:rPr>
          <w:rFonts w:hint="eastAsia" w:eastAsia="宋体" w:cs="Times New Roman"/>
          <w:sz w:val="24"/>
          <w:szCs w:val="24"/>
          <w:lang w:val="en-US" w:eastAsia="zh-CN"/>
        </w:rPr>
        <w:t>retailer</w:t>
      </w:r>
      <w:r>
        <w:rPr>
          <w:rFonts w:ascii="Arial" w:hAnsi="Arial" w:cs="Times New Roman"/>
          <w:sz w:val="24"/>
          <w:szCs w:val="24"/>
        </w:rPr>
        <w:t xml:space="preserve"> needs to integrate sustainable and ethical business practices that have become common in international business contexts (</w:t>
      </w:r>
      <w:r>
        <w:rPr>
          <w:rFonts w:ascii="Arial" w:hAnsi="Arial" w:cs="Times New Roman"/>
          <w:sz w:val="24"/>
          <w:szCs w:val="24"/>
          <w:shd w:val="clear" w:color="auto" w:fill="FFFFFF"/>
        </w:rPr>
        <w:t>Friman et al., 2002)</w:t>
      </w:r>
      <w:r>
        <w:rPr>
          <w:rFonts w:ascii="Arial" w:hAnsi="Arial" w:cs="Times New Roman"/>
          <w:sz w:val="24"/>
          <w:szCs w:val="24"/>
        </w:rPr>
        <w:t xml:space="preserve">. Since customers shift their preferences towards sustainable retailers, </w:t>
      </w:r>
      <w:r>
        <w:rPr>
          <w:rFonts w:hint="eastAsia" w:eastAsia="宋体" w:cs="Times New Roman"/>
          <w:sz w:val="24"/>
          <w:szCs w:val="24"/>
          <w:lang w:val="en-US" w:eastAsia="zh-CN"/>
        </w:rPr>
        <w:t>retailer</w:t>
      </w:r>
      <w:r>
        <w:rPr>
          <w:rFonts w:ascii="Arial" w:hAnsi="Arial" w:cs="Times New Roman"/>
          <w:sz w:val="24"/>
          <w:szCs w:val="24"/>
        </w:rPr>
        <w:t xml:space="preserve"> will build trust in Asian markets by upholding high ethical standards in all business dealings. </w:t>
      </w:r>
      <w:r>
        <w:rPr>
          <w:rFonts w:hint="eastAsia" w:eastAsia="宋体" w:cs="Times New Roman"/>
          <w:sz w:val="24"/>
          <w:szCs w:val="24"/>
          <w:lang w:val="en-US" w:eastAsia="zh-CN"/>
        </w:rPr>
        <w:t>retailer</w:t>
      </w:r>
      <w:r>
        <w:rPr>
          <w:rFonts w:ascii="Arial" w:hAnsi="Arial" w:cs="Times New Roman"/>
          <w:sz w:val="24"/>
          <w:szCs w:val="24"/>
        </w:rPr>
        <w:t xml:space="preserve"> would demonstrate integrity and a commitment to ethical practices. Demonstrating a commitment to social and environmental responsibility would enhance the brand's reputation and contribute to trust-building.</w:t>
      </w:r>
    </w:p>
    <w:p>
      <w:pPr>
        <w:pStyle w:val="3"/>
        <w:spacing w:before="240" w:after="120" w:line="360" w:lineRule="auto"/>
        <w:rPr>
          <w:rFonts w:ascii="Arial" w:hAnsi="Arial" w:cs="Times New Roman"/>
          <w:b/>
          <w:bCs/>
          <w:color w:val="auto"/>
          <w:sz w:val="24"/>
          <w:szCs w:val="24"/>
        </w:rPr>
      </w:pPr>
      <w:bookmarkStart w:id="12" w:name="_Toc31617"/>
      <w:r>
        <w:rPr>
          <w:rFonts w:ascii="Arial" w:hAnsi="Arial" w:cs="Times New Roman"/>
          <w:b/>
          <w:bCs/>
          <w:color w:val="auto"/>
          <w:sz w:val="24"/>
          <w:szCs w:val="24"/>
        </w:rPr>
        <w:t>2.8 – Failed Relationships</w:t>
      </w:r>
      <w:bookmarkEnd w:id="12"/>
      <w:r>
        <w:rPr>
          <w:rFonts w:ascii="Arial" w:hAnsi="Arial" w:cs="Times New Roman"/>
          <w:b/>
          <w:bCs/>
          <w:color w:val="auto"/>
          <w:sz w:val="24"/>
          <w:szCs w:val="24"/>
        </w:rPr>
        <w:t xml:space="preserve"> </w:t>
      </w:r>
    </w:p>
    <w:p>
      <w:pPr>
        <w:spacing w:before="240" w:after="120" w:line="360" w:lineRule="auto"/>
        <w:jc w:val="both"/>
        <w:rPr>
          <w:rFonts w:ascii="Arial" w:hAnsi="Arial" w:cs="Times New Roman"/>
          <w:sz w:val="24"/>
          <w:szCs w:val="24"/>
        </w:rPr>
      </w:pPr>
      <w:r>
        <w:rPr>
          <w:rFonts w:ascii="Arial" w:hAnsi="Arial" w:cs="Times New Roman"/>
          <w:sz w:val="24"/>
          <w:szCs w:val="24"/>
        </w:rPr>
        <w:t>Relationships, especially in international business contexts, would face various challenges that may lead to failure (</w:t>
      </w:r>
      <w:r>
        <w:rPr>
          <w:rFonts w:ascii="Arial" w:hAnsi="Arial" w:cs="Times New Roman"/>
          <w:sz w:val="24"/>
          <w:szCs w:val="24"/>
          <w:shd w:val="clear" w:color="auto" w:fill="FFFFFF"/>
        </w:rPr>
        <w:t>Elenkov and Fileva, 2006)</w:t>
      </w:r>
      <w:r>
        <w:rPr>
          <w:rFonts w:ascii="Arial" w:hAnsi="Arial" w:cs="Times New Roman"/>
          <w:sz w:val="24"/>
          <w:szCs w:val="24"/>
        </w:rPr>
        <w:t xml:space="preserve">. For example, when it comes to cultural understanding, inefficient understanding of the cultural values, norms, and communication styles in the target market would lead to misunderstandings and misinterpretations. If </w:t>
      </w:r>
      <w:r>
        <w:rPr>
          <w:rFonts w:hint="eastAsia" w:eastAsia="宋体" w:cs="Times New Roman"/>
          <w:sz w:val="24"/>
          <w:szCs w:val="24"/>
          <w:lang w:val="en-US" w:eastAsia="zh-CN"/>
        </w:rPr>
        <w:t>retailer</w:t>
      </w:r>
      <w:r>
        <w:rPr>
          <w:rFonts w:ascii="Arial" w:hAnsi="Arial" w:cs="Times New Roman"/>
          <w:sz w:val="24"/>
          <w:szCs w:val="24"/>
        </w:rPr>
        <w:t xml:space="preserve"> fails to adapt its business practices to align with the cultural expectations of the target market, it may result in unintentional disrespect or offense. Language barriers would hinder effective communication (</w:t>
      </w:r>
      <w:r>
        <w:rPr>
          <w:rFonts w:ascii="Arial" w:hAnsi="Arial" w:cs="Times New Roman"/>
          <w:sz w:val="24"/>
          <w:szCs w:val="24"/>
          <w:shd w:val="clear" w:color="auto" w:fill="FFFFFF"/>
        </w:rPr>
        <w:t>Johnson</w:t>
      </w:r>
      <w:r>
        <w:rPr>
          <w:rFonts w:ascii="Arial" w:hAnsi="Arial" w:cs="Times New Roman"/>
          <w:sz w:val="24"/>
          <w:szCs w:val="24"/>
        </w:rPr>
        <w:t xml:space="preserve"> et al., 2006). Miscommunications may occur, leading to misunderstandings or the misinterpretation of critical information. Variations in communication styles, such as high-context vs. low-context communication, would lead to confusion and breakdowns in conveying messages accurately. Lastly, cultural insensitivity in marketing campaigns, branding, or product offerings would lead to negative perceptions and harm the relationship with customers.</w:t>
      </w:r>
    </w:p>
    <w:p>
      <w:pPr>
        <w:spacing w:before="240" w:after="120" w:line="360" w:lineRule="auto"/>
        <w:rPr>
          <w:rFonts w:ascii="Arial" w:hAnsi="Arial" w:cs="Times New Roman"/>
          <w:b/>
          <w:bCs/>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b/>
          <w:bCs/>
          <w:sz w:val="24"/>
          <w:szCs w:val="24"/>
        </w:rPr>
      </w:pPr>
      <w:r>
        <w:rPr>
          <w:rFonts w:ascii="Arial" w:hAnsi="Arial" w:cs="Times New Roman"/>
          <w:b/>
          <w:bCs/>
          <w:sz w:val="24"/>
          <w:szCs w:val="24"/>
        </w:rPr>
        <w:br w:type="page"/>
      </w:r>
    </w:p>
    <w:p>
      <w:pPr>
        <w:pStyle w:val="2"/>
        <w:spacing w:after="120" w:line="360" w:lineRule="auto"/>
        <w:rPr>
          <w:rFonts w:ascii="Arial" w:hAnsi="Arial" w:cs="Times New Roman"/>
          <w:b/>
          <w:bCs/>
          <w:color w:val="auto"/>
          <w:sz w:val="24"/>
          <w:szCs w:val="24"/>
        </w:rPr>
      </w:pPr>
      <w:bookmarkStart w:id="13" w:name="_Toc6056"/>
      <w:r>
        <w:rPr>
          <w:rFonts w:ascii="Arial" w:hAnsi="Arial" w:cs="Times New Roman"/>
          <w:b/>
          <w:bCs/>
          <w:color w:val="auto"/>
          <w:sz w:val="24"/>
          <w:szCs w:val="24"/>
        </w:rPr>
        <w:t>3.0 – Conclusion</w:t>
      </w:r>
      <w:bookmarkEnd w:id="13"/>
    </w:p>
    <w:p>
      <w:pPr>
        <w:pBdr>
          <w:bottom w:val="single" w:color="auto" w:sz="4" w:space="1"/>
        </w:pBdr>
        <w:spacing w:before="240" w:after="120" w:line="360" w:lineRule="auto"/>
        <w:rPr>
          <w:rFonts w:ascii="Arial" w:hAnsi="Arial" w:cs="Times New Roman"/>
          <w:b/>
          <w:bCs/>
          <w:sz w:val="24"/>
          <w:szCs w:val="24"/>
        </w:rPr>
      </w:pPr>
    </w:p>
    <w:p>
      <w:pPr>
        <w:spacing w:before="240" w:after="120" w:line="360" w:lineRule="auto"/>
        <w:jc w:val="both"/>
        <w:rPr>
          <w:rFonts w:ascii="Arial" w:hAnsi="Arial" w:cs="Times New Roman"/>
          <w:sz w:val="24"/>
          <w:szCs w:val="24"/>
        </w:rPr>
      </w:pPr>
      <w:r>
        <w:rPr>
          <w:rFonts w:ascii="Arial" w:hAnsi="Arial" w:cs="Times New Roman"/>
          <w:sz w:val="24"/>
          <w:szCs w:val="24"/>
        </w:rPr>
        <w:br w:type="textWrapping"/>
      </w:r>
      <w:r>
        <w:rPr>
          <w:rFonts w:ascii="Arial" w:hAnsi="Arial" w:cs="Times New Roman"/>
          <w:sz w:val="24"/>
          <w:szCs w:val="24"/>
        </w:rPr>
        <w:t xml:space="preserve">In summary, the triumph of </w:t>
      </w:r>
      <w:r>
        <w:rPr>
          <w:rFonts w:hint="eastAsia" w:eastAsia="宋体" w:cs="Times New Roman"/>
          <w:sz w:val="24"/>
          <w:szCs w:val="24"/>
          <w:lang w:val="en-US" w:eastAsia="zh-CN"/>
        </w:rPr>
        <w:t>retailer</w:t>
      </w:r>
      <w:r>
        <w:rPr>
          <w:rFonts w:ascii="Arial" w:hAnsi="Arial" w:cs="Times New Roman"/>
          <w:sz w:val="24"/>
          <w:szCs w:val="24"/>
        </w:rPr>
        <w:t xml:space="preserve"> Clothing Retailer in venturing into Asian markets relies on a comprehensive strategy that involves cultural awareness, relationship cultivation, and proficient communication. Essential elements include grasping and adjusting to the subtleties of high-context Asian societies, integrating Trompenaar's cultural dimensions, and emphasizing interpersonal skills. Building trust, a fundamental aspect of successful partnerships necessitates ongoing efforts to navigate potential challenges. Recognizing the intricacies of cross-cultural business, tackling communication hurdles, and actively nurturing relationships positions </w:t>
      </w:r>
      <w:r>
        <w:rPr>
          <w:rFonts w:hint="eastAsia" w:eastAsia="宋体" w:cs="Times New Roman"/>
          <w:sz w:val="24"/>
          <w:szCs w:val="24"/>
          <w:lang w:val="en-US" w:eastAsia="zh-CN"/>
        </w:rPr>
        <w:t>retailer</w:t>
      </w:r>
      <w:r>
        <w:rPr>
          <w:rFonts w:ascii="Arial" w:hAnsi="Arial" w:cs="Times New Roman"/>
          <w:sz w:val="24"/>
          <w:szCs w:val="24"/>
        </w:rPr>
        <w:t xml:space="preserve"> not just to overcome obstacles but to flourish in the varied and dynamic markets of Asia.</w:t>
      </w:r>
    </w:p>
    <w:p>
      <w:pPr>
        <w:spacing w:before="240" w:after="120" w:line="360" w:lineRule="auto"/>
        <w:rPr>
          <w:rFonts w:ascii="Arial" w:hAnsi="Arial" w:cs="Times New Roman"/>
          <w:sz w:val="24"/>
          <w:szCs w:val="24"/>
        </w:rPr>
      </w:pPr>
    </w:p>
    <w:p>
      <w:pPr>
        <w:spacing w:before="240" w:after="120" w:line="360" w:lineRule="auto"/>
        <w:rPr>
          <w:rFonts w:ascii="Arial" w:hAnsi="Arial" w:cs="Times New Roman"/>
          <w:b/>
          <w:bCs/>
          <w:sz w:val="24"/>
          <w:szCs w:val="24"/>
        </w:rPr>
      </w:pPr>
      <w:r>
        <w:rPr>
          <w:rFonts w:ascii="Arial" w:hAnsi="Arial" w:cs="Times New Roman"/>
          <w:b/>
          <w:bCs/>
          <w:sz w:val="24"/>
          <w:szCs w:val="24"/>
        </w:rPr>
        <w:br w:type="page"/>
      </w:r>
    </w:p>
    <w:p>
      <w:pPr>
        <w:pStyle w:val="2"/>
        <w:spacing w:after="120" w:line="360" w:lineRule="auto"/>
        <w:rPr>
          <w:rFonts w:ascii="Arial" w:hAnsi="Arial" w:cs="Times New Roman"/>
          <w:b/>
          <w:bCs/>
          <w:color w:val="auto"/>
          <w:sz w:val="24"/>
          <w:szCs w:val="24"/>
        </w:rPr>
      </w:pPr>
      <w:bookmarkStart w:id="14" w:name="_Toc6819"/>
      <w:r>
        <w:rPr>
          <w:rFonts w:ascii="Arial" w:hAnsi="Arial" w:cs="Times New Roman"/>
          <w:b/>
          <w:bCs/>
          <w:color w:val="auto"/>
          <w:sz w:val="24"/>
          <w:szCs w:val="24"/>
        </w:rPr>
        <w:t>4.0 – Recommendations</w:t>
      </w:r>
      <w:bookmarkEnd w:id="14"/>
    </w:p>
    <w:p>
      <w:pPr>
        <w:pBdr>
          <w:bottom w:val="single" w:color="auto" w:sz="4" w:space="1"/>
        </w:pBdr>
        <w:spacing w:before="240" w:after="120" w:line="360" w:lineRule="auto"/>
        <w:rPr>
          <w:rFonts w:ascii="Arial" w:hAnsi="Arial" w:cs="Times New Roman"/>
          <w:b/>
          <w:bCs/>
          <w:sz w:val="24"/>
          <w:szCs w:val="24"/>
        </w:rPr>
      </w:pPr>
    </w:p>
    <w:p>
      <w:pPr>
        <w:spacing w:before="240" w:after="120" w:line="360" w:lineRule="auto"/>
        <w:jc w:val="both"/>
        <w:rPr>
          <w:rFonts w:ascii="Arial" w:hAnsi="Arial" w:cs="Times New Roman"/>
          <w:sz w:val="24"/>
          <w:szCs w:val="24"/>
        </w:rPr>
      </w:pPr>
      <w:r>
        <w:rPr>
          <w:rFonts w:ascii="Arial" w:hAnsi="Arial" w:cs="Times New Roman"/>
          <w:sz w:val="24"/>
          <w:szCs w:val="24"/>
        </w:rPr>
        <w:t xml:space="preserve">In case of any failures in the Asian markets, </w:t>
      </w:r>
      <w:r>
        <w:rPr>
          <w:rFonts w:hint="eastAsia" w:eastAsia="宋体" w:cs="Times New Roman"/>
          <w:sz w:val="24"/>
          <w:szCs w:val="24"/>
          <w:lang w:val="en-US" w:eastAsia="zh-CN"/>
        </w:rPr>
        <w:t>retailer</w:t>
      </w:r>
      <w:r>
        <w:rPr>
          <w:rFonts w:ascii="Arial" w:hAnsi="Arial" w:cs="Times New Roman"/>
          <w:sz w:val="24"/>
          <w:szCs w:val="24"/>
        </w:rPr>
        <w:t xml:space="preserve"> will first conduct a thorough analysis to identify the root causes of the failures. This way, they will comprehend whether they stem from cultural misunderstandings, communication gaps, operational issues, or other factors. After identifying the contributions of the failures, the company would use the failures as opportunities for learning and adaptation to specific cultural nuances, market dynamics, or business practices. Afterward, </w:t>
      </w:r>
      <w:r>
        <w:rPr>
          <w:rFonts w:hint="eastAsia" w:eastAsia="宋体" w:cs="Times New Roman"/>
          <w:sz w:val="24"/>
          <w:szCs w:val="24"/>
          <w:lang w:val="en-US" w:eastAsia="zh-CN"/>
        </w:rPr>
        <w:t>retailer</w:t>
      </w:r>
      <w:r>
        <w:rPr>
          <w:rFonts w:ascii="Arial" w:hAnsi="Arial" w:cs="Times New Roman"/>
          <w:sz w:val="24"/>
          <w:szCs w:val="24"/>
        </w:rPr>
        <w:t xml:space="preserve"> will need to make strategic adjustments based on the lessons learned. This could involve refining the market entry strategy, adapting product offerings, or revising communication approaches to better align with local expectations. It should also involve transparent communication with the stakeholders, which will help in restoring trust. </w:t>
      </w: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pStyle w:val="2"/>
        <w:spacing w:after="120" w:line="360" w:lineRule="auto"/>
        <w:rPr>
          <w:rFonts w:ascii="Arial" w:hAnsi="Arial" w:cs="Times New Roman"/>
          <w:b/>
          <w:bCs/>
          <w:color w:val="auto"/>
          <w:sz w:val="24"/>
          <w:szCs w:val="24"/>
        </w:rPr>
      </w:pPr>
      <w:bookmarkStart w:id="15" w:name="_Toc12624"/>
      <w:r>
        <w:rPr>
          <w:rFonts w:ascii="Arial" w:hAnsi="Arial" w:cs="Times New Roman"/>
          <w:b/>
          <w:bCs/>
          <w:color w:val="auto"/>
          <w:sz w:val="24"/>
          <w:szCs w:val="24"/>
        </w:rPr>
        <w:t>Appendices</w:t>
      </w:r>
      <w:bookmarkEnd w:id="15"/>
    </w:p>
    <w:p>
      <w:pPr>
        <w:pBdr>
          <w:bottom w:val="single" w:color="auto" w:sz="4" w:space="1"/>
        </w:pBdr>
        <w:spacing w:before="240" w:after="120" w:line="360" w:lineRule="auto"/>
        <w:rPr>
          <w:rFonts w:ascii="Arial" w:hAnsi="Arial" w:cs="Times New Roman"/>
          <w:b/>
          <w:bCs/>
          <w:sz w:val="24"/>
          <w:szCs w:val="24"/>
        </w:rPr>
      </w:pPr>
    </w:p>
    <w:p>
      <w:pPr>
        <w:spacing w:before="240" w:after="120" w:line="360" w:lineRule="auto"/>
        <w:rPr>
          <w:rFonts w:ascii="Arial" w:hAnsi="Arial" w:cs="Times New Roman"/>
          <w:b/>
          <w:bCs/>
          <w:sz w:val="24"/>
          <w:szCs w:val="24"/>
        </w:rPr>
      </w:pPr>
      <w:r>
        <w:rPr>
          <w:rFonts w:ascii="Arial" w:hAnsi="Arial" w:cs="Times New Roman"/>
          <w:b/>
          <w:bCs/>
          <w:sz w:val="24"/>
          <w:szCs w:val="24"/>
        </w:rPr>
        <w:t>Hofstede Dimensions</w:t>
      </w:r>
    </w:p>
    <w:p>
      <w:pPr>
        <w:spacing w:before="240" w:after="120" w:line="360" w:lineRule="auto"/>
        <w:rPr>
          <w:rFonts w:ascii="Arial" w:hAnsi="Arial" w:cs="Times New Roman"/>
          <w:b/>
          <w:bCs/>
          <w:sz w:val="24"/>
          <w:szCs w:val="24"/>
        </w:rPr>
      </w:pPr>
      <w:r>
        <w:rPr>
          <w:rFonts w:ascii="Arial" w:hAnsi="Arial" w:cs="Times New Roman"/>
          <w:sz w:val="24"/>
          <w:szCs w:val="24"/>
        </w:rPr>
        <w:drawing>
          <wp:inline distT="0" distB="0" distL="0" distR="0">
            <wp:extent cx="5729605" cy="4037965"/>
            <wp:effectExtent l="0" t="0" r="4445" b="635"/>
            <wp:docPr id="2" name="Picture 2" descr="Beyond Hofstede's Cultural Dimensions Theory: Approaching a Multicultural  Aud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eyond Hofstede's Cultural Dimensions Theory: Approaching a Multicultural  Audi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48270" cy="4051364"/>
                    </a:xfrm>
                    <a:prstGeom prst="rect">
                      <a:avLst/>
                    </a:prstGeom>
                    <a:noFill/>
                    <a:ln>
                      <a:noFill/>
                    </a:ln>
                  </pic:spPr>
                </pic:pic>
              </a:graphicData>
            </a:graphic>
          </wp:inline>
        </w:drawing>
      </w:r>
    </w:p>
    <w:p>
      <w:pPr>
        <w:spacing w:before="240" w:after="120" w:line="360" w:lineRule="auto"/>
        <w:rPr>
          <w:rFonts w:ascii="Arial" w:hAnsi="Arial" w:cs="Times New Roman"/>
          <w:b/>
          <w:bCs/>
          <w:sz w:val="24"/>
          <w:szCs w:val="24"/>
        </w:rPr>
      </w:pPr>
    </w:p>
    <w:p>
      <w:pPr>
        <w:spacing w:before="240" w:after="120" w:line="360" w:lineRule="auto"/>
        <w:rPr>
          <w:rFonts w:ascii="Arial" w:hAnsi="Arial" w:cs="Times New Roman"/>
          <w:b/>
          <w:bCs/>
          <w:sz w:val="24"/>
          <w:szCs w:val="24"/>
          <w:lang w:val="fr-FR"/>
        </w:rPr>
      </w:pPr>
    </w:p>
    <w:p>
      <w:pPr>
        <w:spacing w:before="240" w:after="120" w:line="360" w:lineRule="auto"/>
        <w:rPr>
          <w:rFonts w:ascii="Arial" w:hAnsi="Arial" w:cs="Times New Roman"/>
          <w:b/>
          <w:bCs/>
          <w:sz w:val="24"/>
          <w:szCs w:val="24"/>
          <w:lang w:val="fr-FR"/>
        </w:rPr>
      </w:pPr>
    </w:p>
    <w:p>
      <w:pPr>
        <w:spacing w:before="240" w:after="120" w:line="360" w:lineRule="auto"/>
        <w:rPr>
          <w:rFonts w:ascii="Arial" w:hAnsi="Arial" w:cs="Times New Roman"/>
          <w:b/>
          <w:bCs/>
          <w:sz w:val="24"/>
          <w:szCs w:val="24"/>
          <w:lang w:val="fr-FR"/>
        </w:rPr>
      </w:pPr>
    </w:p>
    <w:p>
      <w:pPr>
        <w:spacing w:before="240" w:after="120" w:line="360" w:lineRule="auto"/>
        <w:rPr>
          <w:rFonts w:ascii="Arial" w:hAnsi="Arial" w:cs="Times New Roman"/>
          <w:b/>
          <w:bCs/>
          <w:sz w:val="24"/>
          <w:szCs w:val="24"/>
          <w:lang w:val="fr-FR"/>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pStyle w:val="2"/>
        <w:spacing w:after="120" w:line="360" w:lineRule="auto"/>
        <w:rPr>
          <w:rFonts w:ascii="Arial" w:hAnsi="Arial" w:cs="Times New Roman"/>
          <w:b/>
          <w:bCs/>
          <w:color w:val="auto"/>
          <w:sz w:val="24"/>
          <w:szCs w:val="24"/>
        </w:rPr>
      </w:pPr>
      <w:bookmarkStart w:id="16" w:name="_Toc23711"/>
      <w:r>
        <w:rPr>
          <w:rFonts w:ascii="Arial" w:hAnsi="Arial" w:cs="Times New Roman"/>
          <w:b/>
          <w:bCs/>
          <w:color w:val="auto"/>
          <w:sz w:val="24"/>
          <w:szCs w:val="24"/>
        </w:rPr>
        <w:t>References</w:t>
      </w:r>
      <w:bookmarkEnd w:id="16"/>
    </w:p>
    <w:p>
      <w:pPr>
        <w:pBdr>
          <w:bottom w:val="single" w:color="auto" w:sz="4" w:space="1"/>
        </w:pBdr>
        <w:spacing w:before="240" w:after="120" w:line="360" w:lineRule="auto"/>
        <w:rPr>
          <w:rFonts w:ascii="Arial" w:hAnsi="Arial" w:cs="Times New Roman"/>
          <w:b/>
          <w:bCs/>
          <w:sz w:val="24"/>
          <w:szCs w:val="24"/>
        </w:rPr>
      </w:pP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Bjornsdottir, R.T. and Rule, N.O., 2021. Perceiving acculturation from neutral and emotional</w:t>
      </w:r>
      <w:r>
        <w:rPr>
          <w:rFonts w:hint="eastAsia" w:ascii="Arial" w:hAnsi="Arial" w:eastAsia="Arial" w:cs="Times New Roman"/>
          <w:sz w:val="24"/>
          <w:szCs w:val="24"/>
          <w:lang w:val="en-US" w:eastAsia="zh-CN"/>
        </w:rPr>
        <w:t xml:space="preserve"> </w:t>
      </w:r>
      <w:r>
        <w:rPr>
          <w:rFonts w:ascii="Arial" w:hAnsi="Arial" w:eastAsia="Arial" w:cs="Times New Roman"/>
          <w:sz w:val="24"/>
          <w:szCs w:val="24"/>
        </w:rPr>
        <w:t>faces. </w:t>
      </w:r>
      <w:r>
        <w:rPr>
          <w:rFonts w:ascii="Arial" w:hAnsi="Arial" w:eastAsia="Arial" w:cs="Times New Roman"/>
          <w:i/>
          <w:iCs/>
          <w:sz w:val="24"/>
          <w:szCs w:val="24"/>
        </w:rPr>
        <w:t>Emotion</w:t>
      </w:r>
      <w:r>
        <w:rPr>
          <w:rFonts w:ascii="Arial" w:hAnsi="Arial" w:eastAsia="Arial" w:cs="Times New Roman"/>
          <w:sz w:val="24"/>
          <w:szCs w:val="24"/>
        </w:rPr>
        <w:t xml:space="preserve">, 21(4), p.720.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Chitty, N., 2010. Mapping Asian international communication.</w:t>
      </w:r>
      <w:r>
        <w:rPr>
          <w:rFonts w:ascii="Arial" w:hAnsi="Arial" w:eastAsia="Arial" w:cs="Times New Roman"/>
          <w:i/>
          <w:iCs/>
          <w:sz w:val="24"/>
          <w:szCs w:val="24"/>
        </w:rPr>
        <w:t> Asian Journal of Communication</w:t>
      </w:r>
      <w:r>
        <w:rPr>
          <w:rFonts w:ascii="Arial" w:hAnsi="Arial" w:eastAsia="Arial" w:cs="Times New Roman"/>
          <w:sz w:val="24"/>
          <w:szCs w:val="24"/>
        </w:rPr>
        <w:t xml:space="preserve">, 20(2), pp.181-196.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Damnjanovic, V., Proud, W. and Milosavljevic, M., 2021. Mentoring development at student international business case competitions. </w:t>
      </w:r>
      <w:r>
        <w:rPr>
          <w:rFonts w:ascii="Arial" w:hAnsi="Arial" w:eastAsia="Arial" w:cs="Times New Roman"/>
          <w:i/>
          <w:iCs/>
          <w:sz w:val="24"/>
          <w:szCs w:val="24"/>
        </w:rPr>
        <w:t>EuroMed Journal of Business</w:t>
      </w:r>
      <w:r>
        <w:rPr>
          <w:rFonts w:ascii="Arial" w:hAnsi="Arial" w:eastAsia="Arial" w:cs="Times New Roman"/>
          <w:sz w:val="24"/>
          <w:szCs w:val="24"/>
        </w:rPr>
        <w:t xml:space="preserve">, 16(2), pp.154-170.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Elenkov, D. and Fileva, T., 2006. Anatomy of a business failure: Accepting the “bad luck” explanation vs proactively learning in international business. </w:t>
      </w:r>
      <w:r>
        <w:rPr>
          <w:rFonts w:ascii="Arial" w:hAnsi="Arial" w:eastAsia="Arial" w:cs="Times New Roman"/>
          <w:i/>
          <w:iCs/>
          <w:sz w:val="24"/>
          <w:szCs w:val="24"/>
        </w:rPr>
        <w:t>Cross Cultural Management: An International Journal</w:t>
      </w:r>
      <w:r>
        <w:rPr>
          <w:rFonts w:ascii="Arial" w:hAnsi="Arial" w:eastAsia="Arial" w:cs="Times New Roman"/>
          <w:sz w:val="24"/>
          <w:szCs w:val="24"/>
        </w:rPr>
        <w:t xml:space="preserve">, 13(2), pp.132-141.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Fakkar, E., Djahantighi, F.S., Haghighi, M. and abolghasem Mira, S., 2010. Cross-Cultural Strategic Marketing, Approach to Analyze the High-Context and Low-Context Cultures (Edward Hall Model) in Web Development. In</w:t>
      </w:r>
      <w:r>
        <w:rPr>
          <w:rFonts w:ascii="Arial" w:hAnsi="Arial" w:eastAsia="Arial" w:cs="Times New Roman"/>
          <w:i/>
          <w:iCs/>
          <w:sz w:val="24"/>
          <w:szCs w:val="24"/>
        </w:rPr>
        <w:t> Proceedings of the 6th International Strategic Management Conference</w:t>
      </w:r>
      <w:r>
        <w:rPr>
          <w:rFonts w:ascii="Arial" w:hAnsi="Arial" w:eastAsia="Arial" w:cs="Times New Roman"/>
          <w:sz w:val="24"/>
          <w:szCs w:val="24"/>
        </w:rPr>
        <w:t xml:space="preserve">.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 xml:space="preserve">Freeman, S., Vaaland, T. and Browne, E., 2002, December. National culture and its influence on dissolution communication strategies in Western versus Asian business relationships. </w:t>
      </w:r>
      <w:r>
        <w:rPr>
          <w:rFonts w:ascii="Arial" w:hAnsi="Arial" w:eastAsia="Arial" w:cs="Times New Roman"/>
          <w:i/>
          <w:iCs/>
          <w:sz w:val="24"/>
          <w:szCs w:val="24"/>
        </w:rPr>
        <w:t>In Culture and Collaboration in Distribution Networks, The Inaugural Meeting of the IMP Group in Asia, Curtin University, Perth, Western Australia</w:t>
      </w:r>
      <w:r>
        <w:rPr>
          <w:rFonts w:ascii="Arial" w:hAnsi="Arial" w:eastAsia="Arial" w:cs="Times New Roman"/>
          <w:sz w:val="24"/>
          <w:szCs w:val="24"/>
        </w:rPr>
        <w:t xml:space="preserve"> (pp. 1-21).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Freeman, S. and Browne, E., 2004. The influence of national culture on dissolution communication strategies in Western versus Asian business relationships: a theoretical model. </w:t>
      </w:r>
      <w:r>
        <w:rPr>
          <w:rFonts w:ascii="Arial" w:hAnsi="Arial" w:eastAsia="Arial" w:cs="Times New Roman"/>
          <w:i/>
          <w:iCs/>
          <w:sz w:val="24"/>
          <w:szCs w:val="24"/>
        </w:rPr>
        <w:t>Supply Chain Management: An International Journal, 9(2),</w:t>
      </w:r>
      <w:r>
        <w:rPr>
          <w:rFonts w:ascii="Arial" w:hAnsi="Arial" w:eastAsia="Arial" w:cs="Times New Roman"/>
          <w:sz w:val="24"/>
          <w:szCs w:val="24"/>
        </w:rPr>
        <w:t xml:space="preserve"> pp.169-182.</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Friman, M., Gärling, T., Millett, B., Mattsson, J. and Johnston, R., 2002. An analysis of international business-to-business relationships based on the commitment–trust theory. </w:t>
      </w:r>
      <w:r>
        <w:rPr>
          <w:rFonts w:ascii="Arial" w:hAnsi="Arial" w:eastAsia="Arial" w:cs="Times New Roman"/>
          <w:i/>
          <w:iCs/>
          <w:sz w:val="24"/>
          <w:szCs w:val="24"/>
        </w:rPr>
        <w:t>Industrial marketing management, 31(5)</w:t>
      </w:r>
      <w:r>
        <w:rPr>
          <w:rFonts w:ascii="Arial" w:hAnsi="Arial" w:eastAsia="Arial" w:cs="Times New Roman"/>
          <w:sz w:val="24"/>
          <w:szCs w:val="24"/>
        </w:rPr>
        <w:t xml:space="preserve">, pp.403-409.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Gerbasi, A. and Latusek, D., 2015. Trust-building in international business ventures.</w:t>
      </w:r>
      <w:r>
        <w:rPr>
          <w:rFonts w:ascii="Arial" w:hAnsi="Arial" w:eastAsia="Arial" w:cs="Times New Roman"/>
          <w:i/>
          <w:iCs/>
          <w:sz w:val="24"/>
          <w:szCs w:val="24"/>
        </w:rPr>
        <w:t> Baltic Journal of Management, 10(1)</w:t>
      </w:r>
      <w:r>
        <w:rPr>
          <w:rFonts w:ascii="Arial" w:hAnsi="Arial" w:eastAsia="Arial" w:cs="Times New Roman"/>
          <w:sz w:val="24"/>
          <w:szCs w:val="24"/>
        </w:rPr>
        <w:t xml:space="preserve">, pp.30-51.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Gudykunst, W.B., Matsumoto, Y., Ting-Toomey, S., Nishida, T., Kim, K. and Heyman, S., 1996. The influence of cultural individualism-collectivism, self-construals, and individual values on communication styles across cultures. </w:t>
      </w:r>
      <w:r>
        <w:rPr>
          <w:rFonts w:ascii="Arial" w:hAnsi="Arial" w:eastAsia="Arial" w:cs="Times New Roman"/>
          <w:i/>
          <w:iCs/>
          <w:sz w:val="24"/>
          <w:szCs w:val="24"/>
        </w:rPr>
        <w:t>Human communication research, 22(4)</w:t>
      </w:r>
      <w:r>
        <w:rPr>
          <w:rFonts w:ascii="Arial" w:hAnsi="Arial" w:eastAsia="Arial" w:cs="Times New Roman"/>
          <w:sz w:val="24"/>
          <w:szCs w:val="24"/>
        </w:rPr>
        <w:t xml:space="preserve">, pp.510-543.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Havila, V., Johanson, J. and Thilenius, P., 2004. International business‐relationship triads.</w:t>
      </w:r>
      <w:r>
        <w:rPr>
          <w:rFonts w:ascii="Arial" w:hAnsi="Arial" w:eastAsia="Arial" w:cs="Times New Roman"/>
          <w:i/>
          <w:iCs/>
          <w:sz w:val="24"/>
          <w:szCs w:val="24"/>
        </w:rPr>
        <w:t> International Marketing Review, 21(2)</w:t>
      </w:r>
      <w:r>
        <w:rPr>
          <w:rFonts w:ascii="Arial" w:hAnsi="Arial" w:eastAsia="Arial" w:cs="Times New Roman"/>
          <w:sz w:val="24"/>
          <w:szCs w:val="24"/>
        </w:rPr>
        <w:t xml:space="preserve">, pp.172-186.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Hillenbrand, M., 2010. Communitarianism, or, how to build East Asian theory. </w:t>
      </w:r>
      <w:r>
        <w:rPr>
          <w:rFonts w:ascii="Arial" w:hAnsi="Arial" w:eastAsia="Arial" w:cs="Times New Roman"/>
          <w:i/>
          <w:iCs/>
          <w:sz w:val="24"/>
          <w:szCs w:val="24"/>
        </w:rPr>
        <w:t>Postcolonial Studies, 13(4)</w:t>
      </w:r>
      <w:r>
        <w:rPr>
          <w:rFonts w:ascii="Arial" w:hAnsi="Arial" w:eastAsia="Arial" w:cs="Times New Roman"/>
          <w:sz w:val="24"/>
          <w:szCs w:val="24"/>
        </w:rPr>
        <w:t xml:space="preserve">, pp.317-334.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 xml:space="preserve">Hofstede, G., 2009. Geert Hofstede cultural dimensions.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Johnson, J.P., Lenartowicz, T. and Apud, S., 2006. Cross-cultural competence in international business: Toward a definition and a model. J</w:t>
      </w:r>
      <w:r>
        <w:rPr>
          <w:rFonts w:ascii="Arial" w:hAnsi="Arial" w:eastAsia="Arial" w:cs="Times New Roman"/>
          <w:i/>
          <w:iCs/>
          <w:sz w:val="24"/>
          <w:szCs w:val="24"/>
        </w:rPr>
        <w:t>ournal of International</w:t>
      </w:r>
      <w:r>
        <w:rPr>
          <w:rFonts w:ascii="Arial" w:hAnsi="Arial" w:eastAsia="Arial" w:cs="Times New Roman"/>
          <w:sz w:val="24"/>
          <w:szCs w:val="24"/>
        </w:rPr>
        <w:t xml:space="preserve"> </w:t>
      </w:r>
      <w:r>
        <w:rPr>
          <w:rFonts w:ascii="Arial" w:hAnsi="Arial" w:eastAsia="Arial" w:cs="Times New Roman"/>
          <w:i/>
          <w:iCs/>
          <w:sz w:val="24"/>
          <w:szCs w:val="24"/>
        </w:rPr>
        <w:t>Business Studies</w:t>
      </w:r>
      <w:r>
        <w:rPr>
          <w:rFonts w:ascii="Arial" w:hAnsi="Arial" w:eastAsia="Arial" w:cs="Times New Roman"/>
          <w:sz w:val="24"/>
          <w:szCs w:val="24"/>
        </w:rPr>
        <w:t xml:space="preserve">, 37, pp.525-543.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Khamis, N. and Wahi, W., 2021. Enhancing business communication skills: Action research. </w:t>
      </w:r>
      <w:r>
        <w:rPr>
          <w:rFonts w:ascii="Arial" w:hAnsi="Arial" w:eastAsia="Arial" w:cs="Times New Roman"/>
          <w:i/>
          <w:iCs/>
          <w:sz w:val="24"/>
          <w:szCs w:val="24"/>
        </w:rPr>
        <w:t>International Journal of Asian Social Science</w:t>
      </w:r>
      <w:r>
        <w:rPr>
          <w:rFonts w:ascii="Arial" w:hAnsi="Arial" w:eastAsia="Arial" w:cs="Times New Roman"/>
          <w:sz w:val="24"/>
          <w:szCs w:val="24"/>
        </w:rPr>
        <w:t xml:space="preserve">, 11(7), pp.355-364.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Klarin, A., Inkizhinov, B., Nazarov, D. and Gorenskaia, E., 2021. International business education: What we know and what we have yet to develop. </w:t>
      </w:r>
      <w:r>
        <w:rPr>
          <w:rFonts w:ascii="Arial" w:hAnsi="Arial" w:eastAsia="Arial" w:cs="Times New Roman"/>
          <w:i/>
          <w:iCs/>
          <w:sz w:val="24"/>
          <w:szCs w:val="24"/>
        </w:rPr>
        <w:t>International Business Review</w:t>
      </w:r>
      <w:r>
        <w:rPr>
          <w:rFonts w:ascii="Arial" w:hAnsi="Arial" w:eastAsia="Arial" w:cs="Times New Roman"/>
          <w:sz w:val="24"/>
          <w:szCs w:val="24"/>
        </w:rPr>
        <w:t xml:space="preserve">, 30(5), p.101833.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Nguyen, T., White, S., Hall, K., and Bell, R., 2019. Emotional intelligence and managerial communication.</w:t>
      </w:r>
      <w:r>
        <w:rPr>
          <w:rFonts w:ascii="Arial" w:hAnsi="Arial" w:eastAsia="Arial" w:cs="Times New Roman"/>
          <w:i/>
          <w:iCs/>
          <w:sz w:val="24"/>
          <w:szCs w:val="24"/>
        </w:rPr>
        <w:t> Ameriwould Journal of Management, 19(2),</w:t>
      </w:r>
      <w:r>
        <w:rPr>
          <w:rFonts w:ascii="Arial" w:hAnsi="Arial" w:eastAsia="Arial" w:cs="Times New Roman"/>
          <w:sz w:val="24"/>
          <w:szCs w:val="24"/>
        </w:rPr>
        <w:t xml:space="preserve"> pp.54-63.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Qingxue, L., 2003. Understanding different cultural patterns or orientations between East and West. </w:t>
      </w:r>
      <w:r>
        <w:rPr>
          <w:rFonts w:ascii="Arial" w:hAnsi="Arial" w:eastAsia="Arial" w:cs="Times New Roman"/>
          <w:i/>
          <w:iCs/>
          <w:sz w:val="24"/>
          <w:szCs w:val="24"/>
        </w:rPr>
        <w:t>Investigationes Linguisticae, 9</w:t>
      </w:r>
      <w:r>
        <w:rPr>
          <w:rFonts w:ascii="Arial" w:hAnsi="Arial" w:eastAsia="Arial" w:cs="Times New Roman"/>
          <w:sz w:val="24"/>
          <w:szCs w:val="24"/>
        </w:rPr>
        <w:t>, pp.22-30.</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Racela, O.C., Chaikittisilpa, C. and Thoumrungroje, A., 2007. Market orientation, international business relationships, and perceived export performance. </w:t>
      </w:r>
      <w:r>
        <w:rPr>
          <w:rFonts w:ascii="Arial" w:hAnsi="Arial" w:eastAsia="Arial" w:cs="Times New Roman"/>
          <w:i/>
          <w:iCs/>
          <w:sz w:val="24"/>
          <w:szCs w:val="24"/>
        </w:rPr>
        <w:t>International Marketing Review, 24(2)</w:t>
      </w:r>
      <w:r>
        <w:rPr>
          <w:rFonts w:ascii="Arial" w:hAnsi="Arial" w:eastAsia="Arial" w:cs="Times New Roman"/>
          <w:sz w:val="24"/>
          <w:szCs w:val="24"/>
        </w:rPr>
        <w:t xml:space="preserve">, pp.144-163.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Sato, Y., Burawoy, M., Chang, M. and Hsieh, M.F., 2010. Are Asian sociologies possible? Universalism versus particularism. </w:t>
      </w:r>
      <w:r>
        <w:rPr>
          <w:rFonts w:ascii="Arial" w:hAnsi="Arial" w:eastAsia="Arial" w:cs="Times New Roman"/>
          <w:i/>
          <w:iCs/>
          <w:sz w:val="24"/>
          <w:szCs w:val="24"/>
        </w:rPr>
        <w:t>Facing an unequal world: Challenges for global sociology, 2</w:t>
      </w:r>
      <w:r>
        <w:rPr>
          <w:rFonts w:ascii="Arial" w:hAnsi="Arial" w:eastAsia="Arial" w:cs="Times New Roman"/>
          <w:sz w:val="24"/>
          <w:szCs w:val="24"/>
        </w:rPr>
        <w:t xml:space="preserve">, pp.192-200. </w:t>
      </w:r>
      <w:bookmarkStart w:id="17" w:name="_GoBack"/>
      <w:bookmarkEnd w:id="17"/>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Shynkaruk, L., Salata, H. and Danylova, T., 2018. Dialogue of cultures: E. Hall and F. Kluckhohn. </w:t>
      </w:r>
      <w:r>
        <w:rPr>
          <w:rFonts w:ascii="Arial" w:hAnsi="Arial" w:eastAsia="Arial" w:cs="Times New Roman"/>
          <w:i/>
          <w:iCs/>
          <w:sz w:val="24"/>
          <w:szCs w:val="24"/>
        </w:rPr>
        <w:t>Вісник Національної академії керівних кадрів культури і мистецтв, (3),</w:t>
      </w:r>
      <w:r>
        <w:rPr>
          <w:rFonts w:ascii="Arial" w:hAnsi="Arial" w:eastAsia="Arial" w:cs="Times New Roman"/>
          <w:sz w:val="24"/>
          <w:szCs w:val="24"/>
        </w:rPr>
        <w:t xml:space="preserve"> pp.128-133.</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Szkudlarek, B., Osland, J.S., Nardon, L. and Zander, L., 2020. Communication and culture in international business–Moving the field forward. </w:t>
      </w:r>
      <w:r>
        <w:rPr>
          <w:rFonts w:ascii="Arial" w:hAnsi="Arial" w:eastAsia="Arial" w:cs="Times New Roman"/>
          <w:i/>
          <w:iCs/>
          <w:sz w:val="24"/>
          <w:szCs w:val="24"/>
        </w:rPr>
        <w:t>Journal of World Business</w:t>
      </w:r>
      <w:r>
        <w:rPr>
          <w:rFonts w:ascii="Arial" w:hAnsi="Arial" w:eastAsia="Arial" w:cs="Times New Roman"/>
          <w:sz w:val="24"/>
          <w:szCs w:val="24"/>
        </w:rPr>
        <w:t xml:space="preserve">, 55(6), p.101126.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Takino, M., 2020. Power in international business communication and linguistic competence: Analyzing the experiences of non-native business people who use English as a business lingua franca (BELF). </w:t>
      </w:r>
      <w:r>
        <w:rPr>
          <w:rFonts w:ascii="Arial" w:hAnsi="Arial" w:eastAsia="Arial" w:cs="Times New Roman"/>
          <w:i/>
          <w:iCs/>
          <w:sz w:val="24"/>
          <w:szCs w:val="24"/>
        </w:rPr>
        <w:t>International Journal of Business Communication, 57(4)</w:t>
      </w:r>
      <w:r>
        <w:rPr>
          <w:rFonts w:ascii="Arial" w:hAnsi="Arial" w:eastAsia="Arial" w:cs="Times New Roman"/>
          <w:sz w:val="24"/>
          <w:szCs w:val="24"/>
        </w:rPr>
        <w:t xml:space="preserve">, pp.517-544.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Trompenaars, F., 1996. Resolving international conflict: Culture and business strategy. </w:t>
      </w:r>
      <w:r>
        <w:rPr>
          <w:rFonts w:ascii="Arial" w:hAnsi="Arial" w:eastAsia="Arial" w:cs="Times New Roman"/>
          <w:i/>
          <w:iCs/>
          <w:sz w:val="24"/>
          <w:szCs w:val="24"/>
        </w:rPr>
        <w:t>Business strategy review, 7(3)</w:t>
      </w:r>
      <w:r>
        <w:rPr>
          <w:rFonts w:ascii="Arial" w:hAnsi="Arial" w:eastAsia="Arial" w:cs="Times New Roman"/>
          <w:sz w:val="24"/>
          <w:szCs w:val="24"/>
        </w:rPr>
        <w:t xml:space="preserve">, pp.51-68. </w:t>
      </w:r>
    </w:p>
    <w:p>
      <w:pPr>
        <w:spacing w:before="240" w:after="120" w:line="360" w:lineRule="auto"/>
        <w:jc w:val="both"/>
        <w:rPr>
          <w:rFonts w:ascii="Arial" w:hAnsi="Arial" w:eastAsia="Arial" w:cs="Times New Roman"/>
          <w:sz w:val="24"/>
          <w:szCs w:val="24"/>
        </w:rPr>
      </w:pPr>
      <w:r>
        <w:rPr>
          <w:rFonts w:ascii="Arial" w:hAnsi="Arial" w:eastAsia="Arial" w:cs="Times New Roman"/>
          <w:sz w:val="24"/>
          <w:szCs w:val="24"/>
        </w:rPr>
        <w:t>Verluyten, S.P., 2020. Cultural biases in intercultural business communication courses and how to avoid them. In </w:t>
      </w:r>
      <w:r>
        <w:rPr>
          <w:rFonts w:ascii="Arial" w:hAnsi="Arial" w:eastAsia="Arial" w:cs="Times New Roman"/>
          <w:i/>
          <w:iCs/>
          <w:sz w:val="24"/>
          <w:szCs w:val="24"/>
        </w:rPr>
        <w:t>Exploring the Rhetoric of International Professional Communication</w:t>
      </w:r>
      <w:r>
        <w:rPr>
          <w:rFonts w:ascii="Arial" w:hAnsi="Arial" w:eastAsia="Arial" w:cs="Times New Roman"/>
          <w:sz w:val="24"/>
          <w:szCs w:val="24"/>
        </w:rPr>
        <w:t xml:space="preserve"> (pp. 191-209). Routledge. </w:t>
      </w:r>
    </w:p>
    <w:p>
      <w:pPr>
        <w:spacing w:before="240" w:after="120" w:line="360" w:lineRule="auto"/>
        <w:jc w:val="both"/>
        <w:rPr>
          <w:rFonts w:ascii="Arial" w:hAnsi="Arial" w:eastAsia="Arial" w:cs="Times New Roman"/>
          <w:sz w:val="24"/>
          <w:szCs w:val="24"/>
        </w:rPr>
      </w:pPr>
    </w:p>
    <w:p>
      <w:pPr>
        <w:spacing w:before="240" w:after="120" w:line="360" w:lineRule="auto"/>
        <w:ind w:firstLine="720"/>
        <w:rPr>
          <w:rFonts w:ascii="Arial" w:hAnsi="Arial" w:cs="Times New Roman"/>
          <w:sz w:val="24"/>
          <w:szCs w:val="24"/>
        </w:rPr>
      </w:pPr>
    </w:p>
    <w:p>
      <w:pPr>
        <w:spacing w:before="240" w:after="120" w:line="360" w:lineRule="auto"/>
        <w:ind w:firstLine="720"/>
        <w:rPr>
          <w:rFonts w:ascii="Arial" w:hAnsi="Arial" w:cs="Times New Roman"/>
          <w:sz w:val="24"/>
          <w:szCs w:val="24"/>
        </w:rPr>
      </w:pPr>
    </w:p>
    <w:p>
      <w:pPr>
        <w:spacing w:before="240" w:after="120" w:line="360" w:lineRule="auto"/>
        <w:ind w:firstLine="720"/>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ascii="Arial" w:hAnsi="Arial" w:cs="Times New Roman"/>
          <w:sz w:val="24"/>
          <w:szCs w:val="24"/>
        </w:rPr>
      </w:pPr>
    </w:p>
    <w:p>
      <w:pPr>
        <w:spacing w:before="240" w:after="120" w:line="360" w:lineRule="auto"/>
        <w:rPr>
          <w:rFonts w:hint="eastAsia" w:ascii="Arial" w:hAnsi="Arial" w:eastAsia="宋体" w:cs="Times New Roman"/>
          <w:sz w:val="24"/>
          <w:szCs w:val="24"/>
          <w:lang w:val="en-US" w:eastAsia="zh-CN"/>
        </w:rPr>
      </w:pPr>
    </w:p>
    <w:p>
      <w:pPr>
        <w:spacing w:before="240" w:after="120" w:line="360" w:lineRule="auto"/>
        <w:rPr>
          <w:rFonts w:ascii="Arial" w:hAnsi="Arial" w:cs="Times New Roman"/>
          <w:sz w:val="24"/>
          <w:szCs w:val="24"/>
        </w:rPr>
      </w:pPr>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removePersonalInformation/>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U1MbC0MDI1NzQ3MjRU0lEKTi0uzszPAykwqgUAMBNaDiwAAAA="/>
    <w:docVar w:name="commondata" w:val="eyJoZGlkIjoiOTA2ZGQ0NDljNzI5ZjJiNDYxMmZhYTM4MjlkMzZhNDYifQ=="/>
  </w:docVars>
  <w:rsids>
    <w:rsidRoot w:val="00571F12"/>
    <w:rsid w:val="0001709E"/>
    <w:rsid w:val="0006300C"/>
    <w:rsid w:val="00087DB0"/>
    <w:rsid w:val="000A5019"/>
    <w:rsid w:val="00102068"/>
    <w:rsid w:val="0011624C"/>
    <w:rsid w:val="001652C1"/>
    <w:rsid w:val="001C08AF"/>
    <w:rsid w:val="001E7F84"/>
    <w:rsid w:val="00217E98"/>
    <w:rsid w:val="0023203C"/>
    <w:rsid w:val="0025150C"/>
    <w:rsid w:val="002F39CC"/>
    <w:rsid w:val="003819E5"/>
    <w:rsid w:val="00390E8A"/>
    <w:rsid w:val="003A66F1"/>
    <w:rsid w:val="003B4428"/>
    <w:rsid w:val="004B57B0"/>
    <w:rsid w:val="00504EBA"/>
    <w:rsid w:val="005708D5"/>
    <w:rsid w:val="00571F12"/>
    <w:rsid w:val="005831C4"/>
    <w:rsid w:val="0060045A"/>
    <w:rsid w:val="00735914"/>
    <w:rsid w:val="0076672E"/>
    <w:rsid w:val="00795FB2"/>
    <w:rsid w:val="007A6E43"/>
    <w:rsid w:val="007B006C"/>
    <w:rsid w:val="007C4355"/>
    <w:rsid w:val="007D2D24"/>
    <w:rsid w:val="00816B9F"/>
    <w:rsid w:val="00863C2A"/>
    <w:rsid w:val="00872AED"/>
    <w:rsid w:val="008973B3"/>
    <w:rsid w:val="008F7959"/>
    <w:rsid w:val="00905F82"/>
    <w:rsid w:val="0090785D"/>
    <w:rsid w:val="00913950"/>
    <w:rsid w:val="00996419"/>
    <w:rsid w:val="00A85BB5"/>
    <w:rsid w:val="00BA50DA"/>
    <w:rsid w:val="00BE4EBE"/>
    <w:rsid w:val="00C50C24"/>
    <w:rsid w:val="00D50A9B"/>
    <w:rsid w:val="00D86589"/>
    <w:rsid w:val="00DF0E96"/>
    <w:rsid w:val="00E375BD"/>
    <w:rsid w:val="00E60DCC"/>
    <w:rsid w:val="00F81595"/>
    <w:rsid w:val="00FB480C"/>
    <w:rsid w:val="0D8967D5"/>
    <w:rsid w:val="4F3D0E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Arial" w:cstheme="minorBidi"/>
      <w:sz w:val="24"/>
      <w:szCs w:val="22"/>
      <w:lang w:val="en-GB" w:eastAsia="zh-CN" w:bidi="ar-SA"/>
    </w:rPr>
  </w:style>
  <w:style w:type="paragraph" w:styleId="2">
    <w:name w:val="heading 1"/>
    <w:basedOn w:val="1"/>
    <w:next w:val="1"/>
    <w:link w:val="19"/>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2"/>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3"/>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unhideWhenUsed/>
    <w:qFormat/>
    <w:uiPriority w:val="39"/>
    <w:pPr>
      <w:spacing w:after="100"/>
      <w:ind w:left="440"/>
    </w:pPr>
  </w:style>
  <w:style w:type="paragraph" w:styleId="6">
    <w:name w:val="footer"/>
    <w:basedOn w:val="1"/>
    <w:link w:val="25"/>
    <w:unhideWhenUsed/>
    <w:qFormat/>
    <w:uiPriority w:val="99"/>
    <w:pPr>
      <w:tabs>
        <w:tab w:val="center" w:pos="4513"/>
        <w:tab w:val="right" w:pos="9026"/>
      </w:tabs>
      <w:spacing w:after="0" w:line="240" w:lineRule="auto"/>
    </w:pPr>
  </w:style>
  <w:style w:type="paragraph" w:styleId="7">
    <w:name w:val="header"/>
    <w:basedOn w:val="1"/>
    <w:link w:val="24"/>
    <w:unhideWhenUsed/>
    <w:qFormat/>
    <w:uiPriority w:val="99"/>
    <w:pPr>
      <w:tabs>
        <w:tab w:val="center" w:pos="4513"/>
        <w:tab w:val="right" w:pos="9026"/>
      </w:tabs>
      <w:spacing w:after="0" w:line="240" w:lineRule="auto"/>
    </w:p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20"/>
    </w:pPr>
  </w:style>
  <w:style w:type="paragraph" w:styleId="10">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US" w:eastAsia="en-US"/>
    </w:rPr>
  </w:style>
  <w:style w:type="character" w:styleId="13">
    <w:name w:val="Strong"/>
    <w:basedOn w:val="12"/>
    <w:qFormat/>
    <w:uiPriority w:val="22"/>
    <w:rPr>
      <w:b/>
      <w:bCs/>
    </w:rPr>
  </w:style>
  <w:style w:type="character" w:styleId="14">
    <w:name w:val="FollowedHyperlink"/>
    <w:basedOn w:val="12"/>
    <w:semiHidden/>
    <w:unhideWhenUsed/>
    <w:qFormat/>
    <w:uiPriority w:val="99"/>
    <w:rPr>
      <w:color w:val="800080"/>
      <w:u w:val="single"/>
    </w:rPr>
  </w:style>
  <w:style w:type="character" w:styleId="15">
    <w:name w:val="Hyperlink"/>
    <w:basedOn w:val="12"/>
    <w:unhideWhenUsed/>
    <w:qFormat/>
    <w:uiPriority w:val="99"/>
    <w:rPr>
      <w:color w:val="0563C1" w:themeColor="hyperlink"/>
      <w:u w:val="single"/>
      <w14:textFill>
        <w14:solidFill>
          <w14:schemeClr w14:val="hlink"/>
        </w14:solidFill>
      </w14:textFill>
    </w:rPr>
  </w:style>
  <w:style w:type="paragraph" w:styleId="16">
    <w:name w:val="No Spacing"/>
    <w:link w:val="17"/>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7">
    <w:name w:val="无间隔 字符"/>
    <w:basedOn w:val="12"/>
    <w:link w:val="16"/>
    <w:qFormat/>
    <w:uiPriority w:val="1"/>
    <w:rPr>
      <w:lang w:val="en-US" w:eastAsia="en-US"/>
    </w:rPr>
  </w:style>
  <w:style w:type="paragraph" w:styleId="18">
    <w:name w:val="List Paragraph"/>
    <w:basedOn w:val="1"/>
    <w:qFormat/>
    <w:uiPriority w:val="34"/>
    <w:pPr>
      <w:ind w:left="720"/>
      <w:contextualSpacing/>
    </w:pPr>
  </w:style>
  <w:style w:type="character" w:customStyle="1" w:styleId="19">
    <w:name w:val="标题 1 字符"/>
    <w:basedOn w:val="12"/>
    <w:link w:val="2"/>
    <w:uiPriority w:val="9"/>
    <w:rPr>
      <w:rFonts w:asciiTheme="majorHAnsi" w:hAnsiTheme="majorHAnsi" w:eastAsiaTheme="majorEastAsia" w:cstheme="majorBidi"/>
      <w:color w:val="2F5597" w:themeColor="accent1" w:themeShade="BF"/>
      <w:sz w:val="32"/>
      <w:szCs w:val="32"/>
    </w:rPr>
  </w:style>
  <w:style w:type="paragraph" w:customStyle="1" w:styleId="20">
    <w:name w:val="TOC Heading"/>
    <w:basedOn w:val="2"/>
    <w:next w:val="1"/>
    <w:unhideWhenUsed/>
    <w:qFormat/>
    <w:uiPriority w:val="39"/>
    <w:pPr>
      <w:outlineLvl w:val="9"/>
    </w:pPr>
    <w:rPr>
      <w:lang w:val="en-US" w:eastAsia="en-US"/>
    </w:rPr>
  </w:style>
  <w:style w:type="character" w:customStyle="1" w:styleId="21">
    <w:name w:val="Unresolved Mention"/>
    <w:basedOn w:val="12"/>
    <w:semiHidden/>
    <w:unhideWhenUsed/>
    <w:qFormat/>
    <w:uiPriority w:val="99"/>
    <w:rPr>
      <w:color w:val="605E5C"/>
      <w:shd w:val="clear" w:color="auto" w:fill="E1DFDD"/>
    </w:rPr>
  </w:style>
  <w:style w:type="character" w:customStyle="1" w:styleId="22">
    <w:name w:val="标题 2 字符"/>
    <w:basedOn w:val="12"/>
    <w:link w:val="3"/>
    <w:qFormat/>
    <w:uiPriority w:val="9"/>
    <w:rPr>
      <w:rFonts w:asciiTheme="majorHAnsi" w:hAnsiTheme="majorHAnsi" w:eastAsiaTheme="majorEastAsia" w:cstheme="majorBidi"/>
      <w:color w:val="2F5597" w:themeColor="accent1" w:themeShade="BF"/>
      <w:sz w:val="26"/>
      <w:szCs w:val="26"/>
    </w:rPr>
  </w:style>
  <w:style w:type="character" w:customStyle="1" w:styleId="23">
    <w:name w:val="标题 3 字符"/>
    <w:basedOn w:val="12"/>
    <w:link w:val="4"/>
    <w:uiPriority w:val="9"/>
    <w:rPr>
      <w:rFonts w:asciiTheme="majorHAnsi" w:hAnsiTheme="majorHAnsi" w:eastAsiaTheme="majorEastAsia" w:cstheme="majorBidi"/>
      <w:color w:val="203864" w:themeColor="accent1" w:themeShade="80"/>
      <w:sz w:val="24"/>
      <w:szCs w:val="24"/>
    </w:rPr>
  </w:style>
  <w:style w:type="character" w:customStyle="1" w:styleId="24">
    <w:name w:val="页眉 字符"/>
    <w:basedOn w:val="12"/>
    <w:link w:val="7"/>
    <w:uiPriority w:val="99"/>
  </w:style>
  <w:style w:type="character" w:customStyle="1" w:styleId="25">
    <w:name w:val="页脚 字符"/>
    <w:basedOn w:val="12"/>
    <w:link w:val="6"/>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9F4080-421D-4C91-868C-0DF8A87F284B}">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Pages>20</Pages>
  <Words>4184</Words>
  <Characters>28829</Characters>
  <Lines>505</Lines>
  <Paragraphs>139</Paragraphs>
  <TotalTime>41</TotalTime>
  <ScaleCrop>false</ScaleCrop>
  <LinksUpToDate>false</LinksUpToDate>
  <CharactersWithSpaces>32874</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2023-11-27T09:45:00Z</dcterms:created>
  <dcterms:modified xsi:type="dcterms:W3CDTF">2023-11-30T20:34:12Z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5df12c280cf8659cff0be0205380137be71779547562d2a92caf18bafdb85cff</vt:lpwstr>
  </property>
  <property fmtid="{D5CDD505-2E9C-101B-9397-08002B2CF9AE}" pid="3" name="KSOProductBuildVer">
    <vt:lpwstr>2052-12.1.0.15990</vt:lpwstr>
  </property>
  <property fmtid="{D5CDD505-2E9C-101B-9397-08002B2CF9AE}" pid="4" name="ICV">
    <vt:lpwstr>37CFE19858BF4DD99D4C1E730D7CACD0_12</vt:lpwstr>
  </property>
</Properties>
</file>