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05819" w:rsidRDefault="00205819" w:rsidP="00205819">
      <w:r>
        <w:t>Ross Dixon</w:t>
      </w:r>
    </w:p>
    <w:p w:rsidR="00205819" w:rsidRDefault="00205819" w:rsidP="00205819">
      <w:r>
        <w:t>PC 6637 South Wales Police</w:t>
      </w:r>
    </w:p>
    <w:p w:rsidR="00205819" w:rsidRDefault="00676ED7" w:rsidP="00205819">
      <w:r>
        <w:t>Student Number: 1920603</w:t>
      </w:r>
    </w:p>
    <w:p w:rsidR="00205819" w:rsidRDefault="00AC72E4" w:rsidP="00205819">
      <w:r>
        <w:t>Exam 2 – 17</w:t>
      </w:r>
      <w:r w:rsidR="00205819">
        <w:t>/08/2020</w:t>
      </w:r>
    </w:p>
    <w:p w:rsidR="00205819" w:rsidRDefault="00205819" w:rsidP="00205819"/>
    <w:p w:rsidR="00205819" w:rsidRDefault="00205819" w:rsidP="00205819">
      <w:r>
        <w:t>Question 1</w:t>
      </w:r>
    </w:p>
    <w:p w:rsidR="00205819" w:rsidRDefault="00915850" w:rsidP="00205819">
      <w:r>
        <w:t>Section 163 Road Traffic Act 1988 is defined as:</w:t>
      </w:r>
    </w:p>
    <w:p w:rsidR="00915850" w:rsidRDefault="00915850" w:rsidP="00205819">
      <w:r>
        <w:t>A person driving a Mechanically Propelled Vehicle on a road must stop the vehicle when required to do so by a Police Constable in uniform or a traffic officer.</w:t>
      </w:r>
    </w:p>
    <w:p w:rsidR="00915850" w:rsidRDefault="00915850" w:rsidP="00205819">
      <w:r>
        <w:t>Any person that fails to comply with this section is guilty of an offence.</w:t>
      </w:r>
    </w:p>
    <w:p w:rsidR="00205819" w:rsidRDefault="00205819" w:rsidP="00205819"/>
    <w:p w:rsidR="00205819" w:rsidRDefault="00205819" w:rsidP="00205819">
      <w:r>
        <w:t>Question 2</w:t>
      </w:r>
    </w:p>
    <w:p w:rsidR="00205819" w:rsidRDefault="00043FEF" w:rsidP="00205819">
      <w:r>
        <w:t>Section 6 (4) Road Traffic Act 1988 explains that a person suspected of driving at the time has committed a moving traffic offence, he can be required by a police constable to give a preliminary test to establish whether or not a drink/drug driving offence has been committed alongside the moving traffic offence.</w:t>
      </w:r>
    </w:p>
    <w:p w:rsidR="00205819" w:rsidRDefault="00205819" w:rsidP="00205819"/>
    <w:p w:rsidR="00205819" w:rsidRDefault="00205819" w:rsidP="00205819">
      <w:r>
        <w:t>Question 3</w:t>
      </w:r>
    </w:p>
    <w:p w:rsidR="00205819" w:rsidRDefault="00043FEF" w:rsidP="00205819">
      <w:r>
        <w:t>Section 3 Road Traffic Act 1988 – ‘Driving without due care and attention or reasonable consideration’ is defined as:</w:t>
      </w:r>
    </w:p>
    <w:p w:rsidR="00043FEF" w:rsidRDefault="00043FEF" w:rsidP="00205819">
      <w:r>
        <w:t>A person driving a mechanically propelled vehicle on a road or other public place without due care and attention or without reasonable consideration for other persons using the road or place is guilty of an offence.</w:t>
      </w:r>
    </w:p>
    <w:p w:rsidR="00205819" w:rsidRDefault="00205819" w:rsidP="00205819"/>
    <w:p w:rsidR="00205819" w:rsidRDefault="00205819" w:rsidP="00205819">
      <w:r>
        <w:t>Question 4</w:t>
      </w:r>
    </w:p>
    <w:p w:rsidR="00205819" w:rsidRDefault="00513D4D" w:rsidP="00205819">
      <w:r>
        <w:t>Wider unlawful activity of criminals on the roads varies from minor traffic offences to more serious organised crime. It is important that police make effective use of policing powers to minimise the amount of crime and risks that are posed to the members of the public and police. For example Police Powers such as Section 163 RTA 1988 can be used to stop vehicles on the road that are suspected of committing crimes, and it is important to dynamically risk assess all vehicle’s and persons driving before stopping the vehicle if possible. It is important to do PNC and NICHE checks on both the vehicles and the persons driving to ascertain whether there are any warning markers on either for drugs or weapons etc.</w:t>
      </w:r>
    </w:p>
    <w:p w:rsidR="00513D4D" w:rsidRDefault="00513D4D" w:rsidP="00205819">
      <w:r>
        <w:t xml:space="preserve">The Power of Section 165A Road Traffic Act 1988 is also effective as this is whereby a vehicle can be seized if a person driving the vehicle is driving without a valid driving licence or insurance. The effective use of seizing vehicles like this and abandoned vehicles is vital. Local Authorities work in partnership with the police to remove abandoned vehicles in roads, however police have the power </w:t>
      </w:r>
      <w:r>
        <w:lastRenderedPageBreak/>
        <w:t>to remove the vehicles themselves if they are involved in crimes or situated in a dangerous position or condition.</w:t>
      </w:r>
    </w:p>
    <w:p w:rsidR="00513D4D" w:rsidRDefault="00513D4D" w:rsidP="00205819"/>
    <w:p w:rsidR="00513D4D" w:rsidRDefault="00513D4D" w:rsidP="00205819"/>
    <w:p w:rsidR="00205819" w:rsidRDefault="00205819" w:rsidP="00205819">
      <w:r>
        <w:t>Question 5</w:t>
      </w:r>
    </w:p>
    <w:p w:rsidR="00205819" w:rsidRDefault="00A6657B" w:rsidP="00205819">
      <w:r>
        <w:t>Section 165A Road Traffic Act 1988 is defined is:</w:t>
      </w:r>
    </w:p>
    <w:p w:rsidR="00A6657B" w:rsidRDefault="00A6657B" w:rsidP="00205819">
      <w:r>
        <w:t>A Police constable may seize a mechanically propelled vehicle if it is being driven by a person that does not have a valid driving licence in accordance with the vehicle, or the person does not have certified insurance documents to drive the vehicle.</w:t>
      </w:r>
    </w:p>
    <w:p w:rsidR="00205819" w:rsidRDefault="00205819" w:rsidP="00205819"/>
    <w:p w:rsidR="00205819" w:rsidRDefault="00205819" w:rsidP="00205819">
      <w:r>
        <w:t>Question 6</w:t>
      </w:r>
    </w:p>
    <w:p w:rsidR="00205819" w:rsidRDefault="003A40FB" w:rsidP="00205819">
      <w:r>
        <w:t>Section 170(1) Road Traffic Act 19988 – A Road Traffic Collision is defined as:</w:t>
      </w:r>
    </w:p>
    <w:p w:rsidR="003A40FB" w:rsidRDefault="003A40FB" w:rsidP="00205819"/>
    <w:p w:rsidR="003A40FB" w:rsidRDefault="003A40FB" w:rsidP="00205819">
      <w:r>
        <w:t>Owing to the presence A person driving a mechanically propelled vehicle on a road or other public place. Causes personal injury to a person or to their property, or damages any property, or animals, or any structure, land or foliage.</w:t>
      </w:r>
    </w:p>
    <w:p w:rsidR="00205819" w:rsidRDefault="00205819" w:rsidP="00205819"/>
    <w:p w:rsidR="00205819" w:rsidRDefault="00205819" w:rsidP="00205819">
      <w:r>
        <w:t>Question 7</w:t>
      </w:r>
    </w:p>
    <w:p w:rsidR="00205819" w:rsidRDefault="003A40FB" w:rsidP="00205819">
      <w:r>
        <w:t xml:space="preserve">The role of a Family Liaison Officer is important when there is a death of a person or a fatality involved in a road traffic collision. Their role involves gathering information from the family involved, to care and support the family involved, </w:t>
      </w:r>
      <w:r w:rsidR="00D23A10">
        <w:t>gain the trust and confidence of the family,</w:t>
      </w:r>
      <w:r>
        <w:t>and to keep the family up to date with information in regards to the case.</w:t>
      </w:r>
    </w:p>
    <w:p w:rsidR="00205819" w:rsidRDefault="00205819" w:rsidP="00205819"/>
    <w:p w:rsidR="00205819" w:rsidRDefault="00205819" w:rsidP="00205819">
      <w:r>
        <w:t>Question 8</w:t>
      </w:r>
    </w:p>
    <w:p w:rsidR="00205819" w:rsidRDefault="003A40FB" w:rsidP="00205819">
      <w:r>
        <w:t>Section 170 of the Road Traffic Act 1988, gives the driver responsibility when involved in a reportable road traffic collision. The responsibilities are as follows:</w:t>
      </w:r>
    </w:p>
    <w:p w:rsidR="003A40FB" w:rsidRDefault="003A40FB" w:rsidP="003A40FB">
      <w:pPr>
        <w:pStyle w:val="ListParagraph"/>
        <w:numPr>
          <w:ilvl w:val="0"/>
          <w:numId w:val="1"/>
        </w:numPr>
      </w:pPr>
      <w:r>
        <w:t>To stay at the scene of the RTC</w:t>
      </w:r>
    </w:p>
    <w:p w:rsidR="003A40FB" w:rsidRDefault="003A40FB" w:rsidP="003A40FB">
      <w:pPr>
        <w:pStyle w:val="ListParagraph"/>
        <w:numPr>
          <w:ilvl w:val="0"/>
          <w:numId w:val="1"/>
        </w:numPr>
      </w:pPr>
      <w:r>
        <w:t>To exchange details of name and address with persons involved</w:t>
      </w:r>
    </w:p>
    <w:p w:rsidR="003A40FB" w:rsidRDefault="003A40FB" w:rsidP="003A40FB">
      <w:pPr>
        <w:pStyle w:val="ListParagraph"/>
        <w:numPr>
          <w:ilvl w:val="0"/>
          <w:numId w:val="1"/>
        </w:numPr>
      </w:pPr>
      <w:r>
        <w:t>To exchange insurance detail if damage to the vehicles has occurred</w:t>
      </w:r>
    </w:p>
    <w:p w:rsidR="003A40FB" w:rsidRDefault="003A40FB" w:rsidP="003A40FB">
      <w:pPr>
        <w:pStyle w:val="ListParagraph"/>
        <w:numPr>
          <w:ilvl w:val="0"/>
          <w:numId w:val="1"/>
        </w:numPr>
      </w:pPr>
      <w:r>
        <w:t xml:space="preserve">To report the incident as </w:t>
      </w:r>
      <w:r w:rsidR="008E2626">
        <w:t>soon as possible when reasonable</w:t>
      </w:r>
      <w:r>
        <w:t xml:space="preserve"> to do so</w:t>
      </w:r>
    </w:p>
    <w:p w:rsidR="003A40FB" w:rsidRDefault="003A40FB" w:rsidP="003A40FB">
      <w:pPr>
        <w:pStyle w:val="ListParagraph"/>
        <w:numPr>
          <w:ilvl w:val="0"/>
          <w:numId w:val="1"/>
        </w:numPr>
      </w:pPr>
      <w:r>
        <w:t>To report the incident at a police station within 24</w:t>
      </w:r>
      <w:r w:rsidR="008E2626">
        <w:t xml:space="preserve"> hours of the RTC</w:t>
      </w:r>
    </w:p>
    <w:p w:rsidR="00205819" w:rsidRDefault="00205819" w:rsidP="00205819"/>
    <w:p w:rsidR="00205819" w:rsidRDefault="00205819" w:rsidP="00205819">
      <w:r>
        <w:t>Question 9</w:t>
      </w:r>
    </w:p>
    <w:p w:rsidR="00205819" w:rsidRDefault="008E2626" w:rsidP="00205819">
      <w:r>
        <w:t xml:space="preserve">Section 6E Road Traffic Act 1988 gives a power to a police constable to enter a house and deal with a driver for the offence of driving whilst over the prescribed limit. It explains that if a person who is suspected of driving or has been driving a mechanically propelled vehicle after consuming alcohol or </w:t>
      </w:r>
      <w:r>
        <w:lastRenderedPageBreak/>
        <w:t>a controlled drug is in their body, then a police officer can enter a premises that they are at or have reasonable suspicion to believe that they are at.</w:t>
      </w:r>
    </w:p>
    <w:p w:rsidR="00205819" w:rsidRDefault="00205819" w:rsidP="00205819"/>
    <w:p w:rsidR="00205819" w:rsidRDefault="00205819" w:rsidP="00205819">
      <w:r>
        <w:t>Question 10</w:t>
      </w:r>
    </w:p>
    <w:p w:rsidR="008E2626" w:rsidRDefault="008E2626" w:rsidP="00205819">
      <w:r>
        <w:t>Section 1 Road Traffic Act 1988 – Causing Death By Dangerous Driving is defined as:</w:t>
      </w:r>
    </w:p>
    <w:p w:rsidR="008E2626" w:rsidRDefault="008E2626" w:rsidP="00205819">
      <w:r>
        <w:t>A person that causes the death of another person by driving a mechanically propelled vehicle dangerously on a road or other public place is guilty of an offence.</w:t>
      </w:r>
    </w:p>
    <w:p w:rsidR="00205819" w:rsidRDefault="00205819" w:rsidP="00205819"/>
    <w:p w:rsidR="00205819" w:rsidRDefault="00205819" w:rsidP="00205819">
      <w:r>
        <w:t>Question 11</w:t>
      </w:r>
    </w:p>
    <w:p w:rsidR="008E2626" w:rsidRDefault="008E2626" w:rsidP="00205819">
      <w:r>
        <w:t>Alcohol:</w:t>
      </w:r>
    </w:p>
    <w:p w:rsidR="00205819" w:rsidRDefault="008E2626" w:rsidP="00205819">
      <w:r>
        <w:t>Breath limit – 35 Millilitres of Alcohol in 100</w:t>
      </w:r>
    </w:p>
    <w:p w:rsidR="008E2626" w:rsidRDefault="008E2626" w:rsidP="00205819">
      <w:r>
        <w:t>Blood limit - 80</w:t>
      </w:r>
      <w:r w:rsidRPr="008E2626">
        <w:t xml:space="preserve"> </w:t>
      </w:r>
      <w:r>
        <w:t>Millilitres of Alcohol in 100</w:t>
      </w:r>
    </w:p>
    <w:p w:rsidR="008E2626" w:rsidRDefault="008E2626" w:rsidP="00205819">
      <w:r>
        <w:t>Urine limit - 107</w:t>
      </w:r>
      <w:r w:rsidRPr="008E2626">
        <w:t xml:space="preserve"> </w:t>
      </w:r>
      <w:r>
        <w:t>Millilitres of Alcohol in 100</w:t>
      </w:r>
    </w:p>
    <w:p w:rsidR="00205819" w:rsidRDefault="00205819" w:rsidP="00205819"/>
    <w:p w:rsidR="00205819" w:rsidRDefault="00205819" w:rsidP="00205819">
      <w:r>
        <w:t>Question 12</w:t>
      </w:r>
    </w:p>
    <w:p w:rsidR="00205819" w:rsidRDefault="008E2626" w:rsidP="00205819">
      <w:r>
        <w:t>During a suspect interview there are relevant other people who should could be present such as:</w:t>
      </w:r>
    </w:p>
    <w:p w:rsidR="008E2626" w:rsidRDefault="008E2626" w:rsidP="008E2626">
      <w:pPr>
        <w:pStyle w:val="ListParagraph"/>
        <w:numPr>
          <w:ilvl w:val="0"/>
          <w:numId w:val="1"/>
        </w:numPr>
      </w:pPr>
      <w:r>
        <w:t>Solicitor/Legal Representative – to give legal advice to the suspect</w:t>
      </w:r>
    </w:p>
    <w:p w:rsidR="008E2626" w:rsidRDefault="008E2626" w:rsidP="008E2626">
      <w:pPr>
        <w:pStyle w:val="ListParagraph"/>
        <w:numPr>
          <w:ilvl w:val="0"/>
          <w:numId w:val="1"/>
        </w:numPr>
      </w:pPr>
      <w:r>
        <w:t>Appropriate Adult – If the suspect is a child under 18, or does not have mental capacity o</w:t>
      </w:r>
      <w:r w:rsidR="00EA5702">
        <w:t>r has a disability where they may not understand questions then an appropriate adult can explain to the and help them understand, an appropriate adult must not answer for the suspect.</w:t>
      </w:r>
    </w:p>
    <w:p w:rsidR="00EA5702" w:rsidRDefault="00EA5702" w:rsidP="008E2626">
      <w:pPr>
        <w:pStyle w:val="ListParagraph"/>
        <w:numPr>
          <w:ilvl w:val="0"/>
          <w:numId w:val="1"/>
        </w:numPr>
      </w:pPr>
      <w:r>
        <w:t>Suspect – to answer for a crime they are suspected of committing</w:t>
      </w:r>
    </w:p>
    <w:p w:rsidR="00EA5702" w:rsidRDefault="00EA5702" w:rsidP="008E2626">
      <w:pPr>
        <w:pStyle w:val="ListParagraph"/>
        <w:numPr>
          <w:ilvl w:val="0"/>
          <w:numId w:val="1"/>
        </w:numPr>
      </w:pPr>
      <w:r>
        <w:t>Police Officer – to ask questions of the suspected crime committed.</w:t>
      </w:r>
    </w:p>
    <w:p w:rsidR="00205819" w:rsidRDefault="00205819" w:rsidP="00205819"/>
    <w:p w:rsidR="00205819" w:rsidRDefault="00205819" w:rsidP="00205819">
      <w:r>
        <w:t>Question 13</w:t>
      </w:r>
    </w:p>
    <w:p w:rsidR="00205819" w:rsidRDefault="00EA5702" w:rsidP="00205819">
      <w:r>
        <w:t>National Policing Model - PEACE Model</w:t>
      </w:r>
    </w:p>
    <w:p w:rsidR="00EA5702" w:rsidRDefault="00EA5702" w:rsidP="00205819">
      <w:r>
        <w:t>P – Planning and Preparation – gathering evidence and preparing questions to put to the suspect</w:t>
      </w:r>
    </w:p>
    <w:p w:rsidR="00EA5702" w:rsidRDefault="00EA5702" w:rsidP="00205819">
      <w:r>
        <w:t>E – Engage and Explain – engage with the suspect talk to them and build a rapport, ensure you explain the process of an interview</w:t>
      </w:r>
    </w:p>
    <w:p w:rsidR="00EA5702" w:rsidRDefault="00EA5702" w:rsidP="00205819">
      <w:r>
        <w:t>A – Account of the suspect and Challenge the suspect – let the suspect give their account of the incident and challenge any discrepancies</w:t>
      </w:r>
    </w:p>
    <w:p w:rsidR="00EA5702" w:rsidRDefault="00EA5702" w:rsidP="00205819">
      <w:r>
        <w:t>C – Closure – end the interview and summarise</w:t>
      </w:r>
    </w:p>
    <w:p w:rsidR="00EA5702" w:rsidRDefault="00EA5702" w:rsidP="00205819">
      <w:r>
        <w:t>E – Evaluate - evaluate your own performance and evaluate the information you have been given</w:t>
      </w:r>
    </w:p>
    <w:p w:rsidR="00205819" w:rsidRDefault="00205819" w:rsidP="00205819"/>
    <w:p w:rsidR="00205819" w:rsidRDefault="00205819" w:rsidP="00205819">
      <w:r>
        <w:lastRenderedPageBreak/>
        <w:t>Question 14</w:t>
      </w:r>
    </w:p>
    <w:p w:rsidR="00CD6F8B" w:rsidRDefault="00CD6F8B" w:rsidP="00205819">
      <w:r>
        <w:t>Section 76 of the Serious Crime Act 2015 – Controlling or coercive behaviour in an intimate or family relationship</w:t>
      </w:r>
    </w:p>
    <w:p w:rsidR="00205819" w:rsidRDefault="00CD6F8B" w:rsidP="00205819">
      <w:r>
        <w:t>An incident or pattern of incidents of controlling, coercive or threatening behaviour, violence or abuse between persons aged 16 or over that are or have been intimate partners or family members, regardless of gender or sexuality.</w:t>
      </w:r>
    </w:p>
    <w:p w:rsidR="00205819" w:rsidRDefault="00205819" w:rsidP="00205819"/>
    <w:p w:rsidR="00205819" w:rsidRDefault="00205819" w:rsidP="00205819">
      <w:r>
        <w:t>Question 15</w:t>
      </w:r>
    </w:p>
    <w:p w:rsidR="00205819" w:rsidRDefault="00BD0B3D" w:rsidP="00205819">
      <w:r>
        <w:t>The relatively new offence of ‘Coercive Control’ is important as there was not a law that clearly stated or involved this prior to it being introduced. Police forces struggled to get convictions due to the lack of a law involving Coercive Control. Since the law has been introduced it makes things more clear and helps support the victim in getting a conviction for such an offence involving domestic abuse.</w:t>
      </w:r>
    </w:p>
    <w:p w:rsidR="00205819" w:rsidRDefault="00205819" w:rsidP="00205819"/>
    <w:p w:rsidR="00205819" w:rsidRDefault="00205819" w:rsidP="00205819">
      <w:r>
        <w:t>Question 16</w:t>
      </w:r>
    </w:p>
    <w:p w:rsidR="00205819" w:rsidRDefault="00BD0B3D" w:rsidP="00205819">
      <w:r>
        <w:t>Section 46 of the Children’s Act 1989 explains that if a constable has reasonable suspicion to believe that a child could suffer significant harm due to their circumstances then police constable has the power to remove that child to a place of safety. This would include contacting social services or taking the child to a hospital if there are any injuries to the child. Ideally a child should not be taken to a police station however in certain circumstances this can happen as a last resort.</w:t>
      </w:r>
    </w:p>
    <w:p w:rsidR="00205819" w:rsidRDefault="00205819" w:rsidP="00205819"/>
    <w:p w:rsidR="00205819" w:rsidRDefault="00205819" w:rsidP="00205819">
      <w:r>
        <w:t>Question 17</w:t>
      </w:r>
    </w:p>
    <w:p w:rsidR="00205819" w:rsidRDefault="00BD0B3D" w:rsidP="00205819">
      <w:r>
        <w:t>Section 1 Children and Young Persons Act 1933 – Child Cruelty is defined as</w:t>
      </w:r>
    </w:p>
    <w:p w:rsidR="00BD0B3D" w:rsidRDefault="00BD0B3D" w:rsidP="00205819">
      <w:r>
        <w:t>A child under 18, suffers neglect or abuse, including physical and emotional abuse. A person is guilty of an offence.</w:t>
      </w:r>
    </w:p>
    <w:p w:rsidR="00205819" w:rsidRDefault="00205819" w:rsidP="00205819"/>
    <w:p w:rsidR="00205819" w:rsidRDefault="00205819" w:rsidP="00205819">
      <w:r>
        <w:t>Question 18</w:t>
      </w:r>
    </w:p>
    <w:p w:rsidR="00205819" w:rsidRDefault="00D03C5D" w:rsidP="00205819">
      <w:r>
        <w:t>A Vulnerability assessment must be undertaken in such matters, this may also include the DASH Model surrounding persons who are or suspected of being victims of Domestic Abuse, Stalking and Harassment and Honour Based Violence.</w:t>
      </w:r>
    </w:p>
    <w:p w:rsidR="00205819" w:rsidRDefault="00205819" w:rsidP="00205819"/>
    <w:p w:rsidR="00205819" w:rsidRDefault="00205819" w:rsidP="00205819">
      <w:r>
        <w:t>Question 19</w:t>
      </w:r>
    </w:p>
    <w:p w:rsidR="00205819" w:rsidRDefault="00002924" w:rsidP="00205819">
      <w:r>
        <w:t>A Public Protection Notification is to be submitted</w:t>
      </w:r>
      <w:r w:rsidR="00D03C5D">
        <w:t xml:space="preserve"> via Niche on a person</w:t>
      </w:r>
      <w:r>
        <w:t xml:space="preserve"> if a Police Constable has concerns over the health or wellbeing of an adult or child, be that </w:t>
      </w:r>
      <w:r w:rsidR="00D03C5D">
        <w:t xml:space="preserve">a Vulnerable Adult, </w:t>
      </w:r>
      <w:r>
        <w:t>Domestic</w:t>
      </w:r>
      <w:r w:rsidR="00D03C5D">
        <w:t xml:space="preserve"> Abuse, Stalking and Harassment or Honour Based Violence. The process involves the Police Officer asking the person the PPN is to be submitted for a number of in depth questions to ascertain what sort of support they need. This is then submitted to the Public Protection Unit who then follow up the PPN. PPN’s are graded High Priority, Medium Priority and Low Priority based on the severity.</w:t>
      </w:r>
    </w:p>
    <w:p w:rsidR="00205819" w:rsidRDefault="00205819" w:rsidP="00205819"/>
    <w:p w:rsidR="00205819" w:rsidRDefault="00205819" w:rsidP="00205819">
      <w:r>
        <w:t>Question 20</w:t>
      </w:r>
    </w:p>
    <w:p w:rsidR="00205819" w:rsidRDefault="00156DED" w:rsidP="00205819">
      <w:r>
        <w:t>A DVPN is a Domestic Violence Protection Notice. This is where a person suspected of being a perpetrator in a Domestic Violence case has not been charged with anything. However the police constable dealing with the case can apply for a Domestic Violence Protection Notice to the court</w:t>
      </w:r>
      <w:r w:rsidR="00C96929">
        <w:t>, but this must go through a Superintendent officer first</w:t>
      </w:r>
      <w:r>
        <w:t>, this then includes putting certain conditions on the perpetrator for example to stay away from the victim and do not contact her by any means or third party contact etc. A breach of these conditions will lead to the person committing an offence and then the person can be arrested.</w:t>
      </w:r>
    </w:p>
    <w:p w:rsidR="00205819" w:rsidRDefault="00205819" w:rsidP="00205819"/>
    <w:p w:rsidR="00205819" w:rsidRDefault="00205819" w:rsidP="00205819">
      <w:r>
        <w:t>Question 21</w:t>
      </w:r>
    </w:p>
    <w:p w:rsidR="00205819" w:rsidRDefault="00F15F0C" w:rsidP="00205819">
      <w:r>
        <w:t>Child Sexual Exploitation involves the exploitation of children aged under 18 years for sexual purposes. For an example in Rotherham there was a case where</w:t>
      </w:r>
      <w:r w:rsidR="00D23A10">
        <w:t xml:space="preserve"> a large group of</w:t>
      </w:r>
      <w:r>
        <w:t xml:space="preserve"> </w:t>
      </w:r>
      <w:r w:rsidR="00D23A10">
        <w:t>Asian males from various places in Rotherham were grooming young girls aged around 13 years, buying them alcohol, food, and items like mobile phones to gain their trust. Once they had gained their trust they were forming relationships with these underage girls and exploiting them by offering other men to have sex with them.</w:t>
      </w:r>
    </w:p>
    <w:p w:rsidR="00205819" w:rsidRDefault="00205819" w:rsidP="00205819"/>
    <w:p w:rsidR="00205819" w:rsidRDefault="00205819" w:rsidP="00205819">
      <w:r>
        <w:t>Question 22</w:t>
      </w:r>
    </w:p>
    <w:p w:rsidR="00205819" w:rsidRDefault="00F15F0C" w:rsidP="00205819">
      <w:r>
        <w:t>The Child Sex Offender Disclosure Scheme also referred to as Sarah’s Law was introduced in June 2007 following the murder of Sarah Payne. This allows members of the public to ask the police via an application to disclose whether a person who has access to children has a record of child sex offences.</w:t>
      </w:r>
    </w:p>
    <w:p w:rsidR="00205819" w:rsidRDefault="00205819" w:rsidP="00205819"/>
    <w:p w:rsidR="00205819" w:rsidRDefault="00205819" w:rsidP="00205819">
      <w:r>
        <w:t>Question 23</w:t>
      </w:r>
    </w:p>
    <w:p w:rsidR="00205819" w:rsidRDefault="00D23A10" w:rsidP="00205819">
      <w:r>
        <w:t>Section 75 (a) and (B) of the Sexual Offences Act 2003 outlines the following evidential presumptions:</w:t>
      </w:r>
    </w:p>
    <w:p w:rsidR="00D23A10" w:rsidRDefault="00D23A10" w:rsidP="00D23A10">
      <w:pPr>
        <w:pStyle w:val="ListParagraph"/>
        <w:numPr>
          <w:ilvl w:val="0"/>
          <w:numId w:val="1"/>
        </w:numPr>
      </w:pPr>
      <w:r>
        <w:t>Person B did not consent to sex with A</w:t>
      </w:r>
    </w:p>
    <w:p w:rsidR="00D23A10" w:rsidRDefault="00D23A10" w:rsidP="00D23A10">
      <w:pPr>
        <w:pStyle w:val="ListParagraph"/>
        <w:numPr>
          <w:ilvl w:val="0"/>
          <w:numId w:val="1"/>
        </w:numPr>
      </w:pPr>
      <w:r>
        <w:t>Person A did not reasonably believe that B would consent</w:t>
      </w:r>
    </w:p>
    <w:p w:rsidR="00205819" w:rsidRDefault="00205819" w:rsidP="00205819"/>
    <w:p w:rsidR="00205819" w:rsidRDefault="00205819" w:rsidP="00205819">
      <w:r>
        <w:t>Question 24</w:t>
      </w:r>
    </w:p>
    <w:p w:rsidR="00205819" w:rsidRDefault="00D23A10" w:rsidP="00205819">
      <w:r>
        <w:t>Criminal Procedure Rules 2015 Overriding Objectives are as follows:</w:t>
      </w:r>
    </w:p>
    <w:p w:rsidR="00D23A10" w:rsidRDefault="00D23A10" w:rsidP="00D23A10">
      <w:pPr>
        <w:pStyle w:val="ListParagraph"/>
        <w:numPr>
          <w:ilvl w:val="0"/>
          <w:numId w:val="1"/>
        </w:numPr>
      </w:pPr>
      <w:r>
        <w:t>Acquit</w:t>
      </w:r>
      <w:r w:rsidR="0003474E">
        <w:t>ting</w:t>
      </w:r>
      <w:r>
        <w:t xml:space="preserve"> the innocent and prosecute the guilty</w:t>
      </w:r>
    </w:p>
    <w:p w:rsidR="00D23A10" w:rsidRDefault="00D23A10" w:rsidP="00D23A10">
      <w:pPr>
        <w:pStyle w:val="ListParagraph"/>
        <w:numPr>
          <w:ilvl w:val="0"/>
          <w:numId w:val="1"/>
        </w:numPr>
      </w:pPr>
      <w:r>
        <w:t>Dealing with the prosecution and defence fairly</w:t>
      </w:r>
    </w:p>
    <w:p w:rsidR="001932C1" w:rsidRDefault="001932C1" w:rsidP="00D23A10">
      <w:pPr>
        <w:pStyle w:val="ListParagraph"/>
        <w:numPr>
          <w:ilvl w:val="0"/>
          <w:numId w:val="1"/>
        </w:numPr>
      </w:pPr>
      <w:r>
        <w:t>Provide all the evidence to the court</w:t>
      </w:r>
    </w:p>
    <w:p w:rsidR="00205819" w:rsidRDefault="00205819" w:rsidP="00205819">
      <w:bookmarkStart w:id="0" w:name="_GoBack"/>
      <w:bookmarkEnd w:id="0"/>
    </w:p>
    <w:p w:rsidR="00C96929" w:rsidRDefault="00C96929" w:rsidP="00205819"/>
    <w:p w:rsidR="00205819" w:rsidRDefault="00205819" w:rsidP="00205819">
      <w:r>
        <w:lastRenderedPageBreak/>
        <w:t>Question 25</w:t>
      </w:r>
    </w:p>
    <w:p w:rsidR="00205819" w:rsidRDefault="001932C1" w:rsidP="00205819">
      <w:r>
        <w:t xml:space="preserve">The Full code includes the Evidential Test and the Identification Test. </w:t>
      </w:r>
      <w:r w:rsidR="00FA35F6">
        <w:t>The evidential test includes checking with the evidence for the case is available i.e. forensics and whether the witnesses have turned up to the court case.</w:t>
      </w:r>
    </w:p>
    <w:p w:rsidR="00205819" w:rsidRDefault="00205819" w:rsidP="00205819"/>
    <w:p w:rsidR="00A6657B" w:rsidRDefault="00A6657B"/>
    <w:sectPr w:rsidR="00A6657B" w:rsidSect="00205819">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3A10" w:rsidRDefault="00D23A10" w:rsidP="00205819">
      <w:pPr>
        <w:spacing w:after="0" w:line="240" w:lineRule="auto"/>
      </w:pPr>
      <w:r>
        <w:separator/>
      </w:r>
    </w:p>
  </w:endnote>
  <w:endnote w:type="continuationSeparator" w:id="0">
    <w:p w:rsidR="00D23A10" w:rsidRDefault="00D23A10" w:rsidP="002058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3A10" w:rsidRDefault="006E6E16" w:rsidP="006E6E16">
    <w:pPr>
      <w:pStyle w:val="Footer"/>
      <w:rPr>
        <w:color w:val="000000"/>
        <w:sz w:val="17"/>
      </w:rPr>
    </w:pPr>
    <w:bookmarkStart w:id="3" w:name="TITUS1FooterEvenPages"/>
    <w:r>
      <w:rPr>
        <w:color w:val="000000"/>
        <w:sz w:val="17"/>
      </w:rPr>
      <w:t> </w:t>
    </w:r>
  </w:p>
  <w:bookmarkEnd w:id="3"/>
  <w:p w:rsidR="00D23A10" w:rsidRDefault="00D23A10" w:rsidP="00676ED7">
    <w:pPr>
      <w:pStyle w:val="Footer"/>
    </w:pPr>
  </w:p>
  <w:p w:rsidR="00D23A10" w:rsidRDefault="00D23A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3A10" w:rsidRDefault="006E6E16" w:rsidP="006E6E16">
    <w:pPr>
      <w:pStyle w:val="Footer"/>
      <w:rPr>
        <w:color w:val="000000"/>
        <w:sz w:val="17"/>
      </w:rPr>
    </w:pPr>
    <w:bookmarkStart w:id="4" w:name="TITUS1FooterPrimary"/>
    <w:r>
      <w:rPr>
        <w:color w:val="000000"/>
        <w:sz w:val="17"/>
      </w:rPr>
      <w:t> </w:t>
    </w:r>
  </w:p>
  <w:bookmarkEnd w:id="4"/>
  <w:p w:rsidR="00D23A10" w:rsidRDefault="00D23A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3A10" w:rsidRDefault="006E6E16" w:rsidP="006E6E16">
    <w:pPr>
      <w:pStyle w:val="Footer"/>
      <w:rPr>
        <w:color w:val="000000"/>
        <w:sz w:val="17"/>
      </w:rPr>
    </w:pPr>
    <w:bookmarkStart w:id="6" w:name="TITUS1FooterFirstPage"/>
    <w:r>
      <w:rPr>
        <w:color w:val="000000"/>
        <w:sz w:val="17"/>
      </w:rPr>
      <w:t> </w:t>
    </w:r>
  </w:p>
  <w:bookmarkEnd w:id="6"/>
  <w:p w:rsidR="00D23A10" w:rsidRDefault="00D23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3A10" w:rsidRDefault="00D23A10" w:rsidP="00205819">
      <w:pPr>
        <w:spacing w:after="0" w:line="240" w:lineRule="auto"/>
      </w:pPr>
      <w:r>
        <w:separator/>
      </w:r>
    </w:p>
  </w:footnote>
  <w:footnote w:type="continuationSeparator" w:id="0">
    <w:p w:rsidR="00D23A10" w:rsidRDefault="00D23A10" w:rsidP="002058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3A10" w:rsidRDefault="006E6E16" w:rsidP="006E6E16">
    <w:pPr>
      <w:pStyle w:val="Header"/>
      <w:rPr>
        <w:color w:val="000000"/>
        <w:sz w:val="17"/>
      </w:rPr>
    </w:pPr>
    <w:bookmarkStart w:id="1" w:name="TITUS1HeaderEvenPages"/>
    <w:r>
      <w:rPr>
        <w:color w:val="000000"/>
        <w:sz w:val="17"/>
      </w:rPr>
      <w:t> </w:t>
    </w:r>
  </w:p>
  <w:bookmarkEnd w:id="1"/>
  <w:p w:rsidR="00D23A10" w:rsidRDefault="00D23A10" w:rsidP="00676ED7">
    <w:pPr>
      <w:pStyle w:val="Header"/>
    </w:pPr>
  </w:p>
  <w:p w:rsidR="00D23A10" w:rsidRDefault="00D23A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3A10" w:rsidRDefault="006E6E16" w:rsidP="006E6E16">
    <w:pPr>
      <w:pStyle w:val="Header"/>
      <w:rPr>
        <w:color w:val="000000"/>
        <w:sz w:val="17"/>
      </w:rPr>
    </w:pPr>
    <w:bookmarkStart w:id="2" w:name="TITUS1HeaderPrimary"/>
    <w:r>
      <w:rPr>
        <w:color w:val="000000"/>
        <w:sz w:val="17"/>
      </w:rPr>
      <w:t> </w:t>
    </w:r>
  </w:p>
  <w:bookmarkEnd w:id="2"/>
  <w:p w:rsidR="00D23A10" w:rsidRDefault="00D23A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3A10" w:rsidRDefault="006E6E16" w:rsidP="006E6E16">
    <w:pPr>
      <w:pStyle w:val="Header"/>
      <w:rPr>
        <w:color w:val="000000"/>
        <w:sz w:val="17"/>
      </w:rPr>
    </w:pPr>
    <w:bookmarkStart w:id="5" w:name="TITUS1HeaderFirstPage"/>
    <w:r>
      <w:rPr>
        <w:color w:val="000000"/>
        <w:sz w:val="17"/>
      </w:rPr>
      <w:t> </w:t>
    </w:r>
  </w:p>
  <w:bookmarkEnd w:id="5"/>
  <w:p w:rsidR="00D23A10" w:rsidRDefault="00D23A1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D405EE"/>
    <w:multiLevelType w:val="hybridMultilevel"/>
    <w:tmpl w:val="93F8FE8A"/>
    <w:lvl w:ilvl="0" w:tplc="4D46D8D8">
      <w:start w:val="1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5819"/>
    <w:rsid w:val="00002924"/>
    <w:rsid w:val="0003474E"/>
    <w:rsid w:val="00043FEF"/>
    <w:rsid w:val="00156DED"/>
    <w:rsid w:val="001932C1"/>
    <w:rsid w:val="00205819"/>
    <w:rsid w:val="003A40FB"/>
    <w:rsid w:val="00452AF9"/>
    <w:rsid w:val="00482E50"/>
    <w:rsid w:val="00513D4D"/>
    <w:rsid w:val="006202F6"/>
    <w:rsid w:val="00676ED7"/>
    <w:rsid w:val="006E6E16"/>
    <w:rsid w:val="008A0970"/>
    <w:rsid w:val="008E2626"/>
    <w:rsid w:val="00915850"/>
    <w:rsid w:val="00A6657B"/>
    <w:rsid w:val="00AC72E4"/>
    <w:rsid w:val="00BD0B3D"/>
    <w:rsid w:val="00C96929"/>
    <w:rsid w:val="00CD6F8B"/>
    <w:rsid w:val="00D03C5D"/>
    <w:rsid w:val="00D23A10"/>
    <w:rsid w:val="00EA5702"/>
    <w:rsid w:val="00F15F0C"/>
    <w:rsid w:val="00FA3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F3E1B85"/>
  <w15:chartTrackingRefBased/>
  <w15:docId w15:val="{DD689A6D-01A7-4258-9C28-5FAFAB4EC6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058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058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05819"/>
  </w:style>
  <w:style w:type="paragraph" w:styleId="Footer">
    <w:name w:val="footer"/>
    <w:basedOn w:val="Normal"/>
    <w:link w:val="FooterChar"/>
    <w:uiPriority w:val="99"/>
    <w:unhideWhenUsed/>
    <w:rsid w:val="002058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05819"/>
  </w:style>
  <w:style w:type="paragraph" w:styleId="ListParagraph">
    <w:name w:val="List Paragraph"/>
    <w:basedOn w:val="Normal"/>
    <w:uiPriority w:val="34"/>
    <w:qFormat/>
    <w:rsid w:val="003A40F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142</TotalTime>
  <Pages>6</Pages>
  <Words>1537</Words>
  <Characters>8763</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10280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Dixon,Ross swp6637</dc:creator>
  <cp:keywords/>
  <dc:description/>
  <cp:lastModifiedBy>Dixon,Ross swp6637</cp:lastModifiedBy>
  <cp:revision>17</cp:revision>
  <dcterms:created xsi:type="dcterms:W3CDTF">2020-08-16T13:39:00Z</dcterms:created>
  <dcterms:modified xsi:type="dcterms:W3CDTF">2020-08-17T14:02:00Z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6b0ae1ac-1cb1-464b-b9c4-86d4b4e82e21</vt:lpwstr>
  </property>
  <property fmtid="{D5CDD505-2E9C-101B-9397-08002B2CF9AE}" pid="3" name="Classification">
    <vt:lpwstr>OFFICIAL</vt:lpwstr>
  </property>
  <property fmtid="{D5CDD505-2E9C-101B-9397-08002B2CF9AE}" pid="4" name="Visibility">
    <vt:lpwstr>NOT VISIBLE</vt:lpwstr>
  </property>
</Properties>
</file>