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2581219"/>
        <w:docPartObj>
          <w:docPartGallery w:val="Cover Pages"/>
          <w:docPartUnique/>
        </w:docPartObj>
      </w:sdtPr>
      <w:sdtEndPr>
        <w:rPr>
          <w:rFonts w:ascii="Arial" w:hAnsi="Arial" w:cs="Arial"/>
        </w:rPr>
      </w:sdtEndPr>
      <w:sdtContent>
        <w:p w14:paraId="5E1D8403" w14:textId="2AFFAB6D" w:rsidR="006367EB" w:rsidRPr="008F26E3" w:rsidRDefault="006367EB">
          <w:pPr>
            <w:rPr>
              <w:rFonts w:ascii="Arial" w:eastAsiaTheme="majorEastAsia" w:hAnsi="Arial" w:cs="Arial"/>
              <w:sz w:val="40"/>
              <w:szCs w:val="40"/>
            </w:rPr>
          </w:pPr>
          <w:r w:rsidRPr="008F26E3">
            <w:rPr>
              <w:rFonts w:ascii="Arial" w:eastAsiaTheme="majorEastAsia" w:hAnsi="Arial" w:cs="Arial"/>
              <w:noProof/>
              <w:sz w:val="40"/>
              <w:szCs w:val="40"/>
            </w:rPr>
            <mc:AlternateContent>
              <mc:Choice Requires="wps">
                <w:drawing>
                  <wp:anchor distT="0" distB="0" distL="114300" distR="114300" simplePos="0" relativeHeight="251659264" behindDoc="0" locked="0" layoutInCell="1" allowOverlap="1" wp14:anchorId="2F3E9A23" wp14:editId="0FAC03AA">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590"/>
                                  <w:gridCol w:w="1904"/>
                                </w:tblGrid>
                                <w:tr w:rsidR="006367EB" w14:paraId="36908116" w14:textId="77777777">
                                  <w:trPr>
                                    <w:jc w:val="center"/>
                                  </w:trPr>
                                  <w:tc>
                                    <w:tcPr>
                                      <w:tcW w:w="2568" w:type="pct"/>
                                      <w:vAlign w:val="center"/>
                                    </w:tcPr>
                                    <w:p w14:paraId="2D5E45A7" w14:textId="5A5B22B6" w:rsidR="006367EB" w:rsidRDefault="00380221">
                                      <w:pPr>
                                        <w:jc w:val="right"/>
                                      </w:pPr>
                                      <w:r>
                                        <w:rPr>
                                          <w:noProof/>
                                        </w:rPr>
                                        <w:drawing>
                                          <wp:inline distT="0" distB="0" distL="0" distR="0" wp14:anchorId="754F8D82" wp14:editId="128308D1">
                                            <wp:extent cx="2453640" cy="3680319"/>
                                            <wp:effectExtent l="0" t="0" r="3810" b="0"/>
                                            <wp:docPr id="416805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05435" name=""/>
                                                    <pic:cNvPicPr/>
                                                  </pic:nvPicPr>
                                                  <pic:blipFill>
                                                    <a:blip r:embed="rId9"/>
                                                    <a:stretch>
                                                      <a:fillRect/>
                                                    </a:stretch>
                                                  </pic:blipFill>
                                                  <pic:spPr>
                                                    <a:xfrm>
                                                      <a:off x="0" y="0"/>
                                                      <a:ext cx="2459110" cy="3688523"/>
                                                    </a:xfrm>
                                                    <a:prstGeom prst="rect">
                                                      <a:avLst/>
                                                    </a:prstGeom>
                                                  </pic:spPr>
                                                </pic:pic>
                                              </a:graphicData>
                                            </a:graphic>
                                          </wp:inline>
                                        </w:drawing>
                                      </w:r>
                                    </w:p>
                                    <w:sdt>
                                      <w:sdtPr>
                                        <w:rPr>
                                          <w:rFonts w:ascii="Arial" w:eastAsiaTheme="minorHAnsi" w:hAnsi="Arial" w:cs="Arial"/>
                                          <w:caps/>
                                          <w:color w:val="191919" w:themeColor="text1" w:themeTint="E6"/>
                                          <w:kern w:val="2"/>
                                          <w:sz w:val="42"/>
                                          <w:szCs w:val="42"/>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4A2D3FD" w14:textId="72A60C18" w:rsidR="006367EB" w:rsidRPr="008F26E3" w:rsidRDefault="00380221" w:rsidP="00380221">
                                          <w:pPr>
                                            <w:pStyle w:val="NoSpacing"/>
                                            <w:spacing w:line="312" w:lineRule="auto"/>
                                            <w:jc w:val="center"/>
                                            <w:rPr>
                                              <w:rFonts w:ascii="Arial" w:hAnsi="Arial" w:cs="Arial"/>
                                              <w:caps/>
                                              <w:color w:val="191919" w:themeColor="text1" w:themeTint="E6"/>
                                              <w:sz w:val="42"/>
                                              <w:szCs w:val="42"/>
                                            </w:rPr>
                                          </w:pPr>
                                          <w:r w:rsidRPr="008F26E3">
                                            <w:rPr>
                                              <w:rFonts w:ascii="Arial" w:eastAsiaTheme="minorHAnsi" w:hAnsi="Arial" w:cs="Arial"/>
                                              <w:caps/>
                                              <w:color w:val="191919" w:themeColor="text1" w:themeTint="E6"/>
                                              <w:kern w:val="2"/>
                                              <w:sz w:val="42"/>
                                              <w:szCs w:val="42"/>
                                              <w:lang w:val="en-GB"/>
                                              <w14:ligatures w14:val="standardContextual"/>
                                            </w:rPr>
                                            <w:t>Component 2: Research Report</w:t>
                                          </w:r>
                                        </w:p>
                                      </w:sdtContent>
                                    </w:sdt>
                                    <w:p w14:paraId="58C187B2" w14:textId="77777777" w:rsidR="006367EB" w:rsidRPr="008F26E3" w:rsidRDefault="00380221">
                                      <w:pPr>
                                        <w:jc w:val="right"/>
                                        <w:rPr>
                                          <w:rFonts w:ascii="Arial" w:hAnsi="Arial" w:cs="Arial"/>
                                          <w:bCs/>
                                        </w:rPr>
                                      </w:pPr>
                                      <w:r w:rsidRPr="008F26E3">
                                        <w:rPr>
                                          <w:rFonts w:ascii="Arial" w:hAnsi="Arial" w:cs="Arial"/>
                                        </w:rPr>
                                        <w:t xml:space="preserve">Module Code: </w:t>
                                      </w:r>
                                      <w:r w:rsidRPr="008F26E3">
                                        <w:rPr>
                                          <w:rFonts w:ascii="Arial" w:hAnsi="Arial" w:cs="Arial"/>
                                          <w:bCs/>
                                        </w:rPr>
                                        <w:t>BMHP5019</w:t>
                                      </w:r>
                                    </w:p>
                                    <w:p w14:paraId="45AB4CDA" w14:textId="1180113B" w:rsidR="00380221" w:rsidRPr="008F26E3" w:rsidRDefault="00380221" w:rsidP="008F26E3">
                                      <w:pPr>
                                        <w:rPr>
                                          <w:bCs/>
                                        </w:rPr>
                                      </w:pPr>
                                      <w:r w:rsidRPr="008F26E3">
                                        <w:rPr>
                                          <w:rFonts w:ascii="Arial" w:hAnsi="Arial" w:cs="Arial"/>
                                          <w:bCs/>
                                        </w:rPr>
                                        <w:t>Introduction to Independent Research Skills</w:t>
                                      </w:r>
                                    </w:p>
                                  </w:tc>
                                  <w:tc>
                                    <w:tcPr>
                                      <w:tcW w:w="2432" w:type="pct"/>
                                      <w:vAlign w:val="center"/>
                                    </w:tcPr>
                                    <w:p w14:paraId="57B02D06" w14:textId="06B90885" w:rsidR="006367EB" w:rsidRPr="008F26E3" w:rsidRDefault="006367EB" w:rsidP="00380221">
                                      <w:pPr>
                                        <w:pStyle w:val="NoSpacing"/>
                                        <w:spacing w:line="360" w:lineRule="auto"/>
                                        <w:rPr>
                                          <w:rFonts w:ascii="Arial" w:hAnsi="Arial" w:cs="Arial"/>
                                          <w:caps/>
                                          <w:color w:val="E97132" w:themeColor="accent2"/>
                                          <w:sz w:val="30"/>
                                          <w:szCs w:val="30"/>
                                        </w:rPr>
                                      </w:pPr>
                                      <w:r w:rsidRPr="008F26E3">
                                        <w:rPr>
                                          <w:rFonts w:ascii="Arial" w:hAnsi="Arial" w:cs="Arial"/>
                                          <w:caps/>
                                          <w:color w:val="E97132" w:themeColor="accent2"/>
                                          <w:sz w:val="30"/>
                                          <w:szCs w:val="30"/>
                                        </w:rPr>
                                        <w:t>Samina javed</w:t>
                                      </w:r>
                                    </w:p>
                                    <w:sdt>
                                      <w:sdtPr>
                                        <w:rPr>
                                          <w:rFonts w:ascii="Arial" w:hAnsi="Arial" w:cs="Arial"/>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1CBC1340" w14:textId="5F06C9F2" w:rsidR="006367EB" w:rsidRPr="008F26E3" w:rsidRDefault="006367EB" w:rsidP="00380221">
                                          <w:pPr>
                                            <w:spacing w:line="360" w:lineRule="auto"/>
                                            <w:rPr>
                                              <w:rFonts w:ascii="Arial" w:hAnsi="Arial" w:cs="Arial"/>
                                              <w:color w:val="000000" w:themeColor="text1"/>
                                              <w:sz w:val="28"/>
                                              <w:szCs w:val="28"/>
                                            </w:rPr>
                                          </w:pPr>
                                          <w:r w:rsidRPr="008F26E3">
                                            <w:rPr>
                                              <w:rFonts w:ascii="Arial" w:hAnsi="Arial" w:cs="Arial"/>
                                              <w:color w:val="000000" w:themeColor="text1"/>
                                              <w:sz w:val="28"/>
                                              <w:szCs w:val="28"/>
                                            </w:rPr>
                                            <w:t>Student No. 2323581</w:t>
                                          </w:r>
                                        </w:p>
                                      </w:sdtContent>
                                    </w:sdt>
                                    <w:p w14:paraId="763B5071" w14:textId="2D90972F" w:rsidR="006367EB" w:rsidRPr="008F26E3" w:rsidRDefault="006367EB" w:rsidP="00380221">
                                      <w:pPr>
                                        <w:pStyle w:val="NoSpacing"/>
                                        <w:spacing w:line="360" w:lineRule="auto"/>
                                        <w:rPr>
                                          <w:rFonts w:ascii="Arial" w:hAnsi="Arial" w:cs="Arial"/>
                                          <w:color w:val="E97132" w:themeColor="accent2"/>
                                          <w:sz w:val="30"/>
                                          <w:szCs w:val="30"/>
                                        </w:rPr>
                                      </w:pPr>
                                      <w:r w:rsidRPr="008F26E3">
                                        <w:rPr>
                                          <w:rFonts w:ascii="Arial" w:hAnsi="Arial" w:cs="Arial"/>
                                          <w:color w:val="E97132" w:themeColor="accent2"/>
                                          <w:sz w:val="30"/>
                                          <w:szCs w:val="30"/>
                                        </w:rPr>
                                        <w:t xml:space="preserve">Lecturer: Dr. </w:t>
                                      </w:r>
                                      <w:r w:rsidR="00380221" w:rsidRPr="008F26E3">
                                        <w:rPr>
                                          <w:rFonts w:ascii="Arial" w:hAnsi="Arial" w:cs="Arial"/>
                                          <w:color w:val="E97132" w:themeColor="accent2"/>
                                          <w:sz w:val="30"/>
                                          <w:szCs w:val="30"/>
                                        </w:rPr>
                                        <w:t>Rizwan Nadim</w:t>
                                      </w:r>
                                    </w:p>
                                    <w:p w14:paraId="5C8A0938" w14:textId="0388928B" w:rsidR="006367EB" w:rsidRDefault="006367EB" w:rsidP="00380221">
                                      <w:pPr>
                                        <w:pStyle w:val="NoSpacing"/>
                                        <w:spacing w:line="360" w:lineRule="auto"/>
                                      </w:pPr>
                                    </w:p>
                                  </w:tc>
                                </w:tr>
                              </w:tbl>
                              <w:p w14:paraId="60B4F75E" w14:textId="77777777" w:rsidR="006367EB" w:rsidRDefault="006367E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F3E9A23"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590"/>
                            <w:gridCol w:w="1904"/>
                          </w:tblGrid>
                          <w:tr w:rsidR="006367EB" w14:paraId="36908116" w14:textId="77777777">
                            <w:trPr>
                              <w:jc w:val="center"/>
                            </w:trPr>
                            <w:tc>
                              <w:tcPr>
                                <w:tcW w:w="2568" w:type="pct"/>
                                <w:vAlign w:val="center"/>
                              </w:tcPr>
                              <w:p w14:paraId="2D5E45A7" w14:textId="5A5B22B6" w:rsidR="006367EB" w:rsidRDefault="00380221">
                                <w:pPr>
                                  <w:jc w:val="right"/>
                                </w:pPr>
                                <w:r>
                                  <w:rPr>
                                    <w:noProof/>
                                  </w:rPr>
                                  <w:drawing>
                                    <wp:inline distT="0" distB="0" distL="0" distR="0" wp14:anchorId="754F8D82" wp14:editId="128308D1">
                                      <wp:extent cx="2453640" cy="3680319"/>
                                      <wp:effectExtent l="0" t="0" r="3810" b="0"/>
                                      <wp:docPr id="416805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05435" name=""/>
                                              <pic:cNvPicPr/>
                                            </pic:nvPicPr>
                                            <pic:blipFill>
                                              <a:blip r:embed="rId9"/>
                                              <a:stretch>
                                                <a:fillRect/>
                                              </a:stretch>
                                            </pic:blipFill>
                                            <pic:spPr>
                                              <a:xfrm>
                                                <a:off x="0" y="0"/>
                                                <a:ext cx="2459110" cy="3688523"/>
                                              </a:xfrm>
                                              <a:prstGeom prst="rect">
                                                <a:avLst/>
                                              </a:prstGeom>
                                            </pic:spPr>
                                          </pic:pic>
                                        </a:graphicData>
                                      </a:graphic>
                                    </wp:inline>
                                  </w:drawing>
                                </w:r>
                              </w:p>
                              <w:sdt>
                                <w:sdtPr>
                                  <w:rPr>
                                    <w:rFonts w:ascii="Arial" w:eastAsiaTheme="minorHAnsi" w:hAnsi="Arial" w:cs="Arial"/>
                                    <w:caps/>
                                    <w:color w:val="191919" w:themeColor="text1" w:themeTint="E6"/>
                                    <w:kern w:val="2"/>
                                    <w:sz w:val="42"/>
                                    <w:szCs w:val="42"/>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4A2D3FD" w14:textId="72A60C18" w:rsidR="006367EB" w:rsidRPr="008F26E3" w:rsidRDefault="00380221" w:rsidP="00380221">
                                    <w:pPr>
                                      <w:pStyle w:val="NoSpacing"/>
                                      <w:spacing w:line="312" w:lineRule="auto"/>
                                      <w:jc w:val="center"/>
                                      <w:rPr>
                                        <w:rFonts w:ascii="Arial" w:hAnsi="Arial" w:cs="Arial"/>
                                        <w:caps/>
                                        <w:color w:val="191919" w:themeColor="text1" w:themeTint="E6"/>
                                        <w:sz w:val="42"/>
                                        <w:szCs w:val="42"/>
                                      </w:rPr>
                                    </w:pPr>
                                    <w:r w:rsidRPr="008F26E3">
                                      <w:rPr>
                                        <w:rFonts w:ascii="Arial" w:eastAsiaTheme="minorHAnsi" w:hAnsi="Arial" w:cs="Arial"/>
                                        <w:caps/>
                                        <w:color w:val="191919" w:themeColor="text1" w:themeTint="E6"/>
                                        <w:kern w:val="2"/>
                                        <w:sz w:val="42"/>
                                        <w:szCs w:val="42"/>
                                        <w:lang w:val="en-GB"/>
                                        <w14:ligatures w14:val="standardContextual"/>
                                      </w:rPr>
                                      <w:t>Component 2: Research Report</w:t>
                                    </w:r>
                                  </w:p>
                                </w:sdtContent>
                              </w:sdt>
                              <w:p w14:paraId="58C187B2" w14:textId="77777777" w:rsidR="006367EB" w:rsidRPr="008F26E3" w:rsidRDefault="00380221">
                                <w:pPr>
                                  <w:jc w:val="right"/>
                                  <w:rPr>
                                    <w:rFonts w:ascii="Arial" w:hAnsi="Arial" w:cs="Arial"/>
                                    <w:bCs/>
                                  </w:rPr>
                                </w:pPr>
                                <w:r w:rsidRPr="008F26E3">
                                  <w:rPr>
                                    <w:rFonts w:ascii="Arial" w:hAnsi="Arial" w:cs="Arial"/>
                                  </w:rPr>
                                  <w:t xml:space="preserve">Module Code: </w:t>
                                </w:r>
                                <w:r w:rsidRPr="008F26E3">
                                  <w:rPr>
                                    <w:rFonts w:ascii="Arial" w:hAnsi="Arial" w:cs="Arial"/>
                                    <w:bCs/>
                                  </w:rPr>
                                  <w:t>BMHP5019</w:t>
                                </w:r>
                              </w:p>
                              <w:p w14:paraId="45AB4CDA" w14:textId="1180113B" w:rsidR="00380221" w:rsidRPr="008F26E3" w:rsidRDefault="00380221" w:rsidP="008F26E3">
                                <w:pPr>
                                  <w:rPr>
                                    <w:bCs/>
                                  </w:rPr>
                                </w:pPr>
                                <w:r w:rsidRPr="008F26E3">
                                  <w:rPr>
                                    <w:rFonts w:ascii="Arial" w:hAnsi="Arial" w:cs="Arial"/>
                                    <w:bCs/>
                                  </w:rPr>
                                  <w:t>Introduction to Independent Research Skills</w:t>
                                </w:r>
                              </w:p>
                            </w:tc>
                            <w:tc>
                              <w:tcPr>
                                <w:tcW w:w="2432" w:type="pct"/>
                                <w:vAlign w:val="center"/>
                              </w:tcPr>
                              <w:p w14:paraId="57B02D06" w14:textId="06B90885" w:rsidR="006367EB" w:rsidRPr="008F26E3" w:rsidRDefault="006367EB" w:rsidP="00380221">
                                <w:pPr>
                                  <w:pStyle w:val="NoSpacing"/>
                                  <w:spacing w:line="360" w:lineRule="auto"/>
                                  <w:rPr>
                                    <w:rFonts w:ascii="Arial" w:hAnsi="Arial" w:cs="Arial"/>
                                    <w:caps/>
                                    <w:color w:val="E97132" w:themeColor="accent2"/>
                                    <w:sz w:val="30"/>
                                    <w:szCs w:val="30"/>
                                  </w:rPr>
                                </w:pPr>
                                <w:r w:rsidRPr="008F26E3">
                                  <w:rPr>
                                    <w:rFonts w:ascii="Arial" w:hAnsi="Arial" w:cs="Arial"/>
                                    <w:caps/>
                                    <w:color w:val="E97132" w:themeColor="accent2"/>
                                    <w:sz w:val="30"/>
                                    <w:szCs w:val="30"/>
                                  </w:rPr>
                                  <w:t>Samina javed</w:t>
                                </w:r>
                              </w:p>
                              <w:sdt>
                                <w:sdtPr>
                                  <w:rPr>
                                    <w:rFonts w:ascii="Arial" w:hAnsi="Arial" w:cs="Arial"/>
                                    <w:color w:val="000000" w:themeColor="text1"/>
                                    <w:sz w:val="28"/>
                                    <w:szCs w:val="28"/>
                                  </w:rPr>
                                  <w:alias w:val="Abstract"/>
                                  <w:tag w:val=""/>
                                  <w:id w:val="-2036181933"/>
                                  <w:dataBinding w:prefixMappings="xmlns:ns0='http://schemas.microsoft.com/office/2006/coverPageProps' " w:xpath="/ns0:CoverPageProperties[1]/ns0:Abstract[1]" w:storeItemID="{55AF091B-3C7A-41E3-B477-F2FDAA23CFDA}"/>
                                  <w:text/>
                                </w:sdtPr>
                                <w:sdtEndPr/>
                                <w:sdtContent>
                                  <w:p w14:paraId="1CBC1340" w14:textId="5F06C9F2" w:rsidR="006367EB" w:rsidRPr="008F26E3" w:rsidRDefault="006367EB" w:rsidP="00380221">
                                    <w:pPr>
                                      <w:spacing w:line="360" w:lineRule="auto"/>
                                      <w:rPr>
                                        <w:rFonts w:ascii="Arial" w:hAnsi="Arial" w:cs="Arial"/>
                                        <w:color w:val="000000" w:themeColor="text1"/>
                                        <w:sz w:val="28"/>
                                        <w:szCs w:val="28"/>
                                      </w:rPr>
                                    </w:pPr>
                                    <w:r w:rsidRPr="008F26E3">
                                      <w:rPr>
                                        <w:rFonts w:ascii="Arial" w:hAnsi="Arial" w:cs="Arial"/>
                                        <w:color w:val="000000" w:themeColor="text1"/>
                                        <w:sz w:val="28"/>
                                        <w:szCs w:val="28"/>
                                      </w:rPr>
                                      <w:t>Student No. 2323581</w:t>
                                    </w:r>
                                  </w:p>
                                </w:sdtContent>
                              </w:sdt>
                              <w:p w14:paraId="763B5071" w14:textId="2D90972F" w:rsidR="006367EB" w:rsidRPr="008F26E3" w:rsidRDefault="006367EB" w:rsidP="00380221">
                                <w:pPr>
                                  <w:pStyle w:val="NoSpacing"/>
                                  <w:spacing w:line="360" w:lineRule="auto"/>
                                  <w:rPr>
                                    <w:rFonts w:ascii="Arial" w:hAnsi="Arial" w:cs="Arial"/>
                                    <w:color w:val="E97132" w:themeColor="accent2"/>
                                    <w:sz w:val="30"/>
                                    <w:szCs w:val="30"/>
                                  </w:rPr>
                                </w:pPr>
                                <w:r w:rsidRPr="008F26E3">
                                  <w:rPr>
                                    <w:rFonts w:ascii="Arial" w:hAnsi="Arial" w:cs="Arial"/>
                                    <w:color w:val="E97132" w:themeColor="accent2"/>
                                    <w:sz w:val="30"/>
                                    <w:szCs w:val="30"/>
                                  </w:rPr>
                                  <w:t xml:space="preserve">Lecturer: Dr. </w:t>
                                </w:r>
                                <w:r w:rsidR="00380221" w:rsidRPr="008F26E3">
                                  <w:rPr>
                                    <w:rFonts w:ascii="Arial" w:hAnsi="Arial" w:cs="Arial"/>
                                    <w:color w:val="E97132" w:themeColor="accent2"/>
                                    <w:sz w:val="30"/>
                                    <w:szCs w:val="30"/>
                                  </w:rPr>
                                  <w:t>Rizwan Nadim</w:t>
                                </w:r>
                              </w:p>
                              <w:p w14:paraId="5C8A0938" w14:textId="0388928B" w:rsidR="006367EB" w:rsidRDefault="006367EB" w:rsidP="00380221">
                                <w:pPr>
                                  <w:pStyle w:val="NoSpacing"/>
                                  <w:spacing w:line="360" w:lineRule="auto"/>
                                </w:pPr>
                              </w:p>
                            </w:tc>
                          </w:tr>
                        </w:tbl>
                        <w:p w14:paraId="60B4F75E" w14:textId="77777777" w:rsidR="006367EB" w:rsidRDefault="006367EB"/>
                      </w:txbxContent>
                    </v:textbox>
                    <w10:wrap anchorx="page" anchory="page"/>
                  </v:shape>
                </w:pict>
              </mc:Fallback>
            </mc:AlternateContent>
          </w:r>
          <w:r w:rsidRPr="008F26E3">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21564571"/>
        <w:docPartObj>
          <w:docPartGallery w:val="Table of Contents"/>
          <w:docPartUnique/>
        </w:docPartObj>
      </w:sdtPr>
      <w:sdtEndPr>
        <w:rPr>
          <w:b/>
          <w:bCs/>
          <w:noProof/>
        </w:rPr>
      </w:sdtEndPr>
      <w:sdtContent>
        <w:p w14:paraId="5469DDA5" w14:textId="2256E44F" w:rsidR="00F84BD0" w:rsidRPr="008F26E3" w:rsidRDefault="00F84BD0" w:rsidP="00F84BD0">
          <w:pPr>
            <w:pStyle w:val="TOCHeading"/>
            <w:spacing w:line="360" w:lineRule="auto"/>
            <w:rPr>
              <w:rFonts w:ascii="Arial" w:hAnsi="Arial" w:cs="Arial"/>
              <w:b/>
              <w:bCs/>
              <w:sz w:val="22"/>
              <w:szCs w:val="22"/>
            </w:rPr>
          </w:pPr>
          <w:r w:rsidRPr="008F26E3">
            <w:rPr>
              <w:rFonts w:ascii="Arial" w:hAnsi="Arial" w:cs="Arial"/>
              <w:b/>
              <w:bCs/>
              <w:sz w:val="22"/>
              <w:szCs w:val="22"/>
            </w:rPr>
            <w:t>Contents</w:t>
          </w:r>
        </w:p>
        <w:p w14:paraId="4B5EE28E" w14:textId="7429EFD8" w:rsidR="00F84BD0" w:rsidRPr="008F26E3" w:rsidRDefault="00F84BD0" w:rsidP="00F84BD0">
          <w:pPr>
            <w:pStyle w:val="TOC1"/>
            <w:tabs>
              <w:tab w:val="right" w:leader="dot" w:pos="9016"/>
            </w:tabs>
            <w:spacing w:line="360" w:lineRule="auto"/>
            <w:rPr>
              <w:rFonts w:ascii="Arial" w:hAnsi="Arial" w:cs="Arial"/>
              <w:noProof/>
              <w:sz w:val="22"/>
              <w:szCs w:val="22"/>
            </w:rPr>
          </w:pPr>
          <w:r w:rsidRPr="008F26E3">
            <w:rPr>
              <w:rFonts w:ascii="Arial" w:hAnsi="Arial" w:cs="Arial"/>
              <w:sz w:val="22"/>
              <w:szCs w:val="22"/>
            </w:rPr>
            <w:fldChar w:fldCharType="begin"/>
          </w:r>
          <w:r w:rsidRPr="008F26E3">
            <w:rPr>
              <w:rFonts w:ascii="Arial" w:hAnsi="Arial" w:cs="Arial"/>
              <w:sz w:val="22"/>
              <w:szCs w:val="22"/>
            </w:rPr>
            <w:instrText xml:space="preserve"> TOC \o "1-3" \h \z \u </w:instrText>
          </w:r>
          <w:r w:rsidRPr="008F26E3">
            <w:rPr>
              <w:rFonts w:ascii="Arial" w:hAnsi="Arial" w:cs="Arial"/>
              <w:sz w:val="22"/>
              <w:szCs w:val="22"/>
            </w:rPr>
            <w:fldChar w:fldCharType="separate"/>
          </w:r>
          <w:hyperlink w:anchor="_Toc225734328" w:history="1">
            <w:r w:rsidRPr="008F26E3">
              <w:rPr>
                <w:rStyle w:val="Hyperlink"/>
                <w:rFonts w:ascii="Arial" w:hAnsi="Arial" w:cs="Arial"/>
                <w:noProof/>
                <w:sz w:val="22"/>
                <w:szCs w:val="22"/>
              </w:rPr>
              <w:t>1. Introduction</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_Toc225734328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2</w:t>
            </w:r>
            <w:r w:rsidRPr="008F26E3">
              <w:rPr>
                <w:rFonts w:ascii="Arial" w:hAnsi="Arial" w:cs="Arial"/>
                <w:noProof/>
                <w:webHidden/>
                <w:sz w:val="22"/>
                <w:szCs w:val="22"/>
              </w:rPr>
              <w:fldChar w:fldCharType="end"/>
            </w:r>
          </w:hyperlink>
        </w:p>
        <w:p w14:paraId="12262E04" w14:textId="3317B818"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29" w:history="1">
            <w:r w:rsidRPr="008F26E3">
              <w:rPr>
                <w:rStyle w:val="Hyperlink"/>
                <w:rFonts w:ascii="Arial" w:hAnsi="Arial" w:cs="Arial"/>
                <w:noProof/>
                <w:sz w:val="22"/>
                <w:szCs w:val="22"/>
              </w:rPr>
              <w:t>2. Background</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_Toc225734329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3</w:t>
            </w:r>
            <w:r w:rsidRPr="008F26E3">
              <w:rPr>
                <w:rFonts w:ascii="Arial" w:hAnsi="Arial" w:cs="Arial"/>
                <w:noProof/>
                <w:webHidden/>
                <w:sz w:val="22"/>
                <w:szCs w:val="22"/>
              </w:rPr>
              <w:fldChar w:fldCharType="end"/>
            </w:r>
          </w:hyperlink>
        </w:p>
        <w:p w14:paraId="5DC00D6B" w14:textId="4A4B3870"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30" w:history="1">
            <w:r w:rsidRPr="008F26E3">
              <w:rPr>
                <w:rStyle w:val="Hyperlink"/>
                <w:rFonts w:ascii="Arial" w:hAnsi="Arial" w:cs="Arial"/>
                <w:noProof/>
                <w:sz w:val="22"/>
                <w:szCs w:val="22"/>
              </w:rPr>
              <w:t>3. Methods (Scoping Review Methodology)</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_Toc225734330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5</w:t>
            </w:r>
            <w:r w:rsidRPr="008F26E3">
              <w:rPr>
                <w:rFonts w:ascii="Arial" w:hAnsi="Arial" w:cs="Arial"/>
                <w:noProof/>
                <w:webHidden/>
                <w:sz w:val="22"/>
                <w:szCs w:val="22"/>
              </w:rPr>
              <w:fldChar w:fldCharType="end"/>
            </w:r>
          </w:hyperlink>
        </w:p>
        <w:p w14:paraId="2BCFA407" w14:textId="026BA6CB"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1" w:history="1">
            <w:r w:rsidRPr="008F26E3">
              <w:rPr>
                <w:rStyle w:val="Hyperlink"/>
                <w:rFonts w:ascii="Arial" w:hAnsi="Arial" w:cs="Arial"/>
                <w:noProof/>
                <w:sz w:val="22"/>
                <w:szCs w:val="22"/>
              </w:rPr>
              <w:t>3.1 Research Design</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_Toc225734331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5</w:t>
            </w:r>
            <w:r w:rsidRPr="008F26E3">
              <w:rPr>
                <w:rFonts w:ascii="Arial" w:hAnsi="Arial" w:cs="Arial"/>
                <w:noProof/>
                <w:webHidden/>
                <w:sz w:val="22"/>
                <w:szCs w:val="22"/>
              </w:rPr>
              <w:fldChar w:fldCharType="end"/>
            </w:r>
          </w:hyperlink>
        </w:p>
        <w:p w14:paraId="57D4786F" w14:textId="1B168DC1"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2" w:history="1">
            <w:r w:rsidRPr="008F26E3">
              <w:rPr>
                <w:rStyle w:val="Hyperlink"/>
                <w:rFonts w:ascii="Arial" w:hAnsi="Arial" w:cs="Arial"/>
                <w:noProof/>
                <w:sz w:val="22"/>
                <w:szCs w:val="22"/>
              </w:rPr>
              <w:t>3.2 Scoping Review Framework</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_Toc225734332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5</w:t>
            </w:r>
            <w:r w:rsidRPr="008F26E3">
              <w:rPr>
                <w:rFonts w:ascii="Arial" w:hAnsi="Arial" w:cs="Arial"/>
                <w:noProof/>
                <w:webHidden/>
                <w:sz w:val="22"/>
                <w:szCs w:val="22"/>
              </w:rPr>
              <w:fldChar w:fldCharType="end"/>
            </w:r>
          </w:hyperlink>
        </w:p>
        <w:p w14:paraId="0D1D16A4" w14:textId="4619D9F9"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3" w:history="1">
            <w:r w:rsidRPr="008F26E3">
              <w:rPr>
                <w:rStyle w:val="Hyperlink"/>
                <w:rFonts w:ascii="Arial" w:hAnsi="Arial" w:cs="Arial"/>
                <w:noProof/>
                <w:sz w:val="22"/>
                <w:szCs w:val="22"/>
              </w:rPr>
              <w:t>3.3 Search Strategy and Databases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_Toc225734333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6</w:t>
            </w:r>
            <w:r w:rsidRPr="008F26E3">
              <w:rPr>
                <w:rFonts w:ascii="Arial" w:hAnsi="Arial" w:cs="Arial"/>
                <w:noProof/>
                <w:webHidden/>
                <w:sz w:val="22"/>
                <w:szCs w:val="22"/>
              </w:rPr>
              <w:fldChar w:fldCharType="end"/>
            </w:r>
          </w:hyperlink>
        </w:p>
        <w:p w14:paraId="2FFA3CAA" w14:textId="766C8880"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4" w:history="1">
            <w:r w:rsidRPr="008F26E3">
              <w:rPr>
                <w:rStyle w:val="Hyperlink"/>
                <w:rFonts w:ascii="Arial" w:hAnsi="Arial" w:cs="Arial"/>
                <w:noProof/>
                <w:sz w:val="22"/>
                <w:szCs w:val="22"/>
              </w:rPr>
              <w:t>3.4 Inclusion and Exclusion Criteria</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_Toc225734334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6</w:t>
            </w:r>
            <w:r w:rsidRPr="008F26E3">
              <w:rPr>
                <w:rFonts w:ascii="Arial" w:hAnsi="Arial" w:cs="Arial"/>
                <w:noProof/>
                <w:webHidden/>
                <w:sz w:val="22"/>
                <w:szCs w:val="22"/>
              </w:rPr>
              <w:fldChar w:fldCharType="end"/>
            </w:r>
          </w:hyperlink>
        </w:p>
        <w:p w14:paraId="2DF60A3E" w14:textId="4F9ED0E5"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5" w:history="1">
            <w:r w:rsidRPr="008F26E3">
              <w:rPr>
                <w:rStyle w:val="Hyperlink"/>
                <w:rFonts w:ascii="Arial" w:hAnsi="Arial" w:cs="Arial"/>
                <w:noProof/>
                <w:sz w:val="22"/>
                <w:szCs w:val="22"/>
              </w:rPr>
              <w:t>3.5 Data Extraction</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_Toc225734335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6</w:t>
            </w:r>
            <w:r w:rsidRPr="008F26E3">
              <w:rPr>
                <w:rFonts w:ascii="Arial" w:hAnsi="Arial" w:cs="Arial"/>
                <w:noProof/>
                <w:webHidden/>
                <w:sz w:val="22"/>
                <w:szCs w:val="22"/>
              </w:rPr>
              <w:fldChar w:fldCharType="end"/>
            </w:r>
          </w:hyperlink>
        </w:p>
        <w:p w14:paraId="52F3C71C" w14:textId="725D6AD6"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6" w:history="1">
            <w:r w:rsidRPr="008F26E3">
              <w:rPr>
                <w:rStyle w:val="Hyperlink"/>
                <w:rFonts w:ascii="Arial" w:hAnsi="Arial" w:cs="Arial"/>
                <w:noProof/>
                <w:sz w:val="22"/>
                <w:szCs w:val="22"/>
              </w:rPr>
              <w:t>3.6 Data Analysis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_Toc225734336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6</w:t>
            </w:r>
            <w:r w:rsidRPr="008F26E3">
              <w:rPr>
                <w:rFonts w:ascii="Arial" w:hAnsi="Arial" w:cs="Arial"/>
                <w:noProof/>
                <w:webHidden/>
                <w:sz w:val="22"/>
                <w:szCs w:val="22"/>
              </w:rPr>
              <w:fldChar w:fldCharType="end"/>
            </w:r>
          </w:hyperlink>
        </w:p>
        <w:p w14:paraId="6D2A6E29" w14:textId="048DD2A2"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7" w:history="1">
            <w:r w:rsidRPr="008F26E3">
              <w:rPr>
                <w:rStyle w:val="Hyperlink"/>
                <w:rFonts w:ascii="Arial" w:hAnsi="Arial" w:cs="Arial"/>
                <w:noProof/>
                <w:sz w:val="22"/>
                <w:szCs w:val="22"/>
              </w:rPr>
              <w:t>3.7 Ethical Considerations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_Toc225734337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7</w:t>
            </w:r>
            <w:r w:rsidRPr="008F26E3">
              <w:rPr>
                <w:rFonts w:ascii="Arial" w:hAnsi="Arial" w:cs="Arial"/>
                <w:noProof/>
                <w:webHidden/>
                <w:sz w:val="22"/>
                <w:szCs w:val="22"/>
              </w:rPr>
              <w:fldChar w:fldCharType="end"/>
            </w:r>
          </w:hyperlink>
        </w:p>
        <w:p w14:paraId="0FD117CE" w14:textId="68674EF0"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38" w:history="1">
            <w:r w:rsidRPr="008F26E3">
              <w:rPr>
                <w:rStyle w:val="Hyperlink"/>
                <w:rFonts w:ascii="Arial" w:hAnsi="Arial" w:cs="Arial"/>
                <w:noProof/>
                <w:sz w:val="22"/>
                <w:szCs w:val="22"/>
              </w:rPr>
              <w:t>4. Results – Scoping Review Findings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_Toc225734338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7</w:t>
            </w:r>
            <w:r w:rsidRPr="008F26E3">
              <w:rPr>
                <w:rFonts w:ascii="Arial" w:hAnsi="Arial" w:cs="Arial"/>
                <w:noProof/>
                <w:webHidden/>
                <w:sz w:val="22"/>
                <w:szCs w:val="22"/>
              </w:rPr>
              <w:fldChar w:fldCharType="end"/>
            </w:r>
          </w:hyperlink>
        </w:p>
        <w:p w14:paraId="638AE584" w14:textId="2DC0C3D7"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39" w:history="1">
            <w:r w:rsidRPr="008F26E3">
              <w:rPr>
                <w:rStyle w:val="Hyperlink"/>
                <w:rFonts w:ascii="Arial" w:hAnsi="Arial" w:cs="Arial"/>
                <w:noProof/>
                <w:sz w:val="22"/>
                <w:szCs w:val="22"/>
              </w:rPr>
              <w:t>4.1 Summary of Selected Studies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_Toc225734339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7</w:t>
            </w:r>
            <w:r w:rsidRPr="008F26E3">
              <w:rPr>
                <w:rFonts w:ascii="Arial" w:hAnsi="Arial" w:cs="Arial"/>
                <w:noProof/>
                <w:webHidden/>
                <w:sz w:val="22"/>
                <w:szCs w:val="22"/>
              </w:rPr>
              <w:fldChar w:fldCharType="end"/>
            </w:r>
          </w:hyperlink>
        </w:p>
        <w:p w14:paraId="6293F52F" w14:textId="64130156"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40" w:history="1">
            <w:r w:rsidRPr="008F26E3">
              <w:rPr>
                <w:rStyle w:val="Hyperlink"/>
                <w:rFonts w:ascii="Arial" w:hAnsi="Arial" w:cs="Arial"/>
                <w:noProof/>
                <w:sz w:val="22"/>
                <w:szCs w:val="22"/>
              </w:rPr>
              <w:t>4.2 Thematic Analysis of Findings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_Toc225734340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8</w:t>
            </w:r>
            <w:r w:rsidRPr="008F26E3">
              <w:rPr>
                <w:rFonts w:ascii="Arial" w:hAnsi="Arial" w:cs="Arial"/>
                <w:noProof/>
                <w:webHidden/>
                <w:sz w:val="22"/>
                <w:szCs w:val="22"/>
              </w:rPr>
              <w:fldChar w:fldCharType="end"/>
            </w:r>
          </w:hyperlink>
        </w:p>
        <w:p w14:paraId="6131EC0E" w14:textId="1FB8C273"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41" w:history="1">
            <w:r w:rsidRPr="008F26E3">
              <w:rPr>
                <w:rStyle w:val="Hyperlink"/>
                <w:rFonts w:ascii="Arial" w:hAnsi="Arial" w:cs="Arial"/>
                <w:noProof/>
                <w:sz w:val="22"/>
                <w:szCs w:val="22"/>
              </w:rPr>
              <w:t>4.2.1 Prevalence of GAD Among UK Teenagers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_Toc225734341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8</w:t>
            </w:r>
            <w:r w:rsidRPr="008F26E3">
              <w:rPr>
                <w:rFonts w:ascii="Arial" w:hAnsi="Arial" w:cs="Arial"/>
                <w:noProof/>
                <w:webHidden/>
                <w:sz w:val="22"/>
                <w:szCs w:val="22"/>
              </w:rPr>
              <w:fldChar w:fldCharType="end"/>
            </w:r>
          </w:hyperlink>
        </w:p>
        <w:p w14:paraId="5339C913" w14:textId="756CC0C1"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42" w:history="1">
            <w:r w:rsidRPr="008F26E3">
              <w:rPr>
                <w:rStyle w:val="Hyperlink"/>
                <w:rFonts w:ascii="Arial" w:hAnsi="Arial" w:cs="Arial"/>
                <w:noProof/>
                <w:sz w:val="22"/>
                <w:szCs w:val="22"/>
              </w:rPr>
              <w:t>4.2.2 Social Factors Influencing Anxiety</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_Toc225734342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9</w:t>
            </w:r>
            <w:r w:rsidRPr="008F26E3">
              <w:rPr>
                <w:rFonts w:ascii="Arial" w:hAnsi="Arial" w:cs="Arial"/>
                <w:noProof/>
                <w:webHidden/>
                <w:sz w:val="22"/>
                <w:szCs w:val="22"/>
              </w:rPr>
              <w:fldChar w:fldCharType="end"/>
            </w:r>
          </w:hyperlink>
        </w:p>
        <w:p w14:paraId="6AE3BEA2" w14:textId="6D28607C"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43" w:history="1">
            <w:r w:rsidRPr="008F26E3">
              <w:rPr>
                <w:rStyle w:val="Hyperlink"/>
                <w:rFonts w:ascii="Arial" w:hAnsi="Arial" w:cs="Arial"/>
                <w:noProof/>
                <w:sz w:val="22"/>
                <w:szCs w:val="22"/>
              </w:rPr>
              <w:t>4.2.3 Educational Stress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_Toc225734343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9</w:t>
            </w:r>
            <w:r w:rsidRPr="008F26E3">
              <w:rPr>
                <w:rFonts w:ascii="Arial" w:hAnsi="Arial" w:cs="Arial"/>
                <w:noProof/>
                <w:webHidden/>
                <w:sz w:val="22"/>
                <w:szCs w:val="22"/>
              </w:rPr>
              <w:fldChar w:fldCharType="end"/>
            </w:r>
          </w:hyperlink>
        </w:p>
        <w:p w14:paraId="3E1539CC" w14:textId="47F09934" w:rsidR="00F84BD0" w:rsidRPr="008F26E3" w:rsidRDefault="00F84BD0" w:rsidP="00F84BD0">
          <w:pPr>
            <w:pStyle w:val="TOC2"/>
            <w:tabs>
              <w:tab w:val="right" w:leader="dot" w:pos="9016"/>
            </w:tabs>
            <w:spacing w:line="360" w:lineRule="auto"/>
            <w:rPr>
              <w:rFonts w:ascii="Arial" w:hAnsi="Arial" w:cs="Arial"/>
              <w:noProof/>
              <w:sz w:val="22"/>
              <w:szCs w:val="22"/>
            </w:rPr>
          </w:pPr>
          <w:hyperlink w:anchor="_Toc225734344" w:history="1">
            <w:r w:rsidRPr="008F26E3">
              <w:rPr>
                <w:rStyle w:val="Hyperlink"/>
                <w:rFonts w:ascii="Arial" w:hAnsi="Arial" w:cs="Arial"/>
                <w:noProof/>
                <w:sz w:val="22"/>
                <w:szCs w:val="22"/>
              </w:rPr>
              <w:t>4.2.4 Psychological and Family Factors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_Toc225734344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10</w:t>
            </w:r>
            <w:r w:rsidRPr="008F26E3">
              <w:rPr>
                <w:rFonts w:ascii="Arial" w:hAnsi="Arial" w:cs="Arial"/>
                <w:noProof/>
                <w:webHidden/>
                <w:sz w:val="22"/>
                <w:szCs w:val="22"/>
              </w:rPr>
              <w:fldChar w:fldCharType="end"/>
            </w:r>
          </w:hyperlink>
        </w:p>
        <w:p w14:paraId="4F572525" w14:textId="4567B1E8"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45" w:history="1">
            <w:r w:rsidRPr="008F26E3">
              <w:rPr>
                <w:rStyle w:val="Hyperlink"/>
                <w:rFonts w:ascii="Arial" w:hAnsi="Arial" w:cs="Arial"/>
                <w:noProof/>
                <w:sz w:val="22"/>
                <w:szCs w:val="22"/>
              </w:rPr>
              <w:t>5. Discussion</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_Toc225734345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11</w:t>
            </w:r>
            <w:r w:rsidRPr="008F26E3">
              <w:rPr>
                <w:rFonts w:ascii="Arial" w:hAnsi="Arial" w:cs="Arial"/>
                <w:noProof/>
                <w:webHidden/>
                <w:sz w:val="22"/>
                <w:szCs w:val="22"/>
              </w:rPr>
              <w:fldChar w:fldCharType="end"/>
            </w:r>
          </w:hyperlink>
        </w:p>
        <w:p w14:paraId="5D38D4B5" w14:textId="6827DC61"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46" w:history="1">
            <w:r w:rsidRPr="008F26E3">
              <w:rPr>
                <w:rStyle w:val="Hyperlink"/>
                <w:rFonts w:ascii="Arial" w:hAnsi="Arial" w:cs="Arial"/>
                <w:noProof/>
                <w:sz w:val="22"/>
                <w:szCs w:val="22"/>
              </w:rPr>
              <w:t xml:space="preserve">6. </w:t>
            </w:r>
            <w:r w:rsidR="001D7E91">
              <w:rPr>
                <w:rStyle w:val="Hyperlink"/>
                <w:rFonts w:ascii="Arial" w:hAnsi="Arial" w:cs="Arial"/>
                <w:noProof/>
                <w:sz w:val="22"/>
                <w:szCs w:val="22"/>
              </w:rPr>
              <w:t>Recommendations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_Toc225734346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13</w:t>
            </w:r>
            <w:r w:rsidRPr="008F26E3">
              <w:rPr>
                <w:rFonts w:ascii="Arial" w:hAnsi="Arial" w:cs="Arial"/>
                <w:noProof/>
                <w:webHidden/>
                <w:sz w:val="22"/>
                <w:szCs w:val="22"/>
              </w:rPr>
              <w:fldChar w:fldCharType="end"/>
            </w:r>
          </w:hyperlink>
        </w:p>
        <w:p w14:paraId="6844FC8B" w14:textId="3F30888D"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47" w:history="1">
            <w:r w:rsidRPr="008F26E3">
              <w:rPr>
                <w:rStyle w:val="Hyperlink"/>
                <w:rFonts w:ascii="Arial" w:hAnsi="Arial" w:cs="Arial"/>
                <w:noProof/>
                <w:sz w:val="22"/>
                <w:szCs w:val="22"/>
              </w:rPr>
              <w:t xml:space="preserve">7. </w:t>
            </w:r>
            <w:r w:rsidR="001D7E91">
              <w:rPr>
                <w:rStyle w:val="Hyperlink"/>
                <w:rFonts w:ascii="Arial" w:hAnsi="Arial" w:cs="Arial"/>
                <w:noProof/>
                <w:sz w:val="22"/>
                <w:szCs w:val="22"/>
              </w:rPr>
              <w:t>Conclusion</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_Toc225734347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14</w:t>
            </w:r>
            <w:r w:rsidRPr="008F26E3">
              <w:rPr>
                <w:rFonts w:ascii="Arial" w:hAnsi="Arial" w:cs="Arial"/>
                <w:noProof/>
                <w:webHidden/>
                <w:sz w:val="22"/>
                <w:szCs w:val="22"/>
              </w:rPr>
              <w:fldChar w:fldCharType="end"/>
            </w:r>
          </w:hyperlink>
        </w:p>
        <w:p w14:paraId="399943B4" w14:textId="75432FE0" w:rsidR="00F84BD0" w:rsidRPr="008F26E3" w:rsidRDefault="00F84BD0" w:rsidP="00F84BD0">
          <w:pPr>
            <w:pStyle w:val="TOC1"/>
            <w:tabs>
              <w:tab w:val="right" w:leader="dot" w:pos="9016"/>
            </w:tabs>
            <w:spacing w:line="360" w:lineRule="auto"/>
            <w:rPr>
              <w:rFonts w:ascii="Arial" w:hAnsi="Arial" w:cs="Arial"/>
              <w:noProof/>
              <w:sz w:val="22"/>
              <w:szCs w:val="22"/>
            </w:rPr>
          </w:pPr>
          <w:hyperlink w:anchor="_Toc225734348" w:history="1">
            <w:r w:rsidRPr="008F26E3">
              <w:rPr>
                <w:rStyle w:val="Hyperlink"/>
                <w:rFonts w:ascii="Arial" w:hAnsi="Arial" w:cs="Arial"/>
                <w:noProof/>
                <w:sz w:val="22"/>
                <w:szCs w:val="22"/>
              </w:rPr>
              <w:t>References:</w:t>
            </w:r>
            <w:r w:rsidRPr="008F26E3">
              <w:rPr>
                <w:rFonts w:ascii="Arial" w:hAnsi="Arial" w:cs="Arial"/>
                <w:noProof/>
                <w:webHidden/>
                <w:sz w:val="22"/>
                <w:szCs w:val="22"/>
              </w:rPr>
              <w:tab/>
            </w:r>
            <w:r w:rsidRPr="008F26E3">
              <w:rPr>
                <w:rFonts w:ascii="Arial" w:hAnsi="Arial" w:cs="Arial"/>
                <w:noProof/>
                <w:webHidden/>
                <w:sz w:val="22"/>
                <w:szCs w:val="22"/>
              </w:rPr>
              <w:fldChar w:fldCharType="begin"/>
            </w:r>
            <w:r w:rsidRPr="008F26E3">
              <w:rPr>
                <w:rFonts w:ascii="Arial" w:hAnsi="Arial" w:cs="Arial"/>
                <w:noProof/>
                <w:webHidden/>
                <w:sz w:val="22"/>
                <w:szCs w:val="22"/>
              </w:rPr>
              <w:instrText xml:space="preserve"> PAGEREF _Toc225734348 \h </w:instrText>
            </w:r>
            <w:r w:rsidRPr="008F26E3">
              <w:rPr>
                <w:rFonts w:ascii="Arial" w:hAnsi="Arial" w:cs="Arial"/>
                <w:noProof/>
                <w:webHidden/>
                <w:sz w:val="22"/>
                <w:szCs w:val="22"/>
              </w:rPr>
            </w:r>
            <w:r w:rsidRPr="008F26E3">
              <w:rPr>
                <w:rFonts w:ascii="Arial" w:hAnsi="Arial" w:cs="Arial"/>
                <w:noProof/>
                <w:webHidden/>
                <w:sz w:val="22"/>
                <w:szCs w:val="22"/>
              </w:rPr>
              <w:fldChar w:fldCharType="separate"/>
            </w:r>
            <w:r w:rsidRPr="008F26E3">
              <w:rPr>
                <w:rFonts w:ascii="Arial" w:hAnsi="Arial" w:cs="Arial"/>
                <w:noProof/>
                <w:webHidden/>
                <w:sz w:val="22"/>
                <w:szCs w:val="22"/>
              </w:rPr>
              <w:t>16</w:t>
            </w:r>
            <w:r w:rsidRPr="008F26E3">
              <w:rPr>
                <w:rFonts w:ascii="Arial" w:hAnsi="Arial" w:cs="Arial"/>
                <w:noProof/>
                <w:webHidden/>
                <w:sz w:val="22"/>
                <w:szCs w:val="22"/>
              </w:rPr>
              <w:fldChar w:fldCharType="end"/>
            </w:r>
          </w:hyperlink>
        </w:p>
        <w:p w14:paraId="7C68E039" w14:textId="2D90AD58" w:rsidR="00F84BD0" w:rsidRPr="008F26E3" w:rsidRDefault="00F84BD0" w:rsidP="00F84BD0">
          <w:pPr>
            <w:spacing w:line="360" w:lineRule="auto"/>
            <w:rPr>
              <w:rFonts w:ascii="Arial" w:hAnsi="Arial" w:cs="Arial"/>
            </w:rPr>
          </w:pPr>
          <w:r w:rsidRPr="008F26E3">
            <w:rPr>
              <w:rFonts w:ascii="Arial" w:hAnsi="Arial" w:cs="Arial"/>
              <w:b/>
              <w:bCs/>
              <w:noProof/>
              <w:sz w:val="22"/>
              <w:szCs w:val="22"/>
            </w:rPr>
            <w:fldChar w:fldCharType="end"/>
          </w:r>
        </w:p>
      </w:sdtContent>
    </w:sdt>
    <w:p w14:paraId="19D28990" w14:textId="77777777" w:rsidR="00F84BD0" w:rsidRPr="0002757A" w:rsidRDefault="00F84BD0" w:rsidP="0002757A">
      <w:pPr>
        <w:spacing w:line="360" w:lineRule="auto"/>
        <w:jc w:val="both"/>
        <w:rPr>
          <w:rFonts w:ascii="Arial" w:eastAsiaTheme="majorEastAsia" w:hAnsi="Arial" w:cs="Arial"/>
          <w:sz w:val="22"/>
          <w:szCs w:val="22"/>
        </w:rPr>
      </w:pPr>
      <w:r w:rsidRPr="0002757A">
        <w:rPr>
          <w:rFonts w:ascii="Arial" w:hAnsi="Arial" w:cs="Arial"/>
          <w:sz w:val="22"/>
          <w:szCs w:val="22"/>
        </w:rPr>
        <w:br w:type="page"/>
      </w:r>
    </w:p>
    <w:p w14:paraId="131B3859" w14:textId="37963DED" w:rsidR="00400F77" w:rsidRPr="00B163E9" w:rsidRDefault="00400F77" w:rsidP="0002757A">
      <w:pPr>
        <w:pStyle w:val="Heading1"/>
        <w:spacing w:line="360" w:lineRule="auto"/>
        <w:jc w:val="both"/>
        <w:rPr>
          <w:rFonts w:ascii="Arial" w:hAnsi="Arial" w:cs="Arial"/>
          <w:b/>
          <w:bCs/>
          <w:color w:val="auto"/>
          <w:sz w:val="22"/>
          <w:szCs w:val="22"/>
        </w:rPr>
      </w:pPr>
      <w:bookmarkStart w:id="0" w:name="_Toc225734328"/>
      <w:r w:rsidRPr="00B163E9">
        <w:rPr>
          <w:rFonts w:ascii="Arial" w:hAnsi="Arial" w:cs="Arial"/>
          <w:b/>
          <w:bCs/>
          <w:color w:val="auto"/>
          <w:sz w:val="22"/>
          <w:szCs w:val="22"/>
        </w:rPr>
        <w:lastRenderedPageBreak/>
        <w:t>1. Introduction</w:t>
      </w:r>
      <w:bookmarkEnd w:id="0"/>
      <w:r w:rsidRPr="00B163E9">
        <w:rPr>
          <w:rFonts w:ascii="Arial" w:hAnsi="Arial" w:cs="Arial"/>
          <w:b/>
          <w:bCs/>
          <w:color w:val="auto"/>
          <w:sz w:val="22"/>
          <w:szCs w:val="22"/>
        </w:rPr>
        <w:t xml:space="preserve"> </w:t>
      </w:r>
    </w:p>
    <w:p w14:paraId="164D5B38"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Generalised Anxiety Disorder (GAD) is a common mental health condition characterised by persistent and excessive worry about everyday situations. People with GAD often experience constant feelings of nervousness, difficulty concentrating, irritability, sleep disturbances, and physical symptoms such as fatigue or muscle tension (American Psychiatric Association, 2022). Unlike normal worry, the anxiety experienced in GAD is intense, long-lasting, and can significantly affect a person’s daily functioning, including school performance, relationships, and emotional wellbeing (Bandelow and Michaelis, 2022).</w:t>
      </w:r>
    </w:p>
    <w:p w14:paraId="30B11F41"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Adolescence is an important developmental stage that typically occurs between the ages of 10 and 19 years. During this period, young people experience significant biological, psychological, and social changes as they transition from childhood to adulthood (Sawyer et al., 2020). These changes can make adolescents more vulnerable to mental health problems, particularly anxiety disorders. Adolescents often face pressures related to school performance, peer relationships, social media, and identity development, which can increase feelings of stress and worry (Loades et al., 2020). If these feelings become overwhelming and persistent, they may develop into anxiety disorders such as GAD.</w:t>
      </w:r>
    </w:p>
    <w:p w14:paraId="1608C507"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In the United Kingdom, mental health problems among children and young people have increased in recent years. National surveys indicate that approximately one in five young people in England experiences a probable mental health disorder, with anxiety disorders being among the most common conditions (NHS Digital, 2023). The rise in adolescent anxiety has become a growing concern for health professionals, educators, and policymakers because untreated anxiety can negatively affect educational achievement, social development, and long-term mental health outcomes (Creswell et al., 2021).</w:t>
      </w:r>
    </w:p>
    <w:p w14:paraId="697B4ACC"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Understanding GAD among teenagers in the UK is therefore important for improving early identification, prevention strategies, and access to appropriate mental health support services. Although there is increasing awareness of youth anxiety, research evidence regarding the prevalence, contributing factors, and service provision for adolescents with GAD remains fragmented. Conducting a scoping review can help to identify key research findings and highlight gaps in the existing literature.</w:t>
      </w:r>
    </w:p>
    <w:p w14:paraId="39F16939"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The review question guiding this research is: What does existing UK research reveal about the prevalence, associated factors, and research gaps relating to Generalised Anxiety Disorder among teenagers aged 13–18 years?</w:t>
      </w:r>
    </w:p>
    <w:p w14:paraId="7D5E85DF" w14:textId="77777777" w:rsidR="00400F77" w:rsidRPr="00B163E9" w:rsidRDefault="00400F77" w:rsidP="0002757A">
      <w:pPr>
        <w:spacing w:line="360" w:lineRule="auto"/>
        <w:jc w:val="both"/>
        <w:rPr>
          <w:rFonts w:ascii="Arial" w:hAnsi="Arial" w:cs="Arial"/>
          <w:sz w:val="22"/>
          <w:szCs w:val="22"/>
        </w:rPr>
      </w:pPr>
      <w:r w:rsidRPr="00B163E9">
        <w:rPr>
          <w:rFonts w:ascii="Arial" w:hAnsi="Arial" w:cs="Arial"/>
          <w:sz w:val="22"/>
          <w:szCs w:val="22"/>
        </w:rPr>
        <w:t xml:space="preserve">The aim of this study is to explore existing UK-based research evidence on GAD among adolescents. The objectives of the study are to summarise research reporting the prevalence </w:t>
      </w:r>
      <w:r w:rsidRPr="00B163E9">
        <w:rPr>
          <w:rFonts w:ascii="Arial" w:hAnsi="Arial" w:cs="Arial"/>
          <w:sz w:val="22"/>
          <w:szCs w:val="22"/>
        </w:rPr>
        <w:lastRenderedPageBreak/>
        <w:t>of GAD among teenagers, examine social, educational, and psychological factors associated with GAD, identify gaps within current research literature, and explore limitations within mental health services supporting adolescents experiencing anxiety.</w:t>
      </w:r>
    </w:p>
    <w:p w14:paraId="0224ADA2" w14:textId="6EF2B407" w:rsidR="00C25089" w:rsidRPr="00B163E9" w:rsidRDefault="00C25089" w:rsidP="0002757A">
      <w:pPr>
        <w:pStyle w:val="Heading1"/>
        <w:spacing w:line="360" w:lineRule="auto"/>
        <w:jc w:val="both"/>
        <w:rPr>
          <w:rFonts w:ascii="Arial" w:hAnsi="Arial" w:cs="Arial"/>
          <w:b/>
          <w:bCs/>
          <w:color w:val="auto"/>
          <w:sz w:val="22"/>
          <w:szCs w:val="22"/>
        </w:rPr>
      </w:pPr>
      <w:bookmarkStart w:id="1" w:name="_Toc225734329"/>
      <w:r w:rsidRPr="00B163E9">
        <w:rPr>
          <w:rFonts w:ascii="Arial" w:hAnsi="Arial" w:cs="Arial"/>
          <w:b/>
          <w:bCs/>
          <w:color w:val="auto"/>
          <w:sz w:val="22"/>
          <w:szCs w:val="22"/>
        </w:rPr>
        <w:t>2. Background</w:t>
      </w:r>
      <w:bookmarkEnd w:id="1"/>
      <w:r w:rsidRPr="00B163E9">
        <w:rPr>
          <w:rFonts w:ascii="Arial" w:hAnsi="Arial" w:cs="Arial"/>
          <w:b/>
          <w:bCs/>
          <w:color w:val="auto"/>
          <w:sz w:val="22"/>
          <w:szCs w:val="22"/>
        </w:rPr>
        <w:t xml:space="preserve"> </w:t>
      </w:r>
    </w:p>
    <w:p w14:paraId="5425CCCF"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 xml:space="preserve">Generalised Anxiety Disorder (GAD) and other anxiety disorders have become increasingly common among children and young people in the United Kingdom. Recent national surveys show that mental health difficulties among adolescents have risen significantly over the past decade. According to national data published by NHS Digital, approximately one in five children and young people aged 8–25 in England had a probable mental health disorder in 2023, demonstrating the scale of mental health challenges affecting young people (NHS Digital, 2023). Anxiety disorders are among the most frequently reported conditions in this age group and often begin during adolescence, a developmental period when individuals experience major emotional, cognitive, and social changes (Creswell, Waite and Hudson, 2021). </w:t>
      </w:r>
    </w:p>
    <w:p w14:paraId="492EFA71"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Several factors contribute to the rising prevalence of anxiety among teenagers in the UK. Adolescents face multiple social and educational pressures that may increase stress and emotional distress. For example, academic expectations, examinations, and competition for higher education opportunities can create significant pressure for young people. At the same time, social relationships, peer influence, and exposure to social media may contribute to feelings of comparison, isolation, and low self-esteem (Loades et al., 2020). Research has shown that social isolation and loneliness can have a negative impact on adolescent mental health, increasing the risk of anxiety and depression (Loades et al., 2020). These pressures can be particularly challenging during adolescence, when young people are developing their identity and coping skills.</w:t>
      </w:r>
    </w:p>
    <w:p w14:paraId="2A4A9858"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Anxiety disorders can also have a serious impact on education and overall wellbeing. Teenagers experiencing GAD may struggle with concentration, attendance, and academic performance due to constant worry and emotional distress. Anxiety may cause difficulties in social interaction, reduce confidence, and limit participation in school activities (Bandelow and Michaelis, 2022). In severe cases, young people may avoid school or withdraw from social situations altogether. If anxiety is not identified and treated early, it can continue into adulthood and lead to long-term mental health problems, affecting employment, relationships, and quality of life (Creswell, Waite and Hudson, 2021).</w:t>
      </w:r>
    </w:p>
    <w:p w14:paraId="0AC332E7"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 xml:space="preserve">The UK government and health organisations have introduced several policies and strategies to improve mental health support for children and young people. The National Health Service </w:t>
      </w:r>
      <w:r w:rsidRPr="00B163E9">
        <w:rPr>
          <w:rFonts w:ascii="Arial" w:hAnsi="Arial" w:cs="Arial"/>
          <w:sz w:val="22"/>
          <w:szCs w:val="22"/>
        </w:rPr>
        <w:lastRenderedPageBreak/>
        <w:t>(NHS) provides mental health services for adolescents through Child and Adolescent Mental Health Services (CAMHS), which offer assessment, diagnosis, and treatment for a range of mental health conditions, including anxiety disorders. CAMHS services include psychological therapies such as cognitive behavioural therapy (CBT), family support, and specialist interventions for young people experiencing severe mental health problems. These services are designed to provide early intervention and reduce the long-term impact of mental health conditions (NICE, 2024).</w:t>
      </w:r>
    </w:p>
    <w:p w14:paraId="7D846D9A"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Guidelines developed by the National Institute for Health and Care Excellence (NICE) provide evidence-based recommendations for the identification and treatment of anxiety disorders in children and young people. NICE guidance highlights the importance of early assessment, appropriate psychological interventions, and collaboration between healthcare providers, schools, and families in supporting adolescents with anxiety (NICE, 2024). These policies aim to improve access to mental health services and ensure that young people receive appropriate care.</w:t>
      </w:r>
    </w:p>
    <w:p w14:paraId="5C6DBB28"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Despite these initiatives, many adolescents in the UK continue to face challenges in accessing mental health support. Increasing numbers of young people are being referred to NHS mental health services for anxiety, and demand for services has grown rapidly in recent years. For example, recent reports indicate that more than 200,000 children and young people were referred to NHS services for anxiety in 2023–2024, demonstrating the rising demand for mental health care among adolescents (Children’s Commissioner, 2024). Long waiting times and limited resources within CAMHS services can make it difficult for young people to receive timely support.</w:t>
      </w:r>
    </w:p>
    <w:p w14:paraId="78B1E470" w14:textId="77777777" w:rsidR="00C25089" w:rsidRPr="00B163E9" w:rsidRDefault="00C25089" w:rsidP="0002757A">
      <w:pPr>
        <w:spacing w:line="360" w:lineRule="auto"/>
        <w:jc w:val="both"/>
        <w:rPr>
          <w:rFonts w:ascii="Arial" w:hAnsi="Arial" w:cs="Arial"/>
          <w:sz w:val="22"/>
          <w:szCs w:val="22"/>
        </w:rPr>
      </w:pPr>
      <w:r w:rsidRPr="00B163E9">
        <w:rPr>
          <w:rFonts w:ascii="Arial" w:hAnsi="Arial" w:cs="Arial"/>
          <w:sz w:val="22"/>
          <w:szCs w:val="22"/>
        </w:rPr>
        <w:t>Given the growing prevalence of anxiety disorders and the challenges associated with mental health service access, further research is needed to better understand GAD among teenagers in the UK. Research can help identify patterns in prevalence, contributing social and psychological factors, and gaps in service provision. Conducting a scoping review of existing studies will therefore provide a clearer overview of current knowledge and highlight areas where further research or policy development may be required to support adolescents experiencing anxiety.</w:t>
      </w:r>
    </w:p>
    <w:p w14:paraId="68002A9B" w14:textId="5D858B06" w:rsidR="00A1751D" w:rsidRPr="00B163E9" w:rsidRDefault="00A1751D" w:rsidP="0002757A">
      <w:pPr>
        <w:pStyle w:val="Heading1"/>
        <w:spacing w:line="360" w:lineRule="auto"/>
        <w:jc w:val="both"/>
        <w:rPr>
          <w:rFonts w:ascii="Arial" w:hAnsi="Arial" w:cs="Arial"/>
          <w:b/>
          <w:bCs/>
          <w:color w:val="auto"/>
          <w:sz w:val="22"/>
          <w:szCs w:val="22"/>
        </w:rPr>
      </w:pPr>
      <w:bookmarkStart w:id="2" w:name="_Toc225734330"/>
      <w:r w:rsidRPr="00B163E9">
        <w:rPr>
          <w:rFonts w:ascii="Arial" w:hAnsi="Arial" w:cs="Arial"/>
          <w:b/>
          <w:bCs/>
          <w:color w:val="auto"/>
          <w:sz w:val="22"/>
          <w:szCs w:val="22"/>
        </w:rPr>
        <w:t>3. Methods (Scoping Review Methodology)</w:t>
      </w:r>
      <w:bookmarkEnd w:id="2"/>
      <w:r w:rsidRPr="00B163E9">
        <w:rPr>
          <w:rFonts w:ascii="Arial" w:hAnsi="Arial" w:cs="Arial"/>
          <w:b/>
          <w:bCs/>
          <w:color w:val="auto"/>
          <w:sz w:val="22"/>
          <w:szCs w:val="22"/>
        </w:rPr>
        <w:t xml:space="preserve"> </w:t>
      </w:r>
    </w:p>
    <w:p w14:paraId="696F61E9"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3" w:name="_Toc225734331"/>
      <w:r w:rsidRPr="00B163E9">
        <w:rPr>
          <w:rFonts w:ascii="Arial" w:hAnsi="Arial" w:cs="Arial"/>
          <w:b/>
          <w:bCs/>
          <w:color w:val="auto"/>
          <w:sz w:val="22"/>
          <w:szCs w:val="22"/>
        </w:rPr>
        <w:t>3.1 Research Design</w:t>
      </w:r>
      <w:bookmarkEnd w:id="3"/>
    </w:p>
    <w:p w14:paraId="710C0D2B" w14:textId="74AA85D9"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 xml:space="preserve">This study used a scoping review methodology to explore existing research on Generalised Anxiety Disorder (GAD) among teenagers in the United Kingdom. A scoping review is a research method used to identify and summarise available evidence on a specific topic and to </w:t>
      </w:r>
      <w:r w:rsidRPr="00B163E9">
        <w:rPr>
          <w:rFonts w:ascii="Arial" w:hAnsi="Arial" w:cs="Arial"/>
          <w:sz w:val="22"/>
          <w:szCs w:val="22"/>
        </w:rPr>
        <w:lastRenderedPageBreak/>
        <w:t xml:space="preserve">highlight research gaps within the literature (Munn et al., 2022). </w:t>
      </w:r>
      <w:r w:rsidR="0014015F" w:rsidRPr="00B163E9">
        <w:rPr>
          <w:rFonts w:ascii="Arial" w:hAnsi="Arial" w:cs="Arial"/>
          <w:sz w:val="22"/>
          <w:szCs w:val="22"/>
        </w:rPr>
        <w:t>Unlike systematic reviews, which usually focus on evaluating the effectiveness of interventions, scoping reviews aim to provide a broad overview of research findings and identify key themes across studies (Rodger, 2024). This approach was appropriate for this study because the aim was to explore the prevalence of GAD, identify associated factors, and examine research gaps relating to adolescents in the UK.</w:t>
      </w:r>
    </w:p>
    <w:p w14:paraId="76622F8A"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4" w:name="_Toc225734332"/>
      <w:r w:rsidRPr="00B163E9">
        <w:rPr>
          <w:rFonts w:ascii="Arial" w:hAnsi="Arial" w:cs="Arial"/>
          <w:b/>
          <w:bCs/>
          <w:color w:val="auto"/>
          <w:sz w:val="22"/>
          <w:szCs w:val="22"/>
        </w:rPr>
        <w:t>3.2 Scoping Review Framework</w:t>
      </w:r>
      <w:bookmarkEnd w:id="4"/>
    </w:p>
    <w:p w14:paraId="2FC6CA54"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The study followed the Arksey and O’Malley framework, which is widely used in health and social care research for conducting scoping reviews. This framework includes five main stages: identifying the research question, identifying relevant studies, selecting studies, charting the data, and summarising the findings (Arksey and O’Malley, 2005; Peters et al., 2020). Following this framework helped ensure that the research process was systematic and transparent.</w:t>
      </w:r>
    </w:p>
    <w:p w14:paraId="784CC277"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5" w:name="_Toc225734333"/>
      <w:r w:rsidRPr="00B163E9">
        <w:rPr>
          <w:rFonts w:ascii="Arial" w:hAnsi="Arial" w:cs="Arial"/>
          <w:b/>
          <w:bCs/>
          <w:color w:val="auto"/>
          <w:sz w:val="22"/>
          <w:szCs w:val="22"/>
        </w:rPr>
        <w:t>3.3 Search Strategy and Databases</w:t>
      </w:r>
      <w:bookmarkEnd w:id="5"/>
    </w:p>
    <w:p w14:paraId="33CD5A26"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To identify relevant studies, several electronic databases were searched. These included PubMed, PsycINFO, Google Scholar, and the UWTSD online library. These databases provide access to a wide range of academic journal articles related to mental health, psychology, and healthcare research. The search strategy used combinations of keywords such as “generalised anxiety disorder,” “adolescents,” “teenagers,” “youth mental health,” and “United Kingdom.” Using multiple databases increased the likelihood of identifying reliable and relevant research articles.</w:t>
      </w:r>
    </w:p>
    <w:p w14:paraId="680834A6"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6" w:name="_Toc225734334"/>
      <w:r w:rsidRPr="00B163E9">
        <w:rPr>
          <w:rFonts w:ascii="Arial" w:hAnsi="Arial" w:cs="Arial"/>
          <w:b/>
          <w:bCs/>
          <w:color w:val="auto"/>
          <w:sz w:val="22"/>
          <w:szCs w:val="22"/>
        </w:rPr>
        <w:t>3.4 Inclusion and Exclusion Criteria</w:t>
      </w:r>
      <w:bookmarkEnd w:id="6"/>
    </w:p>
    <w:p w14:paraId="1DD8C422"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Clear inclusion and exclusion criteria were applied to ensure that the selected studies were relevant to the research topic. The inclusion criteria consisted of peer-reviewed journal articles focusing on adolescents aged 13–18 years, conducted within the United Kingdom, and published between 2014 and 2025. These criteria ensured that the studies reflected current research and focused on the appropriate population.</w:t>
      </w:r>
    </w:p>
    <w:p w14:paraId="1FE9218C"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Studies were excluded if they were conducted outside the UK, focused on adults rather than adolescents, or consisted of opinion articles, editorials, or commentary papers. Only empirical research studies were included in the final review.</w:t>
      </w:r>
    </w:p>
    <w:p w14:paraId="4DB8BF7E"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7" w:name="_Toc225734335"/>
      <w:r w:rsidRPr="00B163E9">
        <w:rPr>
          <w:rFonts w:ascii="Arial" w:hAnsi="Arial" w:cs="Arial"/>
          <w:b/>
          <w:bCs/>
          <w:color w:val="auto"/>
          <w:sz w:val="22"/>
          <w:szCs w:val="22"/>
        </w:rPr>
        <w:t>3.5 Data Extraction</w:t>
      </w:r>
      <w:bookmarkEnd w:id="7"/>
    </w:p>
    <w:p w14:paraId="43971120" w14:textId="2963DD3C" w:rsidR="00A1751D" w:rsidRPr="00B163E9" w:rsidRDefault="009001F8" w:rsidP="0002757A">
      <w:pPr>
        <w:spacing w:line="360" w:lineRule="auto"/>
        <w:jc w:val="both"/>
        <w:rPr>
          <w:rFonts w:ascii="Arial" w:hAnsi="Arial" w:cs="Arial"/>
          <w:sz w:val="22"/>
          <w:szCs w:val="22"/>
        </w:rPr>
      </w:pPr>
      <w:r w:rsidRPr="00B163E9">
        <w:rPr>
          <w:rFonts w:ascii="Arial" w:hAnsi="Arial" w:cs="Arial"/>
          <w:sz w:val="22"/>
          <w:szCs w:val="22"/>
        </w:rPr>
        <w:t xml:space="preserve">After selecting relevant studies, data extraction was conducted to organise the key information from each article. Important details were recorded in a summary table, including the author, year of publication, research design, study population, and main findings. This process helped </w:t>
      </w:r>
      <w:r w:rsidRPr="00B163E9">
        <w:rPr>
          <w:rFonts w:ascii="Arial" w:hAnsi="Arial" w:cs="Arial"/>
          <w:sz w:val="22"/>
          <w:szCs w:val="22"/>
        </w:rPr>
        <w:lastRenderedPageBreak/>
        <w:t>to compare findings across studies and supported the identification of key themes (</w:t>
      </w:r>
      <w:proofErr w:type="spellStart"/>
      <w:r w:rsidRPr="00B163E9">
        <w:rPr>
          <w:rFonts w:ascii="Arial" w:hAnsi="Arial" w:cs="Arial"/>
          <w:sz w:val="22"/>
          <w:szCs w:val="22"/>
        </w:rPr>
        <w:t>Aromataris</w:t>
      </w:r>
      <w:proofErr w:type="spellEnd"/>
      <w:r w:rsidRPr="00B163E9">
        <w:rPr>
          <w:rFonts w:ascii="Arial" w:hAnsi="Arial" w:cs="Arial"/>
          <w:sz w:val="22"/>
          <w:szCs w:val="22"/>
        </w:rPr>
        <w:t xml:space="preserve"> and Munn, 2020; Page et al., 2021). Systematic organisation of extracted data is widely recommended in literature reviews because it improves transparency and allows researchers to clearly identify patterns, similarities, and differences between studies (Booth, Sutton and Papaioannou, 2021; Haddaway et al., 2020).</w:t>
      </w:r>
    </w:p>
    <w:p w14:paraId="1578D5FD"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8" w:name="_Toc225734336"/>
      <w:r w:rsidRPr="00B163E9">
        <w:rPr>
          <w:rFonts w:ascii="Arial" w:hAnsi="Arial" w:cs="Arial"/>
          <w:b/>
          <w:bCs/>
          <w:color w:val="auto"/>
          <w:sz w:val="22"/>
          <w:szCs w:val="22"/>
        </w:rPr>
        <w:t>3.6 Data Analysis</w:t>
      </w:r>
      <w:bookmarkEnd w:id="8"/>
    </w:p>
    <w:p w14:paraId="57B60AD3"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The selected studies were analysed using thematic analysis, which involves identifying patterns and recurring ideas across research findings (Aveyard, 2021). Each study was carefully reviewed, and similar findings were grouped together to form themes. Themes identified within this review included the prevalence of anxiety among adolescents, social and educational pressures contributing to anxiety, and challenges in accessing mental health services.</w:t>
      </w:r>
    </w:p>
    <w:p w14:paraId="7DCA182A" w14:textId="77777777" w:rsidR="00A1751D" w:rsidRPr="00B163E9" w:rsidRDefault="00A1751D" w:rsidP="0002757A">
      <w:pPr>
        <w:pStyle w:val="Heading2"/>
        <w:spacing w:line="360" w:lineRule="auto"/>
        <w:jc w:val="both"/>
        <w:rPr>
          <w:rFonts w:ascii="Arial" w:hAnsi="Arial" w:cs="Arial"/>
          <w:b/>
          <w:bCs/>
          <w:color w:val="auto"/>
          <w:sz w:val="22"/>
          <w:szCs w:val="22"/>
        </w:rPr>
      </w:pPr>
      <w:bookmarkStart w:id="9" w:name="_Toc225734337"/>
      <w:r w:rsidRPr="00B163E9">
        <w:rPr>
          <w:rFonts w:ascii="Arial" w:hAnsi="Arial" w:cs="Arial"/>
          <w:b/>
          <w:bCs/>
          <w:color w:val="auto"/>
          <w:sz w:val="22"/>
          <w:szCs w:val="22"/>
        </w:rPr>
        <w:t>3.7 Ethical Considerations</w:t>
      </w:r>
      <w:bookmarkEnd w:id="9"/>
    </w:p>
    <w:p w14:paraId="4D0E0974" w14:textId="77777777" w:rsidR="00A1751D" w:rsidRPr="00B163E9" w:rsidRDefault="00A1751D" w:rsidP="0002757A">
      <w:pPr>
        <w:spacing w:line="360" w:lineRule="auto"/>
        <w:jc w:val="both"/>
        <w:rPr>
          <w:rFonts w:ascii="Arial" w:hAnsi="Arial" w:cs="Arial"/>
          <w:sz w:val="22"/>
          <w:szCs w:val="22"/>
        </w:rPr>
      </w:pPr>
      <w:r w:rsidRPr="00B163E9">
        <w:rPr>
          <w:rFonts w:ascii="Arial" w:hAnsi="Arial" w:cs="Arial"/>
          <w:sz w:val="22"/>
          <w:szCs w:val="22"/>
        </w:rPr>
        <w:t xml:space="preserve">Ethical considerations were </w:t>
      </w:r>
      <w:proofErr w:type="gramStart"/>
      <w:r w:rsidRPr="00B163E9">
        <w:rPr>
          <w:rFonts w:ascii="Arial" w:hAnsi="Arial" w:cs="Arial"/>
          <w:sz w:val="22"/>
          <w:szCs w:val="22"/>
        </w:rPr>
        <w:t>taken into account</w:t>
      </w:r>
      <w:proofErr w:type="gramEnd"/>
      <w:r w:rsidRPr="00B163E9">
        <w:rPr>
          <w:rFonts w:ascii="Arial" w:hAnsi="Arial" w:cs="Arial"/>
          <w:sz w:val="22"/>
          <w:szCs w:val="22"/>
        </w:rPr>
        <w:t xml:space="preserve"> throughout the research process. This study involved secondary analysis of existing literature and did not include direct data collection from participants. Therefore, formal ethical approval was not required. However, ethical principles such as academic integrity, transparency, and accurate referencing were maintained. All sources used in the study were properly cited to acknowledge the work of other researchers (British Psychological Society, 2021).</w:t>
      </w:r>
    </w:p>
    <w:p w14:paraId="5DF73D93" w14:textId="7177050C" w:rsidR="00EA7671" w:rsidRPr="00B163E9" w:rsidRDefault="00EA7671" w:rsidP="0002757A">
      <w:pPr>
        <w:pStyle w:val="Heading1"/>
        <w:spacing w:line="360" w:lineRule="auto"/>
        <w:jc w:val="both"/>
        <w:rPr>
          <w:rFonts w:ascii="Arial" w:hAnsi="Arial" w:cs="Arial"/>
          <w:b/>
          <w:bCs/>
          <w:color w:val="auto"/>
          <w:sz w:val="22"/>
          <w:szCs w:val="22"/>
        </w:rPr>
      </w:pPr>
      <w:bookmarkStart w:id="10" w:name="_Toc225734338"/>
      <w:r w:rsidRPr="00B163E9">
        <w:rPr>
          <w:rFonts w:ascii="Arial" w:hAnsi="Arial" w:cs="Arial"/>
          <w:b/>
          <w:bCs/>
          <w:color w:val="auto"/>
          <w:sz w:val="22"/>
          <w:szCs w:val="22"/>
        </w:rPr>
        <w:t>4. Results – Scoping Review Findings</w:t>
      </w:r>
      <w:bookmarkEnd w:id="10"/>
      <w:r w:rsidRPr="00B163E9">
        <w:rPr>
          <w:rFonts w:ascii="Arial" w:hAnsi="Arial" w:cs="Arial"/>
          <w:b/>
          <w:bCs/>
          <w:color w:val="auto"/>
          <w:sz w:val="22"/>
          <w:szCs w:val="22"/>
        </w:rPr>
        <w:t xml:space="preserve"> </w:t>
      </w:r>
    </w:p>
    <w:p w14:paraId="71020871"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This section presents the findings from the scoping review of peer-reviewed research examining Generalised Anxiety Disorder (GAD) and anxiety among teenagers in the United Kingdom. Five relevant studies were selected based on the inclusion criteria described in the methods section. These studies explored anxiety prevalence, contributing factors, and experiences of adolescents in the UK. The results were organised using thematic analysis, which allowed patterns and recurring themes across the studies to be identified (Aveyard, 2021).</w:t>
      </w:r>
    </w:p>
    <w:p w14:paraId="760AC14C"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1" w:name="_Toc225734339"/>
      <w:r w:rsidRPr="00B163E9">
        <w:rPr>
          <w:rFonts w:ascii="Arial" w:hAnsi="Arial" w:cs="Arial"/>
          <w:b/>
          <w:bCs/>
          <w:color w:val="auto"/>
          <w:sz w:val="22"/>
          <w:szCs w:val="22"/>
        </w:rPr>
        <w:t>4.1 Summary of Selected Studies</w:t>
      </w:r>
      <w:bookmarkEnd w:id="11"/>
    </w:p>
    <w:p w14:paraId="15A67055"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The key characteristics of the selected studies are summarised in Table 1.</w:t>
      </w:r>
    </w:p>
    <w:p w14:paraId="3F9F13D7" w14:textId="1AC41A22" w:rsidR="00A53A9A" w:rsidRPr="00B163E9" w:rsidRDefault="00A53A9A" w:rsidP="0002757A">
      <w:pPr>
        <w:pStyle w:val="Caption"/>
        <w:keepNext/>
        <w:spacing w:line="360" w:lineRule="auto"/>
        <w:jc w:val="both"/>
        <w:rPr>
          <w:rFonts w:ascii="Arial" w:hAnsi="Arial" w:cs="Arial"/>
          <w:sz w:val="22"/>
          <w:szCs w:val="22"/>
        </w:rPr>
      </w:pPr>
      <w:r w:rsidRPr="00B163E9">
        <w:rPr>
          <w:rFonts w:ascii="Arial" w:hAnsi="Arial" w:cs="Arial"/>
          <w:sz w:val="22"/>
          <w:szCs w:val="22"/>
        </w:rPr>
        <w:t xml:space="preserve">Table </w:t>
      </w:r>
      <w:r w:rsidRPr="00B163E9">
        <w:rPr>
          <w:rFonts w:ascii="Arial" w:hAnsi="Arial" w:cs="Arial"/>
          <w:sz w:val="22"/>
          <w:szCs w:val="22"/>
        </w:rPr>
        <w:fldChar w:fldCharType="begin"/>
      </w:r>
      <w:r w:rsidRPr="00B163E9">
        <w:rPr>
          <w:rFonts w:ascii="Arial" w:hAnsi="Arial" w:cs="Arial"/>
          <w:sz w:val="22"/>
          <w:szCs w:val="22"/>
        </w:rPr>
        <w:instrText xml:space="preserve"> SEQ Table \* ARABIC </w:instrText>
      </w:r>
      <w:r w:rsidRPr="00B163E9">
        <w:rPr>
          <w:rFonts w:ascii="Arial" w:hAnsi="Arial" w:cs="Arial"/>
          <w:sz w:val="22"/>
          <w:szCs w:val="22"/>
        </w:rPr>
        <w:fldChar w:fldCharType="separate"/>
      </w:r>
      <w:r w:rsidRPr="00B163E9">
        <w:rPr>
          <w:rFonts w:ascii="Arial" w:hAnsi="Arial" w:cs="Arial"/>
          <w:noProof/>
          <w:sz w:val="22"/>
          <w:szCs w:val="22"/>
        </w:rPr>
        <w:t>1</w:t>
      </w:r>
      <w:r w:rsidRPr="00B163E9">
        <w:rPr>
          <w:rFonts w:ascii="Arial" w:hAnsi="Arial" w:cs="Arial"/>
          <w:sz w:val="22"/>
          <w:szCs w:val="22"/>
        </w:rPr>
        <w:fldChar w:fldCharType="end"/>
      </w:r>
      <w:r w:rsidRPr="00B163E9">
        <w:rPr>
          <w:rFonts w:ascii="Arial" w:hAnsi="Arial" w:cs="Arial"/>
          <w:sz w:val="22"/>
          <w:szCs w:val="22"/>
        </w:rPr>
        <w:t>:Summary of Selected Studies Included in the Scoping Review</w:t>
      </w:r>
    </w:p>
    <w:p w14:paraId="24BEDA73" w14:textId="77777777" w:rsidR="0002757A" w:rsidRDefault="0002757A" w:rsidP="0002757A">
      <w:pPr>
        <w:rPr>
          <w:rFonts w:ascii="Arial" w:hAnsi="Arial" w:cs="Arial"/>
          <w:sz w:val="22"/>
          <w:szCs w:val="22"/>
        </w:rPr>
      </w:pPr>
    </w:p>
    <w:p w14:paraId="6607D5D7" w14:textId="77777777" w:rsidR="00B163E9" w:rsidRPr="00B163E9" w:rsidRDefault="00B163E9" w:rsidP="0002757A">
      <w:pPr>
        <w:rPr>
          <w:rFonts w:ascii="Arial" w:hAnsi="Arial" w:cs="Arial"/>
          <w:sz w:val="22"/>
          <w:szCs w:val="22"/>
        </w:rPr>
      </w:pPr>
    </w:p>
    <w:tbl>
      <w:tblPr>
        <w:tblStyle w:val="GridTable5Dark-Accent2"/>
        <w:tblW w:w="0" w:type="auto"/>
        <w:tblLook w:val="04A0" w:firstRow="1" w:lastRow="0" w:firstColumn="1" w:lastColumn="0" w:noHBand="0" w:noVBand="1"/>
      </w:tblPr>
      <w:tblGrid>
        <w:gridCol w:w="1289"/>
        <w:gridCol w:w="706"/>
        <w:gridCol w:w="1500"/>
        <w:gridCol w:w="1573"/>
        <w:gridCol w:w="2171"/>
        <w:gridCol w:w="1777"/>
      </w:tblGrid>
      <w:tr w:rsidR="00EC4B2A" w:rsidRPr="00B163E9" w14:paraId="71CF6C9A" w14:textId="77777777" w:rsidTr="00EC4B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C2072" w14:textId="77777777" w:rsidR="00EC4B2A" w:rsidRPr="00B163E9" w:rsidRDefault="00EC4B2A" w:rsidP="0002757A">
            <w:pPr>
              <w:spacing w:after="160" w:line="360" w:lineRule="auto"/>
              <w:jc w:val="both"/>
              <w:rPr>
                <w:rFonts w:ascii="Arial" w:hAnsi="Arial" w:cs="Arial"/>
                <w:sz w:val="22"/>
                <w:szCs w:val="22"/>
              </w:rPr>
            </w:pPr>
            <w:r w:rsidRPr="00B163E9">
              <w:rPr>
                <w:rFonts w:ascii="Arial" w:hAnsi="Arial" w:cs="Arial"/>
                <w:sz w:val="22"/>
                <w:szCs w:val="22"/>
              </w:rPr>
              <w:lastRenderedPageBreak/>
              <w:t>Author</w:t>
            </w:r>
          </w:p>
        </w:tc>
        <w:tc>
          <w:tcPr>
            <w:tcW w:w="0" w:type="auto"/>
            <w:hideMark/>
          </w:tcPr>
          <w:p w14:paraId="3E45A4D5" w14:textId="77777777" w:rsidR="00EC4B2A" w:rsidRPr="00B163E9" w:rsidRDefault="00EC4B2A" w:rsidP="0002757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Year</w:t>
            </w:r>
          </w:p>
        </w:tc>
        <w:tc>
          <w:tcPr>
            <w:tcW w:w="0" w:type="auto"/>
            <w:hideMark/>
          </w:tcPr>
          <w:p w14:paraId="10D15D1E" w14:textId="77777777" w:rsidR="00EC4B2A" w:rsidRPr="00B163E9" w:rsidRDefault="00EC4B2A" w:rsidP="0002757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Study Type</w:t>
            </w:r>
          </w:p>
        </w:tc>
        <w:tc>
          <w:tcPr>
            <w:tcW w:w="0" w:type="auto"/>
            <w:hideMark/>
          </w:tcPr>
          <w:p w14:paraId="4AEE044A" w14:textId="77777777" w:rsidR="00EC4B2A" w:rsidRPr="00B163E9" w:rsidRDefault="00EC4B2A" w:rsidP="0002757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Sample</w:t>
            </w:r>
          </w:p>
        </w:tc>
        <w:tc>
          <w:tcPr>
            <w:tcW w:w="0" w:type="auto"/>
            <w:hideMark/>
          </w:tcPr>
          <w:p w14:paraId="28277429" w14:textId="77777777" w:rsidR="00EC4B2A" w:rsidRPr="00B163E9" w:rsidRDefault="00EC4B2A" w:rsidP="0002757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Key Findings</w:t>
            </w:r>
          </w:p>
        </w:tc>
        <w:tc>
          <w:tcPr>
            <w:tcW w:w="0" w:type="auto"/>
            <w:hideMark/>
          </w:tcPr>
          <w:p w14:paraId="0CA0043E" w14:textId="77777777" w:rsidR="00EC4B2A" w:rsidRPr="00B163E9" w:rsidRDefault="00EC4B2A" w:rsidP="0002757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Theme</w:t>
            </w:r>
          </w:p>
        </w:tc>
      </w:tr>
      <w:tr w:rsidR="00EC4B2A" w:rsidRPr="00B163E9" w14:paraId="28866AC2" w14:textId="77777777" w:rsidTr="00EC4B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644FC" w14:textId="77777777" w:rsidR="00EC4B2A" w:rsidRPr="00B163E9" w:rsidRDefault="00EC4B2A" w:rsidP="0002757A">
            <w:pPr>
              <w:spacing w:after="160" w:line="360" w:lineRule="auto"/>
              <w:jc w:val="both"/>
              <w:rPr>
                <w:rFonts w:ascii="Arial" w:hAnsi="Arial" w:cs="Arial"/>
                <w:sz w:val="22"/>
                <w:szCs w:val="22"/>
              </w:rPr>
            </w:pPr>
            <w:r w:rsidRPr="00B163E9">
              <w:rPr>
                <w:rFonts w:ascii="Arial" w:hAnsi="Arial" w:cs="Arial"/>
                <w:sz w:val="22"/>
                <w:szCs w:val="22"/>
              </w:rPr>
              <w:t>Creswell et al.</w:t>
            </w:r>
          </w:p>
        </w:tc>
        <w:tc>
          <w:tcPr>
            <w:tcW w:w="0" w:type="auto"/>
            <w:hideMark/>
          </w:tcPr>
          <w:p w14:paraId="631146E5"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2021</w:t>
            </w:r>
          </w:p>
        </w:tc>
        <w:tc>
          <w:tcPr>
            <w:tcW w:w="0" w:type="auto"/>
            <w:hideMark/>
          </w:tcPr>
          <w:p w14:paraId="28D9A6BE"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Review</w:t>
            </w:r>
          </w:p>
        </w:tc>
        <w:tc>
          <w:tcPr>
            <w:tcW w:w="0" w:type="auto"/>
            <w:hideMark/>
          </w:tcPr>
          <w:p w14:paraId="40DEA1E9"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UK adolescents</w:t>
            </w:r>
          </w:p>
        </w:tc>
        <w:tc>
          <w:tcPr>
            <w:tcW w:w="0" w:type="auto"/>
            <w:hideMark/>
          </w:tcPr>
          <w:p w14:paraId="37F64E26"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Anxiety common in adolescence</w:t>
            </w:r>
          </w:p>
        </w:tc>
        <w:tc>
          <w:tcPr>
            <w:tcW w:w="0" w:type="auto"/>
            <w:hideMark/>
          </w:tcPr>
          <w:p w14:paraId="7F20CDDC"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Prevalence</w:t>
            </w:r>
          </w:p>
        </w:tc>
      </w:tr>
      <w:tr w:rsidR="00EC4B2A" w:rsidRPr="00B163E9" w14:paraId="63D56AE0" w14:textId="77777777" w:rsidTr="00EC4B2A">
        <w:tc>
          <w:tcPr>
            <w:cnfStyle w:val="001000000000" w:firstRow="0" w:lastRow="0" w:firstColumn="1" w:lastColumn="0" w:oddVBand="0" w:evenVBand="0" w:oddHBand="0" w:evenHBand="0" w:firstRowFirstColumn="0" w:firstRowLastColumn="0" w:lastRowFirstColumn="0" w:lastRowLastColumn="0"/>
            <w:tcW w:w="0" w:type="auto"/>
            <w:hideMark/>
          </w:tcPr>
          <w:p w14:paraId="47BA5570" w14:textId="77777777" w:rsidR="00EC4B2A" w:rsidRPr="00B163E9" w:rsidRDefault="00EC4B2A" w:rsidP="0002757A">
            <w:pPr>
              <w:spacing w:after="160" w:line="360" w:lineRule="auto"/>
              <w:jc w:val="both"/>
              <w:rPr>
                <w:rFonts w:ascii="Arial" w:hAnsi="Arial" w:cs="Arial"/>
                <w:sz w:val="22"/>
                <w:szCs w:val="22"/>
              </w:rPr>
            </w:pPr>
            <w:r w:rsidRPr="00B163E9">
              <w:rPr>
                <w:rFonts w:ascii="Arial" w:hAnsi="Arial" w:cs="Arial"/>
                <w:sz w:val="22"/>
                <w:szCs w:val="22"/>
              </w:rPr>
              <w:t>Loades et al.</w:t>
            </w:r>
          </w:p>
        </w:tc>
        <w:tc>
          <w:tcPr>
            <w:tcW w:w="0" w:type="auto"/>
            <w:hideMark/>
          </w:tcPr>
          <w:p w14:paraId="526C9608"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2020</w:t>
            </w:r>
          </w:p>
        </w:tc>
        <w:tc>
          <w:tcPr>
            <w:tcW w:w="0" w:type="auto"/>
            <w:hideMark/>
          </w:tcPr>
          <w:p w14:paraId="2AC4A3C6"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Systematic review</w:t>
            </w:r>
          </w:p>
        </w:tc>
        <w:tc>
          <w:tcPr>
            <w:tcW w:w="0" w:type="auto"/>
            <w:hideMark/>
          </w:tcPr>
          <w:p w14:paraId="54CBA7DD"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63 studies</w:t>
            </w:r>
          </w:p>
        </w:tc>
        <w:tc>
          <w:tcPr>
            <w:tcW w:w="0" w:type="auto"/>
            <w:hideMark/>
          </w:tcPr>
          <w:p w14:paraId="23F3A752"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Social isolation increases anxiety</w:t>
            </w:r>
          </w:p>
        </w:tc>
        <w:tc>
          <w:tcPr>
            <w:tcW w:w="0" w:type="auto"/>
            <w:hideMark/>
          </w:tcPr>
          <w:p w14:paraId="5566CD0E"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Social factors</w:t>
            </w:r>
          </w:p>
        </w:tc>
      </w:tr>
      <w:tr w:rsidR="00EC4B2A" w:rsidRPr="00B163E9" w14:paraId="3764B5ED" w14:textId="77777777" w:rsidTr="00EC4B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1F695" w14:textId="77777777" w:rsidR="00EC4B2A" w:rsidRPr="00B163E9" w:rsidRDefault="00EC4B2A" w:rsidP="0002757A">
            <w:pPr>
              <w:spacing w:after="160" w:line="360" w:lineRule="auto"/>
              <w:jc w:val="both"/>
              <w:rPr>
                <w:rFonts w:ascii="Arial" w:hAnsi="Arial" w:cs="Arial"/>
                <w:sz w:val="22"/>
                <w:szCs w:val="22"/>
              </w:rPr>
            </w:pPr>
            <w:proofErr w:type="spellStart"/>
            <w:r w:rsidRPr="00B163E9">
              <w:rPr>
                <w:rFonts w:ascii="Arial" w:hAnsi="Arial" w:cs="Arial"/>
                <w:sz w:val="22"/>
                <w:szCs w:val="22"/>
              </w:rPr>
              <w:t>Steare</w:t>
            </w:r>
            <w:proofErr w:type="spellEnd"/>
            <w:r w:rsidRPr="00B163E9">
              <w:rPr>
                <w:rFonts w:ascii="Arial" w:hAnsi="Arial" w:cs="Arial"/>
                <w:sz w:val="22"/>
                <w:szCs w:val="22"/>
              </w:rPr>
              <w:t xml:space="preserve"> et al.</w:t>
            </w:r>
          </w:p>
        </w:tc>
        <w:tc>
          <w:tcPr>
            <w:tcW w:w="0" w:type="auto"/>
            <w:hideMark/>
          </w:tcPr>
          <w:p w14:paraId="680D787C"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2023</w:t>
            </w:r>
          </w:p>
        </w:tc>
        <w:tc>
          <w:tcPr>
            <w:tcW w:w="0" w:type="auto"/>
            <w:hideMark/>
          </w:tcPr>
          <w:p w14:paraId="67D41C63"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Cross-sectional</w:t>
            </w:r>
          </w:p>
        </w:tc>
        <w:tc>
          <w:tcPr>
            <w:tcW w:w="0" w:type="auto"/>
            <w:hideMark/>
          </w:tcPr>
          <w:p w14:paraId="4F51FF05"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1,200 adolescents</w:t>
            </w:r>
          </w:p>
        </w:tc>
        <w:tc>
          <w:tcPr>
            <w:tcW w:w="0" w:type="auto"/>
            <w:hideMark/>
          </w:tcPr>
          <w:p w14:paraId="17B142BA"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Academic pressure increases anxiety</w:t>
            </w:r>
          </w:p>
        </w:tc>
        <w:tc>
          <w:tcPr>
            <w:tcW w:w="0" w:type="auto"/>
            <w:hideMark/>
          </w:tcPr>
          <w:p w14:paraId="0659A03B"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Educational stress</w:t>
            </w:r>
          </w:p>
        </w:tc>
      </w:tr>
      <w:tr w:rsidR="00EC4B2A" w:rsidRPr="00B163E9" w14:paraId="55706537" w14:textId="77777777" w:rsidTr="00EC4B2A">
        <w:tc>
          <w:tcPr>
            <w:cnfStyle w:val="001000000000" w:firstRow="0" w:lastRow="0" w:firstColumn="1" w:lastColumn="0" w:oddVBand="0" w:evenVBand="0" w:oddHBand="0" w:evenHBand="0" w:firstRowFirstColumn="0" w:firstRowLastColumn="0" w:lastRowFirstColumn="0" w:lastRowLastColumn="0"/>
            <w:tcW w:w="0" w:type="auto"/>
            <w:hideMark/>
          </w:tcPr>
          <w:p w14:paraId="2DA40B4F" w14:textId="77777777" w:rsidR="00EC4B2A" w:rsidRPr="00B163E9" w:rsidRDefault="00EC4B2A" w:rsidP="0002757A">
            <w:pPr>
              <w:spacing w:after="160" w:line="360" w:lineRule="auto"/>
              <w:jc w:val="both"/>
              <w:rPr>
                <w:rFonts w:ascii="Arial" w:hAnsi="Arial" w:cs="Arial"/>
                <w:sz w:val="22"/>
                <w:szCs w:val="22"/>
              </w:rPr>
            </w:pPr>
            <w:r w:rsidRPr="00B163E9">
              <w:rPr>
                <w:rFonts w:ascii="Arial" w:hAnsi="Arial" w:cs="Arial"/>
                <w:sz w:val="22"/>
                <w:szCs w:val="22"/>
              </w:rPr>
              <w:t>Ford et al.</w:t>
            </w:r>
          </w:p>
        </w:tc>
        <w:tc>
          <w:tcPr>
            <w:tcW w:w="0" w:type="auto"/>
            <w:hideMark/>
          </w:tcPr>
          <w:p w14:paraId="095290BF"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2023</w:t>
            </w:r>
          </w:p>
        </w:tc>
        <w:tc>
          <w:tcPr>
            <w:tcW w:w="0" w:type="auto"/>
            <w:hideMark/>
          </w:tcPr>
          <w:p w14:paraId="3F87A7F5"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National survey</w:t>
            </w:r>
          </w:p>
        </w:tc>
        <w:tc>
          <w:tcPr>
            <w:tcW w:w="0" w:type="auto"/>
            <w:hideMark/>
          </w:tcPr>
          <w:p w14:paraId="52434129"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2,000 adolescents</w:t>
            </w:r>
          </w:p>
        </w:tc>
        <w:tc>
          <w:tcPr>
            <w:tcW w:w="0" w:type="auto"/>
            <w:hideMark/>
          </w:tcPr>
          <w:p w14:paraId="7927B5F5"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 xml:space="preserve">One in five reported </w:t>
            </w:r>
            <w:proofErr w:type="gramStart"/>
            <w:r w:rsidRPr="00B163E9">
              <w:rPr>
                <w:rFonts w:ascii="Arial" w:hAnsi="Arial" w:cs="Arial"/>
                <w:sz w:val="22"/>
                <w:szCs w:val="22"/>
              </w:rPr>
              <w:t>anxiety</w:t>
            </w:r>
            <w:proofErr w:type="gramEnd"/>
          </w:p>
        </w:tc>
        <w:tc>
          <w:tcPr>
            <w:tcW w:w="0" w:type="auto"/>
            <w:hideMark/>
          </w:tcPr>
          <w:p w14:paraId="037C5FB5" w14:textId="77777777" w:rsidR="00EC4B2A" w:rsidRPr="00B163E9" w:rsidRDefault="00EC4B2A" w:rsidP="0002757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163E9">
              <w:rPr>
                <w:rFonts w:ascii="Arial" w:hAnsi="Arial" w:cs="Arial"/>
                <w:sz w:val="22"/>
                <w:szCs w:val="22"/>
              </w:rPr>
              <w:t>Prevalence</w:t>
            </w:r>
          </w:p>
        </w:tc>
      </w:tr>
      <w:tr w:rsidR="00EC4B2A" w:rsidRPr="00B163E9" w14:paraId="3B828DDE" w14:textId="77777777" w:rsidTr="00EC4B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E7CD3D" w14:textId="77777777" w:rsidR="00EC4B2A" w:rsidRPr="00B163E9" w:rsidRDefault="00EC4B2A" w:rsidP="0002757A">
            <w:pPr>
              <w:spacing w:after="160" w:line="360" w:lineRule="auto"/>
              <w:jc w:val="both"/>
              <w:rPr>
                <w:rFonts w:ascii="Arial" w:hAnsi="Arial" w:cs="Arial"/>
                <w:sz w:val="22"/>
                <w:szCs w:val="22"/>
              </w:rPr>
            </w:pPr>
            <w:r w:rsidRPr="00B163E9">
              <w:rPr>
                <w:rFonts w:ascii="Arial" w:hAnsi="Arial" w:cs="Arial"/>
                <w:sz w:val="22"/>
                <w:szCs w:val="22"/>
              </w:rPr>
              <w:t>Vizard et al.</w:t>
            </w:r>
          </w:p>
        </w:tc>
        <w:tc>
          <w:tcPr>
            <w:tcW w:w="0" w:type="auto"/>
            <w:hideMark/>
          </w:tcPr>
          <w:p w14:paraId="7EB98A54"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2023</w:t>
            </w:r>
          </w:p>
        </w:tc>
        <w:tc>
          <w:tcPr>
            <w:tcW w:w="0" w:type="auto"/>
            <w:hideMark/>
          </w:tcPr>
          <w:p w14:paraId="2EFCAB4F"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Population survey</w:t>
            </w:r>
          </w:p>
        </w:tc>
        <w:tc>
          <w:tcPr>
            <w:tcW w:w="0" w:type="auto"/>
            <w:hideMark/>
          </w:tcPr>
          <w:p w14:paraId="2E44B3AB"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UK adolescents</w:t>
            </w:r>
          </w:p>
        </w:tc>
        <w:tc>
          <w:tcPr>
            <w:tcW w:w="0" w:type="auto"/>
            <w:hideMark/>
          </w:tcPr>
          <w:p w14:paraId="1CAD62EB"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Stressors increase anxiety</w:t>
            </w:r>
          </w:p>
        </w:tc>
        <w:tc>
          <w:tcPr>
            <w:tcW w:w="0" w:type="auto"/>
            <w:hideMark/>
          </w:tcPr>
          <w:p w14:paraId="42B882E6" w14:textId="77777777" w:rsidR="00EC4B2A" w:rsidRPr="00B163E9" w:rsidRDefault="00EC4B2A" w:rsidP="0002757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163E9">
              <w:rPr>
                <w:rFonts w:ascii="Arial" w:hAnsi="Arial" w:cs="Arial"/>
                <w:sz w:val="22"/>
                <w:szCs w:val="22"/>
              </w:rPr>
              <w:t>Psychological factors</w:t>
            </w:r>
          </w:p>
        </w:tc>
      </w:tr>
    </w:tbl>
    <w:p w14:paraId="4D7AC971" w14:textId="77777777" w:rsidR="0002757A" w:rsidRPr="00B163E9" w:rsidRDefault="0002757A" w:rsidP="0002757A">
      <w:pPr>
        <w:spacing w:line="360" w:lineRule="auto"/>
        <w:jc w:val="both"/>
        <w:rPr>
          <w:rFonts w:ascii="Arial" w:hAnsi="Arial" w:cs="Arial"/>
          <w:sz w:val="22"/>
          <w:szCs w:val="22"/>
        </w:rPr>
      </w:pPr>
    </w:p>
    <w:p w14:paraId="2FFFD460" w14:textId="48CF22E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The studies included different research designs such as surveys, reviews, and population studies. Despite methodological differences, the studies reported similar findings regarding the prevalence of anxiety and the factors influencing adolescent mental health.</w:t>
      </w:r>
    </w:p>
    <w:p w14:paraId="04833986"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2" w:name="_Toc225734340"/>
      <w:r w:rsidRPr="00B163E9">
        <w:rPr>
          <w:rFonts w:ascii="Arial" w:hAnsi="Arial" w:cs="Arial"/>
          <w:b/>
          <w:bCs/>
          <w:color w:val="auto"/>
          <w:sz w:val="22"/>
          <w:szCs w:val="22"/>
        </w:rPr>
        <w:t>4.2 Thematic Analysis of Findings</w:t>
      </w:r>
      <w:bookmarkEnd w:id="12"/>
    </w:p>
    <w:p w14:paraId="39428A91"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Thematic analysis of the selected studies identified four key themes: prevalence of GAD among teenagers, social factors influencing anxiety, educational stress, and psychological and family factors.</w:t>
      </w:r>
    </w:p>
    <w:p w14:paraId="48CAC20E" w14:textId="2058979A" w:rsidR="00EA7671" w:rsidRPr="00B163E9" w:rsidRDefault="00EA7671" w:rsidP="0002757A">
      <w:pPr>
        <w:spacing w:line="360" w:lineRule="auto"/>
        <w:jc w:val="both"/>
        <w:rPr>
          <w:rFonts w:ascii="Arial" w:hAnsi="Arial" w:cs="Arial"/>
          <w:sz w:val="22"/>
          <w:szCs w:val="22"/>
        </w:rPr>
      </w:pPr>
    </w:p>
    <w:p w14:paraId="258363B6"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3" w:name="_Toc225734341"/>
      <w:r w:rsidRPr="00B163E9">
        <w:rPr>
          <w:rFonts w:ascii="Arial" w:hAnsi="Arial" w:cs="Arial"/>
          <w:b/>
          <w:bCs/>
          <w:color w:val="auto"/>
          <w:sz w:val="22"/>
          <w:szCs w:val="22"/>
        </w:rPr>
        <w:t>4.2.1 Prevalence of GAD Among UK Teenagers</w:t>
      </w:r>
      <w:bookmarkEnd w:id="13"/>
    </w:p>
    <w:p w14:paraId="3C9501AD" w14:textId="36ED285B"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 xml:space="preserve">The reviewed studies consistently highlighted the growing prevalence of anxiety disorders among adolescents in the UK. National surveys indicate that anxiety disorders are among the most common mental health conditions affecting young people. </w:t>
      </w:r>
      <w:r w:rsidR="00A77BED" w:rsidRPr="00B163E9">
        <w:rPr>
          <w:rFonts w:ascii="Arial" w:hAnsi="Arial" w:cs="Arial"/>
          <w:sz w:val="22"/>
          <w:szCs w:val="22"/>
        </w:rPr>
        <w:t>NHS England (2023) reported that approximately one in five children and young people in England experience a probable mental health disorder, with anxiety disorders among the most common conditions affecting this group.</w:t>
      </w:r>
    </w:p>
    <w:p w14:paraId="3B6E2B68" w14:textId="0BA6ADC2" w:rsidR="00EA7671" w:rsidRPr="00B163E9" w:rsidRDefault="00CA0699" w:rsidP="0002757A">
      <w:pPr>
        <w:spacing w:line="360" w:lineRule="auto"/>
        <w:jc w:val="both"/>
        <w:rPr>
          <w:rFonts w:ascii="Arial" w:hAnsi="Arial" w:cs="Arial"/>
          <w:sz w:val="22"/>
          <w:szCs w:val="22"/>
        </w:rPr>
      </w:pPr>
      <w:r w:rsidRPr="00B163E9">
        <w:rPr>
          <w:rFonts w:ascii="Arial" w:hAnsi="Arial" w:cs="Arial"/>
          <w:sz w:val="22"/>
          <w:szCs w:val="22"/>
        </w:rPr>
        <w:t>Similarly, anxiety symptoms have increased in recent years, particularly following social disruptions and environmental stressors that have affected adolescents (Loades et al., 2020).</w:t>
      </w:r>
      <w:r w:rsidR="00EA7671" w:rsidRPr="00B163E9">
        <w:rPr>
          <w:rFonts w:ascii="Arial" w:hAnsi="Arial" w:cs="Arial"/>
          <w:sz w:val="22"/>
          <w:szCs w:val="22"/>
        </w:rPr>
        <w:t xml:space="preserve"> Creswell et al. (2021) also emphasised that anxiety disorders often begin during adolescence and may continue into adulthood if they are not recognised and treated early.</w:t>
      </w:r>
    </w:p>
    <w:p w14:paraId="0C83FB4B"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lastRenderedPageBreak/>
        <w:t>These findings suggest that GAD and related anxiety disorders represent a significant public health concern for young people in the UK. The high prevalence highlights the need for early identification and effective intervention strategies within schools and healthcare services.</w:t>
      </w:r>
    </w:p>
    <w:p w14:paraId="3E4C1CCD" w14:textId="24E2062D" w:rsidR="00EA7671" w:rsidRPr="00B163E9" w:rsidRDefault="00EA7671" w:rsidP="0002757A">
      <w:pPr>
        <w:spacing w:line="360" w:lineRule="auto"/>
        <w:jc w:val="both"/>
        <w:rPr>
          <w:rFonts w:ascii="Arial" w:hAnsi="Arial" w:cs="Arial"/>
          <w:sz w:val="22"/>
          <w:szCs w:val="22"/>
        </w:rPr>
      </w:pPr>
    </w:p>
    <w:p w14:paraId="08F9B2ED"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4" w:name="_Toc225734342"/>
      <w:r w:rsidRPr="00B163E9">
        <w:rPr>
          <w:rFonts w:ascii="Arial" w:hAnsi="Arial" w:cs="Arial"/>
          <w:b/>
          <w:bCs/>
          <w:color w:val="auto"/>
          <w:sz w:val="22"/>
          <w:szCs w:val="22"/>
        </w:rPr>
        <w:t>4.2.2 Social Factors Influencing Anxiety</w:t>
      </w:r>
      <w:bookmarkEnd w:id="14"/>
    </w:p>
    <w:p w14:paraId="6E51E864"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Another major theme identified across the studies was the influence of social factors on adolescent anxiety. Social relationships and environmental experiences play a significant role in shaping young people’s emotional wellbeing. Loades et al. (2020) found that social isolation and loneliness were strongly associated with increased anxiety and depression among adolescents.</w:t>
      </w:r>
    </w:p>
    <w:p w14:paraId="574D2A4E"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Peer relationships can also contribute to anxiety during adolescence. Teenagers often experience pressure to fit in with social groups, which may increase feelings of insecurity and worry. In addition, the increasing use of social media platforms has been linked with negative emotional outcomes among young people. Adolescents may compare themselves with others online, leading to lower self-esteem and increased anxiety.</w:t>
      </w:r>
    </w:p>
    <w:p w14:paraId="465CD46B"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Research suggests that social influences can have both positive and negative effects on mental health. While supportive friendships can improve wellbeing, negative social experiences such as bullying or exclusion may increase the risk of anxiety disorders (Creswell et al., 2021). These findings highlight the importance of social support systems for protecting adolescent mental health.</w:t>
      </w:r>
    </w:p>
    <w:p w14:paraId="724DDDCA" w14:textId="2944F110" w:rsidR="00EA7671" w:rsidRPr="00B163E9" w:rsidRDefault="00EA7671" w:rsidP="0002757A">
      <w:pPr>
        <w:spacing w:line="360" w:lineRule="auto"/>
        <w:jc w:val="both"/>
        <w:rPr>
          <w:rFonts w:ascii="Arial" w:hAnsi="Arial" w:cs="Arial"/>
          <w:b/>
          <w:bCs/>
          <w:sz w:val="22"/>
          <w:szCs w:val="22"/>
        </w:rPr>
      </w:pPr>
    </w:p>
    <w:p w14:paraId="3042952E"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5" w:name="_Toc225734343"/>
      <w:r w:rsidRPr="00B163E9">
        <w:rPr>
          <w:rFonts w:ascii="Arial" w:hAnsi="Arial" w:cs="Arial"/>
          <w:b/>
          <w:bCs/>
          <w:color w:val="auto"/>
          <w:sz w:val="22"/>
          <w:szCs w:val="22"/>
        </w:rPr>
        <w:t>4.2.3 Educational Stress</w:t>
      </w:r>
      <w:bookmarkEnd w:id="15"/>
    </w:p>
    <w:p w14:paraId="0561D6DD"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Educational stress was another important theme identified in the reviewed studies. Adolescents often face significant academic expectations, particularly during examination periods. Waite and Creswell (2020) found that many young people reported increased anxiety due to pressure related to academic performance and concerns about their future education or career opportunities.</w:t>
      </w:r>
    </w:p>
    <w:p w14:paraId="157C84E6"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Examinations, coursework deadlines, and competition for university places can contribute to emotional stress for teenagers. When combined with other life pressures, these academic demands may increase the likelihood of anxiety disorders developing. Adolescents with GAD may experience persistent worry about their academic performance, which can affect concentration, motivation, and school attendance.</w:t>
      </w:r>
    </w:p>
    <w:p w14:paraId="65033043"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lastRenderedPageBreak/>
        <w:t>Educational stress can also affect students’ overall wellbeing. Research indicates that prolonged anxiety related to school can reduce self-confidence and lead to avoidance behaviours, such as skipping classes or withdrawing from school activities (Creswell et al., 2021). These findings demonstrate the need for supportive school environments that promote mental wellbeing alongside academic achievement.</w:t>
      </w:r>
    </w:p>
    <w:p w14:paraId="556BF502" w14:textId="77777777" w:rsidR="00EA7671" w:rsidRPr="00B163E9" w:rsidRDefault="00EA7671" w:rsidP="0002757A">
      <w:pPr>
        <w:pStyle w:val="Heading2"/>
        <w:spacing w:line="360" w:lineRule="auto"/>
        <w:jc w:val="both"/>
        <w:rPr>
          <w:rFonts w:ascii="Arial" w:hAnsi="Arial" w:cs="Arial"/>
          <w:b/>
          <w:bCs/>
          <w:color w:val="auto"/>
          <w:sz w:val="22"/>
          <w:szCs w:val="22"/>
        </w:rPr>
      </w:pPr>
      <w:bookmarkStart w:id="16" w:name="_Toc225734344"/>
      <w:r w:rsidRPr="00B163E9">
        <w:rPr>
          <w:rFonts w:ascii="Arial" w:hAnsi="Arial" w:cs="Arial"/>
          <w:b/>
          <w:bCs/>
          <w:color w:val="auto"/>
          <w:sz w:val="22"/>
          <w:szCs w:val="22"/>
        </w:rPr>
        <w:t>4.2.4 Psychological and Family Factors</w:t>
      </w:r>
      <w:bookmarkEnd w:id="16"/>
    </w:p>
    <w:p w14:paraId="29A32565"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The final theme identified across the studies was the role of psychological and family factors in adolescent anxiety. Individual psychological characteristics, such as low self-esteem, negative thinking patterns, and poor coping skills, can increase vulnerability to anxiety disorders.</w:t>
      </w:r>
    </w:p>
    <w:p w14:paraId="72DE5B18"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Family environment also plays an important role in adolescent mental health. Supportive family relationships can help young people manage stress and build resilience, whereas family conflict or instability may increase emotional difficulties. Creswell et al. (2021) emphasised that parenting style, family communication, and home environment can influence how adolescents respond to stressful situations.</w:t>
      </w:r>
    </w:p>
    <w:p w14:paraId="5759ABE4"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Additionally, genetic and environmental influences may interact to increase the risk of anxiety disorders. Adolescents who have family members with mental health conditions may be more likely to experience anxiety themselves. However, early support from families and mental health services can reduce these risks and improve outcomes for young people.</w:t>
      </w:r>
    </w:p>
    <w:p w14:paraId="55DA8D60" w14:textId="77777777" w:rsidR="00EA7671" w:rsidRPr="00B163E9" w:rsidRDefault="00EA7671" w:rsidP="0002757A">
      <w:pPr>
        <w:spacing w:line="360" w:lineRule="auto"/>
        <w:jc w:val="both"/>
        <w:rPr>
          <w:rFonts w:ascii="Arial" w:hAnsi="Arial" w:cs="Arial"/>
          <w:sz w:val="22"/>
          <w:szCs w:val="22"/>
        </w:rPr>
      </w:pPr>
      <w:r w:rsidRPr="00B163E9">
        <w:rPr>
          <w:rFonts w:ascii="Arial" w:hAnsi="Arial" w:cs="Arial"/>
          <w:sz w:val="22"/>
          <w:szCs w:val="22"/>
        </w:rPr>
        <w:t>Overall, the findings from the scoping review demonstrate that anxiety among UK teenagers is influenced by a combination of social, educational, psychological, and environmental factors. These results provide important insights into the complexity of adolescent mental health and highlight the need for comprehensive strategies to support young people experiencing anxiety.</w:t>
      </w:r>
    </w:p>
    <w:p w14:paraId="514588BF" w14:textId="3D541736" w:rsidR="00735502" w:rsidRPr="00B163E9" w:rsidRDefault="00735502" w:rsidP="0002757A">
      <w:pPr>
        <w:pStyle w:val="Heading1"/>
        <w:spacing w:line="360" w:lineRule="auto"/>
        <w:jc w:val="both"/>
        <w:rPr>
          <w:rFonts w:ascii="Arial" w:hAnsi="Arial" w:cs="Arial"/>
          <w:b/>
          <w:bCs/>
          <w:color w:val="auto"/>
          <w:sz w:val="22"/>
          <w:szCs w:val="22"/>
        </w:rPr>
      </w:pPr>
      <w:bookmarkStart w:id="17" w:name="_Toc225734345"/>
      <w:r w:rsidRPr="00B163E9">
        <w:rPr>
          <w:rFonts w:ascii="Arial" w:hAnsi="Arial" w:cs="Arial"/>
          <w:b/>
          <w:bCs/>
          <w:color w:val="auto"/>
          <w:sz w:val="22"/>
          <w:szCs w:val="22"/>
        </w:rPr>
        <w:t>5. Discussion</w:t>
      </w:r>
      <w:bookmarkEnd w:id="17"/>
      <w:r w:rsidRPr="00B163E9">
        <w:rPr>
          <w:rFonts w:ascii="Arial" w:hAnsi="Arial" w:cs="Arial"/>
          <w:b/>
          <w:bCs/>
          <w:color w:val="auto"/>
          <w:sz w:val="22"/>
          <w:szCs w:val="22"/>
        </w:rPr>
        <w:t xml:space="preserve"> </w:t>
      </w:r>
    </w:p>
    <w:p w14:paraId="0836B3A0" w14:textId="77777777" w:rsidR="00174627" w:rsidRPr="00B163E9" w:rsidRDefault="00174627" w:rsidP="0002757A">
      <w:pPr>
        <w:spacing w:line="360" w:lineRule="auto"/>
        <w:jc w:val="both"/>
        <w:rPr>
          <w:rFonts w:ascii="Arial" w:hAnsi="Arial" w:cs="Arial"/>
          <w:sz w:val="22"/>
          <w:szCs w:val="22"/>
        </w:rPr>
      </w:pPr>
      <w:r w:rsidRPr="00B163E9">
        <w:rPr>
          <w:rFonts w:ascii="Arial" w:hAnsi="Arial" w:cs="Arial"/>
          <w:sz w:val="22"/>
          <w:szCs w:val="22"/>
        </w:rPr>
        <w:t>The aim of this scoping review was to explore existing research on Generalised Anxiety Disorder (GAD) among teenagers in the United Kingdom, focusing on prevalence, contributing factors, and gaps in research and service provision. The findings from the reviewed studies identified several important themes, including the prevalence of anxiety disorders, social influences, educational pressures, and psychological and family factors. These themes highlight the complexity of adolescent mental health and demonstrate how multiple factors interact to influence anxiety among young people.</w:t>
      </w:r>
    </w:p>
    <w:p w14:paraId="3595C682" w14:textId="77777777" w:rsidR="00174627" w:rsidRPr="00B163E9" w:rsidRDefault="00174627" w:rsidP="0002757A">
      <w:pPr>
        <w:spacing w:line="360" w:lineRule="auto"/>
        <w:jc w:val="both"/>
        <w:rPr>
          <w:rFonts w:ascii="Arial" w:hAnsi="Arial" w:cs="Arial"/>
          <w:sz w:val="22"/>
          <w:szCs w:val="22"/>
        </w:rPr>
      </w:pPr>
      <w:r w:rsidRPr="00B163E9">
        <w:rPr>
          <w:rFonts w:ascii="Arial" w:hAnsi="Arial" w:cs="Arial"/>
          <w:sz w:val="22"/>
          <w:szCs w:val="22"/>
        </w:rPr>
        <w:lastRenderedPageBreak/>
        <w:t>One of the most important findings from this review is the high prevalence of anxiety disorders among teenagers in the UK (Theme 1: Prevalence of GAD). The studies analysed indicate that anxiety is one of the most common mental health conditions affecting adolescents. National data show that around one in five children and young people experience a probable mental health disorder, with anxiety disorders being among the most frequently reported conditions (NHS Digital, 2023; Creswell, Waite and Hudson, 2021). This finding is consistent with previous research, which has shown that anxiety disorders often develop during adolescence and may continue into adulthood if they are not identified early (Bandelow and Michaelis, 2022). The increasing prevalence highlights the need for improved mental health support systems and early identification strategies.</w:t>
      </w:r>
    </w:p>
    <w:p w14:paraId="4DED4AB5" w14:textId="77777777" w:rsidR="00174627" w:rsidRPr="00B163E9" w:rsidRDefault="00174627" w:rsidP="0002757A">
      <w:pPr>
        <w:spacing w:line="360" w:lineRule="auto"/>
        <w:jc w:val="both"/>
        <w:rPr>
          <w:rFonts w:ascii="Arial" w:hAnsi="Arial" w:cs="Arial"/>
          <w:sz w:val="22"/>
          <w:szCs w:val="22"/>
        </w:rPr>
      </w:pPr>
      <w:r w:rsidRPr="00B163E9">
        <w:rPr>
          <w:rFonts w:ascii="Arial" w:hAnsi="Arial" w:cs="Arial"/>
          <w:sz w:val="22"/>
          <w:szCs w:val="22"/>
        </w:rPr>
        <w:t>The review also highlighted the influence of social factors, such as loneliness, social media use, and peer relationships, on adolescent anxiety (Theme 2: Social Factors Influencing Anxiety). Previous research has suggested that social isolation and negative online experiences can significantly affect young people’s emotional wellbeing (Loades et al., 2020). Adolescents are particularly sensitive to social comparison and peer acceptance, which can increase feelings of insecurity and worry. These findings support earlier studies suggesting that modern social environments, including digital communication and online interaction, may contribute to increasing levels of anxiety among young people.</w:t>
      </w:r>
    </w:p>
    <w:p w14:paraId="2357E7A9" w14:textId="77777777" w:rsidR="00174627" w:rsidRPr="00B163E9" w:rsidRDefault="00174627" w:rsidP="0002757A">
      <w:pPr>
        <w:spacing w:line="360" w:lineRule="auto"/>
        <w:jc w:val="both"/>
        <w:rPr>
          <w:rFonts w:ascii="Arial" w:hAnsi="Arial" w:cs="Arial"/>
          <w:sz w:val="22"/>
          <w:szCs w:val="22"/>
        </w:rPr>
      </w:pPr>
      <w:r w:rsidRPr="00B163E9">
        <w:rPr>
          <w:rFonts w:ascii="Arial" w:hAnsi="Arial" w:cs="Arial"/>
          <w:sz w:val="22"/>
          <w:szCs w:val="22"/>
        </w:rPr>
        <w:t>Another key theme identified in the results was educational stress (Theme 3: Educational Stress). Several studies reported that teenagers often experience anxiety due to academic expectations, examinations, and concerns about their future careers. Educational pressure is a common source of stress for adolescents, particularly in highly competitive academic environments. Previous research has shown that academic stress can negatively affect concentration, motivation, and overall mental wellbeing (Creswell, Waite and Hudson, 2021). When academic stress is combined with other social or emotional challenges, it may increase the risk of developing anxiety disorders such as GAD.</w:t>
      </w:r>
    </w:p>
    <w:p w14:paraId="7E5EF311" w14:textId="77777777" w:rsidR="00174627" w:rsidRPr="00B163E9" w:rsidRDefault="00174627" w:rsidP="0002757A">
      <w:pPr>
        <w:spacing w:line="360" w:lineRule="auto"/>
        <w:jc w:val="both"/>
        <w:rPr>
          <w:rFonts w:ascii="Arial" w:hAnsi="Arial" w:cs="Arial"/>
          <w:sz w:val="22"/>
          <w:szCs w:val="22"/>
        </w:rPr>
      </w:pPr>
      <w:r w:rsidRPr="00B163E9">
        <w:rPr>
          <w:rFonts w:ascii="Arial" w:hAnsi="Arial" w:cs="Arial"/>
          <w:sz w:val="22"/>
          <w:szCs w:val="22"/>
        </w:rPr>
        <w:t>The findings also emphasised the importance of psychological and family factors (Theme 4: Psychological and Family Factors). Adolescents who experience low self-esteem, negative thinking patterns, or limited coping skills may be more vulnerable to anxiety. Family environment also plays a significant role in adolescent mental health. Supportive family relationships can help young people manage stress and build emotional resilience, while family conflict or instability may increase emotional difficulties. These findings are consistent with previous research suggesting that adolescent mental health is influenced by both individual psychological characteristics and environmental factors.</w:t>
      </w:r>
    </w:p>
    <w:p w14:paraId="38FDFED9" w14:textId="27DA9945" w:rsidR="00735502" w:rsidRPr="00B163E9" w:rsidRDefault="00735502" w:rsidP="0002757A">
      <w:pPr>
        <w:spacing w:line="360" w:lineRule="auto"/>
        <w:jc w:val="both"/>
        <w:rPr>
          <w:rFonts w:ascii="Arial" w:hAnsi="Arial" w:cs="Arial"/>
          <w:sz w:val="22"/>
          <w:szCs w:val="22"/>
        </w:rPr>
      </w:pPr>
    </w:p>
    <w:p w14:paraId="03268F9F"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lastRenderedPageBreak/>
        <w:t xml:space="preserve">The findings of this review have several important implications for UK health services. In the United Kingdom, mental health support for young people is mainly provided through Child and Adolescent Mental Health Services (CAMHS). These services offer assessment, diagnosis, and treatment for a range of mental health conditions, including anxiety disorders. However, research suggests that demand for CAMHS has increased significantly in recent years, placing considerable pressure on available services. For example, recent data indicate that over 200,000 children were referred to NHS mental health services for anxiety in 2023–2024, demonstrating the growing need for support (Children’s Commissioner, 2024). </w:t>
      </w:r>
    </w:p>
    <w:p w14:paraId="7960707E"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One of the most significant challenges facing CAMHS is long waiting times and limited access to services. Evidence suggests that many young people wait several months, and in some cases years, before receiving treatment. For example, research indicates that the average waiting time for CAMHS treatment can exceed 100 days, while some young people wait much longer before accessing support (Rethink Mental Illness, 2024). In addition, recent reports show that hundreds of thousands of children are waiting for their first contact with NHS mental health services, highlighting the growing pressure on the system (Royal College of Psychiatrists, 2024). Long waiting times can worsen mental health problems and reduce the effectiveness of treatment.</w:t>
      </w:r>
    </w:p>
    <w:p w14:paraId="03C898A7" w14:textId="06EF97AC"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 xml:space="preserve">The increasing demand for services highlights the importance of early intervention and prevention strategies. Early identification of anxiety symptoms can help prevent more serious mental health problems later in life. Schools, families, and healthcare professionals play a key role in recognising early signs of anxiety and providing appropriate support. Recent research suggests that school-based mental health programmes and early psychological interventions can improve outcomes for young people experiencing anxiety </w:t>
      </w:r>
      <w:r w:rsidR="000E0FB7" w:rsidRPr="00B163E9">
        <w:rPr>
          <w:rFonts w:ascii="Arial" w:hAnsi="Arial" w:cs="Arial"/>
          <w:sz w:val="22"/>
          <w:szCs w:val="22"/>
        </w:rPr>
        <w:t>(Green et al., 2023)</w:t>
      </w:r>
      <w:r w:rsidRPr="00B163E9">
        <w:rPr>
          <w:rFonts w:ascii="Arial" w:hAnsi="Arial" w:cs="Arial"/>
          <w:sz w:val="22"/>
          <w:szCs w:val="22"/>
        </w:rPr>
        <w:t xml:space="preserve">. </w:t>
      </w:r>
    </w:p>
    <w:p w14:paraId="4194E10F"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This review also identified several strengths within the selected studies. The studies included large samples of adolescents and used reliable research methods, such as national surveys and systematic reviews. These approaches provide valuable insights into the experiences of young people across the UK. However, there were also limitations. Some studies relied on self-reported data, which may lead to reporting bias. Additionally, differences in research methods across studies may make comparisons more difficult. Another limitation is that some studies examined general anxiety symptoms rather than specifically focusing on GAD.</w:t>
      </w:r>
    </w:p>
    <w:p w14:paraId="078AE49A"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 xml:space="preserve">Overall, the findings of this review highlight the growing importance of addressing adolescent anxiety within UK mental health policy. Policies developed by organisations such as NICE and the NHS emphasise the importance of early intervention, evidence-based treatments, and improved access to mental health services for young people. However, the increasing demand </w:t>
      </w:r>
      <w:r w:rsidRPr="00B163E9">
        <w:rPr>
          <w:rFonts w:ascii="Arial" w:hAnsi="Arial" w:cs="Arial"/>
          <w:sz w:val="22"/>
          <w:szCs w:val="22"/>
        </w:rPr>
        <w:lastRenderedPageBreak/>
        <w:t>for services suggests that further investment and research are needed to ensure that adolescents experiencing anxiety receive timely and effective support.</w:t>
      </w:r>
    </w:p>
    <w:p w14:paraId="3FE55FD6" w14:textId="31E87D2B" w:rsidR="00735502" w:rsidRPr="00B163E9" w:rsidRDefault="001D7E91" w:rsidP="005A3A27">
      <w:pPr>
        <w:spacing w:line="360" w:lineRule="auto"/>
        <w:jc w:val="both"/>
        <w:rPr>
          <w:rFonts w:ascii="Arial" w:hAnsi="Arial" w:cs="Arial"/>
          <w:sz w:val="22"/>
          <w:szCs w:val="22"/>
        </w:rPr>
      </w:pPr>
      <w:bookmarkStart w:id="18" w:name="_Toc225734346"/>
      <w:r>
        <w:rPr>
          <w:rFonts w:ascii="Arial" w:hAnsi="Arial" w:cs="Arial"/>
          <w:b/>
          <w:bCs/>
          <w:sz w:val="22"/>
          <w:szCs w:val="22"/>
        </w:rPr>
        <w:t>6</w:t>
      </w:r>
      <w:r w:rsidR="00735502" w:rsidRPr="00B163E9">
        <w:rPr>
          <w:rFonts w:ascii="Arial" w:hAnsi="Arial" w:cs="Arial"/>
          <w:b/>
          <w:bCs/>
          <w:sz w:val="22"/>
          <w:szCs w:val="22"/>
        </w:rPr>
        <w:t>. Recommendations</w:t>
      </w:r>
      <w:bookmarkEnd w:id="18"/>
      <w:r w:rsidR="00735502" w:rsidRPr="00B163E9">
        <w:rPr>
          <w:rFonts w:ascii="Arial" w:hAnsi="Arial" w:cs="Arial"/>
          <w:b/>
          <w:bCs/>
          <w:sz w:val="22"/>
          <w:szCs w:val="22"/>
        </w:rPr>
        <w:t xml:space="preserve"> </w:t>
      </w:r>
    </w:p>
    <w:p w14:paraId="5D9A6F1B"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Based on the findings of this scoping review, several recommendations can be made to improve the prevention and management of Generalised Anxiety Disorder (GAD) among teenagers in the United Kingdom.</w:t>
      </w:r>
    </w:p>
    <w:p w14:paraId="08A53AE6"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First, improvements are needed in healthcare practice. Early identification of anxiety symptoms is essential for preventing more serious mental health problems. Schools and healthcare professionals should introduce early mental health screening programmes to identify teenagers who may be experiencing anxiety or emotional difficulties. Early screening can help ensure that young people receive support before their symptoms become severe. In addition, school-based mental health support should be strengthened. Schools can provide counselling services, wellbeing programmes, and safe spaces where students can discuss emotional concerns. Teachers and school staff should also receive training to recognise early signs of anxiety and provide appropriate support.</w:t>
      </w:r>
    </w:p>
    <w:p w14:paraId="45D14619" w14:textId="77777777" w:rsidR="00735502" w:rsidRPr="00B163E9" w:rsidRDefault="00735502" w:rsidP="0002757A">
      <w:pPr>
        <w:spacing w:line="360" w:lineRule="auto"/>
        <w:jc w:val="both"/>
        <w:rPr>
          <w:rFonts w:ascii="Arial" w:hAnsi="Arial" w:cs="Arial"/>
          <w:sz w:val="22"/>
          <w:szCs w:val="22"/>
        </w:rPr>
      </w:pPr>
      <w:r w:rsidRPr="00B163E9">
        <w:rPr>
          <w:rFonts w:ascii="Arial" w:hAnsi="Arial" w:cs="Arial"/>
          <w:sz w:val="22"/>
          <w:szCs w:val="22"/>
        </w:rPr>
        <w:t>Second, policy improvements are needed to address the growing demand for mental health services. Increased funding for Child and Adolescent Mental Health Services (CAMHS) is necessary to reduce long waiting times and improve access to care for young people. Schools should also include mental health education within the curriculum to help students understand emotional wellbeing and develop coping skills.</w:t>
      </w:r>
    </w:p>
    <w:p w14:paraId="087AFDEF" w14:textId="77777777" w:rsidR="00735502" w:rsidRDefault="00735502" w:rsidP="0002757A">
      <w:pPr>
        <w:spacing w:line="360" w:lineRule="auto"/>
        <w:jc w:val="both"/>
        <w:rPr>
          <w:rFonts w:ascii="Arial" w:hAnsi="Arial" w:cs="Arial"/>
          <w:sz w:val="22"/>
          <w:szCs w:val="22"/>
        </w:rPr>
      </w:pPr>
      <w:r w:rsidRPr="00B163E9">
        <w:rPr>
          <w:rFonts w:ascii="Arial" w:hAnsi="Arial" w:cs="Arial"/>
          <w:sz w:val="22"/>
          <w:szCs w:val="22"/>
        </w:rPr>
        <w:t>Finally, future research should focus on conducting longitudinal studies to better understand how anxiety develops over time in adolescents. More intervention research is also needed to evaluate effective prevention programmes and treatment approaches for young people experiencing anxiety.</w:t>
      </w:r>
    </w:p>
    <w:p w14:paraId="35CB8CA4" w14:textId="607599D2" w:rsidR="001D7E91" w:rsidRPr="001D7E91" w:rsidRDefault="001D7E91" w:rsidP="001D7E91">
      <w:pPr>
        <w:keepNext/>
        <w:keepLines/>
        <w:spacing w:before="360" w:after="80" w:line="360" w:lineRule="auto"/>
        <w:jc w:val="both"/>
        <w:outlineLvl w:val="0"/>
        <w:rPr>
          <w:rFonts w:ascii="Arial" w:eastAsiaTheme="majorEastAsia" w:hAnsi="Arial" w:cs="Arial"/>
          <w:b/>
          <w:bCs/>
          <w:sz w:val="22"/>
          <w:szCs w:val="22"/>
        </w:rPr>
      </w:pPr>
      <w:r>
        <w:rPr>
          <w:rFonts w:ascii="Arial" w:eastAsiaTheme="majorEastAsia" w:hAnsi="Arial" w:cs="Arial"/>
          <w:b/>
          <w:bCs/>
          <w:sz w:val="22"/>
          <w:szCs w:val="22"/>
        </w:rPr>
        <w:t>7</w:t>
      </w:r>
      <w:r w:rsidRPr="001D7E91">
        <w:rPr>
          <w:rFonts w:ascii="Arial" w:eastAsiaTheme="majorEastAsia" w:hAnsi="Arial" w:cs="Arial"/>
          <w:b/>
          <w:bCs/>
          <w:sz w:val="22"/>
          <w:szCs w:val="22"/>
        </w:rPr>
        <w:t xml:space="preserve">. Conclusion </w:t>
      </w:r>
    </w:p>
    <w:p w14:paraId="5CDF4A9E" w14:textId="77777777" w:rsidR="001D7E91" w:rsidRPr="001D7E91" w:rsidRDefault="001D7E91" w:rsidP="001D7E91">
      <w:pPr>
        <w:spacing w:line="360" w:lineRule="auto"/>
        <w:jc w:val="both"/>
        <w:rPr>
          <w:rFonts w:ascii="Arial" w:hAnsi="Arial" w:cs="Arial"/>
          <w:sz w:val="22"/>
          <w:szCs w:val="22"/>
        </w:rPr>
      </w:pPr>
      <w:r w:rsidRPr="001D7E91">
        <w:rPr>
          <w:rFonts w:ascii="Arial" w:hAnsi="Arial" w:cs="Arial"/>
          <w:sz w:val="22"/>
          <w:szCs w:val="22"/>
        </w:rPr>
        <w:t>This scoping review examined existing research on Generalised Anxiety Disorder (GAD) among teenagers in the United Kingdom. The findings showed that anxiety disorders are becoming increasingly common among adolescents and represent a significant mental health concern. The reviewed studies highlighted several important factors linked to anxiety, including social influences such as peer relationships and social media, educational pressures related to exams and academic expectations, and psychological or family factors such as low self-esteem and family environment. These factors can interact and increase the risk of anxiety during adolescence.</w:t>
      </w:r>
    </w:p>
    <w:p w14:paraId="7D3E68EF" w14:textId="77777777" w:rsidR="001D7E91" w:rsidRPr="001D7E91" w:rsidRDefault="001D7E91" w:rsidP="001D7E91">
      <w:pPr>
        <w:spacing w:line="360" w:lineRule="auto"/>
        <w:jc w:val="both"/>
        <w:rPr>
          <w:rFonts w:ascii="Arial" w:hAnsi="Arial" w:cs="Arial"/>
          <w:sz w:val="22"/>
          <w:szCs w:val="22"/>
        </w:rPr>
      </w:pPr>
      <w:r w:rsidRPr="001D7E91">
        <w:rPr>
          <w:rFonts w:ascii="Arial" w:hAnsi="Arial" w:cs="Arial"/>
          <w:sz w:val="22"/>
          <w:szCs w:val="22"/>
        </w:rPr>
        <w:lastRenderedPageBreak/>
        <w:t>The review also showed that many young people face difficulties accessing mental health support due to increasing demand for services such as Child and Adolescent Mental Health Services (CAMHS). Overall, this research improves understanding of how different social, educational, and personal factors affect adolescent mental health. The findings emphasise the importance of early identification, supportive environments, and accessible mental health services to help reduce anxiety and improve wellbeing among teenagers in the UK.</w:t>
      </w:r>
    </w:p>
    <w:p w14:paraId="5E4C9B59" w14:textId="77777777" w:rsidR="001D7E91" w:rsidRPr="001D7E91" w:rsidRDefault="001D7E91" w:rsidP="001D7E91">
      <w:pPr>
        <w:spacing w:line="360" w:lineRule="auto"/>
        <w:jc w:val="both"/>
        <w:rPr>
          <w:rFonts w:ascii="Arial" w:hAnsi="Arial" w:cs="Arial"/>
          <w:sz w:val="22"/>
          <w:szCs w:val="22"/>
        </w:rPr>
      </w:pPr>
      <w:r w:rsidRPr="001D7E91">
        <w:rPr>
          <w:rFonts w:ascii="Arial" w:hAnsi="Arial" w:cs="Arial"/>
          <w:sz w:val="22"/>
          <w:szCs w:val="22"/>
        </w:rPr>
        <w:t>In addition, the review highlights the need for strong collaboration between schools, families, and healthcare professionals to support young people’s mental wellbeing. Improving awareness and access to services can help reduce the long-term impact of anxiety disorders in adolescence.</w:t>
      </w:r>
    </w:p>
    <w:p w14:paraId="003F7DEE" w14:textId="77777777" w:rsidR="001D7E91" w:rsidRPr="00B163E9" w:rsidRDefault="001D7E91" w:rsidP="0002757A">
      <w:pPr>
        <w:spacing w:line="360" w:lineRule="auto"/>
        <w:jc w:val="both"/>
        <w:rPr>
          <w:rFonts w:ascii="Arial" w:hAnsi="Arial" w:cs="Arial"/>
          <w:sz w:val="22"/>
          <w:szCs w:val="22"/>
        </w:rPr>
      </w:pPr>
    </w:p>
    <w:p w14:paraId="21EB01A5" w14:textId="538586EC" w:rsidR="003178A9" w:rsidRPr="0002757A" w:rsidRDefault="003178A9" w:rsidP="0002757A">
      <w:pPr>
        <w:pStyle w:val="Heading1"/>
        <w:spacing w:line="360" w:lineRule="auto"/>
        <w:jc w:val="both"/>
        <w:rPr>
          <w:rFonts w:ascii="Arial" w:hAnsi="Arial" w:cs="Arial"/>
          <w:b/>
          <w:bCs/>
          <w:color w:val="auto"/>
          <w:sz w:val="22"/>
          <w:szCs w:val="22"/>
        </w:rPr>
      </w:pPr>
    </w:p>
    <w:p w14:paraId="3BB1753A" w14:textId="77777777" w:rsidR="003178A9" w:rsidRPr="008F26E3" w:rsidRDefault="003178A9" w:rsidP="00735502">
      <w:pPr>
        <w:spacing w:line="360" w:lineRule="auto"/>
        <w:jc w:val="both"/>
        <w:rPr>
          <w:rFonts w:ascii="Arial" w:hAnsi="Arial" w:cs="Arial"/>
        </w:rPr>
      </w:pPr>
    </w:p>
    <w:p w14:paraId="24AC2A6A" w14:textId="630F075E" w:rsidR="00735502" w:rsidRPr="008F26E3" w:rsidRDefault="00735502" w:rsidP="00735502">
      <w:pPr>
        <w:spacing w:line="360" w:lineRule="auto"/>
        <w:jc w:val="both"/>
        <w:rPr>
          <w:rFonts w:ascii="Arial" w:hAnsi="Arial" w:cs="Arial"/>
        </w:rPr>
      </w:pPr>
    </w:p>
    <w:p w14:paraId="612A903A" w14:textId="77777777" w:rsidR="00735502" w:rsidRPr="008F26E3" w:rsidRDefault="00735502" w:rsidP="00EA7671">
      <w:pPr>
        <w:spacing w:line="360" w:lineRule="auto"/>
        <w:jc w:val="both"/>
        <w:rPr>
          <w:rFonts w:ascii="Arial" w:hAnsi="Arial" w:cs="Arial"/>
        </w:rPr>
      </w:pPr>
    </w:p>
    <w:p w14:paraId="6CB44406" w14:textId="77777777" w:rsidR="0007721D" w:rsidRPr="008F26E3" w:rsidRDefault="0007721D" w:rsidP="00A1751D">
      <w:pPr>
        <w:spacing w:line="360" w:lineRule="auto"/>
        <w:jc w:val="both"/>
        <w:rPr>
          <w:rFonts w:ascii="Arial" w:hAnsi="Arial" w:cs="Arial"/>
        </w:rPr>
      </w:pPr>
    </w:p>
    <w:p w14:paraId="6A5BA2E9" w14:textId="6BED5E83" w:rsidR="0037720E" w:rsidRPr="008F26E3" w:rsidRDefault="0037720E" w:rsidP="0037720E">
      <w:pPr>
        <w:spacing w:line="360" w:lineRule="auto"/>
        <w:jc w:val="both"/>
        <w:rPr>
          <w:rFonts w:ascii="Arial" w:hAnsi="Arial" w:cs="Arial"/>
        </w:rPr>
      </w:pPr>
    </w:p>
    <w:p w14:paraId="19FD5DEF" w14:textId="77777777" w:rsidR="0037720E" w:rsidRPr="008F26E3" w:rsidRDefault="0037720E" w:rsidP="00C25089">
      <w:pPr>
        <w:spacing w:line="360" w:lineRule="auto"/>
        <w:jc w:val="both"/>
        <w:rPr>
          <w:rFonts w:ascii="Arial" w:hAnsi="Arial" w:cs="Arial"/>
        </w:rPr>
      </w:pPr>
    </w:p>
    <w:p w14:paraId="1064CEED" w14:textId="77777777" w:rsidR="00C25089" w:rsidRPr="008F26E3" w:rsidRDefault="00C25089" w:rsidP="00400F77">
      <w:pPr>
        <w:spacing w:line="360" w:lineRule="auto"/>
        <w:jc w:val="both"/>
        <w:rPr>
          <w:rFonts w:ascii="Arial" w:hAnsi="Arial" w:cs="Arial"/>
        </w:rPr>
      </w:pPr>
    </w:p>
    <w:p w14:paraId="4471F252" w14:textId="626A1A5D" w:rsidR="00400F77" w:rsidRPr="008F26E3" w:rsidRDefault="00400F77">
      <w:pPr>
        <w:rPr>
          <w:rFonts w:ascii="Arial" w:hAnsi="Arial" w:cs="Arial"/>
        </w:rPr>
      </w:pPr>
      <w:r w:rsidRPr="008F26E3">
        <w:rPr>
          <w:rFonts w:ascii="Arial" w:hAnsi="Arial" w:cs="Arial"/>
        </w:rPr>
        <w:br w:type="page"/>
      </w:r>
    </w:p>
    <w:p w14:paraId="755F71C6" w14:textId="28030547" w:rsidR="00400F77" w:rsidRPr="008F26E3" w:rsidRDefault="00400F77" w:rsidP="008F26E3">
      <w:pPr>
        <w:pStyle w:val="Heading1"/>
        <w:spacing w:line="360" w:lineRule="auto"/>
        <w:rPr>
          <w:rFonts w:ascii="Arial" w:hAnsi="Arial" w:cs="Arial"/>
          <w:b/>
          <w:bCs/>
          <w:color w:val="auto"/>
          <w:sz w:val="22"/>
          <w:szCs w:val="22"/>
        </w:rPr>
      </w:pPr>
      <w:bookmarkStart w:id="19" w:name="_Toc225734348"/>
      <w:r w:rsidRPr="008F26E3">
        <w:rPr>
          <w:rFonts w:ascii="Arial" w:hAnsi="Arial" w:cs="Arial"/>
          <w:b/>
          <w:bCs/>
          <w:color w:val="auto"/>
          <w:sz w:val="22"/>
          <w:szCs w:val="22"/>
        </w:rPr>
        <w:lastRenderedPageBreak/>
        <w:t>References</w:t>
      </w:r>
      <w:r w:rsidR="007114E1" w:rsidRPr="008F26E3">
        <w:rPr>
          <w:rFonts w:ascii="Arial" w:hAnsi="Arial" w:cs="Arial"/>
          <w:b/>
          <w:bCs/>
          <w:color w:val="auto"/>
          <w:sz w:val="22"/>
          <w:szCs w:val="22"/>
        </w:rPr>
        <w:t>:</w:t>
      </w:r>
      <w:bookmarkEnd w:id="19"/>
    </w:p>
    <w:p w14:paraId="34843E3B"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American Psychiatric Association (2022) </w:t>
      </w:r>
      <w:r w:rsidRPr="008F26E3">
        <w:rPr>
          <w:rFonts w:ascii="Arial" w:hAnsi="Arial" w:cs="Arial"/>
          <w:i/>
          <w:iCs/>
          <w:sz w:val="22"/>
          <w:szCs w:val="22"/>
        </w:rPr>
        <w:t>Diagnostic and statistical manual of mental disorders</w:t>
      </w:r>
      <w:r w:rsidRPr="008F26E3">
        <w:rPr>
          <w:rFonts w:ascii="Arial" w:hAnsi="Arial" w:cs="Arial"/>
          <w:sz w:val="22"/>
          <w:szCs w:val="22"/>
        </w:rPr>
        <w:t xml:space="preserve">. 5th </w:t>
      </w:r>
      <w:proofErr w:type="spellStart"/>
      <w:r w:rsidRPr="008F26E3">
        <w:rPr>
          <w:rFonts w:ascii="Arial" w:hAnsi="Arial" w:cs="Arial"/>
          <w:sz w:val="22"/>
          <w:szCs w:val="22"/>
        </w:rPr>
        <w:t>edn</w:t>
      </w:r>
      <w:proofErr w:type="spellEnd"/>
      <w:r w:rsidRPr="008F26E3">
        <w:rPr>
          <w:rFonts w:ascii="Arial" w:hAnsi="Arial" w:cs="Arial"/>
          <w:sz w:val="22"/>
          <w:szCs w:val="22"/>
        </w:rPr>
        <w:t xml:space="preserve">, text revision. Washington, DC: American Psychiatric Association. Available at: </w:t>
      </w:r>
      <w:hyperlink r:id="rId10" w:tgtFrame="_new" w:history="1">
        <w:r w:rsidRPr="008F26E3">
          <w:rPr>
            <w:rStyle w:val="Hyperlink"/>
            <w:rFonts w:ascii="Arial" w:hAnsi="Arial" w:cs="Arial"/>
            <w:sz w:val="22"/>
            <w:szCs w:val="22"/>
          </w:rPr>
          <w:t>https://www.psychiatry.org/psychiatrists/practice/dsm</w:t>
        </w:r>
      </w:hyperlink>
      <w:r w:rsidRPr="008F26E3">
        <w:rPr>
          <w:rFonts w:ascii="Arial" w:hAnsi="Arial" w:cs="Arial"/>
          <w:sz w:val="22"/>
          <w:szCs w:val="22"/>
        </w:rPr>
        <w:t xml:space="preserve"> (Accessed: 8 March 2026).</w:t>
      </w:r>
    </w:p>
    <w:p w14:paraId="50543B65" w14:textId="77777777" w:rsidR="007114E1" w:rsidRPr="008F26E3" w:rsidRDefault="007114E1" w:rsidP="008F26E3">
      <w:pPr>
        <w:spacing w:line="360" w:lineRule="auto"/>
        <w:rPr>
          <w:rFonts w:ascii="Arial" w:hAnsi="Arial" w:cs="Arial"/>
          <w:sz w:val="22"/>
          <w:szCs w:val="22"/>
        </w:rPr>
      </w:pPr>
      <w:proofErr w:type="spellStart"/>
      <w:r w:rsidRPr="008F26E3">
        <w:rPr>
          <w:rFonts w:ascii="Arial" w:hAnsi="Arial" w:cs="Arial"/>
          <w:sz w:val="22"/>
          <w:szCs w:val="22"/>
        </w:rPr>
        <w:t>Aromataris</w:t>
      </w:r>
      <w:proofErr w:type="spellEnd"/>
      <w:r w:rsidRPr="008F26E3">
        <w:rPr>
          <w:rFonts w:ascii="Arial" w:hAnsi="Arial" w:cs="Arial"/>
          <w:sz w:val="22"/>
          <w:szCs w:val="22"/>
        </w:rPr>
        <w:t xml:space="preserve">, E. and Munn, Z. (2020) </w:t>
      </w:r>
      <w:r w:rsidRPr="008F26E3">
        <w:rPr>
          <w:rFonts w:ascii="Arial" w:hAnsi="Arial" w:cs="Arial"/>
          <w:i/>
          <w:iCs/>
          <w:sz w:val="22"/>
          <w:szCs w:val="22"/>
        </w:rPr>
        <w:t>JBI manual for evidence synthesis</w:t>
      </w:r>
      <w:r w:rsidRPr="008F26E3">
        <w:rPr>
          <w:rFonts w:ascii="Arial" w:hAnsi="Arial" w:cs="Arial"/>
          <w:sz w:val="22"/>
          <w:szCs w:val="22"/>
        </w:rPr>
        <w:t xml:space="preserve">. Joanna Briggs Institute. Available at: </w:t>
      </w:r>
      <w:hyperlink r:id="rId11" w:tgtFrame="_new" w:history="1">
        <w:r w:rsidRPr="008F26E3">
          <w:rPr>
            <w:rStyle w:val="Hyperlink"/>
            <w:rFonts w:ascii="Arial" w:hAnsi="Arial" w:cs="Arial"/>
            <w:sz w:val="22"/>
            <w:szCs w:val="22"/>
          </w:rPr>
          <w:t>https://jbi-global-wiki.refined.site/space/MANUAL</w:t>
        </w:r>
      </w:hyperlink>
      <w:r w:rsidRPr="008F26E3">
        <w:rPr>
          <w:rFonts w:ascii="Arial" w:hAnsi="Arial" w:cs="Arial"/>
          <w:sz w:val="22"/>
          <w:szCs w:val="22"/>
        </w:rPr>
        <w:t xml:space="preserve"> (Accessed: 3 March 2026).</w:t>
      </w:r>
    </w:p>
    <w:p w14:paraId="4A7762FD"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Arksey, H. and O’Malley, L. (2005) ‘Scoping studies: Towards a methodological framework’, </w:t>
      </w:r>
      <w:r w:rsidRPr="008F26E3">
        <w:rPr>
          <w:rFonts w:ascii="Arial" w:hAnsi="Arial" w:cs="Arial"/>
          <w:i/>
          <w:iCs/>
          <w:sz w:val="22"/>
          <w:szCs w:val="22"/>
        </w:rPr>
        <w:t>International Journal of Social Research Methodology</w:t>
      </w:r>
      <w:r w:rsidRPr="008F26E3">
        <w:rPr>
          <w:rFonts w:ascii="Arial" w:hAnsi="Arial" w:cs="Arial"/>
          <w:sz w:val="22"/>
          <w:szCs w:val="22"/>
        </w:rPr>
        <w:t xml:space="preserve">, 8(1), pp. 19–32. Available at: </w:t>
      </w:r>
      <w:hyperlink r:id="rId12" w:tgtFrame="_new" w:history="1">
        <w:r w:rsidRPr="008F26E3">
          <w:rPr>
            <w:rStyle w:val="Hyperlink"/>
            <w:rFonts w:ascii="Arial" w:hAnsi="Arial" w:cs="Arial"/>
            <w:sz w:val="22"/>
            <w:szCs w:val="22"/>
          </w:rPr>
          <w:t>https://www.tandfonline.com/doi/abs/10.1080/1364557032000119616</w:t>
        </w:r>
      </w:hyperlink>
      <w:r w:rsidRPr="008F26E3">
        <w:rPr>
          <w:rFonts w:ascii="Arial" w:hAnsi="Arial" w:cs="Arial"/>
          <w:sz w:val="22"/>
          <w:szCs w:val="22"/>
        </w:rPr>
        <w:t xml:space="preserve"> (Accessed: 7 March 2026).</w:t>
      </w:r>
    </w:p>
    <w:p w14:paraId="611D60D2"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Aveyard, H. (2021) </w:t>
      </w:r>
      <w:r w:rsidRPr="008F26E3">
        <w:rPr>
          <w:rFonts w:ascii="Arial" w:hAnsi="Arial" w:cs="Arial"/>
          <w:i/>
          <w:iCs/>
          <w:sz w:val="22"/>
          <w:szCs w:val="22"/>
        </w:rPr>
        <w:t>Doing a literature review in health and social care: A practical guide</w:t>
      </w:r>
      <w:r w:rsidRPr="008F26E3">
        <w:rPr>
          <w:rFonts w:ascii="Arial" w:hAnsi="Arial" w:cs="Arial"/>
          <w:sz w:val="22"/>
          <w:szCs w:val="22"/>
        </w:rPr>
        <w:t xml:space="preserve">. 4th </w:t>
      </w:r>
      <w:proofErr w:type="spellStart"/>
      <w:r w:rsidRPr="008F26E3">
        <w:rPr>
          <w:rFonts w:ascii="Arial" w:hAnsi="Arial" w:cs="Arial"/>
          <w:sz w:val="22"/>
          <w:szCs w:val="22"/>
        </w:rPr>
        <w:t>edn</w:t>
      </w:r>
      <w:proofErr w:type="spellEnd"/>
      <w:r w:rsidRPr="008F26E3">
        <w:rPr>
          <w:rFonts w:ascii="Arial" w:hAnsi="Arial" w:cs="Arial"/>
          <w:sz w:val="22"/>
          <w:szCs w:val="22"/>
        </w:rPr>
        <w:t>. Maidenhead: Open University Press.</w:t>
      </w:r>
    </w:p>
    <w:p w14:paraId="3F183B1F"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Booth, A., Sutton, A., Clowes, M. and Martyn-St James, M. (2021) </w:t>
      </w:r>
      <w:r w:rsidRPr="008F26E3">
        <w:rPr>
          <w:rFonts w:ascii="Arial" w:hAnsi="Arial" w:cs="Arial"/>
          <w:i/>
          <w:iCs/>
          <w:sz w:val="22"/>
          <w:szCs w:val="22"/>
        </w:rPr>
        <w:t>Systematic approaches to a successful literature review</w:t>
      </w:r>
      <w:r w:rsidRPr="008F26E3">
        <w:rPr>
          <w:rFonts w:ascii="Arial" w:hAnsi="Arial" w:cs="Arial"/>
          <w:sz w:val="22"/>
          <w:szCs w:val="22"/>
        </w:rPr>
        <w:t xml:space="preserve">. 3rd </w:t>
      </w:r>
      <w:proofErr w:type="spellStart"/>
      <w:r w:rsidRPr="008F26E3">
        <w:rPr>
          <w:rFonts w:ascii="Arial" w:hAnsi="Arial" w:cs="Arial"/>
          <w:sz w:val="22"/>
          <w:szCs w:val="22"/>
        </w:rPr>
        <w:t>edn</w:t>
      </w:r>
      <w:proofErr w:type="spellEnd"/>
      <w:r w:rsidRPr="008F26E3">
        <w:rPr>
          <w:rFonts w:ascii="Arial" w:hAnsi="Arial" w:cs="Arial"/>
          <w:sz w:val="22"/>
          <w:szCs w:val="22"/>
        </w:rPr>
        <w:t xml:space="preserve">. London: SAGE Publications. Available at: </w:t>
      </w:r>
      <w:hyperlink r:id="rId13" w:tgtFrame="_new" w:history="1">
        <w:r w:rsidRPr="008F26E3">
          <w:rPr>
            <w:rStyle w:val="Hyperlink"/>
            <w:rFonts w:ascii="Arial" w:hAnsi="Arial" w:cs="Arial"/>
            <w:sz w:val="22"/>
            <w:szCs w:val="22"/>
          </w:rPr>
          <w:t>https://study.sagepub.com/booth3e</w:t>
        </w:r>
      </w:hyperlink>
      <w:r w:rsidRPr="008F26E3">
        <w:rPr>
          <w:rFonts w:ascii="Arial" w:hAnsi="Arial" w:cs="Arial"/>
          <w:sz w:val="22"/>
          <w:szCs w:val="22"/>
        </w:rPr>
        <w:t xml:space="preserve"> (Accessed: 4 March 2026).</w:t>
      </w:r>
    </w:p>
    <w:p w14:paraId="1FA0DE25"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Bandelow, B. and Michaelis, S. (2022) ‘Epidemiology of anxiety disorders in the 21st century’, </w:t>
      </w:r>
      <w:r w:rsidRPr="008F26E3">
        <w:rPr>
          <w:rFonts w:ascii="Arial" w:hAnsi="Arial" w:cs="Arial"/>
          <w:i/>
          <w:iCs/>
          <w:sz w:val="22"/>
          <w:szCs w:val="22"/>
        </w:rPr>
        <w:t>Dialogues in Clinical Neuroscience</w:t>
      </w:r>
      <w:r w:rsidRPr="008F26E3">
        <w:rPr>
          <w:rFonts w:ascii="Arial" w:hAnsi="Arial" w:cs="Arial"/>
          <w:sz w:val="22"/>
          <w:szCs w:val="22"/>
        </w:rPr>
        <w:t xml:space="preserve">, 24(1), pp. 7–17. Available at: </w:t>
      </w:r>
      <w:hyperlink r:id="rId14" w:tgtFrame="_new" w:history="1">
        <w:r w:rsidRPr="008F26E3">
          <w:rPr>
            <w:rStyle w:val="Hyperlink"/>
            <w:rFonts w:ascii="Arial" w:hAnsi="Arial" w:cs="Arial"/>
            <w:sz w:val="22"/>
            <w:szCs w:val="22"/>
          </w:rPr>
          <w:t>https://www.tandfonline.com/doi/full/10.31887/DCNS.2022.24.1/bandelow</w:t>
        </w:r>
      </w:hyperlink>
      <w:r w:rsidRPr="008F26E3">
        <w:rPr>
          <w:rFonts w:ascii="Arial" w:hAnsi="Arial" w:cs="Arial"/>
          <w:sz w:val="22"/>
          <w:szCs w:val="22"/>
        </w:rPr>
        <w:t xml:space="preserve"> (Accessed: 5 March 2026).</w:t>
      </w:r>
    </w:p>
    <w:p w14:paraId="7976E8A9"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British Psychological Society (2021) </w:t>
      </w:r>
      <w:r w:rsidRPr="008F26E3">
        <w:rPr>
          <w:rFonts w:ascii="Arial" w:hAnsi="Arial" w:cs="Arial"/>
          <w:i/>
          <w:iCs/>
          <w:sz w:val="22"/>
          <w:szCs w:val="22"/>
        </w:rPr>
        <w:t>Code of ethics and conduct</w:t>
      </w:r>
      <w:r w:rsidRPr="008F26E3">
        <w:rPr>
          <w:rFonts w:ascii="Arial" w:hAnsi="Arial" w:cs="Arial"/>
          <w:sz w:val="22"/>
          <w:szCs w:val="22"/>
        </w:rPr>
        <w:t xml:space="preserve">. Leicester: British Psychological Society. Available at: </w:t>
      </w:r>
      <w:hyperlink r:id="rId15" w:tgtFrame="_new" w:history="1">
        <w:r w:rsidRPr="008F26E3">
          <w:rPr>
            <w:rStyle w:val="Hyperlink"/>
            <w:rFonts w:ascii="Arial" w:hAnsi="Arial" w:cs="Arial"/>
            <w:sz w:val="22"/>
            <w:szCs w:val="22"/>
          </w:rPr>
          <w:t>https://www.bps.org.uk/guideline/code-ethics-and-conduct</w:t>
        </w:r>
      </w:hyperlink>
      <w:r w:rsidRPr="008F26E3">
        <w:rPr>
          <w:rFonts w:ascii="Arial" w:hAnsi="Arial" w:cs="Arial"/>
          <w:sz w:val="22"/>
          <w:szCs w:val="22"/>
        </w:rPr>
        <w:t xml:space="preserve"> (Accessed: 2 March 2026).</w:t>
      </w:r>
    </w:p>
    <w:p w14:paraId="61C89693"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Children's Commissioner for England (2024) </w:t>
      </w:r>
      <w:r w:rsidRPr="008F26E3">
        <w:rPr>
          <w:rFonts w:ascii="Arial" w:hAnsi="Arial" w:cs="Arial"/>
          <w:i/>
          <w:iCs/>
          <w:sz w:val="22"/>
          <w:szCs w:val="22"/>
        </w:rPr>
        <w:t>Children’s Commissioner responds to new figures on children referred to mental health support for anxiety</w:t>
      </w:r>
      <w:r w:rsidRPr="008F26E3">
        <w:rPr>
          <w:rFonts w:ascii="Arial" w:hAnsi="Arial" w:cs="Arial"/>
          <w:sz w:val="22"/>
          <w:szCs w:val="22"/>
        </w:rPr>
        <w:t xml:space="preserve">. Available at: </w:t>
      </w:r>
      <w:hyperlink r:id="rId16" w:tgtFrame="_new" w:history="1">
        <w:r w:rsidRPr="008F26E3">
          <w:rPr>
            <w:rStyle w:val="Hyperlink"/>
            <w:rFonts w:ascii="Arial" w:hAnsi="Arial" w:cs="Arial"/>
            <w:sz w:val="22"/>
            <w:szCs w:val="22"/>
          </w:rPr>
          <w:t>https://www.childrenscommissioner.gov.uk/blog/childrens-commissioner-responds-to-new-figures-on-children-referred-to-mental-health-support-for-anxiety/</w:t>
        </w:r>
      </w:hyperlink>
      <w:r w:rsidRPr="008F26E3">
        <w:rPr>
          <w:rFonts w:ascii="Arial" w:hAnsi="Arial" w:cs="Arial"/>
          <w:sz w:val="22"/>
          <w:szCs w:val="22"/>
        </w:rPr>
        <w:t xml:space="preserve"> (Accessed: 9 March 2026).</w:t>
      </w:r>
    </w:p>
    <w:p w14:paraId="674576EB"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Creswell, C., Waite, P. and Hudson, J. (2020) ‘Practitioner review: Anxiety disorders in children and young people – assessment and treatment’, </w:t>
      </w:r>
      <w:r w:rsidRPr="008F26E3">
        <w:rPr>
          <w:rFonts w:ascii="Arial" w:hAnsi="Arial" w:cs="Arial"/>
          <w:i/>
          <w:iCs/>
          <w:sz w:val="22"/>
          <w:szCs w:val="22"/>
        </w:rPr>
        <w:t>Journal of Child Psychology and Psychiatry</w:t>
      </w:r>
      <w:r w:rsidRPr="008F26E3">
        <w:rPr>
          <w:rFonts w:ascii="Arial" w:hAnsi="Arial" w:cs="Arial"/>
          <w:sz w:val="22"/>
          <w:szCs w:val="22"/>
        </w:rPr>
        <w:t xml:space="preserve">, 61(6), pp. 628–643. Available at: </w:t>
      </w:r>
      <w:hyperlink r:id="rId17" w:tgtFrame="_new" w:history="1">
        <w:r w:rsidRPr="008F26E3">
          <w:rPr>
            <w:rStyle w:val="Hyperlink"/>
            <w:rFonts w:ascii="Arial" w:hAnsi="Arial" w:cs="Arial"/>
            <w:sz w:val="22"/>
            <w:szCs w:val="22"/>
          </w:rPr>
          <w:t>https://pubmed.ncbi.nlm.nih.gov/31960440/</w:t>
        </w:r>
      </w:hyperlink>
      <w:r w:rsidRPr="008F26E3">
        <w:rPr>
          <w:rFonts w:ascii="Arial" w:hAnsi="Arial" w:cs="Arial"/>
          <w:sz w:val="22"/>
          <w:szCs w:val="22"/>
        </w:rPr>
        <w:t xml:space="preserve"> (Accessed: 6 March 2026).</w:t>
      </w:r>
    </w:p>
    <w:p w14:paraId="6EEFF653"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lastRenderedPageBreak/>
        <w:t xml:space="preserve">Green, I., Reardon, T., Button, R., Williamson, V., Halliday, G., Hill, C., Larkin, M., Sniehotta, F.F., </w:t>
      </w:r>
      <w:proofErr w:type="spellStart"/>
      <w:r w:rsidRPr="008F26E3">
        <w:rPr>
          <w:rFonts w:ascii="Arial" w:hAnsi="Arial" w:cs="Arial"/>
          <w:sz w:val="22"/>
          <w:szCs w:val="22"/>
        </w:rPr>
        <w:t>Ukoumunne</w:t>
      </w:r>
      <w:proofErr w:type="spellEnd"/>
      <w:r w:rsidRPr="008F26E3">
        <w:rPr>
          <w:rFonts w:ascii="Arial" w:hAnsi="Arial" w:cs="Arial"/>
          <w:sz w:val="22"/>
          <w:szCs w:val="22"/>
        </w:rPr>
        <w:t xml:space="preserve">, O.C., Ford, T., Spence, S.H., Stallard, P. and Creswell, C. (2023) ‘Increasing access to evidence-based treatment for child anxiety problems: Online parent-led CBT for children identified via schools’, </w:t>
      </w:r>
      <w:r w:rsidRPr="008F26E3">
        <w:rPr>
          <w:rFonts w:ascii="Arial" w:hAnsi="Arial" w:cs="Arial"/>
          <w:i/>
          <w:iCs/>
          <w:sz w:val="22"/>
          <w:szCs w:val="22"/>
        </w:rPr>
        <w:t>Child and Adolescent Mental Health</w:t>
      </w:r>
      <w:r w:rsidRPr="008F26E3">
        <w:rPr>
          <w:rFonts w:ascii="Arial" w:hAnsi="Arial" w:cs="Arial"/>
          <w:sz w:val="22"/>
          <w:szCs w:val="22"/>
        </w:rPr>
        <w:t xml:space="preserve">, 28(1), pp. 42–51. Available at: </w:t>
      </w:r>
      <w:hyperlink r:id="rId18" w:tgtFrame="_new" w:history="1">
        <w:r w:rsidRPr="008F26E3">
          <w:rPr>
            <w:rStyle w:val="Hyperlink"/>
            <w:rFonts w:ascii="Arial" w:hAnsi="Arial" w:cs="Arial"/>
            <w:sz w:val="22"/>
            <w:szCs w:val="22"/>
          </w:rPr>
          <w:t>https://doi.org/10.1111/camh.12612</w:t>
        </w:r>
      </w:hyperlink>
      <w:r w:rsidRPr="008F26E3">
        <w:rPr>
          <w:rFonts w:ascii="Arial" w:hAnsi="Arial" w:cs="Arial"/>
          <w:sz w:val="22"/>
          <w:szCs w:val="22"/>
        </w:rPr>
        <w:t xml:space="preserve"> (Accessed: 4 March 2026).</w:t>
      </w:r>
    </w:p>
    <w:p w14:paraId="06C9D002"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Haddaway, N.R., Page, M.J., Pritchard, C.C. and McGuinness, L.A. (2020) ‘PRISMA2020: An R package and Shiny app for producing PRISMA 2020 compliant flow diagrams’, </w:t>
      </w:r>
      <w:r w:rsidRPr="008F26E3">
        <w:rPr>
          <w:rFonts w:ascii="Arial" w:hAnsi="Arial" w:cs="Arial"/>
          <w:i/>
          <w:iCs/>
          <w:sz w:val="22"/>
          <w:szCs w:val="22"/>
        </w:rPr>
        <w:t>Campbell Systematic Reviews</w:t>
      </w:r>
      <w:r w:rsidRPr="008F26E3">
        <w:rPr>
          <w:rFonts w:ascii="Arial" w:hAnsi="Arial" w:cs="Arial"/>
          <w:sz w:val="22"/>
          <w:szCs w:val="22"/>
        </w:rPr>
        <w:t xml:space="preserve">, 16(3), e1230. Available at: </w:t>
      </w:r>
      <w:hyperlink r:id="rId19" w:tgtFrame="_new" w:history="1">
        <w:r w:rsidRPr="008F26E3">
          <w:rPr>
            <w:rStyle w:val="Hyperlink"/>
            <w:rFonts w:ascii="Arial" w:hAnsi="Arial" w:cs="Arial"/>
            <w:sz w:val="22"/>
            <w:szCs w:val="22"/>
          </w:rPr>
          <w:t>https://onlinelibrary.wiley.com/doi/10.1002/cl2.1230</w:t>
        </w:r>
      </w:hyperlink>
      <w:r w:rsidRPr="008F26E3">
        <w:rPr>
          <w:rFonts w:ascii="Arial" w:hAnsi="Arial" w:cs="Arial"/>
          <w:sz w:val="22"/>
          <w:szCs w:val="22"/>
        </w:rPr>
        <w:t xml:space="preserve"> (Accessed: 8 March 2026).</w:t>
      </w:r>
    </w:p>
    <w:p w14:paraId="073D87F7"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Loades, M.E., Chatburn, E., Higson-Sweeney, N., Reynolds, S., Shafran, R., Brigden, A., Linney, C., McManus, M.N., Borwick, C. and Crawley, E. (2020) ‘Rapid systematic review: The impact of social isolation and loneliness on the mental health of children and adolescents in the context of COVID-19’, </w:t>
      </w:r>
      <w:r w:rsidRPr="008F26E3">
        <w:rPr>
          <w:rFonts w:ascii="Arial" w:hAnsi="Arial" w:cs="Arial"/>
          <w:i/>
          <w:iCs/>
          <w:sz w:val="22"/>
          <w:szCs w:val="22"/>
        </w:rPr>
        <w:t>Journal of the American Academy of Child and Adolescent Psychiatry</w:t>
      </w:r>
      <w:r w:rsidRPr="008F26E3">
        <w:rPr>
          <w:rFonts w:ascii="Arial" w:hAnsi="Arial" w:cs="Arial"/>
          <w:sz w:val="22"/>
          <w:szCs w:val="22"/>
        </w:rPr>
        <w:t xml:space="preserve">, 59(11), pp. 1218–1239. Available at: </w:t>
      </w:r>
      <w:hyperlink r:id="rId20" w:tgtFrame="_new" w:history="1">
        <w:r w:rsidRPr="008F26E3">
          <w:rPr>
            <w:rStyle w:val="Hyperlink"/>
            <w:rFonts w:ascii="Arial" w:hAnsi="Arial" w:cs="Arial"/>
            <w:sz w:val="22"/>
            <w:szCs w:val="22"/>
          </w:rPr>
          <w:t>https://pmc.ncbi.nlm.nih.gov/articles/PMC7267797/</w:t>
        </w:r>
      </w:hyperlink>
      <w:r w:rsidRPr="008F26E3">
        <w:rPr>
          <w:rFonts w:ascii="Arial" w:hAnsi="Arial" w:cs="Arial"/>
          <w:sz w:val="22"/>
          <w:szCs w:val="22"/>
        </w:rPr>
        <w:t xml:space="preserve"> (Accessed: 3 March 2026).</w:t>
      </w:r>
    </w:p>
    <w:p w14:paraId="5E95BAC9"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Munn, Z., Pollock, D., Khalil, H., Alexander, L., McInerney, P., Godfrey, C., Peters, M. and </w:t>
      </w:r>
      <w:proofErr w:type="spellStart"/>
      <w:r w:rsidRPr="008F26E3">
        <w:rPr>
          <w:rFonts w:ascii="Arial" w:hAnsi="Arial" w:cs="Arial"/>
          <w:sz w:val="22"/>
          <w:szCs w:val="22"/>
        </w:rPr>
        <w:t>Tricco</w:t>
      </w:r>
      <w:proofErr w:type="spellEnd"/>
      <w:r w:rsidRPr="008F26E3">
        <w:rPr>
          <w:rFonts w:ascii="Arial" w:hAnsi="Arial" w:cs="Arial"/>
          <w:sz w:val="22"/>
          <w:szCs w:val="22"/>
        </w:rPr>
        <w:t xml:space="preserve">, A. (2022) ‘What are scoping reviews? Providing a formal definition of scoping reviews as a type of evidence synthesis’, </w:t>
      </w:r>
      <w:r w:rsidRPr="008F26E3">
        <w:rPr>
          <w:rFonts w:ascii="Arial" w:hAnsi="Arial" w:cs="Arial"/>
          <w:i/>
          <w:iCs/>
          <w:sz w:val="22"/>
          <w:szCs w:val="22"/>
        </w:rPr>
        <w:t>JBI Evidence Synthesis</w:t>
      </w:r>
      <w:r w:rsidRPr="008F26E3">
        <w:rPr>
          <w:rFonts w:ascii="Arial" w:hAnsi="Arial" w:cs="Arial"/>
          <w:sz w:val="22"/>
          <w:szCs w:val="22"/>
        </w:rPr>
        <w:t xml:space="preserve">, 20(4), pp. 950–952. Available at: </w:t>
      </w:r>
      <w:hyperlink r:id="rId21" w:tgtFrame="_new" w:history="1">
        <w:r w:rsidRPr="008F26E3">
          <w:rPr>
            <w:rStyle w:val="Hyperlink"/>
            <w:rFonts w:ascii="Arial" w:hAnsi="Arial" w:cs="Arial"/>
            <w:sz w:val="22"/>
            <w:szCs w:val="22"/>
          </w:rPr>
          <w:t>https://journals.lww.com/jbisrir/fulltext/2022/04000/what_are_scoping_reviews__providing_a_formal.2.aspx</w:t>
        </w:r>
      </w:hyperlink>
      <w:r w:rsidRPr="008F26E3">
        <w:rPr>
          <w:rFonts w:ascii="Arial" w:hAnsi="Arial" w:cs="Arial"/>
          <w:sz w:val="22"/>
          <w:szCs w:val="22"/>
        </w:rPr>
        <w:t xml:space="preserve"> (Accessed: 7 March 2026).</w:t>
      </w:r>
    </w:p>
    <w:p w14:paraId="312BA9BB"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NHS Digital (2023) </w:t>
      </w:r>
      <w:r w:rsidRPr="008F26E3">
        <w:rPr>
          <w:rFonts w:ascii="Arial" w:hAnsi="Arial" w:cs="Arial"/>
          <w:i/>
          <w:iCs/>
          <w:sz w:val="22"/>
          <w:szCs w:val="22"/>
        </w:rPr>
        <w:t>Mental health of children and young people in England</w:t>
      </w:r>
      <w:r w:rsidRPr="008F26E3">
        <w:rPr>
          <w:rFonts w:ascii="Arial" w:hAnsi="Arial" w:cs="Arial"/>
          <w:sz w:val="22"/>
          <w:szCs w:val="22"/>
        </w:rPr>
        <w:t xml:space="preserve">. Available at: </w:t>
      </w:r>
      <w:hyperlink r:id="rId22" w:tgtFrame="_new" w:history="1">
        <w:r w:rsidRPr="008F26E3">
          <w:rPr>
            <w:rStyle w:val="Hyperlink"/>
            <w:rFonts w:ascii="Arial" w:hAnsi="Arial" w:cs="Arial"/>
            <w:sz w:val="22"/>
            <w:szCs w:val="22"/>
          </w:rPr>
          <w:t>https://digital.nhs.uk/data-and-information/publications/statistical/mental-health-of-children-and-young-people-in-england</w:t>
        </w:r>
      </w:hyperlink>
      <w:r w:rsidRPr="008F26E3">
        <w:rPr>
          <w:rFonts w:ascii="Arial" w:hAnsi="Arial" w:cs="Arial"/>
          <w:sz w:val="22"/>
          <w:szCs w:val="22"/>
        </w:rPr>
        <w:t xml:space="preserve"> (Accessed: 6 March 2026).</w:t>
      </w:r>
    </w:p>
    <w:p w14:paraId="731B364F"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NHS England (2023) </w:t>
      </w:r>
      <w:r w:rsidRPr="008F26E3">
        <w:rPr>
          <w:rFonts w:ascii="Arial" w:hAnsi="Arial" w:cs="Arial"/>
          <w:i/>
          <w:iCs/>
          <w:sz w:val="22"/>
          <w:szCs w:val="22"/>
        </w:rPr>
        <w:t>Mental health of children and young people in England, 2023: Wave 4 follow up to the 2017 survey</w:t>
      </w:r>
      <w:r w:rsidRPr="008F26E3">
        <w:rPr>
          <w:rFonts w:ascii="Arial" w:hAnsi="Arial" w:cs="Arial"/>
          <w:sz w:val="22"/>
          <w:szCs w:val="22"/>
        </w:rPr>
        <w:t xml:space="preserve">. Available at: </w:t>
      </w:r>
      <w:hyperlink r:id="rId23" w:tgtFrame="_new" w:history="1">
        <w:r w:rsidRPr="008F26E3">
          <w:rPr>
            <w:rStyle w:val="Hyperlink"/>
            <w:rFonts w:ascii="Arial" w:hAnsi="Arial" w:cs="Arial"/>
            <w:sz w:val="22"/>
            <w:szCs w:val="22"/>
          </w:rPr>
          <w:t>https://digital.nhs.uk/data-and-information/publications/statistical/mental-health-of-children-and-young-people-in-england/2023-wave-4-follow-up</w:t>
        </w:r>
      </w:hyperlink>
      <w:r w:rsidRPr="008F26E3">
        <w:rPr>
          <w:rFonts w:ascii="Arial" w:hAnsi="Arial" w:cs="Arial"/>
          <w:sz w:val="22"/>
          <w:szCs w:val="22"/>
        </w:rPr>
        <w:t xml:space="preserve"> (Accessed: 5 March 2026).</w:t>
      </w:r>
    </w:p>
    <w:p w14:paraId="75FF6A8F"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NICE (2024) </w:t>
      </w:r>
      <w:r w:rsidRPr="008F26E3">
        <w:rPr>
          <w:rFonts w:ascii="Arial" w:hAnsi="Arial" w:cs="Arial"/>
          <w:i/>
          <w:iCs/>
          <w:sz w:val="22"/>
          <w:szCs w:val="22"/>
        </w:rPr>
        <w:t>Generalised anxiety disorder and panic disorder in adults: Management</w:t>
      </w:r>
      <w:r w:rsidRPr="008F26E3">
        <w:rPr>
          <w:rFonts w:ascii="Arial" w:hAnsi="Arial" w:cs="Arial"/>
          <w:sz w:val="22"/>
          <w:szCs w:val="22"/>
        </w:rPr>
        <w:t xml:space="preserve">. Available at: </w:t>
      </w:r>
      <w:hyperlink r:id="rId24" w:tgtFrame="_new" w:history="1">
        <w:r w:rsidRPr="008F26E3">
          <w:rPr>
            <w:rStyle w:val="Hyperlink"/>
            <w:rFonts w:ascii="Arial" w:hAnsi="Arial" w:cs="Arial"/>
            <w:sz w:val="22"/>
            <w:szCs w:val="22"/>
          </w:rPr>
          <w:t>https://www.nice.org.uk/guidance/cg113</w:t>
        </w:r>
      </w:hyperlink>
      <w:r w:rsidRPr="008F26E3">
        <w:rPr>
          <w:rFonts w:ascii="Arial" w:hAnsi="Arial" w:cs="Arial"/>
          <w:sz w:val="22"/>
          <w:szCs w:val="22"/>
        </w:rPr>
        <w:t xml:space="preserve"> (Accessed: 9 March 2026).</w:t>
      </w:r>
    </w:p>
    <w:p w14:paraId="62A7E583"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Page, M.J., McKenzie, J.E., Bossuyt, P.M., </w:t>
      </w:r>
      <w:proofErr w:type="spellStart"/>
      <w:r w:rsidRPr="008F26E3">
        <w:rPr>
          <w:rFonts w:ascii="Arial" w:hAnsi="Arial" w:cs="Arial"/>
          <w:sz w:val="22"/>
          <w:szCs w:val="22"/>
        </w:rPr>
        <w:t>Boutron</w:t>
      </w:r>
      <w:proofErr w:type="spellEnd"/>
      <w:r w:rsidRPr="008F26E3">
        <w:rPr>
          <w:rFonts w:ascii="Arial" w:hAnsi="Arial" w:cs="Arial"/>
          <w:sz w:val="22"/>
          <w:szCs w:val="22"/>
        </w:rPr>
        <w:t xml:space="preserve">, I., Hoffmann, T.C., Mulrow, C.D., </w:t>
      </w:r>
      <w:proofErr w:type="spellStart"/>
      <w:r w:rsidRPr="008F26E3">
        <w:rPr>
          <w:rFonts w:ascii="Arial" w:hAnsi="Arial" w:cs="Arial"/>
          <w:sz w:val="22"/>
          <w:szCs w:val="22"/>
        </w:rPr>
        <w:t>Shamseer</w:t>
      </w:r>
      <w:proofErr w:type="spellEnd"/>
      <w:r w:rsidRPr="008F26E3">
        <w:rPr>
          <w:rFonts w:ascii="Arial" w:hAnsi="Arial" w:cs="Arial"/>
          <w:sz w:val="22"/>
          <w:szCs w:val="22"/>
        </w:rPr>
        <w:t xml:space="preserve">, L., Tetzlaff, J.M., Akl, E.A., Brennan, S.E., Chou, R., Glanville, J., Grimshaw, J.M., Hróbjartsson, A., Lalu, M.M., Li, T., Loder, E.W., Mayo-Wilson, E., McDonald, S., McGuinness, L.A., Stewart, L.A., Thomas, J., </w:t>
      </w:r>
      <w:proofErr w:type="spellStart"/>
      <w:r w:rsidRPr="008F26E3">
        <w:rPr>
          <w:rFonts w:ascii="Arial" w:hAnsi="Arial" w:cs="Arial"/>
          <w:sz w:val="22"/>
          <w:szCs w:val="22"/>
        </w:rPr>
        <w:t>Tricco</w:t>
      </w:r>
      <w:proofErr w:type="spellEnd"/>
      <w:r w:rsidRPr="008F26E3">
        <w:rPr>
          <w:rFonts w:ascii="Arial" w:hAnsi="Arial" w:cs="Arial"/>
          <w:sz w:val="22"/>
          <w:szCs w:val="22"/>
        </w:rPr>
        <w:t xml:space="preserve">, A.C., Welch, V.A., Whiting, P. and Moher, D. (2021) ‘The PRISMA 2020 statement: An updated guideline for reporting </w:t>
      </w:r>
      <w:r w:rsidRPr="008F26E3">
        <w:rPr>
          <w:rFonts w:ascii="Arial" w:hAnsi="Arial" w:cs="Arial"/>
          <w:sz w:val="22"/>
          <w:szCs w:val="22"/>
        </w:rPr>
        <w:lastRenderedPageBreak/>
        <w:t xml:space="preserve">systematic reviews’, </w:t>
      </w:r>
      <w:r w:rsidRPr="008F26E3">
        <w:rPr>
          <w:rFonts w:ascii="Arial" w:hAnsi="Arial" w:cs="Arial"/>
          <w:i/>
          <w:iCs/>
          <w:sz w:val="22"/>
          <w:szCs w:val="22"/>
        </w:rPr>
        <w:t>BMJ</w:t>
      </w:r>
      <w:r w:rsidRPr="008F26E3">
        <w:rPr>
          <w:rFonts w:ascii="Arial" w:hAnsi="Arial" w:cs="Arial"/>
          <w:sz w:val="22"/>
          <w:szCs w:val="22"/>
        </w:rPr>
        <w:t xml:space="preserve">, 372, n71. Available at: </w:t>
      </w:r>
      <w:hyperlink r:id="rId25" w:tgtFrame="_new" w:history="1">
        <w:r w:rsidRPr="008F26E3">
          <w:rPr>
            <w:rStyle w:val="Hyperlink"/>
            <w:rFonts w:ascii="Arial" w:hAnsi="Arial" w:cs="Arial"/>
            <w:sz w:val="22"/>
            <w:szCs w:val="22"/>
          </w:rPr>
          <w:t>https://www.bmj.com/content/372/bmj.n71</w:t>
        </w:r>
      </w:hyperlink>
      <w:r w:rsidRPr="008F26E3">
        <w:rPr>
          <w:rFonts w:ascii="Arial" w:hAnsi="Arial" w:cs="Arial"/>
          <w:sz w:val="22"/>
          <w:szCs w:val="22"/>
        </w:rPr>
        <w:t xml:space="preserve"> (Accessed: 10 March 2026).</w:t>
      </w:r>
    </w:p>
    <w:p w14:paraId="5E1CAC47"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Peters, M.D.J., Marnie, C., </w:t>
      </w:r>
      <w:proofErr w:type="spellStart"/>
      <w:r w:rsidRPr="008F26E3">
        <w:rPr>
          <w:rFonts w:ascii="Arial" w:hAnsi="Arial" w:cs="Arial"/>
          <w:sz w:val="22"/>
          <w:szCs w:val="22"/>
        </w:rPr>
        <w:t>Tricco</w:t>
      </w:r>
      <w:proofErr w:type="spellEnd"/>
      <w:r w:rsidRPr="008F26E3">
        <w:rPr>
          <w:rFonts w:ascii="Arial" w:hAnsi="Arial" w:cs="Arial"/>
          <w:sz w:val="22"/>
          <w:szCs w:val="22"/>
        </w:rPr>
        <w:t xml:space="preserve">, A.C., Pollock, D., Munn, Z., Alexander, L., McInerney, P., Godfrey, C.M. and Khalil, H. (2020) ‘Updated methodological guidance for the conduct of scoping reviews’, </w:t>
      </w:r>
      <w:r w:rsidRPr="008F26E3">
        <w:rPr>
          <w:rFonts w:ascii="Arial" w:hAnsi="Arial" w:cs="Arial"/>
          <w:i/>
          <w:iCs/>
          <w:sz w:val="22"/>
          <w:szCs w:val="22"/>
        </w:rPr>
        <w:t>JBI Evidence Synthesis</w:t>
      </w:r>
      <w:r w:rsidRPr="008F26E3">
        <w:rPr>
          <w:rFonts w:ascii="Arial" w:hAnsi="Arial" w:cs="Arial"/>
          <w:sz w:val="22"/>
          <w:szCs w:val="22"/>
        </w:rPr>
        <w:t xml:space="preserve">, 18(10), pp. 2119–2126. Available at: </w:t>
      </w:r>
      <w:hyperlink r:id="rId26" w:tgtFrame="_new" w:history="1">
        <w:r w:rsidRPr="008F26E3">
          <w:rPr>
            <w:rStyle w:val="Hyperlink"/>
            <w:rFonts w:ascii="Arial" w:hAnsi="Arial" w:cs="Arial"/>
            <w:sz w:val="22"/>
            <w:szCs w:val="22"/>
          </w:rPr>
          <w:t>https://journals.lww.com/jbisrir/fulltext/2020/10000/updated_methodological_guidance_for_the_conduct_of.4.aspx</w:t>
        </w:r>
      </w:hyperlink>
      <w:r w:rsidRPr="008F26E3">
        <w:rPr>
          <w:rFonts w:ascii="Arial" w:hAnsi="Arial" w:cs="Arial"/>
          <w:sz w:val="22"/>
          <w:szCs w:val="22"/>
        </w:rPr>
        <w:t xml:space="preserve"> (Accessed: 2 March 2026).</w:t>
      </w:r>
    </w:p>
    <w:p w14:paraId="0D0A09E5"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Rethink Mental Illness (2024) </w:t>
      </w:r>
      <w:r w:rsidRPr="008F26E3">
        <w:rPr>
          <w:rFonts w:ascii="Arial" w:hAnsi="Arial" w:cs="Arial"/>
          <w:i/>
          <w:iCs/>
          <w:sz w:val="22"/>
          <w:szCs w:val="22"/>
        </w:rPr>
        <w:t>The hidden toll of CAMHS waiting lists on young people’s mental health</w:t>
      </w:r>
      <w:r w:rsidRPr="008F26E3">
        <w:rPr>
          <w:rFonts w:ascii="Arial" w:hAnsi="Arial" w:cs="Arial"/>
          <w:sz w:val="22"/>
          <w:szCs w:val="22"/>
        </w:rPr>
        <w:t xml:space="preserve">. Available at: </w:t>
      </w:r>
      <w:hyperlink r:id="rId27" w:tgtFrame="_new" w:history="1">
        <w:r w:rsidRPr="008F26E3">
          <w:rPr>
            <w:rStyle w:val="Hyperlink"/>
            <w:rFonts w:ascii="Arial" w:hAnsi="Arial" w:cs="Arial"/>
            <w:sz w:val="22"/>
            <w:szCs w:val="22"/>
          </w:rPr>
          <w:t>https://www.rethink.org/news-and-stories/news-and-views/2024/the-hidden-toll-of-camhs-waiting-lists-on-young-people-s-mental-health/</w:t>
        </w:r>
      </w:hyperlink>
      <w:r w:rsidRPr="008F26E3">
        <w:rPr>
          <w:rFonts w:ascii="Arial" w:hAnsi="Arial" w:cs="Arial"/>
          <w:sz w:val="22"/>
          <w:szCs w:val="22"/>
        </w:rPr>
        <w:t xml:space="preserve"> (Accessed: 4 March 2026).</w:t>
      </w:r>
    </w:p>
    <w:p w14:paraId="552A5175"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Rodger, D. (2024) ‘What is a scoping review?’, </w:t>
      </w:r>
      <w:r w:rsidRPr="008F26E3">
        <w:rPr>
          <w:rFonts w:ascii="Arial" w:hAnsi="Arial" w:cs="Arial"/>
          <w:i/>
          <w:iCs/>
          <w:sz w:val="22"/>
          <w:szCs w:val="22"/>
        </w:rPr>
        <w:t>Evidence-Based Nursing</w:t>
      </w:r>
      <w:r w:rsidRPr="008F26E3">
        <w:rPr>
          <w:rFonts w:ascii="Arial" w:hAnsi="Arial" w:cs="Arial"/>
          <w:sz w:val="22"/>
          <w:szCs w:val="22"/>
        </w:rPr>
        <w:t xml:space="preserve">, 27(3), pp. 84–86. Available at: </w:t>
      </w:r>
      <w:hyperlink r:id="rId28" w:tgtFrame="_new" w:history="1">
        <w:r w:rsidRPr="008F26E3">
          <w:rPr>
            <w:rStyle w:val="Hyperlink"/>
            <w:rFonts w:ascii="Arial" w:hAnsi="Arial" w:cs="Arial"/>
            <w:sz w:val="22"/>
            <w:szCs w:val="22"/>
          </w:rPr>
          <w:t>https://ebn.bmj.com/content/27/3/84</w:t>
        </w:r>
      </w:hyperlink>
      <w:r w:rsidRPr="008F26E3">
        <w:rPr>
          <w:rFonts w:ascii="Arial" w:hAnsi="Arial" w:cs="Arial"/>
          <w:sz w:val="22"/>
          <w:szCs w:val="22"/>
        </w:rPr>
        <w:t xml:space="preserve"> (Accessed: 7 March 2026).</w:t>
      </w:r>
    </w:p>
    <w:p w14:paraId="5383E958"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Royal College of Psychiatrists (2024) </w:t>
      </w:r>
      <w:r w:rsidRPr="008F26E3">
        <w:rPr>
          <w:rFonts w:ascii="Arial" w:hAnsi="Arial" w:cs="Arial"/>
          <w:i/>
          <w:iCs/>
          <w:sz w:val="22"/>
          <w:szCs w:val="22"/>
        </w:rPr>
        <w:t>Children’s mental health crisis deepens: Severe shortage of psychiatrists to meet growing demand</w:t>
      </w:r>
      <w:r w:rsidRPr="008F26E3">
        <w:rPr>
          <w:rFonts w:ascii="Arial" w:hAnsi="Arial" w:cs="Arial"/>
          <w:sz w:val="22"/>
          <w:szCs w:val="22"/>
        </w:rPr>
        <w:t xml:space="preserve">. Available at: </w:t>
      </w:r>
      <w:hyperlink r:id="rId29" w:tgtFrame="_new" w:history="1">
        <w:r w:rsidRPr="008F26E3">
          <w:rPr>
            <w:rStyle w:val="Hyperlink"/>
            <w:rFonts w:ascii="Arial" w:hAnsi="Arial" w:cs="Arial"/>
            <w:sz w:val="22"/>
            <w:szCs w:val="22"/>
          </w:rPr>
          <w:t>https://www.rcpsych.ac.uk/news-and-features/latest-news/detail/2024/11/28/children-s-mental-health-crisis-deepens--severe-shortage-of-psychiatrists-to-meet-growing-demand</w:t>
        </w:r>
      </w:hyperlink>
      <w:r w:rsidRPr="008F26E3">
        <w:rPr>
          <w:rFonts w:ascii="Arial" w:hAnsi="Arial" w:cs="Arial"/>
          <w:sz w:val="22"/>
          <w:szCs w:val="22"/>
        </w:rPr>
        <w:t xml:space="preserve"> (Accessed: 3 March 2026).</w:t>
      </w:r>
    </w:p>
    <w:p w14:paraId="069BA7C5" w14:textId="77777777" w:rsidR="007114E1" w:rsidRPr="008F26E3" w:rsidRDefault="007114E1" w:rsidP="008F26E3">
      <w:pPr>
        <w:spacing w:line="360" w:lineRule="auto"/>
        <w:rPr>
          <w:rFonts w:ascii="Arial" w:hAnsi="Arial" w:cs="Arial"/>
          <w:sz w:val="22"/>
          <w:szCs w:val="22"/>
        </w:rPr>
      </w:pPr>
      <w:r w:rsidRPr="008F26E3">
        <w:rPr>
          <w:rFonts w:ascii="Arial" w:hAnsi="Arial" w:cs="Arial"/>
          <w:sz w:val="22"/>
          <w:szCs w:val="22"/>
        </w:rPr>
        <w:t xml:space="preserve">Sawyer, S.M., Afifi, R.A., Bearinger, L.H., Blakemore, S.J., Dick, B., Ezeh, A.C. and Patton, G.C. (2012) ‘Adolescence: A foundation for future health’, </w:t>
      </w:r>
      <w:r w:rsidRPr="008F26E3">
        <w:rPr>
          <w:rFonts w:ascii="Arial" w:hAnsi="Arial" w:cs="Arial"/>
          <w:i/>
          <w:iCs/>
          <w:sz w:val="22"/>
          <w:szCs w:val="22"/>
        </w:rPr>
        <w:t>The Lancet</w:t>
      </w:r>
      <w:r w:rsidRPr="008F26E3">
        <w:rPr>
          <w:rFonts w:ascii="Arial" w:hAnsi="Arial" w:cs="Arial"/>
          <w:sz w:val="22"/>
          <w:szCs w:val="22"/>
        </w:rPr>
        <w:t xml:space="preserve">, 379(9826), pp. 1630–1640. Available at: </w:t>
      </w:r>
      <w:hyperlink r:id="rId30" w:tgtFrame="_new" w:history="1">
        <w:r w:rsidRPr="008F26E3">
          <w:rPr>
            <w:rStyle w:val="Hyperlink"/>
            <w:rFonts w:ascii="Arial" w:hAnsi="Arial" w:cs="Arial"/>
            <w:sz w:val="22"/>
            <w:szCs w:val="22"/>
          </w:rPr>
          <w:t>https://www.sciencedirect.com/science/article/abs/pii/S0140673612600725</w:t>
        </w:r>
      </w:hyperlink>
      <w:r w:rsidRPr="008F26E3">
        <w:rPr>
          <w:rFonts w:ascii="Arial" w:hAnsi="Arial" w:cs="Arial"/>
          <w:sz w:val="22"/>
          <w:szCs w:val="22"/>
        </w:rPr>
        <w:t xml:space="preserve"> (Accessed: 6 March 2026).</w:t>
      </w:r>
    </w:p>
    <w:p w14:paraId="1C7FD908" w14:textId="77777777" w:rsidR="007114E1" w:rsidRPr="008F26E3" w:rsidRDefault="007114E1" w:rsidP="008F26E3">
      <w:pPr>
        <w:spacing w:line="360" w:lineRule="auto"/>
        <w:rPr>
          <w:rFonts w:ascii="Arial" w:hAnsi="Arial" w:cs="Arial"/>
          <w:sz w:val="22"/>
          <w:szCs w:val="22"/>
        </w:rPr>
      </w:pPr>
      <w:proofErr w:type="spellStart"/>
      <w:r w:rsidRPr="008F26E3">
        <w:rPr>
          <w:rFonts w:ascii="Arial" w:hAnsi="Arial" w:cs="Arial"/>
          <w:sz w:val="22"/>
          <w:szCs w:val="22"/>
        </w:rPr>
        <w:t>Steare</w:t>
      </w:r>
      <w:proofErr w:type="spellEnd"/>
      <w:r w:rsidRPr="008F26E3">
        <w:rPr>
          <w:rFonts w:ascii="Arial" w:hAnsi="Arial" w:cs="Arial"/>
          <w:sz w:val="22"/>
          <w:szCs w:val="22"/>
        </w:rPr>
        <w:t xml:space="preserve">, T., Deighton, J., Jones, R. and </w:t>
      </w:r>
      <w:proofErr w:type="spellStart"/>
      <w:r w:rsidRPr="008F26E3">
        <w:rPr>
          <w:rFonts w:ascii="Arial" w:hAnsi="Arial" w:cs="Arial"/>
          <w:sz w:val="22"/>
          <w:szCs w:val="22"/>
        </w:rPr>
        <w:t>Patalay</w:t>
      </w:r>
      <w:proofErr w:type="spellEnd"/>
      <w:r w:rsidRPr="008F26E3">
        <w:rPr>
          <w:rFonts w:ascii="Arial" w:hAnsi="Arial" w:cs="Arial"/>
          <w:sz w:val="22"/>
          <w:szCs w:val="22"/>
        </w:rPr>
        <w:t xml:space="preserve">, P. (2023) </w:t>
      </w:r>
      <w:r w:rsidRPr="008F26E3">
        <w:rPr>
          <w:rFonts w:ascii="Arial" w:hAnsi="Arial" w:cs="Arial"/>
          <w:i/>
          <w:iCs/>
          <w:sz w:val="22"/>
          <w:szCs w:val="22"/>
        </w:rPr>
        <w:t>Link found between academic pressure and mental health problems in adolescence</w:t>
      </w:r>
      <w:r w:rsidRPr="008F26E3">
        <w:rPr>
          <w:rFonts w:ascii="Arial" w:hAnsi="Arial" w:cs="Arial"/>
          <w:sz w:val="22"/>
          <w:szCs w:val="22"/>
        </w:rPr>
        <w:t xml:space="preserve">. London: University College London. Available at: </w:t>
      </w:r>
      <w:hyperlink r:id="rId31" w:tgtFrame="_new" w:history="1">
        <w:r w:rsidRPr="008F26E3">
          <w:rPr>
            <w:rStyle w:val="Hyperlink"/>
            <w:rFonts w:ascii="Arial" w:hAnsi="Arial" w:cs="Arial"/>
            <w:sz w:val="22"/>
            <w:szCs w:val="22"/>
          </w:rPr>
          <w:t>https://www.ucl.ac.uk/news/2023/aug/link-found-between-academic-pressure-and-mental-health-problems-adolescence</w:t>
        </w:r>
      </w:hyperlink>
      <w:r w:rsidRPr="008F26E3">
        <w:rPr>
          <w:rFonts w:ascii="Arial" w:hAnsi="Arial" w:cs="Arial"/>
          <w:sz w:val="22"/>
          <w:szCs w:val="22"/>
        </w:rPr>
        <w:t xml:space="preserve"> (Accessed: 8 March 2026).</w:t>
      </w:r>
    </w:p>
    <w:p w14:paraId="4C435171" w14:textId="77777777" w:rsidR="007114E1" w:rsidRPr="007114E1" w:rsidRDefault="007114E1" w:rsidP="007114E1">
      <w:pPr>
        <w:spacing w:line="360" w:lineRule="auto"/>
        <w:rPr>
          <w:rFonts w:ascii="Arial" w:hAnsi="Arial"/>
        </w:rPr>
      </w:pPr>
    </w:p>
    <w:sectPr w:rsidR="007114E1" w:rsidRPr="007114E1" w:rsidSect="006367E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AC04A" w14:textId="77777777" w:rsidR="00B62458" w:rsidRDefault="00B62458" w:rsidP="006964ED">
      <w:pPr>
        <w:spacing w:after="0" w:line="240" w:lineRule="auto"/>
      </w:pPr>
      <w:r>
        <w:separator/>
      </w:r>
    </w:p>
  </w:endnote>
  <w:endnote w:type="continuationSeparator" w:id="0">
    <w:p w14:paraId="2815345C" w14:textId="77777777" w:rsidR="00B62458" w:rsidRDefault="00B62458" w:rsidP="00696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182059"/>
      <w:docPartObj>
        <w:docPartGallery w:val="Page Numbers (Bottom of Page)"/>
        <w:docPartUnique/>
      </w:docPartObj>
    </w:sdtPr>
    <w:sdtEndPr>
      <w:rPr>
        <w:noProof/>
      </w:rPr>
    </w:sdtEndPr>
    <w:sdtContent>
      <w:p w14:paraId="59C4DCBB" w14:textId="6A8B220B" w:rsidR="006964ED" w:rsidRDefault="00696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2BC4EE" w14:textId="77777777" w:rsidR="006964ED" w:rsidRDefault="00696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BE557" w14:textId="77777777" w:rsidR="00B62458" w:rsidRDefault="00B62458" w:rsidP="006964ED">
      <w:pPr>
        <w:spacing w:after="0" w:line="240" w:lineRule="auto"/>
      </w:pPr>
      <w:r>
        <w:separator/>
      </w:r>
    </w:p>
  </w:footnote>
  <w:footnote w:type="continuationSeparator" w:id="0">
    <w:p w14:paraId="6912CFB3" w14:textId="77777777" w:rsidR="00B62458" w:rsidRDefault="00B62458" w:rsidP="00696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735"/>
    <w:multiLevelType w:val="multilevel"/>
    <w:tmpl w:val="8AA45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476F43"/>
    <w:multiLevelType w:val="multilevel"/>
    <w:tmpl w:val="3E00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1423462">
    <w:abstractNumId w:val="0"/>
  </w:num>
  <w:num w:numId="2" w16cid:durableId="241717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3D"/>
    <w:rsid w:val="0002757A"/>
    <w:rsid w:val="00041E3D"/>
    <w:rsid w:val="0007721D"/>
    <w:rsid w:val="000E0FB7"/>
    <w:rsid w:val="0014015F"/>
    <w:rsid w:val="00143999"/>
    <w:rsid w:val="00174627"/>
    <w:rsid w:val="001D7E91"/>
    <w:rsid w:val="002218D5"/>
    <w:rsid w:val="0022639D"/>
    <w:rsid w:val="002305F0"/>
    <w:rsid w:val="003076FD"/>
    <w:rsid w:val="003178A9"/>
    <w:rsid w:val="00344938"/>
    <w:rsid w:val="0037720E"/>
    <w:rsid w:val="00380221"/>
    <w:rsid w:val="00400F77"/>
    <w:rsid w:val="00404839"/>
    <w:rsid w:val="0052074B"/>
    <w:rsid w:val="0054336C"/>
    <w:rsid w:val="005A3A27"/>
    <w:rsid w:val="005E55ED"/>
    <w:rsid w:val="005F2295"/>
    <w:rsid w:val="006367EB"/>
    <w:rsid w:val="00661AD9"/>
    <w:rsid w:val="006964ED"/>
    <w:rsid w:val="007114E1"/>
    <w:rsid w:val="00713D22"/>
    <w:rsid w:val="00735502"/>
    <w:rsid w:val="007677A2"/>
    <w:rsid w:val="007E6DDB"/>
    <w:rsid w:val="008F26E3"/>
    <w:rsid w:val="009001F8"/>
    <w:rsid w:val="009F493D"/>
    <w:rsid w:val="00A1751D"/>
    <w:rsid w:val="00A53A9A"/>
    <w:rsid w:val="00A77BED"/>
    <w:rsid w:val="00B163E9"/>
    <w:rsid w:val="00B62458"/>
    <w:rsid w:val="00BA1F67"/>
    <w:rsid w:val="00BC263B"/>
    <w:rsid w:val="00C25089"/>
    <w:rsid w:val="00CA0699"/>
    <w:rsid w:val="00CA2FE6"/>
    <w:rsid w:val="00CF55C0"/>
    <w:rsid w:val="00EA7671"/>
    <w:rsid w:val="00EC4B2A"/>
    <w:rsid w:val="00EF3026"/>
    <w:rsid w:val="00F327A9"/>
    <w:rsid w:val="00F84BD0"/>
    <w:rsid w:val="00F92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E2B1F"/>
  <w15:chartTrackingRefBased/>
  <w15:docId w15:val="{EB4901DE-7969-4EE2-AD0C-22E423AA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E91"/>
  </w:style>
  <w:style w:type="paragraph" w:styleId="Heading1">
    <w:name w:val="heading 1"/>
    <w:basedOn w:val="Normal"/>
    <w:next w:val="Normal"/>
    <w:link w:val="Heading1Char"/>
    <w:uiPriority w:val="9"/>
    <w:qFormat/>
    <w:rsid w:val="009F49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49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9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9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9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9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9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9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9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9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49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9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9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9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9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9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9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93D"/>
    <w:rPr>
      <w:rFonts w:eastAsiaTheme="majorEastAsia" w:cstheme="majorBidi"/>
      <w:color w:val="272727" w:themeColor="text1" w:themeTint="D8"/>
    </w:rPr>
  </w:style>
  <w:style w:type="paragraph" w:styleId="Title">
    <w:name w:val="Title"/>
    <w:basedOn w:val="Normal"/>
    <w:next w:val="Normal"/>
    <w:link w:val="TitleChar"/>
    <w:uiPriority w:val="10"/>
    <w:qFormat/>
    <w:rsid w:val="009F49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9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9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9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93D"/>
    <w:pPr>
      <w:spacing w:before="160"/>
      <w:jc w:val="center"/>
    </w:pPr>
    <w:rPr>
      <w:i/>
      <w:iCs/>
      <w:color w:val="404040" w:themeColor="text1" w:themeTint="BF"/>
    </w:rPr>
  </w:style>
  <w:style w:type="character" w:customStyle="1" w:styleId="QuoteChar">
    <w:name w:val="Quote Char"/>
    <w:basedOn w:val="DefaultParagraphFont"/>
    <w:link w:val="Quote"/>
    <w:uiPriority w:val="29"/>
    <w:rsid w:val="009F493D"/>
    <w:rPr>
      <w:i/>
      <w:iCs/>
      <w:color w:val="404040" w:themeColor="text1" w:themeTint="BF"/>
    </w:rPr>
  </w:style>
  <w:style w:type="paragraph" w:styleId="ListParagraph">
    <w:name w:val="List Paragraph"/>
    <w:basedOn w:val="Normal"/>
    <w:uiPriority w:val="34"/>
    <w:qFormat/>
    <w:rsid w:val="009F493D"/>
    <w:pPr>
      <w:ind w:left="720"/>
      <w:contextualSpacing/>
    </w:pPr>
  </w:style>
  <w:style w:type="character" w:styleId="IntenseEmphasis">
    <w:name w:val="Intense Emphasis"/>
    <w:basedOn w:val="DefaultParagraphFont"/>
    <w:uiPriority w:val="21"/>
    <w:qFormat/>
    <w:rsid w:val="009F493D"/>
    <w:rPr>
      <w:i/>
      <w:iCs/>
      <w:color w:val="0F4761" w:themeColor="accent1" w:themeShade="BF"/>
    </w:rPr>
  </w:style>
  <w:style w:type="paragraph" w:styleId="IntenseQuote">
    <w:name w:val="Intense Quote"/>
    <w:basedOn w:val="Normal"/>
    <w:next w:val="Normal"/>
    <w:link w:val="IntenseQuoteChar"/>
    <w:uiPriority w:val="30"/>
    <w:qFormat/>
    <w:rsid w:val="009F4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93D"/>
    <w:rPr>
      <w:i/>
      <w:iCs/>
      <w:color w:val="0F4761" w:themeColor="accent1" w:themeShade="BF"/>
    </w:rPr>
  </w:style>
  <w:style w:type="character" w:styleId="IntenseReference">
    <w:name w:val="Intense Reference"/>
    <w:basedOn w:val="DefaultParagraphFont"/>
    <w:uiPriority w:val="32"/>
    <w:qFormat/>
    <w:rsid w:val="009F493D"/>
    <w:rPr>
      <w:b/>
      <w:bCs/>
      <w:smallCaps/>
      <w:color w:val="0F4761" w:themeColor="accent1" w:themeShade="BF"/>
      <w:spacing w:val="5"/>
    </w:rPr>
  </w:style>
  <w:style w:type="character" w:styleId="Hyperlink">
    <w:name w:val="Hyperlink"/>
    <w:basedOn w:val="DefaultParagraphFont"/>
    <w:uiPriority w:val="99"/>
    <w:unhideWhenUsed/>
    <w:rsid w:val="00400F77"/>
    <w:rPr>
      <w:color w:val="467886" w:themeColor="hyperlink"/>
      <w:u w:val="single"/>
    </w:rPr>
  </w:style>
  <w:style w:type="character" w:styleId="UnresolvedMention">
    <w:name w:val="Unresolved Mention"/>
    <w:basedOn w:val="DefaultParagraphFont"/>
    <w:uiPriority w:val="99"/>
    <w:semiHidden/>
    <w:unhideWhenUsed/>
    <w:rsid w:val="00400F77"/>
    <w:rPr>
      <w:color w:val="605E5C"/>
      <w:shd w:val="clear" w:color="auto" w:fill="E1DFDD"/>
    </w:rPr>
  </w:style>
  <w:style w:type="table" w:styleId="GridTable4-Accent5">
    <w:name w:val="Grid Table 4 Accent 5"/>
    <w:basedOn w:val="TableNormal"/>
    <w:uiPriority w:val="49"/>
    <w:rsid w:val="00F327A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3">
    <w:name w:val="Grid Table 5 Dark Accent 3"/>
    <w:basedOn w:val="TableNormal"/>
    <w:uiPriority w:val="50"/>
    <w:rsid w:val="00F327A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paragraph" w:styleId="Header">
    <w:name w:val="header"/>
    <w:basedOn w:val="Normal"/>
    <w:link w:val="HeaderChar"/>
    <w:uiPriority w:val="99"/>
    <w:unhideWhenUsed/>
    <w:rsid w:val="00696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4ED"/>
  </w:style>
  <w:style w:type="paragraph" w:styleId="Footer">
    <w:name w:val="footer"/>
    <w:basedOn w:val="Normal"/>
    <w:link w:val="FooterChar"/>
    <w:uiPriority w:val="99"/>
    <w:unhideWhenUsed/>
    <w:rsid w:val="00696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4ED"/>
  </w:style>
  <w:style w:type="character" w:styleId="FollowedHyperlink">
    <w:name w:val="FollowedHyperlink"/>
    <w:basedOn w:val="DefaultParagraphFont"/>
    <w:uiPriority w:val="99"/>
    <w:semiHidden/>
    <w:unhideWhenUsed/>
    <w:rsid w:val="000E0FB7"/>
    <w:rPr>
      <w:color w:val="96607D" w:themeColor="followedHyperlink"/>
      <w:u w:val="single"/>
    </w:rPr>
  </w:style>
  <w:style w:type="paragraph" w:styleId="NoSpacing">
    <w:name w:val="No Spacing"/>
    <w:link w:val="NoSpacingChar"/>
    <w:uiPriority w:val="1"/>
    <w:qFormat/>
    <w:rsid w:val="006367E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367E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F84BD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84BD0"/>
    <w:pPr>
      <w:spacing w:after="100"/>
    </w:pPr>
  </w:style>
  <w:style w:type="paragraph" w:styleId="TOC2">
    <w:name w:val="toc 2"/>
    <w:basedOn w:val="Normal"/>
    <w:next w:val="Normal"/>
    <w:autoRedefine/>
    <w:uiPriority w:val="39"/>
    <w:unhideWhenUsed/>
    <w:rsid w:val="00F84BD0"/>
    <w:pPr>
      <w:spacing w:after="100"/>
      <w:ind w:left="240"/>
    </w:pPr>
  </w:style>
  <w:style w:type="paragraph" w:styleId="Caption">
    <w:name w:val="caption"/>
    <w:basedOn w:val="Normal"/>
    <w:next w:val="Normal"/>
    <w:uiPriority w:val="35"/>
    <w:unhideWhenUsed/>
    <w:qFormat/>
    <w:rsid w:val="002305F0"/>
    <w:pPr>
      <w:spacing w:after="200" w:line="240" w:lineRule="auto"/>
    </w:pPr>
    <w:rPr>
      <w:i/>
      <w:iCs/>
      <w:color w:val="0E2841" w:themeColor="text2"/>
      <w:sz w:val="18"/>
      <w:szCs w:val="18"/>
    </w:rPr>
  </w:style>
  <w:style w:type="table" w:styleId="GridTable5Dark-Accent2">
    <w:name w:val="Grid Table 5 Dark Accent 2"/>
    <w:basedOn w:val="TableNormal"/>
    <w:uiPriority w:val="50"/>
    <w:rsid w:val="00EC4B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udy.sagepub.com/booth3e" TargetMode="External"/><Relationship Id="rId18" Type="http://schemas.openxmlformats.org/officeDocument/2006/relationships/hyperlink" Target="https://doi.org/10.1111/camh.12612" TargetMode="External"/><Relationship Id="rId26" Type="http://schemas.openxmlformats.org/officeDocument/2006/relationships/hyperlink" Target="https://journals.lww.com/jbisrir/fulltext/2020/10000/updated_methodological_guidance_for_the_conduct_of.4.aspx" TargetMode="External"/><Relationship Id="rId3" Type="http://schemas.openxmlformats.org/officeDocument/2006/relationships/numbering" Target="numbering.xml"/><Relationship Id="rId21" Type="http://schemas.openxmlformats.org/officeDocument/2006/relationships/hyperlink" Target="https://journals.lww.com/jbisrir/fulltext/2022/04000/what_are_scoping_reviews__providing_a_formal.2.aspx"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andfonline.com/doi/abs/10.1080/1364557032000119616" TargetMode="External"/><Relationship Id="rId17" Type="http://schemas.openxmlformats.org/officeDocument/2006/relationships/hyperlink" Target="https://pubmed.ncbi.nlm.nih.gov/31960440/" TargetMode="External"/><Relationship Id="rId25" Type="http://schemas.openxmlformats.org/officeDocument/2006/relationships/hyperlink" Target="https://www.bmj.com/content/372/bmj.n7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hildrenscommissioner.gov.uk/blog/childrens-commissioner-responds-to-new-figures-on-children-referred-to-mental-health-support-for-anxiety/" TargetMode="External"/><Relationship Id="rId20" Type="http://schemas.openxmlformats.org/officeDocument/2006/relationships/hyperlink" Target="https://pmc.ncbi.nlm.nih.gov/articles/PMC7267797/" TargetMode="External"/><Relationship Id="rId29" Type="http://schemas.openxmlformats.org/officeDocument/2006/relationships/hyperlink" Target="https://www.rcpsych.ac.uk/news-and-features/latest-news/detail/2024/11/28/children-s-mental-health-crisis-deepens--severe-shortage-of-psychiatrists-to-meet-growing-dem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bi-global-wiki.refined.site/space/MANUAL" TargetMode="External"/><Relationship Id="rId24" Type="http://schemas.openxmlformats.org/officeDocument/2006/relationships/hyperlink" Target="https://www.nice.org.uk/guidance/cg113"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bps.org.uk/guideline/code-ethics-and-conduct" TargetMode="External"/><Relationship Id="rId23" Type="http://schemas.openxmlformats.org/officeDocument/2006/relationships/hyperlink" Target="https://digital.nhs.uk/data-and-information/publications/statistical/mental-health-of-children-and-young-people-in-england/2023-wave-4-follow-up" TargetMode="External"/><Relationship Id="rId28" Type="http://schemas.openxmlformats.org/officeDocument/2006/relationships/hyperlink" Target="https://ebn.bmj.com/content/27/3/84" TargetMode="External"/><Relationship Id="rId10" Type="http://schemas.openxmlformats.org/officeDocument/2006/relationships/hyperlink" Target="https://www.psychiatry.org/psychiatrists/practice/dsm" TargetMode="External"/><Relationship Id="rId19" Type="http://schemas.openxmlformats.org/officeDocument/2006/relationships/hyperlink" Target="https://onlinelibrary.wiley.com/doi/10.1002/cl2.1230" TargetMode="External"/><Relationship Id="rId31" Type="http://schemas.openxmlformats.org/officeDocument/2006/relationships/hyperlink" Target="https://www.ucl.ac.uk/news/2023/aug/link-found-between-academic-pressure-and-mental-health-problems-adolescen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andfonline.com/doi/full/10.31887/DCNS.2022.24.1/bandelow" TargetMode="External"/><Relationship Id="rId22" Type="http://schemas.openxmlformats.org/officeDocument/2006/relationships/hyperlink" Target="https://digital.nhs.uk/data-and-information/publications/statistical/mental-health-of-children-and-young-people-in-england" TargetMode="External"/><Relationship Id="rId27" Type="http://schemas.openxmlformats.org/officeDocument/2006/relationships/hyperlink" Target="https://www.rethink.org/news-and-stories/news-and-views/2024/the-hidden-toll-of-camhs-waiting-lists-on-young-people-s-mental-health/" TargetMode="External"/><Relationship Id="rId30" Type="http://schemas.openxmlformats.org/officeDocument/2006/relationships/hyperlink" Target="https://www.sciencedirect.com/science/article/abs/pii/S0140673612600725"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No. 2323581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74D952-DE0D-44ED-B396-8CF87553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5337</Words>
  <Characters>34745</Characters>
  <Application>Microsoft Office Word</Application>
  <DocSecurity>0</DocSecurity>
  <Lines>579</Lines>
  <Paragraphs>165</Paragraphs>
  <ScaleCrop>false</ScaleCrop>
  <HeadingPairs>
    <vt:vector size="2" baseType="variant">
      <vt:variant>
        <vt:lpstr>Title</vt:lpstr>
      </vt:variant>
      <vt:variant>
        <vt:i4>1</vt:i4>
      </vt:variant>
    </vt:vector>
  </HeadingPairs>
  <TitlesOfParts>
    <vt:vector size="1" baseType="lpstr">
      <vt:lpstr>Component 2: Research Report</vt:lpstr>
    </vt:vector>
  </TitlesOfParts>
  <Company/>
  <LinksUpToDate>false</LinksUpToDate>
  <CharactersWithSpaces>39917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Research Report</dc:title>
  <dc:subject/>
  <dc:creator>Lecturer: Dr. Rizwan Nadim</dc:creator>
  <cp:keywords/>
  <dc:description/>
  <cp:lastModifiedBy>Samina Javed (2323581)</cp:lastModifiedBy>
  <cp:revision>2</cp:revision>
  <dcterms:created xsi:type="dcterms:W3CDTF">2026-03-30T20:49:00Z</dcterms:created>
  <dcterms:modified xsi:type="dcterms:W3CDTF">2026-03-30T20:49:00Z</dcterms:modified>
</cp:coreProperties>
</file>