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EE4B0" w14:textId="77777777" w:rsidR="00D927EF" w:rsidRDefault="00D927EF">
      <w:pPr>
        <w:spacing w:line="360" w:lineRule="auto"/>
        <w:jc w:val="both"/>
        <w:rPr>
          <w:rFonts w:ascii="Times New Roman" w:eastAsia="Times New Roman" w:hAnsi="Times New Roman" w:cs="Times New Roman"/>
          <w:b/>
        </w:rPr>
      </w:pPr>
    </w:p>
    <w:p w14:paraId="7B382141" w14:textId="77777777" w:rsidR="00D927EF" w:rsidRDefault="00D927EF">
      <w:pPr>
        <w:spacing w:line="360" w:lineRule="auto"/>
        <w:jc w:val="both"/>
        <w:rPr>
          <w:rFonts w:ascii="Times New Roman" w:eastAsia="Times New Roman" w:hAnsi="Times New Roman" w:cs="Times New Roman"/>
          <w:b/>
        </w:rPr>
      </w:pPr>
    </w:p>
    <w:p w14:paraId="3360BB57" w14:textId="77777777" w:rsidR="00D927EF" w:rsidRDefault="00D927EF">
      <w:pPr>
        <w:spacing w:line="360" w:lineRule="auto"/>
        <w:jc w:val="both"/>
        <w:rPr>
          <w:rFonts w:ascii="Times New Roman" w:eastAsia="Times New Roman" w:hAnsi="Times New Roman" w:cs="Times New Roman"/>
          <w:b/>
        </w:rPr>
      </w:pPr>
    </w:p>
    <w:p w14:paraId="20FFD4B2" w14:textId="77777777" w:rsidR="00D927EF" w:rsidRDefault="00D927EF">
      <w:pPr>
        <w:spacing w:line="360" w:lineRule="auto"/>
        <w:jc w:val="both"/>
        <w:rPr>
          <w:rFonts w:ascii="Times New Roman" w:eastAsia="Times New Roman" w:hAnsi="Times New Roman" w:cs="Times New Roman"/>
          <w:b/>
        </w:rPr>
      </w:pPr>
    </w:p>
    <w:p w14:paraId="118F6D36" w14:textId="77777777" w:rsidR="00D927EF" w:rsidRDefault="00D927EF">
      <w:pPr>
        <w:spacing w:line="360" w:lineRule="auto"/>
        <w:jc w:val="center"/>
        <w:rPr>
          <w:rFonts w:ascii="Times New Roman" w:eastAsia="Times New Roman" w:hAnsi="Times New Roman" w:cs="Times New Roman"/>
          <w:b/>
          <w:sz w:val="32"/>
          <w:szCs w:val="32"/>
        </w:rPr>
      </w:pPr>
    </w:p>
    <w:p w14:paraId="465D5B1A" w14:textId="77777777" w:rsidR="00681245" w:rsidRDefault="00681245">
      <w:pPr>
        <w:spacing w:line="360" w:lineRule="auto"/>
        <w:jc w:val="center"/>
        <w:rPr>
          <w:rFonts w:ascii="Times New Roman" w:eastAsia="Times New Roman" w:hAnsi="Times New Roman" w:cs="Times New Roman"/>
          <w:b/>
          <w:sz w:val="32"/>
          <w:szCs w:val="32"/>
        </w:rPr>
      </w:pPr>
    </w:p>
    <w:p w14:paraId="067CCDEA" w14:textId="77777777" w:rsidR="00681245" w:rsidRDefault="00681245">
      <w:pPr>
        <w:spacing w:line="360" w:lineRule="auto"/>
        <w:jc w:val="center"/>
        <w:rPr>
          <w:rFonts w:ascii="Times New Roman" w:eastAsia="Times New Roman" w:hAnsi="Times New Roman" w:cs="Times New Roman"/>
          <w:b/>
          <w:sz w:val="32"/>
          <w:szCs w:val="32"/>
        </w:rPr>
      </w:pPr>
    </w:p>
    <w:p w14:paraId="7CF438D6" w14:textId="77777777" w:rsidR="00D927EF" w:rsidRDefault="00D927EF">
      <w:pPr>
        <w:spacing w:line="360" w:lineRule="auto"/>
        <w:jc w:val="center"/>
        <w:rPr>
          <w:rFonts w:ascii="Times New Roman" w:eastAsia="Times New Roman" w:hAnsi="Times New Roman" w:cs="Times New Roman"/>
          <w:b/>
          <w:sz w:val="32"/>
          <w:szCs w:val="32"/>
        </w:rPr>
      </w:pPr>
    </w:p>
    <w:p w14:paraId="4E86CCC1" w14:textId="77777777" w:rsidR="008E67C8" w:rsidRDefault="008E67C8" w:rsidP="008E67C8">
      <w:pPr>
        <w:pStyle w:val="Title"/>
        <w:jc w:val="center"/>
        <w:rPr>
          <w:sz w:val="44"/>
          <w:szCs w:val="44"/>
        </w:rPr>
      </w:pPr>
      <w:r>
        <w:rPr>
          <w:sz w:val="44"/>
          <w:szCs w:val="44"/>
        </w:rPr>
        <w:t>Florin Ene</w:t>
      </w:r>
    </w:p>
    <w:p w14:paraId="2469E27B" w14:textId="77777777" w:rsidR="008E67C8" w:rsidRDefault="008E67C8" w:rsidP="008E67C8">
      <w:pPr>
        <w:pStyle w:val="Title"/>
        <w:jc w:val="center"/>
        <w:rPr>
          <w:sz w:val="44"/>
          <w:szCs w:val="44"/>
        </w:rPr>
      </w:pPr>
      <w:r>
        <w:rPr>
          <w:sz w:val="44"/>
          <w:szCs w:val="44"/>
        </w:rPr>
        <w:t>Student ID: 2310120</w:t>
      </w:r>
    </w:p>
    <w:p w14:paraId="0CBADB01" w14:textId="6F59BF3E" w:rsidR="008E67C8" w:rsidRDefault="008E67C8" w:rsidP="008E67C8">
      <w:pPr>
        <w:spacing w:line="360" w:lineRule="auto"/>
        <w:jc w:val="center"/>
        <w:rPr>
          <w:rFonts w:ascii="Times New Roman" w:eastAsia="Times New Roman" w:hAnsi="Times New Roman" w:cs="Times New Roman"/>
          <w:b/>
          <w:sz w:val="32"/>
          <w:szCs w:val="32"/>
        </w:rPr>
      </w:pPr>
      <w:r>
        <w:rPr>
          <w:sz w:val="44"/>
          <w:szCs w:val="44"/>
        </w:rPr>
        <w:t xml:space="preserve">Module: </w:t>
      </w:r>
      <w:r w:rsidRPr="00F4216A">
        <w:rPr>
          <w:sz w:val="44"/>
          <w:szCs w:val="44"/>
        </w:rPr>
        <w:t>LCBB</w:t>
      </w:r>
      <w:r>
        <w:rPr>
          <w:sz w:val="44"/>
          <w:szCs w:val="44"/>
        </w:rPr>
        <w:t>5</w:t>
      </w:r>
      <w:r w:rsidRPr="00F4216A">
        <w:rPr>
          <w:sz w:val="44"/>
          <w:szCs w:val="44"/>
        </w:rPr>
        <w:t>015</w:t>
      </w:r>
      <w:r>
        <w:rPr>
          <w:sz w:val="44"/>
          <w:szCs w:val="44"/>
        </w:rPr>
        <w:t xml:space="preserve"> </w:t>
      </w:r>
      <w:r w:rsidRPr="008E67C8">
        <w:rPr>
          <w:rFonts w:eastAsia="Times New Roman"/>
          <w:bCs/>
          <w:sz w:val="44"/>
          <w:szCs w:val="44"/>
        </w:rPr>
        <w:t>PRINCIPLES OF MARKETING</w:t>
      </w:r>
    </w:p>
    <w:p w14:paraId="75C0FEAF" w14:textId="5DC42D21" w:rsidR="008E67C8" w:rsidRDefault="008E67C8" w:rsidP="008E67C8">
      <w:pPr>
        <w:pStyle w:val="Title"/>
        <w:jc w:val="center"/>
        <w:rPr>
          <w:sz w:val="44"/>
          <w:szCs w:val="44"/>
        </w:rPr>
      </w:pPr>
      <w:r>
        <w:rPr>
          <w:sz w:val="44"/>
          <w:szCs w:val="44"/>
        </w:rPr>
        <w:t xml:space="preserve">Lecturer: </w:t>
      </w:r>
      <w:r>
        <w:rPr>
          <w:sz w:val="44"/>
          <w:szCs w:val="44"/>
        </w:rPr>
        <w:t xml:space="preserve">MD </w:t>
      </w:r>
      <w:proofErr w:type="spellStart"/>
      <w:r>
        <w:rPr>
          <w:sz w:val="44"/>
          <w:szCs w:val="44"/>
        </w:rPr>
        <w:t>Ashikul</w:t>
      </w:r>
      <w:proofErr w:type="spellEnd"/>
      <w:r>
        <w:rPr>
          <w:sz w:val="44"/>
          <w:szCs w:val="44"/>
        </w:rPr>
        <w:t xml:space="preserve"> Khan</w:t>
      </w:r>
    </w:p>
    <w:p w14:paraId="403557BD" w14:textId="0ABE3EE1" w:rsidR="00D927EF" w:rsidRDefault="008E67C8" w:rsidP="008E67C8">
      <w:pPr>
        <w:spacing w:line="360" w:lineRule="auto"/>
        <w:jc w:val="center"/>
        <w:rPr>
          <w:sz w:val="44"/>
          <w:szCs w:val="44"/>
        </w:rPr>
      </w:pPr>
      <w:r>
        <w:rPr>
          <w:sz w:val="44"/>
          <w:szCs w:val="44"/>
        </w:rPr>
        <w:t xml:space="preserve">Assignment title: Coursework </w:t>
      </w:r>
      <w:r>
        <w:rPr>
          <w:sz w:val="44"/>
          <w:szCs w:val="44"/>
        </w:rPr>
        <w:t>individual report</w:t>
      </w:r>
    </w:p>
    <w:p w14:paraId="038881B3" w14:textId="0EB3A7E2" w:rsidR="008E67C8" w:rsidRDefault="008E67C8" w:rsidP="008E67C8">
      <w:pPr>
        <w:spacing w:line="360" w:lineRule="auto"/>
        <w:jc w:val="center"/>
        <w:rPr>
          <w:rFonts w:ascii="Times New Roman" w:eastAsia="Times New Roman" w:hAnsi="Times New Roman" w:cs="Times New Roman"/>
          <w:b/>
          <w:sz w:val="32"/>
          <w:szCs w:val="32"/>
        </w:rPr>
      </w:pPr>
      <w:r>
        <w:rPr>
          <w:sz w:val="44"/>
          <w:szCs w:val="44"/>
        </w:rPr>
        <w:t>(PESTLE analysis of Sainsbury)</w:t>
      </w:r>
    </w:p>
    <w:p w14:paraId="5973BA03" w14:textId="77777777" w:rsidR="00D927EF" w:rsidRDefault="00D927EF">
      <w:pPr>
        <w:spacing w:line="360" w:lineRule="auto"/>
        <w:jc w:val="center"/>
        <w:rPr>
          <w:rFonts w:ascii="Times New Roman" w:eastAsia="Times New Roman" w:hAnsi="Times New Roman" w:cs="Times New Roman"/>
          <w:b/>
          <w:sz w:val="32"/>
          <w:szCs w:val="32"/>
        </w:rPr>
      </w:pPr>
    </w:p>
    <w:p w14:paraId="2623BC9B" w14:textId="77777777" w:rsidR="00D927EF" w:rsidRDefault="00F51A93">
      <w:pPr>
        <w:spacing w:line="360" w:lineRule="auto"/>
        <w:jc w:val="center"/>
        <w:rPr>
          <w:rFonts w:ascii="Times New Roman" w:eastAsia="Times New Roman" w:hAnsi="Times New Roman" w:cs="Times New Roman"/>
          <w:b/>
          <w:sz w:val="28"/>
          <w:szCs w:val="28"/>
          <w:highlight w:val="white"/>
        </w:rPr>
      </w:pPr>
      <w:r>
        <w:br w:type="page"/>
      </w:r>
    </w:p>
    <w:p w14:paraId="44073FC7" w14:textId="1C7005E8" w:rsidR="00D927EF" w:rsidRDefault="00F51A93">
      <w:pPr>
        <w:spacing w:line="360" w:lineRule="auto"/>
        <w:jc w:val="center"/>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lastRenderedPageBreak/>
        <w:t xml:space="preserve">Table of </w:t>
      </w:r>
      <w:r w:rsidR="008E67C8">
        <w:rPr>
          <w:rFonts w:ascii="Times New Roman" w:eastAsia="Times New Roman" w:hAnsi="Times New Roman" w:cs="Times New Roman"/>
          <w:b/>
          <w:sz w:val="28"/>
          <w:szCs w:val="28"/>
          <w:highlight w:val="white"/>
        </w:rPr>
        <w:t>Contents</w:t>
      </w:r>
    </w:p>
    <w:sdt>
      <w:sdtPr>
        <w:rPr>
          <w:rFonts w:ascii="Arial" w:eastAsia="Arial" w:hAnsi="Arial" w:cs="Arial"/>
          <w:b w:val="0"/>
          <w:bCs w:val="0"/>
          <w:color w:val="auto"/>
          <w:sz w:val="22"/>
          <w:szCs w:val="22"/>
          <w:lang w:eastAsia="en-US"/>
        </w:rPr>
        <w:id w:val="1967157297"/>
        <w:docPartObj>
          <w:docPartGallery w:val="Table of Contents"/>
          <w:docPartUnique/>
        </w:docPartObj>
      </w:sdtPr>
      <w:sdtEndPr>
        <w:rPr>
          <w:rFonts w:ascii="Times New Roman" w:hAnsi="Times New Roman" w:cs="Times New Roman"/>
          <w:noProof/>
          <w:sz w:val="24"/>
        </w:rPr>
      </w:sdtEndPr>
      <w:sdtContent>
        <w:p w14:paraId="65269B58" w14:textId="77777777" w:rsidR="00E86A44" w:rsidRDefault="00E86A44">
          <w:pPr>
            <w:pStyle w:val="TOCHeading"/>
          </w:pPr>
        </w:p>
        <w:p w14:paraId="152267F2" w14:textId="77777777" w:rsidR="00E86A44" w:rsidRPr="000D35D3" w:rsidRDefault="00E86A44" w:rsidP="00F77133">
          <w:pPr>
            <w:pStyle w:val="TOC1"/>
          </w:pPr>
          <w:r w:rsidRPr="00E86A44">
            <w:rPr>
              <w:rFonts w:ascii="Times New Roman" w:hAnsi="Times New Roman" w:cs="Times New Roman"/>
              <w:noProof w:val="0"/>
            </w:rPr>
            <w:fldChar w:fldCharType="begin"/>
          </w:r>
          <w:r w:rsidRPr="00E86A44">
            <w:rPr>
              <w:rFonts w:ascii="Times New Roman" w:hAnsi="Times New Roman" w:cs="Times New Roman"/>
            </w:rPr>
            <w:instrText xml:space="preserve"> TOC \o "1-3" \h \z \u </w:instrText>
          </w:r>
          <w:r w:rsidRPr="00E86A44">
            <w:rPr>
              <w:rFonts w:ascii="Times New Roman" w:hAnsi="Times New Roman" w:cs="Times New Roman"/>
              <w:noProof w:val="0"/>
            </w:rPr>
            <w:fldChar w:fldCharType="separate"/>
          </w:r>
          <w:hyperlink w:anchor="_Toc210659674" w:history="1">
            <w:r w:rsidRPr="000D35D3">
              <w:rPr>
                <w:rStyle w:val="Hyperlink"/>
                <w:szCs w:val="24"/>
                <w:highlight w:val="white"/>
              </w:rPr>
              <w:t>Introduction</w:t>
            </w:r>
            <w:r w:rsidRPr="000D35D3">
              <w:rPr>
                <w:webHidden/>
              </w:rPr>
              <w:tab/>
            </w:r>
            <w:r w:rsidRPr="000D35D3">
              <w:rPr>
                <w:webHidden/>
              </w:rPr>
              <w:fldChar w:fldCharType="begin"/>
            </w:r>
            <w:r w:rsidRPr="000D35D3">
              <w:rPr>
                <w:webHidden/>
              </w:rPr>
              <w:instrText xml:space="preserve"> PAGEREF _Toc210659674 \h </w:instrText>
            </w:r>
            <w:r w:rsidRPr="000D35D3">
              <w:rPr>
                <w:webHidden/>
              </w:rPr>
            </w:r>
            <w:r w:rsidRPr="000D35D3">
              <w:rPr>
                <w:webHidden/>
              </w:rPr>
              <w:fldChar w:fldCharType="separate"/>
            </w:r>
            <w:r w:rsidRPr="000D35D3">
              <w:rPr>
                <w:webHidden/>
              </w:rPr>
              <w:t>3</w:t>
            </w:r>
            <w:r w:rsidRPr="000D35D3">
              <w:rPr>
                <w:webHidden/>
              </w:rPr>
              <w:fldChar w:fldCharType="end"/>
            </w:r>
          </w:hyperlink>
        </w:p>
        <w:p w14:paraId="63FA74BF" w14:textId="419B616A" w:rsidR="00E86A44" w:rsidRPr="000D35D3" w:rsidRDefault="00E86A44" w:rsidP="00F77133">
          <w:pPr>
            <w:pStyle w:val="TOC1"/>
          </w:pPr>
          <w:hyperlink w:anchor="_Toc210659675" w:history="1">
            <w:r w:rsidRPr="000D35D3">
              <w:rPr>
                <w:rStyle w:val="Hyperlink"/>
                <w:szCs w:val="24"/>
                <w:highlight w:val="white"/>
              </w:rPr>
              <w:t>Situational Analysis</w:t>
            </w:r>
            <w:r w:rsidRPr="000D35D3">
              <w:rPr>
                <w:webHidden/>
              </w:rPr>
              <w:tab/>
            </w:r>
            <w:r w:rsidRPr="000D35D3">
              <w:rPr>
                <w:webHidden/>
              </w:rPr>
              <w:fldChar w:fldCharType="begin"/>
            </w:r>
            <w:r w:rsidRPr="000D35D3">
              <w:rPr>
                <w:webHidden/>
              </w:rPr>
              <w:instrText xml:space="preserve"> PAGEREF _Toc210659675 \h </w:instrText>
            </w:r>
            <w:r w:rsidRPr="000D35D3">
              <w:rPr>
                <w:webHidden/>
              </w:rPr>
            </w:r>
            <w:r w:rsidRPr="000D35D3">
              <w:rPr>
                <w:webHidden/>
              </w:rPr>
              <w:fldChar w:fldCharType="separate"/>
            </w:r>
            <w:r w:rsidRPr="000D35D3">
              <w:rPr>
                <w:webHidden/>
              </w:rPr>
              <w:t>3</w:t>
            </w:r>
            <w:r w:rsidRPr="000D35D3">
              <w:rPr>
                <w:webHidden/>
              </w:rPr>
              <w:fldChar w:fldCharType="end"/>
            </w:r>
          </w:hyperlink>
          <w:r w:rsidR="004F34BE" w:rsidRPr="000D35D3">
            <w:t>-4</w:t>
          </w:r>
        </w:p>
        <w:p w14:paraId="1A5DA851" w14:textId="77777777" w:rsidR="00E86A44" w:rsidRPr="000D35D3" w:rsidRDefault="00E86A44" w:rsidP="00F77133">
          <w:pPr>
            <w:pStyle w:val="TOC1"/>
          </w:pPr>
          <w:hyperlink w:anchor="_Toc210659676" w:history="1">
            <w:r w:rsidRPr="000D35D3">
              <w:rPr>
                <w:rStyle w:val="Hyperlink"/>
                <w:szCs w:val="24"/>
                <w:highlight w:val="white"/>
              </w:rPr>
              <w:t>Critical Analysis and Evaluation</w:t>
            </w:r>
            <w:r w:rsidRPr="000D35D3">
              <w:rPr>
                <w:webHidden/>
              </w:rPr>
              <w:tab/>
            </w:r>
            <w:r w:rsidRPr="000D35D3">
              <w:rPr>
                <w:webHidden/>
              </w:rPr>
              <w:fldChar w:fldCharType="begin"/>
            </w:r>
            <w:r w:rsidRPr="000D35D3">
              <w:rPr>
                <w:webHidden/>
              </w:rPr>
              <w:instrText xml:space="preserve"> PAGEREF _Toc210659676 \h </w:instrText>
            </w:r>
            <w:r w:rsidRPr="000D35D3">
              <w:rPr>
                <w:webHidden/>
              </w:rPr>
            </w:r>
            <w:r w:rsidRPr="000D35D3">
              <w:rPr>
                <w:webHidden/>
              </w:rPr>
              <w:fldChar w:fldCharType="separate"/>
            </w:r>
            <w:r w:rsidRPr="000D35D3">
              <w:rPr>
                <w:webHidden/>
              </w:rPr>
              <w:t>5</w:t>
            </w:r>
            <w:r w:rsidRPr="000D35D3">
              <w:rPr>
                <w:webHidden/>
              </w:rPr>
              <w:fldChar w:fldCharType="end"/>
            </w:r>
          </w:hyperlink>
        </w:p>
        <w:p w14:paraId="160EF89B" w14:textId="77777777" w:rsidR="00E86A44" w:rsidRPr="00E86A44" w:rsidRDefault="00E86A44" w:rsidP="00F77133">
          <w:pPr>
            <w:pStyle w:val="TOC1"/>
            <w:rPr>
              <w:rFonts w:ascii="Times New Roman" w:hAnsi="Times New Roman" w:cs="Times New Roman"/>
            </w:rPr>
          </w:pPr>
          <w:hyperlink w:anchor="_Toc210659677" w:history="1">
            <w:r w:rsidRPr="000D35D3">
              <w:rPr>
                <w:rStyle w:val="Hyperlink"/>
                <w:szCs w:val="24"/>
                <w:highlight w:val="white"/>
              </w:rPr>
              <w:t>Conclusion</w:t>
            </w:r>
            <w:r w:rsidRPr="000D35D3">
              <w:rPr>
                <w:webHidden/>
              </w:rPr>
              <w:tab/>
            </w:r>
            <w:r w:rsidRPr="000D35D3">
              <w:rPr>
                <w:webHidden/>
              </w:rPr>
              <w:fldChar w:fldCharType="begin"/>
            </w:r>
            <w:r w:rsidRPr="000D35D3">
              <w:rPr>
                <w:webHidden/>
              </w:rPr>
              <w:instrText xml:space="preserve"> PAGEREF _Toc210659677 \h </w:instrText>
            </w:r>
            <w:r w:rsidRPr="000D35D3">
              <w:rPr>
                <w:webHidden/>
              </w:rPr>
            </w:r>
            <w:r w:rsidRPr="000D35D3">
              <w:rPr>
                <w:webHidden/>
              </w:rPr>
              <w:fldChar w:fldCharType="separate"/>
            </w:r>
            <w:r w:rsidRPr="000D35D3">
              <w:rPr>
                <w:webHidden/>
              </w:rPr>
              <w:t>6</w:t>
            </w:r>
            <w:r w:rsidRPr="000D35D3">
              <w:rPr>
                <w:webHidden/>
              </w:rPr>
              <w:fldChar w:fldCharType="end"/>
            </w:r>
          </w:hyperlink>
        </w:p>
        <w:p w14:paraId="5764093B" w14:textId="4EC98730" w:rsidR="00E86A44" w:rsidRPr="00F77133" w:rsidRDefault="00E86A44" w:rsidP="00F77133">
          <w:pPr>
            <w:pStyle w:val="TOC1"/>
          </w:pPr>
          <w:hyperlink w:anchor="_Toc210659678" w:history="1">
            <w:r w:rsidRPr="00F77133">
              <w:rPr>
                <w:rStyle w:val="Hyperlink"/>
              </w:rPr>
              <w:t>References</w:t>
            </w:r>
            <w:r w:rsidRPr="00F77133">
              <w:rPr>
                <w:webHidden/>
              </w:rPr>
              <w:tab/>
            </w:r>
            <w:r w:rsidR="000D35D3" w:rsidRPr="00F77133">
              <w:rPr>
                <w:webHidden/>
              </w:rPr>
              <w:t>7-</w:t>
            </w:r>
            <w:r w:rsidRPr="00F77133">
              <w:rPr>
                <w:webHidden/>
              </w:rPr>
              <w:fldChar w:fldCharType="begin"/>
            </w:r>
            <w:r w:rsidRPr="00F77133">
              <w:rPr>
                <w:webHidden/>
              </w:rPr>
              <w:instrText xml:space="preserve"> PAGEREF _Toc210659678 \h </w:instrText>
            </w:r>
            <w:r w:rsidRPr="00F77133">
              <w:rPr>
                <w:webHidden/>
              </w:rPr>
            </w:r>
            <w:r w:rsidRPr="00F77133">
              <w:rPr>
                <w:webHidden/>
              </w:rPr>
              <w:fldChar w:fldCharType="separate"/>
            </w:r>
            <w:r w:rsidRPr="00F77133">
              <w:rPr>
                <w:webHidden/>
              </w:rPr>
              <w:t>8</w:t>
            </w:r>
            <w:r w:rsidRPr="00F77133">
              <w:rPr>
                <w:webHidden/>
              </w:rPr>
              <w:fldChar w:fldCharType="end"/>
            </w:r>
          </w:hyperlink>
        </w:p>
        <w:p w14:paraId="33C2FBBE" w14:textId="77777777" w:rsidR="00E86A44" w:rsidRPr="00E86A44" w:rsidRDefault="00E86A44" w:rsidP="00E86A44">
          <w:pPr>
            <w:spacing w:line="360" w:lineRule="auto"/>
            <w:rPr>
              <w:rFonts w:ascii="Times New Roman" w:hAnsi="Times New Roman" w:cs="Times New Roman"/>
              <w:sz w:val="24"/>
            </w:rPr>
          </w:pPr>
          <w:r w:rsidRPr="00E86A44">
            <w:rPr>
              <w:rFonts w:ascii="Times New Roman" w:hAnsi="Times New Roman" w:cs="Times New Roman"/>
              <w:b/>
              <w:bCs/>
              <w:noProof/>
              <w:sz w:val="24"/>
            </w:rPr>
            <w:fldChar w:fldCharType="end"/>
          </w:r>
        </w:p>
      </w:sdtContent>
    </w:sdt>
    <w:p w14:paraId="5A4083A9" w14:textId="77777777" w:rsidR="00E86A44" w:rsidRDefault="00E86A44">
      <w:pPr>
        <w:spacing w:line="360" w:lineRule="auto"/>
        <w:jc w:val="center"/>
        <w:rPr>
          <w:rFonts w:ascii="Times New Roman" w:eastAsia="Times New Roman" w:hAnsi="Times New Roman" w:cs="Times New Roman"/>
          <w:b/>
          <w:sz w:val="28"/>
          <w:szCs w:val="28"/>
          <w:highlight w:val="white"/>
        </w:rPr>
      </w:pPr>
    </w:p>
    <w:p w14:paraId="7807C9DA" w14:textId="77777777" w:rsidR="00D927EF" w:rsidRDefault="00F51A93">
      <w:pPr>
        <w:spacing w:line="360" w:lineRule="auto"/>
        <w:jc w:val="center"/>
        <w:rPr>
          <w:rFonts w:ascii="Times New Roman" w:eastAsia="Times New Roman" w:hAnsi="Times New Roman" w:cs="Times New Roman"/>
          <w:b/>
          <w:sz w:val="32"/>
          <w:szCs w:val="32"/>
          <w:highlight w:val="white"/>
        </w:rPr>
      </w:pPr>
      <w:r>
        <w:br w:type="page"/>
      </w:r>
    </w:p>
    <w:p w14:paraId="5DD799C5" w14:textId="77777777" w:rsidR="00D927EF" w:rsidRDefault="00F51A93" w:rsidP="00E86A44">
      <w:pPr>
        <w:pStyle w:val="Heading1"/>
        <w:rPr>
          <w:highlight w:val="white"/>
        </w:rPr>
      </w:pPr>
      <w:bookmarkStart w:id="0" w:name="_Toc210659674"/>
      <w:r>
        <w:rPr>
          <w:highlight w:val="white"/>
        </w:rPr>
        <w:lastRenderedPageBreak/>
        <w:t>Introduction</w:t>
      </w:r>
      <w:bookmarkEnd w:id="0"/>
      <w:r>
        <w:rPr>
          <w:highlight w:val="white"/>
        </w:rPr>
        <w:t xml:space="preserve"> </w:t>
      </w:r>
    </w:p>
    <w:p w14:paraId="3332F1DC" w14:textId="43DD7D9C" w:rsidR="00D927EF" w:rsidRPr="00ED7300" w:rsidRDefault="00F51A93" w:rsidP="00ED7300">
      <w:pPr>
        <w:spacing w:line="360" w:lineRule="auto"/>
        <w:jc w:val="both"/>
        <w:rPr>
          <w:rFonts w:eastAsia="Times New Roman"/>
          <w:sz w:val="24"/>
          <w:szCs w:val="24"/>
          <w:highlight w:val="white"/>
        </w:rPr>
      </w:pPr>
      <w:r w:rsidRPr="00ED7300">
        <w:rPr>
          <w:rFonts w:eastAsia="Times New Roman"/>
          <w:sz w:val="24"/>
          <w:szCs w:val="24"/>
          <w:highlight w:val="white"/>
        </w:rPr>
        <w:t xml:space="preserve">A famous UK-based company, </w:t>
      </w:r>
      <w:r w:rsidR="006658B2">
        <w:rPr>
          <w:rFonts w:eastAsia="Times New Roman"/>
          <w:sz w:val="24"/>
          <w:szCs w:val="24"/>
          <w:highlight w:val="white"/>
        </w:rPr>
        <w:t>Sainsbury’s, is one of the renowned food retail</w:t>
      </w:r>
      <w:r w:rsidRPr="00ED7300">
        <w:rPr>
          <w:rFonts w:eastAsia="Times New Roman"/>
          <w:sz w:val="24"/>
          <w:szCs w:val="24"/>
          <w:highlight w:val="white"/>
        </w:rPr>
        <w:t xml:space="preserve"> enterprises. This company </w:t>
      </w:r>
      <w:r w:rsidR="006658B2">
        <w:rPr>
          <w:rFonts w:eastAsia="Times New Roman"/>
          <w:sz w:val="24"/>
          <w:szCs w:val="24"/>
          <w:highlight w:val="white"/>
        </w:rPr>
        <w:t>operates in the retail industry, primarily providing food-related commodities and grocery products to a broad</w:t>
      </w:r>
      <w:r w:rsidRPr="00ED7300">
        <w:rPr>
          <w:rFonts w:eastAsia="Times New Roman"/>
          <w:sz w:val="24"/>
          <w:szCs w:val="24"/>
          <w:highlight w:val="white"/>
        </w:rPr>
        <w:t xml:space="preserve"> consumer base. Sainsbury’s holds a very big market position. It has competitors, such as </w:t>
      </w:r>
      <w:r w:rsidRPr="00ED7300">
        <w:rPr>
          <w:rFonts w:eastAsia="Times New Roman"/>
          <w:bCs/>
          <w:iCs/>
          <w:sz w:val="24"/>
          <w:szCs w:val="24"/>
          <w:highlight w:val="white"/>
        </w:rPr>
        <w:t>Tesco</w:t>
      </w:r>
      <w:r w:rsidR="00ED7300">
        <w:rPr>
          <w:rFonts w:eastAsia="Times New Roman"/>
          <w:sz w:val="24"/>
          <w:szCs w:val="24"/>
          <w:highlight w:val="white"/>
        </w:rPr>
        <w:t>, Morrisons and Lidl.</w:t>
      </w:r>
    </w:p>
    <w:p w14:paraId="44754FDA" w14:textId="77777777" w:rsidR="00D927EF" w:rsidRDefault="00D927EF">
      <w:pPr>
        <w:spacing w:line="360" w:lineRule="auto"/>
        <w:jc w:val="both"/>
        <w:rPr>
          <w:rFonts w:ascii="Times New Roman" w:eastAsia="Times New Roman" w:hAnsi="Times New Roman" w:cs="Times New Roman"/>
          <w:sz w:val="24"/>
          <w:szCs w:val="24"/>
          <w:highlight w:val="white"/>
        </w:rPr>
      </w:pPr>
    </w:p>
    <w:p w14:paraId="63852A3F" w14:textId="468AFF3D" w:rsidR="00D927EF" w:rsidRPr="00ED7300" w:rsidRDefault="00F51A93" w:rsidP="00ED7300">
      <w:pPr>
        <w:spacing w:line="360" w:lineRule="auto"/>
        <w:jc w:val="both"/>
        <w:rPr>
          <w:rFonts w:eastAsia="Times New Roman"/>
          <w:sz w:val="24"/>
          <w:szCs w:val="24"/>
          <w:highlight w:val="white"/>
        </w:rPr>
      </w:pPr>
      <w:r w:rsidRPr="00ED7300">
        <w:rPr>
          <w:rFonts w:eastAsia="Times New Roman"/>
          <w:sz w:val="24"/>
          <w:szCs w:val="24"/>
          <w:highlight w:val="white"/>
        </w:rPr>
        <w:t xml:space="preserve">The main purpose of the report is to portray a situational analysis </w:t>
      </w:r>
      <w:r w:rsidR="00ED7300" w:rsidRPr="00ED7300">
        <w:rPr>
          <w:rFonts w:eastAsia="Times New Roman"/>
          <w:sz w:val="24"/>
          <w:szCs w:val="24"/>
          <w:highlight w:val="white"/>
        </w:rPr>
        <w:t>of</w:t>
      </w:r>
      <w:r w:rsidRPr="00ED7300">
        <w:rPr>
          <w:rFonts w:eastAsia="Times New Roman"/>
          <w:sz w:val="24"/>
          <w:szCs w:val="24"/>
          <w:highlight w:val="white"/>
        </w:rPr>
        <w:t xml:space="preserve"> the operational activities of the selected company. A </w:t>
      </w:r>
      <w:r w:rsidR="00ED7300">
        <w:rPr>
          <w:rFonts w:eastAsia="Times New Roman"/>
          <w:sz w:val="24"/>
          <w:szCs w:val="24"/>
          <w:highlight w:val="white"/>
        </w:rPr>
        <w:t>well-</w:t>
      </w:r>
      <w:proofErr w:type="spellStart"/>
      <w:r w:rsidR="00ED7300">
        <w:rPr>
          <w:rFonts w:eastAsia="Times New Roman"/>
          <w:sz w:val="24"/>
          <w:szCs w:val="24"/>
          <w:highlight w:val="white"/>
        </w:rPr>
        <w:t>organised</w:t>
      </w:r>
      <w:proofErr w:type="spellEnd"/>
      <w:r w:rsidR="00ED7300">
        <w:rPr>
          <w:rFonts w:eastAsia="Times New Roman"/>
          <w:sz w:val="24"/>
          <w:szCs w:val="24"/>
          <w:highlight w:val="white"/>
        </w:rPr>
        <w:t xml:space="preserve"> </w:t>
      </w:r>
      <w:r w:rsidRPr="00ED7300">
        <w:rPr>
          <w:rFonts w:eastAsia="Times New Roman"/>
          <w:sz w:val="24"/>
          <w:szCs w:val="24"/>
          <w:highlight w:val="white"/>
        </w:rPr>
        <w:t xml:space="preserve">evaluation is very crucial to examine internal and external factors that can impact </w:t>
      </w:r>
      <w:r w:rsidR="00ED7300">
        <w:rPr>
          <w:rFonts w:eastAsia="Times New Roman"/>
          <w:sz w:val="24"/>
          <w:szCs w:val="24"/>
          <w:highlight w:val="white"/>
        </w:rPr>
        <w:t>the company's</w:t>
      </w:r>
      <w:r w:rsidRPr="00ED7300">
        <w:rPr>
          <w:rFonts w:eastAsia="Times New Roman"/>
          <w:sz w:val="24"/>
          <w:szCs w:val="24"/>
          <w:highlight w:val="white"/>
        </w:rPr>
        <w:t xml:space="preserve"> achievement. The report employs a </w:t>
      </w:r>
      <w:r w:rsidRPr="006658B2">
        <w:rPr>
          <w:rFonts w:eastAsia="Times New Roman"/>
          <w:bCs/>
          <w:iCs/>
          <w:sz w:val="24"/>
          <w:szCs w:val="24"/>
          <w:highlight w:val="white"/>
        </w:rPr>
        <w:t>PESTLE</w:t>
      </w:r>
      <w:r w:rsidRPr="00ED7300">
        <w:rPr>
          <w:rFonts w:eastAsia="Times New Roman"/>
          <w:sz w:val="24"/>
          <w:szCs w:val="24"/>
          <w:highlight w:val="white"/>
        </w:rPr>
        <w:t xml:space="preserve"> analysis approach to assess social, economic, legal, technological, environmental and political elements.          </w:t>
      </w:r>
    </w:p>
    <w:p w14:paraId="0CE71510" w14:textId="7796C418" w:rsidR="00D927EF" w:rsidRPr="006658B2" w:rsidRDefault="00F51A93">
      <w:pPr>
        <w:spacing w:before="240" w:after="240" w:line="360" w:lineRule="auto"/>
        <w:jc w:val="both"/>
        <w:rPr>
          <w:rFonts w:eastAsia="Times New Roman"/>
          <w:b/>
          <w:i/>
          <w:sz w:val="24"/>
          <w:szCs w:val="24"/>
          <w:highlight w:val="white"/>
        </w:rPr>
      </w:pPr>
      <w:bookmarkStart w:id="1" w:name="_Toc210659675"/>
      <w:r w:rsidRPr="004F34BE">
        <w:rPr>
          <w:b/>
          <w:bCs/>
          <w:sz w:val="24"/>
          <w:szCs w:val="24"/>
          <w:highlight w:val="white"/>
        </w:rPr>
        <w:t>Situational Analysis</w:t>
      </w:r>
      <w:bookmarkEnd w:id="1"/>
      <w:r w:rsidR="006658B2" w:rsidRPr="006658B2">
        <w:rPr>
          <w:highlight w:val="white"/>
        </w:rPr>
        <w:t xml:space="preserve">: </w:t>
      </w:r>
      <w:r w:rsidR="006658B2" w:rsidRPr="006658B2">
        <w:rPr>
          <w:rFonts w:eastAsia="Times New Roman"/>
          <w:bCs/>
          <w:iCs/>
          <w:sz w:val="24"/>
          <w:szCs w:val="24"/>
          <w:highlight w:val="white"/>
        </w:rPr>
        <w:t>PESTLE Analysis</w:t>
      </w:r>
    </w:p>
    <w:tbl>
      <w:tblPr>
        <w:tblStyle w:val="a"/>
        <w:tblW w:w="9323"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2D69B" w:themeFill="accent3" w:themeFillTint="99"/>
        <w:tblLayout w:type="fixed"/>
        <w:tblLook w:val="0600" w:firstRow="0" w:lastRow="0" w:firstColumn="0" w:lastColumn="0" w:noHBand="1" w:noVBand="1"/>
      </w:tblPr>
      <w:tblGrid>
        <w:gridCol w:w="1605"/>
        <w:gridCol w:w="220"/>
        <w:gridCol w:w="2150"/>
        <w:gridCol w:w="2220"/>
        <w:gridCol w:w="3128"/>
      </w:tblGrid>
      <w:tr w:rsidR="00D927EF" w:rsidRPr="00681245" w14:paraId="2264434C" w14:textId="77777777" w:rsidTr="006658B2">
        <w:trPr>
          <w:trHeight w:val="345"/>
          <w:jc w:val="center"/>
        </w:trPr>
        <w:tc>
          <w:tcPr>
            <w:tcW w:w="1605"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181FB678"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t>Factor</w:t>
            </w:r>
          </w:p>
        </w:tc>
        <w:tc>
          <w:tcPr>
            <w:tcW w:w="2370" w:type="dxa"/>
            <w:gridSpan w:val="2"/>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13A7E127"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t>Description</w:t>
            </w:r>
          </w:p>
        </w:tc>
        <w:tc>
          <w:tcPr>
            <w:tcW w:w="222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2A755A8E"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t>Statistical Insight</w:t>
            </w:r>
          </w:p>
        </w:tc>
        <w:tc>
          <w:tcPr>
            <w:tcW w:w="3128"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731FB4B4"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t>Marketing Implication</w:t>
            </w:r>
          </w:p>
        </w:tc>
      </w:tr>
      <w:tr w:rsidR="00D927EF" w:rsidRPr="00681245" w14:paraId="5A1C7E90" w14:textId="77777777" w:rsidTr="006658B2">
        <w:trPr>
          <w:trHeight w:val="1185"/>
          <w:jc w:val="center"/>
        </w:trPr>
        <w:tc>
          <w:tcPr>
            <w:tcW w:w="1605"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7B766F48"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t>Political</w:t>
            </w:r>
          </w:p>
        </w:tc>
        <w:tc>
          <w:tcPr>
            <w:tcW w:w="2370" w:type="dxa"/>
            <w:gridSpan w:val="2"/>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09981199"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Post-Brexit trade barriers and food import tariffs increase operational costs.</w:t>
            </w:r>
          </w:p>
        </w:tc>
        <w:tc>
          <w:tcPr>
            <w:tcW w:w="222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29E7D866"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 xml:space="preserve">UK food import costs rose by </w:t>
            </w:r>
            <w:r w:rsidRPr="006658B2">
              <w:rPr>
                <w:rFonts w:eastAsia="Times New Roman"/>
                <w:bCs/>
                <w:sz w:val="24"/>
                <w:szCs w:val="24"/>
              </w:rPr>
              <w:t>7.2%</w:t>
            </w:r>
            <w:r w:rsidRPr="006658B2">
              <w:rPr>
                <w:rFonts w:eastAsia="Times New Roman"/>
                <w:b/>
                <w:sz w:val="24"/>
                <w:szCs w:val="24"/>
              </w:rPr>
              <w:t xml:space="preserve"> </w:t>
            </w:r>
            <w:r w:rsidRPr="006658B2">
              <w:rPr>
                <w:rFonts w:eastAsia="Times New Roman"/>
                <w:bCs/>
                <w:sz w:val="24"/>
                <w:szCs w:val="24"/>
              </w:rPr>
              <w:t>in 2024</w:t>
            </w:r>
            <w:r w:rsidRPr="006658B2">
              <w:rPr>
                <w:rFonts w:eastAsia="Times New Roman"/>
                <w:sz w:val="24"/>
                <w:szCs w:val="24"/>
              </w:rPr>
              <w:t xml:space="preserve"> (ONS, 2024).</w:t>
            </w:r>
          </w:p>
        </w:tc>
        <w:tc>
          <w:tcPr>
            <w:tcW w:w="3128"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3E659546" w14:textId="6913985C" w:rsidR="00D927EF" w:rsidRPr="006658B2" w:rsidRDefault="006658B2" w:rsidP="00681245">
            <w:pPr>
              <w:spacing w:before="240" w:line="360" w:lineRule="auto"/>
              <w:jc w:val="center"/>
              <w:rPr>
                <w:rFonts w:eastAsia="Times New Roman"/>
                <w:sz w:val="24"/>
                <w:szCs w:val="24"/>
              </w:rPr>
            </w:pPr>
            <w:proofErr w:type="spellStart"/>
            <w:r w:rsidRPr="006658B2">
              <w:rPr>
                <w:rFonts w:eastAsia="Times New Roman"/>
                <w:sz w:val="24"/>
                <w:szCs w:val="24"/>
              </w:rPr>
              <w:t>Emphasise</w:t>
            </w:r>
            <w:proofErr w:type="spellEnd"/>
            <w:r w:rsidR="00F51A93" w:rsidRPr="006658B2">
              <w:rPr>
                <w:rFonts w:eastAsia="Times New Roman"/>
                <w:sz w:val="24"/>
                <w:szCs w:val="24"/>
              </w:rPr>
              <w:t xml:space="preserve"> local sourcing and “British-grown” marketing campaigns.</w:t>
            </w:r>
          </w:p>
        </w:tc>
      </w:tr>
      <w:tr w:rsidR="00D927EF" w:rsidRPr="00681245" w14:paraId="377DED07" w14:textId="77777777" w:rsidTr="006658B2">
        <w:trPr>
          <w:trHeight w:val="1185"/>
          <w:jc w:val="center"/>
        </w:trPr>
        <w:tc>
          <w:tcPr>
            <w:tcW w:w="1605"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123035E1"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t>Economic</w:t>
            </w:r>
          </w:p>
        </w:tc>
        <w:tc>
          <w:tcPr>
            <w:tcW w:w="2370" w:type="dxa"/>
            <w:gridSpan w:val="2"/>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5E8FAADD"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Inflation and reduced consumer spending power affect retail demand.</w:t>
            </w:r>
          </w:p>
        </w:tc>
        <w:tc>
          <w:tcPr>
            <w:tcW w:w="222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489ACDFB"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 xml:space="preserve">Inflation averaged </w:t>
            </w:r>
            <w:r w:rsidRPr="006658B2">
              <w:rPr>
                <w:rFonts w:eastAsia="Times New Roman"/>
                <w:b/>
                <w:sz w:val="24"/>
                <w:szCs w:val="24"/>
              </w:rPr>
              <w:t>3.1%</w:t>
            </w:r>
            <w:r w:rsidRPr="006658B2">
              <w:rPr>
                <w:rFonts w:eastAsia="Times New Roman"/>
                <w:sz w:val="24"/>
                <w:szCs w:val="24"/>
              </w:rPr>
              <w:t xml:space="preserve">; retail sales volume fell </w:t>
            </w:r>
            <w:r w:rsidRPr="006658B2">
              <w:rPr>
                <w:rFonts w:eastAsia="Times New Roman"/>
                <w:b/>
                <w:sz w:val="24"/>
                <w:szCs w:val="24"/>
              </w:rPr>
              <w:t>1.5%</w:t>
            </w:r>
            <w:r w:rsidRPr="006658B2">
              <w:rPr>
                <w:rFonts w:eastAsia="Times New Roman"/>
                <w:sz w:val="24"/>
                <w:szCs w:val="24"/>
              </w:rPr>
              <w:t xml:space="preserve"> (BoE, 2024).</w:t>
            </w:r>
          </w:p>
        </w:tc>
        <w:tc>
          <w:tcPr>
            <w:tcW w:w="3128"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75DCED06"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Focus on affordability and expand loyalty discount programs.</w:t>
            </w:r>
          </w:p>
        </w:tc>
      </w:tr>
      <w:tr w:rsidR="00D927EF" w:rsidRPr="00681245" w14:paraId="714B52A7" w14:textId="77777777" w:rsidTr="006658B2">
        <w:trPr>
          <w:trHeight w:val="1185"/>
          <w:jc w:val="center"/>
        </w:trPr>
        <w:tc>
          <w:tcPr>
            <w:tcW w:w="1605"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74FAE3F5"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t>Social</w:t>
            </w:r>
          </w:p>
        </w:tc>
        <w:tc>
          <w:tcPr>
            <w:tcW w:w="2370" w:type="dxa"/>
            <w:gridSpan w:val="2"/>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5808139B" w14:textId="1C562495"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Growing preference for sustainable, plant-based, and ethical products.</w:t>
            </w:r>
          </w:p>
        </w:tc>
        <w:tc>
          <w:tcPr>
            <w:tcW w:w="222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48E506D6"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b/>
                <w:sz w:val="24"/>
                <w:szCs w:val="24"/>
              </w:rPr>
              <w:t>68% of UK consumers</w:t>
            </w:r>
            <w:r w:rsidRPr="006658B2">
              <w:rPr>
                <w:rFonts w:eastAsia="Times New Roman"/>
                <w:sz w:val="24"/>
                <w:szCs w:val="24"/>
              </w:rPr>
              <w:t xml:space="preserve"> seek eco-friendly options (Mintel, 2024).</w:t>
            </w:r>
          </w:p>
        </w:tc>
        <w:tc>
          <w:tcPr>
            <w:tcW w:w="3128"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15441E4E"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Promote sustainability and healthy lifestyle products.</w:t>
            </w:r>
          </w:p>
        </w:tc>
      </w:tr>
      <w:tr w:rsidR="00D927EF" w:rsidRPr="00681245" w14:paraId="530D4B6B" w14:textId="77777777" w:rsidTr="006658B2">
        <w:trPr>
          <w:trHeight w:val="1185"/>
          <w:jc w:val="center"/>
        </w:trPr>
        <w:tc>
          <w:tcPr>
            <w:tcW w:w="1825" w:type="dxa"/>
            <w:gridSpan w:val="2"/>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71AEB2F9"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lastRenderedPageBreak/>
              <w:t>Technological</w:t>
            </w:r>
          </w:p>
        </w:tc>
        <w:tc>
          <w:tcPr>
            <w:tcW w:w="215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5614E049" w14:textId="77777777" w:rsidR="00D927EF" w:rsidRPr="006658B2" w:rsidRDefault="00F51A93" w:rsidP="00681245">
            <w:pPr>
              <w:spacing w:before="240" w:line="360" w:lineRule="auto"/>
              <w:jc w:val="center"/>
              <w:rPr>
                <w:rFonts w:eastAsia="Times New Roman"/>
                <w:sz w:val="24"/>
                <w:szCs w:val="24"/>
              </w:rPr>
            </w:pPr>
            <w:proofErr w:type="spellStart"/>
            <w:r w:rsidRPr="006658B2">
              <w:rPr>
                <w:rFonts w:eastAsia="Times New Roman"/>
                <w:sz w:val="24"/>
                <w:szCs w:val="24"/>
              </w:rPr>
              <w:t>Digitalisation</w:t>
            </w:r>
            <w:proofErr w:type="spellEnd"/>
            <w:r w:rsidRPr="006658B2">
              <w:rPr>
                <w:rFonts w:eastAsia="Times New Roman"/>
                <w:sz w:val="24"/>
                <w:szCs w:val="24"/>
              </w:rPr>
              <w:t xml:space="preserve"> drives online shopping and data-driven marketing.</w:t>
            </w:r>
          </w:p>
        </w:tc>
        <w:tc>
          <w:tcPr>
            <w:tcW w:w="222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79ED24A9"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 xml:space="preserve">Online grocery revenue increased </w:t>
            </w:r>
            <w:r w:rsidRPr="006658B2">
              <w:rPr>
                <w:rFonts w:eastAsia="Times New Roman"/>
                <w:b/>
                <w:sz w:val="24"/>
                <w:szCs w:val="24"/>
              </w:rPr>
              <w:t>11%</w:t>
            </w:r>
            <w:r w:rsidRPr="006658B2">
              <w:rPr>
                <w:rFonts w:eastAsia="Times New Roman"/>
                <w:sz w:val="24"/>
                <w:szCs w:val="24"/>
              </w:rPr>
              <w:t xml:space="preserve"> in 2024 (Statista, 2024).</w:t>
            </w:r>
          </w:p>
        </w:tc>
        <w:tc>
          <w:tcPr>
            <w:tcW w:w="3128"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19A466ED" w14:textId="57C43802"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 xml:space="preserve">Invest in e-commerce innovation and </w:t>
            </w:r>
            <w:proofErr w:type="spellStart"/>
            <w:r w:rsidR="006658B2" w:rsidRPr="006658B2">
              <w:rPr>
                <w:rFonts w:eastAsia="Times New Roman"/>
                <w:sz w:val="24"/>
                <w:szCs w:val="24"/>
              </w:rPr>
              <w:t>personalised</w:t>
            </w:r>
            <w:proofErr w:type="spellEnd"/>
            <w:r w:rsidRPr="006658B2">
              <w:rPr>
                <w:rFonts w:eastAsia="Times New Roman"/>
                <w:sz w:val="24"/>
                <w:szCs w:val="24"/>
              </w:rPr>
              <w:t xml:space="preserve"> marketing.</w:t>
            </w:r>
          </w:p>
        </w:tc>
      </w:tr>
      <w:tr w:rsidR="00D927EF" w:rsidRPr="00681245" w14:paraId="2BCFB4CC" w14:textId="77777777" w:rsidTr="006658B2">
        <w:trPr>
          <w:trHeight w:val="1185"/>
          <w:jc w:val="center"/>
        </w:trPr>
        <w:tc>
          <w:tcPr>
            <w:tcW w:w="1825" w:type="dxa"/>
            <w:gridSpan w:val="2"/>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40131FFD"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t>Legal</w:t>
            </w:r>
          </w:p>
        </w:tc>
        <w:tc>
          <w:tcPr>
            <w:tcW w:w="215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38BEF7C4"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Stricter food labelling and employment regulations.</w:t>
            </w:r>
          </w:p>
        </w:tc>
        <w:tc>
          <w:tcPr>
            <w:tcW w:w="222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1133DF4A"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 xml:space="preserve">UK Food Standards enforcement up </w:t>
            </w:r>
            <w:r w:rsidRPr="006658B2">
              <w:rPr>
                <w:rFonts w:eastAsia="Times New Roman"/>
                <w:b/>
                <w:sz w:val="24"/>
                <w:szCs w:val="24"/>
              </w:rPr>
              <w:t>9%</w:t>
            </w:r>
            <w:r w:rsidRPr="006658B2">
              <w:rPr>
                <w:rFonts w:eastAsia="Times New Roman"/>
                <w:sz w:val="24"/>
                <w:szCs w:val="24"/>
              </w:rPr>
              <w:t xml:space="preserve"> (FSA, 2024).</w:t>
            </w:r>
          </w:p>
        </w:tc>
        <w:tc>
          <w:tcPr>
            <w:tcW w:w="3128"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0E09DF7F"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Ensure compliance-focused branding and transparent communication.</w:t>
            </w:r>
          </w:p>
        </w:tc>
      </w:tr>
      <w:tr w:rsidR="00D927EF" w14:paraId="5C0F5B7A" w14:textId="77777777" w:rsidTr="006658B2">
        <w:trPr>
          <w:trHeight w:val="915"/>
          <w:jc w:val="center"/>
        </w:trPr>
        <w:tc>
          <w:tcPr>
            <w:tcW w:w="1825" w:type="dxa"/>
            <w:gridSpan w:val="2"/>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5A57CFA6" w14:textId="77777777" w:rsidR="00D927EF" w:rsidRPr="006658B2" w:rsidRDefault="00F51A93" w:rsidP="00681245">
            <w:pPr>
              <w:spacing w:before="240" w:line="360" w:lineRule="auto"/>
              <w:jc w:val="center"/>
              <w:rPr>
                <w:rFonts w:eastAsia="Times New Roman"/>
                <w:b/>
                <w:sz w:val="24"/>
                <w:szCs w:val="24"/>
              </w:rPr>
            </w:pPr>
            <w:r w:rsidRPr="006658B2">
              <w:rPr>
                <w:rFonts w:eastAsia="Times New Roman"/>
                <w:b/>
                <w:sz w:val="24"/>
                <w:szCs w:val="24"/>
              </w:rPr>
              <w:t>Environmental</w:t>
            </w:r>
          </w:p>
        </w:tc>
        <w:tc>
          <w:tcPr>
            <w:tcW w:w="215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75C5EF77"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Climate change and carbon reduction goals impact operations.</w:t>
            </w:r>
          </w:p>
        </w:tc>
        <w:tc>
          <w:tcPr>
            <w:tcW w:w="222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4580921B"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 xml:space="preserve">Sainsbury’s targets </w:t>
            </w:r>
            <w:r w:rsidRPr="006658B2">
              <w:rPr>
                <w:rFonts w:eastAsia="Times New Roman"/>
                <w:b/>
                <w:sz w:val="24"/>
                <w:szCs w:val="24"/>
              </w:rPr>
              <w:t>net zero by 2035</w:t>
            </w:r>
            <w:r w:rsidRPr="006658B2">
              <w:rPr>
                <w:rFonts w:eastAsia="Times New Roman"/>
                <w:sz w:val="24"/>
                <w:szCs w:val="24"/>
              </w:rPr>
              <w:t xml:space="preserve"> (Sainsbury’s, 2024).</w:t>
            </w:r>
          </w:p>
        </w:tc>
        <w:tc>
          <w:tcPr>
            <w:tcW w:w="3128"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20" w:type="dxa"/>
              <w:left w:w="20" w:type="dxa"/>
              <w:bottom w:w="20" w:type="dxa"/>
              <w:right w:w="20" w:type="dxa"/>
            </w:tcMar>
          </w:tcPr>
          <w:p w14:paraId="7071E29C" w14:textId="77777777" w:rsidR="00D927EF" w:rsidRPr="006658B2" w:rsidRDefault="00F51A93" w:rsidP="00681245">
            <w:pPr>
              <w:spacing w:before="240" w:line="360" w:lineRule="auto"/>
              <w:jc w:val="center"/>
              <w:rPr>
                <w:rFonts w:eastAsia="Times New Roman"/>
                <w:sz w:val="24"/>
                <w:szCs w:val="24"/>
              </w:rPr>
            </w:pPr>
            <w:r w:rsidRPr="006658B2">
              <w:rPr>
                <w:rFonts w:eastAsia="Times New Roman"/>
                <w:sz w:val="24"/>
                <w:szCs w:val="24"/>
              </w:rPr>
              <w:t xml:space="preserve">Market </w:t>
            </w:r>
            <w:proofErr w:type="spellStart"/>
            <w:r w:rsidRPr="006658B2">
              <w:rPr>
                <w:rFonts w:eastAsia="Times New Roman"/>
                <w:sz w:val="24"/>
                <w:szCs w:val="24"/>
              </w:rPr>
              <w:t>ec</w:t>
            </w:r>
            <w:proofErr w:type="spellEnd"/>
          </w:p>
        </w:tc>
      </w:tr>
    </w:tbl>
    <w:p w14:paraId="54354B3C" w14:textId="77777777" w:rsidR="00D927EF" w:rsidRDefault="00D927EF">
      <w:pPr>
        <w:spacing w:before="240" w:after="240" w:line="360" w:lineRule="auto"/>
        <w:jc w:val="both"/>
        <w:rPr>
          <w:rFonts w:ascii="Times New Roman" w:eastAsia="Times New Roman" w:hAnsi="Times New Roman" w:cs="Times New Roman"/>
          <w:sz w:val="24"/>
          <w:szCs w:val="24"/>
          <w:highlight w:val="white"/>
        </w:rPr>
      </w:pPr>
    </w:p>
    <w:p w14:paraId="1B941690" w14:textId="77777777" w:rsidR="00D927EF" w:rsidRPr="006658B2" w:rsidRDefault="00F51A93">
      <w:pPr>
        <w:spacing w:before="240" w:after="240" w:line="360" w:lineRule="auto"/>
        <w:jc w:val="both"/>
        <w:rPr>
          <w:rFonts w:eastAsia="Times New Roman"/>
          <w:b/>
          <w:sz w:val="24"/>
          <w:szCs w:val="24"/>
          <w:highlight w:val="white"/>
        </w:rPr>
      </w:pPr>
      <w:r w:rsidRPr="006658B2">
        <w:rPr>
          <w:rFonts w:eastAsia="Times New Roman"/>
          <w:b/>
          <w:sz w:val="24"/>
          <w:szCs w:val="24"/>
          <w:highlight w:val="white"/>
        </w:rPr>
        <w:t>Observation (Situational Analysis Perspective)</w:t>
      </w:r>
    </w:p>
    <w:p w14:paraId="1B325D05" w14:textId="5E2D953F" w:rsidR="00D927EF" w:rsidRPr="004F34BE" w:rsidRDefault="004F34BE" w:rsidP="004F34BE">
      <w:pPr>
        <w:spacing w:before="240" w:after="240" w:line="360" w:lineRule="auto"/>
        <w:rPr>
          <w:rFonts w:eastAsia="Times New Roman"/>
          <w:sz w:val="24"/>
          <w:szCs w:val="24"/>
          <w:highlight w:val="white"/>
        </w:rPr>
      </w:pPr>
      <w:r w:rsidRPr="004F34BE">
        <w:rPr>
          <w:rFonts w:eastAsia="Times New Roman"/>
          <w:sz w:val="24"/>
          <w:szCs w:val="24"/>
          <w:highlight w:val="white"/>
        </w:rPr>
        <w:t>Sustainability</w:t>
      </w:r>
      <w:r w:rsidR="00F51A93" w:rsidRPr="004F34BE">
        <w:rPr>
          <w:rFonts w:eastAsia="Times New Roman"/>
          <w:sz w:val="24"/>
          <w:szCs w:val="24"/>
          <w:highlight w:val="white"/>
        </w:rPr>
        <w:t xml:space="preserve"> targets of Sainsbury’s</w:t>
      </w:r>
      <w:r>
        <w:rPr>
          <w:rFonts w:eastAsia="Times New Roman"/>
          <w:sz w:val="24"/>
          <w:szCs w:val="24"/>
          <w:highlight w:val="white"/>
        </w:rPr>
        <w:t xml:space="preserve">: </w:t>
      </w:r>
      <w:r w:rsidR="00F51A93" w:rsidRPr="004F34BE">
        <w:rPr>
          <w:rFonts w:eastAsia="Times New Roman"/>
          <w:sz w:val="24"/>
          <w:szCs w:val="24"/>
          <w:highlight w:val="white"/>
        </w:rPr>
        <w:t xml:space="preserve">Marketing practices of this brand blend sustainability, affordability and technical offerings to </w:t>
      </w:r>
      <w:r>
        <w:rPr>
          <w:rFonts w:eastAsia="Times New Roman"/>
          <w:sz w:val="24"/>
          <w:szCs w:val="24"/>
          <w:highlight w:val="white"/>
        </w:rPr>
        <w:t>meet</w:t>
      </w:r>
      <w:r w:rsidR="00F51A93" w:rsidRPr="004F34BE">
        <w:rPr>
          <w:rFonts w:eastAsia="Times New Roman"/>
          <w:sz w:val="24"/>
          <w:szCs w:val="24"/>
          <w:highlight w:val="white"/>
        </w:rPr>
        <w:t xml:space="preserve"> inconsistent expectations of the consumers.                               </w:t>
      </w:r>
    </w:p>
    <w:p w14:paraId="76273FF6" w14:textId="77777777" w:rsidR="00D927EF" w:rsidRPr="004F34BE" w:rsidRDefault="00F51A93" w:rsidP="00681245">
      <w:pPr>
        <w:pStyle w:val="Heading1"/>
        <w:rPr>
          <w:rFonts w:ascii="Arial" w:hAnsi="Arial"/>
          <w:sz w:val="32"/>
          <w:szCs w:val="32"/>
          <w:highlight w:val="white"/>
        </w:rPr>
      </w:pPr>
      <w:bookmarkStart w:id="2" w:name="_Toc210659676"/>
      <w:r w:rsidRPr="004F34BE">
        <w:rPr>
          <w:rFonts w:ascii="Arial" w:hAnsi="Arial"/>
          <w:sz w:val="32"/>
          <w:szCs w:val="32"/>
          <w:highlight w:val="white"/>
        </w:rPr>
        <w:t>Critical Analysis and Evaluation</w:t>
      </w:r>
      <w:bookmarkEnd w:id="2"/>
      <w:r w:rsidRPr="004F34BE">
        <w:rPr>
          <w:rFonts w:ascii="Arial" w:hAnsi="Arial"/>
          <w:sz w:val="32"/>
          <w:szCs w:val="32"/>
          <w:highlight w:val="white"/>
        </w:rPr>
        <w:t xml:space="preserve"> </w:t>
      </w:r>
    </w:p>
    <w:p w14:paraId="5ACDB494" w14:textId="77777777" w:rsidR="00D927EF" w:rsidRPr="004F34BE" w:rsidRDefault="00F51A93">
      <w:pPr>
        <w:spacing w:line="360" w:lineRule="auto"/>
        <w:jc w:val="both"/>
        <w:rPr>
          <w:rFonts w:eastAsia="Times New Roman"/>
          <w:b/>
          <w:sz w:val="24"/>
          <w:szCs w:val="24"/>
          <w:highlight w:val="white"/>
        </w:rPr>
      </w:pPr>
      <w:r w:rsidRPr="004F34BE">
        <w:rPr>
          <w:rFonts w:eastAsia="Times New Roman"/>
          <w:b/>
          <w:sz w:val="24"/>
          <w:szCs w:val="24"/>
          <w:highlight w:val="white"/>
        </w:rPr>
        <w:t xml:space="preserve">Critical Analysis of Findings </w:t>
      </w:r>
    </w:p>
    <w:p w14:paraId="18FF97FC" w14:textId="77777777" w:rsidR="005F19FC" w:rsidRDefault="00F51A93" w:rsidP="005F19FC">
      <w:pPr>
        <w:spacing w:line="360" w:lineRule="auto"/>
        <w:jc w:val="both"/>
        <w:rPr>
          <w:rFonts w:eastAsia="Times New Roman"/>
          <w:sz w:val="24"/>
          <w:szCs w:val="24"/>
          <w:highlight w:val="white"/>
        </w:rPr>
      </w:pPr>
      <w:r w:rsidRPr="004F34BE">
        <w:rPr>
          <w:rFonts w:eastAsia="Times New Roman"/>
          <w:sz w:val="24"/>
          <w:szCs w:val="24"/>
          <w:highlight w:val="white"/>
        </w:rPr>
        <w:t xml:space="preserve">The above conducted situational evaluation signals that the company </w:t>
      </w:r>
      <w:r w:rsidR="005F19FC">
        <w:rPr>
          <w:rFonts w:eastAsia="Times New Roman"/>
          <w:sz w:val="24"/>
          <w:szCs w:val="24"/>
          <w:highlight w:val="white"/>
        </w:rPr>
        <w:t>is encountering</w:t>
      </w:r>
      <w:r w:rsidRPr="004F34BE">
        <w:rPr>
          <w:rFonts w:eastAsia="Times New Roman"/>
          <w:sz w:val="24"/>
          <w:szCs w:val="24"/>
          <w:highlight w:val="white"/>
        </w:rPr>
        <w:t xml:space="preserve"> increasing expenses because of inflation and Brexit-related influences. The food sourcing expenses </w:t>
      </w:r>
      <w:r w:rsidR="005F19FC">
        <w:rPr>
          <w:rFonts w:eastAsia="Times New Roman"/>
          <w:sz w:val="24"/>
          <w:szCs w:val="24"/>
          <w:highlight w:val="white"/>
        </w:rPr>
        <w:t xml:space="preserve">were </w:t>
      </w:r>
      <w:proofErr w:type="spellStart"/>
      <w:r w:rsidR="005F19FC">
        <w:rPr>
          <w:rFonts w:eastAsia="Times New Roman"/>
          <w:sz w:val="24"/>
          <w:szCs w:val="24"/>
          <w:highlight w:val="white"/>
        </w:rPr>
        <w:t>optimised</w:t>
      </w:r>
      <w:proofErr w:type="spellEnd"/>
      <w:r w:rsidRPr="004F34BE">
        <w:rPr>
          <w:rFonts w:eastAsia="Times New Roman"/>
          <w:sz w:val="24"/>
          <w:szCs w:val="24"/>
          <w:highlight w:val="white"/>
        </w:rPr>
        <w:t xml:space="preserve"> in the UK by 7.2% in 2024 (</w:t>
      </w:r>
      <w:hyperlink r:id="rId8">
        <w:r w:rsidRPr="004F34BE">
          <w:rPr>
            <w:rFonts w:eastAsia="Times New Roman"/>
            <w:sz w:val="24"/>
            <w:szCs w:val="24"/>
            <w:highlight w:val="white"/>
          </w:rPr>
          <w:t>ons.gov.uk</w:t>
        </w:r>
      </w:hyperlink>
      <w:r w:rsidRPr="004F34BE">
        <w:rPr>
          <w:rFonts w:eastAsia="Times New Roman"/>
          <w:sz w:val="24"/>
          <w:szCs w:val="24"/>
          <w:highlight w:val="white"/>
        </w:rPr>
        <w:t>, 2024).</w:t>
      </w:r>
    </w:p>
    <w:p w14:paraId="2095877B" w14:textId="17819242" w:rsidR="00D927EF" w:rsidRPr="004F34BE" w:rsidRDefault="00F51A93" w:rsidP="005F19FC">
      <w:pPr>
        <w:spacing w:line="360" w:lineRule="auto"/>
        <w:jc w:val="both"/>
        <w:rPr>
          <w:rFonts w:eastAsia="Times New Roman"/>
          <w:sz w:val="24"/>
          <w:szCs w:val="24"/>
          <w:highlight w:val="white"/>
        </w:rPr>
      </w:pPr>
      <w:r w:rsidRPr="004F34BE">
        <w:rPr>
          <w:rFonts w:eastAsia="Times New Roman"/>
          <w:sz w:val="24"/>
          <w:szCs w:val="24"/>
          <w:highlight w:val="white"/>
        </w:rPr>
        <w:t xml:space="preserve">This </w:t>
      </w:r>
      <w:proofErr w:type="gramStart"/>
      <w:r w:rsidR="005F19FC" w:rsidRPr="004F34BE">
        <w:rPr>
          <w:rFonts w:eastAsia="Times New Roman"/>
          <w:sz w:val="24"/>
          <w:szCs w:val="24"/>
          <w:highlight w:val="white"/>
        </w:rPr>
        <w:t>impacts</w:t>
      </w:r>
      <w:proofErr w:type="gramEnd"/>
      <w:r w:rsidR="005F19FC">
        <w:rPr>
          <w:rFonts w:eastAsia="Times New Roman"/>
          <w:sz w:val="24"/>
          <w:szCs w:val="24"/>
          <w:highlight w:val="white"/>
        </w:rPr>
        <w:t xml:space="preserve"> the </w:t>
      </w:r>
      <w:r w:rsidRPr="004F34BE">
        <w:rPr>
          <w:rFonts w:eastAsia="Times New Roman"/>
          <w:sz w:val="24"/>
          <w:szCs w:val="24"/>
          <w:highlight w:val="white"/>
        </w:rPr>
        <w:t>overall revenue margins of Sainsbury's in the</w:t>
      </w:r>
      <w:r w:rsidR="005F19FC">
        <w:rPr>
          <w:rFonts w:eastAsia="Times New Roman"/>
          <w:sz w:val="24"/>
          <w:szCs w:val="24"/>
          <w:highlight w:val="white"/>
        </w:rPr>
        <w:t xml:space="preserve"> </w:t>
      </w:r>
      <w:r w:rsidRPr="004F34BE">
        <w:rPr>
          <w:rFonts w:eastAsia="Times New Roman"/>
          <w:sz w:val="24"/>
          <w:szCs w:val="24"/>
          <w:highlight w:val="white"/>
        </w:rPr>
        <w:t xml:space="preserve">UK. Inflation </w:t>
      </w:r>
      <w:r w:rsidR="005F19FC">
        <w:rPr>
          <w:rFonts w:eastAsia="Times New Roman"/>
          <w:sz w:val="24"/>
          <w:szCs w:val="24"/>
          <w:highlight w:val="white"/>
        </w:rPr>
        <w:t xml:space="preserve">of </w:t>
      </w:r>
      <w:r w:rsidRPr="004F34BE">
        <w:rPr>
          <w:rFonts w:eastAsia="Times New Roman"/>
          <w:sz w:val="24"/>
          <w:szCs w:val="24"/>
          <w:highlight w:val="white"/>
        </w:rPr>
        <w:t xml:space="preserve">approximately 3.1% decreases the buying capacity of the customers and </w:t>
      </w:r>
      <w:proofErr w:type="spellStart"/>
      <w:r w:rsidR="005F19FC">
        <w:rPr>
          <w:rFonts w:eastAsia="Times New Roman"/>
          <w:sz w:val="24"/>
          <w:szCs w:val="24"/>
          <w:highlight w:val="white"/>
        </w:rPr>
        <w:t>optimises</w:t>
      </w:r>
      <w:proofErr w:type="spellEnd"/>
      <w:r w:rsidRPr="004F34BE">
        <w:rPr>
          <w:rFonts w:eastAsia="Times New Roman"/>
          <w:sz w:val="24"/>
          <w:szCs w:val="24"/>
          <w:highlight w:val="white"/>
        </w:rPr>
        <w:t xml:space="preserve"> claims for budget-friendly goods (</w:t>
      </w:r>
      <w:hyperlink r:id="rId9">
        <w:r w:rsidRPr="004F34BE">
          <w:rPr>
            <w:rFonts w:eastAsia="Times New Roman"/>
            <w:sz w:val="24"/>
            <w:szCs w:val="24"/>
            <w:highlight w:val="white"/>
          </w:rPr>
          <w:t>bankofengland.co.uk</w:t>
        </w:r>
      </w:hyperlink>
      <w:r w:rsidRPr="004F34BE">
        <w:rPr>
          <w:rFonts w:eastAsia="Times New Roman"/>
          <w:sz w:val="24"/>
          <w:szCs w:val="24"/>
          <w:highlight w:val="white"/>
        </w:rPr>
        <w:t xml:space="preserve">, 2024). Data signals that approximately 68% of the buyers of the UK choose environmentally conscious and </w:t>
      </w:r>
      <w:r w:rsidRPr="004F34BE">
        <w:rPr>
          <w:rFonts w:eastAsia="Times New Roman"/>
          <w:sz w:val="24"/>
          <w:szCs w:val="24"/>
          <w:highlight w:val="white"/>
        </w:rPr>
        <w:lastRenderedPageBreak/>
        <w:t>ethically imported goods (</w:t>
      </w:r>
      <w:hyperlink r:id="rId10">
        <w:r w:rsidRPr="004F34BE">
          <w:rPr>
            <w:rFonts w:eastAsia="Times New Roman"/>
            <w:sz w:val="24"/>
            <w:szCs w:val="24"/>
            <w:highlight w:val="white"/>
          </w:rPr>
          <w:t>mintel.com</w:t>
        </w:r>
      </w:hyperlink>
      <w:r w:rsidRPr="004F34BE">
        <w:rPr>
          <w:rFonts w:eastAsia="Times New Roman"/>
          <w:sz w:val="24"/>
          <w:szCs w:val="24"/>
          <w:highlight w:val="white"/>
        </w:rPr>
        <w:t>, 2024). Technological influences, like online food buying, increased by more than 11% in 2024 (</w:t>
      </w:r>
      <w:hyperlink r:id="rId11">
        <w:r w:rsidRPr="004F34BE">
          <w:rPr>
            <w:rFonts w:eastAsia="Times New Roman"/>
            <w:sz w:val="24"/>
            <w:szCs w:val="24"/>
            <w:highlight w:val="white"/>
          </w:rPr>
          <w:t>statista.com</w:t>
        </w:r>
      </w:hyperlink>
      <w:r w:rsidRPr="004F34BE">
        <w:rPr>
          <w:rFonts w:eastAsia="Times New Roman"/>
          <w:sz w:val="24"/>
          <w:szCs w:val="24"/>
          <w:highlight w:val="white"/>
        </w:rPr>
        <w:t xml:space="preserve">, 2025). Environmental regulations, like emission </w:t>
      </w:r>
      <w:proofErr w:type="spellStart"/>
      <w:r w:rsidR="005F19FC">
        <w:rPr>
          <w:rFonts w:eastAsia="Times New Roman"/>
          <w:sz w:val="24"/>
          <w:szCs w:val="24"/>
          <w:highlight w:val="white"/>
        </w:rPr>
        <w:t>minimisation</w:t>
      </w:r>
      <w:proofErr w:type="spellEnd"/>
      <w:r w:rsidRPr="004F34BE">
        <w:rPr>
          <w:rFonts w:eastAsia="Times New Roman"/>
          <w:sz w:val="24"/>
          <w:szCs w:val="24"/>
          <w:highlight w:val="white"/>
        </w:rPr>
        <w:t xml:space="preserve"> </w:t>
      </w:r>
      <w:r w:rsidR="005F19FC">
        <w:rPr>
          <w:rFonts w:eastAsia="Times New Roman"/>
          <w:sz w:val="24"/>
          <w:szCs w:val="24"/>
          <w:highlight w:val="white"/>
        </w:rPr>
        <w:t>in</w:t>
      </w:r>
      <w:r w:rsidRPr="004F34BE">
        <w:rPr>
          <w:rFonts w:eastAsia="Times New Roman"/>
          <w:sz w:val="24"/>
          <w:szCs w:val="24"/>
          <w:highlight w:val="white"/>
        </w:rPr>
        <w:t xml:space="preserve"> the UK of 30% by 2030, impact operational efforts of the company (</w:t>
      </w:r>
      <w:hyperlink r:id="rId12">
        <w:r w:rsidRPr="004F34BE">
          <w:rPr>
            <w:rFonts w:eastAsia="Times New Roman"/>
            <w:sz w:val="24"/>
            <w:szCs w:val="24"/>
            <w:highlight w:val="white"/>
          </w:rPr>
          <w:t>gov.uk</w:t>
        </w:r>
      </w:hyperlink>
      <w:r w:rsidRPr="004F34BE">
        <w:rPr>
          <w:rFonts w:eastAsia="Times New Roman"/>
          <w:sz w:val="24"/>
          <w:szCs w:val="24"/>
          <w:highlight w:val="white"/>
        </w:rPr>
        <w:t xml:space="preserve">, 2024).                </w:t>
      </w:r>
    </w:p>
    <w:p w14:paraId="237B3AE0" w14:textId="77777777" w:rsidR="00D927EF" w:rsidRPr="005F19FC" w:rsidRDefault="00F51A93">
      <w:pPr>
        <w:pStyle w:val="Heading4"/>
        <w:keepNext w:val="0"/>
        <w:keepLines w:val="0"/>
        <w:spacing w:before="240" w:after="40" w:line="360" w:lineRule="auto"/>
        <w:jc w:val="both"/>
        <w:rPr>
          <w:rFonts w:eastAsia="Times New Roman"/>
          <w:b/>
          <w:color w:val="000000"/>
          <w:highlight w:val="white"/>
        </w:rPr>
      </w:pPr>
      <w:bookmarkStart w:id="3" w:name="_xmlto2rnzrsl" w:colFirst="0" w:colLast="0"/>
      <w:bookmarkEnd w:id="3"/>
      <w:r w:rsidRPr="005F19FC">
        <w:rPr>
          <w:rFonts w:eastAsia="Times New Roman"/>
          <w:b/>
          <w:color w:val="000000"/>
          <w:highlight w:val="white"/>
        </w:rPr>
        <w:t xml:space="preserve">Impact on Strategic Decision-Making </w:t>
      </w:r>
    </w:p>
    <w:p w14:paraId="498E57E6" w14:textId="77777777" w:rsidR="00D927EF" w:rsidRPr="005F19FC" w:rsidRDefault="00F51A93">
      <w:pPr>
        <w:spacing w:before="240" w:after="240" w:line="360" w:lineRule="auto"/>
        <w:jc w:val="both"/>
        <w:rPr>
          <w:rFonts w:eastAsia="Times New Roman"/>
          <w:b/>
          <w:i/>
          <w:sz w:val="24"/>
          <w:szCs w:val="24"/>
          <w:highlight w:val="white"/>
        </w:rPr>
      </w:pPr>
      <w:r w:rsidRPr="005F19FC">
        <w:rPr>
          <w:rFonts w:eastAsia="Times New Roman"/>
          <w:b/>
          <w:i/>
          <w:sz w:val="24"/>
          <w:szCs w:val="24"/>
          <w:highlight w:val="white"/>
        </w:rPr>
        <w:t>Key Impacts:</w:t>
      </w:r>
    </w:p>
    <w:p w14:paraId="74CEF90E" w14:textId="77777777" w:rsidR="00D927EF" w:rsidRPr="005F19FC" w:rsidRDefault="00F51A93">
      <w:pPr>
        <w:numPr>
          <w:ilvl w:val="0"/>
          <w:numId w:val="1"/>
        </w:numPr>
        <w:spacing w:before="240" w:line="360" w:lineRule="auto"/>
        <w:jc w:val="both"/>
        <w:rPr>
          <w:rFonts w:eastAsia="Times New Roman"/>
          <w:sz w:val="24"/>
          <w:szCs w:val="24"/>
          <w:highlight w:val="white"/>
        </w:rPr>
      </w:pPr>
      <w:r w:rsidRPr="005F19FC">
        <w:rPr>
          <w:rFonts w:eastAsia="Times New Roman"/>
          <w:b/>
          <w:sz w:val="24"/>
          <w:szCs w:val="24"/>
          <w:highlight w:val="white"/>
        </w:rPr>
        <w:t>Pricing and Product Strategy:</w:t>
      </w:r>
      <w:r w:rsidRPr="005F19FC">
        <w:rPr>
          <w:rFonts w:eastAsia="Times New Roman"/>
          <w:sz w:val="24"/>
          <w:szCs w:val="24"/>
          <w:highlight w:val="white"/>
        </w:rPr>
        <w:t xml:space="preserve"> Inflation obliged this company to increase budget-friendly “own-lab</w:t>
      </w:r>
      <w:r w:rsidR="00681245" w:rsidRPr="005F19FC">
        <w:rPr>
          <w:rFonts w:eastAsia="Times New Roman"/>
          <w:sz w:val="24"/>
          <w:szCs w:val="24"/>
          <w:highlight w:val="white"/>
        </w:rPr>
        <w:t>el” ranges (Xiao et al., 2021).</w:t>
      </w:r>
    </w:p>
    <w:p w14:paraId="43357A82" w14:textId="0595E4AC" w:rsidR="00D927EF" w:rsidRPr="005F19FC" w:rsidRDefault="00F51A93">
      <w:pPr>
        <w:numPr>
          <w:ilvl w:val="0"/>
          <w:numId w:val="1"/>
        </w:numPr>
        <w:spacing w:line="360" w:lineRule="auto"/>
        <w:jc w:val="both"/>
        <w:rPr>
          <w:rFonts w:eastAsia="Times New Roman"/>
          <w:sz w:val="24"/>
          <w:szCs w:val="24"/>
          <w:highlight w:val="white"/>
        </w:rPr>
      </w:pPr>
      <w:r w:rsidRPr="005F19FC">
        <w:rPr>
          <w:rFonts w:eastAsia="Times New Roman"/>
          <w:b/>
          <w:sz w:val="24"/>
          <w:szCs w:val="24"/>
          <w:highlight w:val="white"/>
        </w:rPr>
        <w:t xml:space="preserve">Digital Transformation: </w:t>
      </w:r>
      <w:r w:rsidRPr="005F19FC">
        <w:rPr>
          <w:rFonts w:eastAsia="Times New Roman"/>
          <w:sz w:val="24"/>
          <w:szCs w:val="24"/>
          <w:highlight w:val="white"/>
        </w:rPr>
        <w:t xml:space="preserve">For boosting online sales, investing </w:t>
      </w:r>
      <w:r w:rsidR="005F19FC">
        <w:rPr>
          <w:rFonts w:eastAsia="Times New Roman"/>
          <w:sz w:val="24"/>
          <w:szCs w:val="24"/>
          <w:highlight w:val="white"/>
        </w:rPr>
        <w:t>in</w:t>
      </w:r>
      <w:r w:rsidRPr="005F19FC">
        <w:rPr>
          <w:rFonts w:eastAsia="Times New Roman"/>
          <w:sz w:val="24"/>
          <w:szCs w:val="24"/>
          <w:highlight w:val="white"/>
        </w:rPr>
        <w:t xml:space="preserve"> AI-enabled </w:t>
      </w:r>
      <w:proofErr w:type="spellStart"/>
      <w:r w:rsidR="005F19FC">
        <w:rPr>
          <w:rFonts w:eastAsia="Times New Roman"/>
          <w:sz w:val="24"/>
          <w:szCs w:val="24"/>
          <w:highlight w:val="white"/>
        </w:rPr>
        <w:t>customisation</w:t>
      </w:r>
      <w:proofErr w:type="spellEnd"/>
      <w:r w:rsidRPr="005F19FC">
        <w:rPr>
          <w:rFonts w:eastAsia="Times New Roman"/>
          <w:sz w:val="24"/>
          <w:szCs w:val="24"/>
          <w:highlight w:val="white"/>
        </w:rPr>
        <w:t xml:space="preserve"> and supply networks is crucial.  </w:t>
      </w:r>
    </w:p>
    <w:p w14:paraId="75A9A0C5" w14:textId="77777777" w:rsidR="00D927EF" w:rsidRPr="005F19FC" w:rsidRDefault="00F51A93">
      <w:pPr>
        <w:numPr>
          <w:ilvl w:val="0"/>
          <w:numId w:val="1"/>
        </w:numPr>
        <w:spacing w:line="360" w:lineRule="auto"/>
        <w:jc w:val="both"/>
        <w:rPr>
          <w:rFonts w:eastAsia="Times New Roman"/>
          <w:sz w:val="24"/>
          <w:szCs w:val="24"/>
          <w:highlight w:val="white"/>
        </w:rPr>
      </w:pPr>
      <w:r w:rsidRPr="005F19FC">
        <w:rPr>
          <w:rFonts w:eastAsia="Times New Roman"/>
          <w:b/>
          <w:sz w:val="24"/>
          <w:szCs w:val="24"/>
          <w:highlight w:val="white"/>
        </w:rPr>
        <w:t xml:space="preserve">Sustainability Focus: </w:t>
      </w:r>
      <w:r w:rsidRPr="005F19FC">
        <w:rPr>
          <w:rFonts w:eastAsia="Times New Roman"/>
          <w:sz w:val="24"/>
          <w:szCs w:val="24"/>
          <w:highlight w:val="white"/>
        </w:rPr>
        <w:t xml:space="preserve">Sustainability goals of the enterprise influence ethical sourcing processes and packaging innovation (Healy, 2023).  </w:t>
      </w:r>
    </w:p>
    <w:p w14:paraId="078993B7" w14:textId="471FAD73" w:rsidR="00D927EF" w:rsidRPr="005F19FC" w:rsidRDefault="00F51A93">
      <w:pPr>
        <w:numPr>
          <w:ilvl w:val="0"/>
          <w:numId w:val="1"/>
        </w:numPr>
        <w:spacing w:line="360" w:lineRule="auto"/>
        <w:jc w:val="both"/>
        <w:rPr>
          <w:rFonts w:eastAsia="Times New Roman"/>
          <w:sz w:val="24"/>
          <w:szCs w:val="24"/>
          <w:highlight w:val="white"/>
        </w:rPr>
      </w:pPr>
      <w:r w:rsidRPr="005F19FC">
        <w:rPr>
          <w:rFonts w:eastAsia="Times New Roman"/>
          <w:b/>
          <w:sz w:val="24"/>
          <w:szCs w:val="24"/>
          <w:highlight w:val="white"/>
        </w:rPr>
        <w:t xml:space="preserve">Marketing Communication: </w:t>
      </w:r>
      <w:r w:rsidRPr="005F19FC">
        <w:rPr>
          <w:rFonts w:eastAsia="Times New Roman"/>
          <w:sz w:val="24"/>
          <w:szCs w:val="24"/>
          <w:highlight w:val="white"/>
        </w:rPr>
        <w:t xml:space="preserve">Credibility and belief emerged as the crucial </w:t>
      </w:r>
      <w:r w:rsidR="005F19FC">
        <w:rPr>
          <w:rFonts w:eastAsia="Times New Roman"/>
          <w:sz w:val="24"/>
          <w:szCs w:val="24"/>
          <w:highlight w:val="white"/>
        </w:rPr>
        <w:t>elements</w:t>
      </w:r>
      <w:r w:rsidRPr="005F19FC">
        <w:rPr>
          <w:rFonts w:eastAsia="Times New Roman"/>
          <w:sz w:val="24"/>
          <w:szCs w:val="24"/>
          <w:highlight w:val="white"/>
        </w:rPr>
        <w:t xml:space="preserve"> in </w:t>
      </w:r>
      <w:r w:rsidR="005F19FC">
        <w:rPr>
          <w:rFonts w:eastAsia="Times New Roman"/>
          <w:sz w:val="24"/>
          <w:szCs w:val="24"/>
          <w:highlight w:val="white"/>
        </w:rPr>
        <w:t xml:space="preserve">the </w:t>
      </w:r>
      <w:r w:rsidRPr="005F19FC">
        <w:rPr>
          <w:rFonts w:eastAsia="Times New Roman"/>
          <w:sz w:val="24"/>
          <w:szCs w:val="24"/>
          <w:highlight w:val="white"/>
        </w:rPr>
        <w:t xml:space="preserve">case of engagement of the consumers.    </w:t>
      </w:r>
    </w:p>
    <w:p w14:paraId="43F48768" w14:textId="751B9A73" w:rsidR="00D927EF" w:rsidRPr="005F19FC" w:rsidRDefault="00F51A93">
      <w:pPr>
        <w:numPr>
          <w:ilvl w:val="0"/>
          <w:numId w:val="1"/>
        </w:numPr>
        <w:spacing w:after="240" w:line="360" w:lineRule="auto"/>
        <w:jc w:val="both"/>
        <w:rPr>
          <w:rFonts w:eastAsia="Times New Roman"/>
          <w:sz w:val="24"/>
          <w:szCs w:val="24"/>
          <w:highlight w:val="white"/>
        </w:rPr>
      </w:pPr>
      <w:r w:rsidRPr="005F19FC">
        <w:rPr>
          <w:rFonts w:eastAsia="Times New Roman"/>
          <w:b/>
          <w:sz w:val="24"/>
          <w:szCs w:val="24"/>
          <w:highlight w:val="white"/>
        </w:rPr>
        <w:t xml:space="preserve">Operational Efficiency: </w:t>
      </w:r>
      <w:r w:rsidRPr="005F19FC">
        <w:rPr>
          <w:rFonts w:eastAsia="Times New Roman"/>
          <w:sz w:val="24"/>
          <w:szCs w:val="24"/>
          <w:highlight w:val="white"/>
        </w:rPr>
        <w:t xml:space="preserve">For decreasing excessive dependence on sourcing, Political and </w:t>
      </w:r>
      <w:r w:rsidR="005F19FC">
        <w:rPr>
          <w:rFonts w:eastAsia="Times New Roman"/>
          <w:sz w:val="24"/>
          <w:szCs w:val="24"/>
          <w:highlight w:val="white"/>
        </w:rPr>
        <w:t>legal</w:t>
      </w:r>
      <w:r w:rsidRPr="005F19FC">
        <w:rPr>
          <w:rFonts w:eastAsia="Times New Roman"/>
          <w:sz w:val="24"/>
          <w:szCs w:val="24"/>
          <w:highlight w:val="white"/>
        </w:rPr>
        <w:t xml:space="preserve"> factors back supply chain redesigning.   </w:t>
      </w:r>
    </w:p>
    <w:p w14:paraId="16FB75E7" w14:textId="77777777" w:rsidR="00D927EF" w:rsidRPr="005F19FC" w:rsidRDefault="00F51A93">
      <w:pPr>
        <w:pStyle w:val="Heading4"/>
        <w:keepNext w:val="0"/>
        <w:keepLines w:val="0"/>
        <w:spacing w:before="240" w:after="40" w:line="360" w:lineRule="auto"/>
        <w:jc w:val="both"/>
        <w:rPr>
          <w:rFonts w:eastAsia="Times New Roman"/>
          <w:b/>
          <w:color w:val="000000"/>
          <w:highlight w:val="white"/>
        </w:rPr>
      </w:pPr>
      <w:bookmarkStart w:id="4" w:name="_pxey0f4697fj" w:colFirst="0" w:colLast="0"/>
      <w:bookmarkEnd w:id="4"/>
      <w:r w:rsidRPr="005F19FC">
        <w:rPr>
          <w:rFonts w:eastAsia="Times New Roman"/>
          <w:b/>
          <w:color w:val="000000"/>
          <w:highlight w:val="white"/>
        </w:rPr>
        <w:t>Theoretical and Industry Alignment</w:t>
      </w:r>
    </w:p>
    <w:p w14:paraId="47E6DF95" w14:textId="21DBB5DF" w:rsidR="00D927EF" w:rsidRPr="005F19FC" w:rsidRDefault="00F51A93">
      <w:pPr>
        <w:spacing w:line="360" w:lineRule="auto"/>
        <w:jc w:val="both"/>
        <w:rPr>
          <w:rFonts w:eastAsia="Times New Roman"/>
          <w:sz w:val="24"/>
          <w:szCs w:val="24"/>
          <w:highlight w:val="white"/>
        </w:rPr>
      </w:pPr>
      <w:r w:rsidRPr="005F19FC">
        <w:rPr>
          <w:rFonts w:eastAsia="Times New Roman"/>
          <w:sz w:val="24"/>
          <w:szCs w:val="24"/>
          <w:highlight w:val="white"/>
        </w:rPr>
        <w:t xml:space="preserve">The outcomes obtained after the analysis are incorporated into </w:t>
      </w:r>
      <w:r w:rsidR="000D35D3">
        <w:rPr>
          <w:rFonts w:eastAsia="Times New Roman"/>
          <w:sz w:val="24"/>
          <w:szCs w:val="24"/>
          <w:highlight w:val="white"/>
        </w:rPr>
        <w:t>Porter's</w:t>
      </w:r>
      <w:r w:rsidRPr="005F19FC">
        <w:rPr>
          <w:rFonts w:eastAsia="Times New Roman"/>
          <w:sz w:val="24"/>
          <w:szCs w:val="24"/>
          <w:highlight w:val="white"/>
        </w:rPr>
        <w:t xml:space="preserve"> Competitive Advantage Theory to display differences and expense leadership practices (Ali and Anwar, 2021). To achieve success in obtaining distinction, this company uses strategies of local importing to reduce costs and eco-friendly marketing strategies</w:t>
      </w:r>
      <w:r w:rsidR="00E86A44" w:rsidRPr="005F19FC">
        <w:rPr>
          <w:rFonts w:eastAsia="Times New Roman"/>
          <w:sz w:val="24"/>
          <w:szCs w:val="24"/>
          <w:highlight w:val="white"/>
        </w:rPr>
        <w:t xml:space="preserve">. </w:t>
      </w:r>
      <w:r w:rsidRPr="005F19FC">
        <w:rPr>
          <w:rFonts w:eastAsia="Times New Roman"/>
          <w:sz w:val="24"/>
          <w:szCs w:val="24"/>
          <w:highlight w:val="white"/>
        </w:rPr>
        <w:t xml:space="preserve">Kotler’s Marketing Environment Theory backs consistent adjustments to external factors </w:t>
      </w:r>
      <w:r w:rsidR="000D35D3">
        <w:rPr>
          <w:rFonts w:eastAsia="Times New Roman"/>
          <w:sz w:val="24"/>
          <w:szCs w:val="24"/>
          <w:highlight w:val="white"/>
        </w:rPr>
        <w:t>in</w:t>
      </w:r>
      <w:r w:rsidRPr="005F19FC">
        <w:rPr>
          <w:rFonts w:eastAsia="Times New Roman"/>
          <w:sz w:val="24"/>
          <w:szCs w:val="24"/>
          <w:highlight w:val="white"/>
        </w:rPr>
        <w:t xml:space="preserve"> the retail sector (Yaneva, 2020). The feedback of their customers </w:t>
      </w:r>
      <w:r w:rsidR="000D35D3">
        <w:rPr>
          <w:rFonts w:eastAsia="Times New Roman"/>
          <w:sz w:val="24"/>
          <w:szCs w:val="24"/>
          <w:highlight w:val="white"/>
        </w:rPr>
        <w:t>helps</w:t>
      </w:r>
      <w:r w:rsidRPr="005F19FC">
        <w:rPr>
          <w:rFonts w:eastAsia="Times New Roman"/>
          <w:sz w:val="24"/>
          <w:szCs w:val="24"/>
          <w:highlight w:val="white"/>
        </w:rPr>
        <w:t xml:space="preserve"> them to adjust marketing programs in the inflation phase and maintain consumer faith and </w:t>
      </w:r>
      <w:r w:rsidR="000D35D3">
        <w:rPr>
          <w:rFonts w:eastAsia="Times New Roman"/>
          <w:sz w:val="24"/>
          <w:szCs w:val="24"/>
          <w:highlight w:val="white"/>
        </w:rPr>
        <w:t>delight</w:t>
      </w:r>
      <w:r w:rsidRPr="005F19FC">
        <w:rPr>
          <w:rFonts w:eastAsia="Times New Roman"/>
          <w:sz w:val="24"/>
          <w:szCs w:val="24"/>
          <w:highlight w:val="white"/>
        </w:rPr>
        <w:t>. As an instance, the “Aldi Price Match” of Tesco shows the pricing approach of this enterprise</w:t>
      </w:r>
      <w:r w:rsidR="000D35D3">
        <w:rPr>
          <w:rFonts w:eastAsia="Times New Roman"/>
          <w:sz w:val="24"/>
          <w:szCs w:val="24"/>
          <w:highlight w:val="white"/>
        </w:rPr>
        <w:t>,</w:t>
      </w:r>
      <w:r w:rsidRPr="005F19FC">
        <w:rPr>
          <w:rFonts w:eastAsia="Times New Roman"/>
          <w:sz w:val="24"/>
          <w:szCs w:val="24"/>
          <w:highlight w:val="white"/>
        </w:rPr>
        <w:t xml:space="preserve"> aiding financial factors (Wu, 2025). Industry examples show </w:t>
      </w:r>
      <w:r w:rsidR="000D35D3">
        <w:rPr>
          <w:rFonts w:eastAsia="Times New Roman"/>
          <w:sz w:val="24"/>
          <w:szCs w:val="24"/>
          <w:highlight w:val="white"/>
        </w:rPr>
        <w:t xml:space="preserve">that </w:t>
      </w:r>
      <w:r w:rsidRPr="005F19FC">
        <w:rPr>
          <w:rFonts w:eastAsia="Times New Roman"/>
          <w:sz w:val="24"/>
          <w:szCs w:val="24"/>
          <w:highlight w:val="white"/>
        </w:rPr>
        <w:t xml:space="preserve">theory-based strategies improve resilience and strengthen competitive advantage against rivals consistently. </w:t>
      </w:r>
    </w:p>
    <w:p w14:paraId="7F1C2799" w14:textId="77777777" w:rsidR="00D927EF" w:rsidRDefault="00F51A93" w:rsidP="00E86A44">
      <w:pPr>
        <w:pStyle w:val="Heading1"/>
        <w:rPr>
          <w:highlight w:val="white"/>
        </w:rPr>
      </w:pPr>
      <w:bookmarkStart w:id="5" w:name="_Toc210659677"/>
      <w:r>
        <w:rPr>
          <w:highlight w:val="white"/>
        </w:rPr>
        <w:lastRenderedPageBreak/>
        <w:t>Conclusion</w:t>
      </w:r>
      <w:bookmarkEnd w:id="5"/>
      <w:r>
        <w:rPr>
          <w:highlight w:val="white"/>
        </w:rPr>
        <w:t xml:space="preserve"> </w:t>
      </w:r>
    </w:p>
    <w:p w14:paraId="76281BEE" w14:textId="4AE8964C" w:rsidR="00D927EF" w:rsidRPr="000D35D3" w:rsidRDefault="00F51A93">
      <w:pPr>
        <w:spacing w:line="360" w:lineRule="auto"/>
        <w:jc w:val="both"/>
        <w:rPr>
          <w:rFonts w:eastAsia="Times New Roman"/>
          <w:sz w:val="24"/>
          <w:szCs w:val="24"/>
          <w:highlight w:val="white"/>
        </w:rPr>
      </w:pPr>
      <w:r w:rsidRPr="000D35D3">
        <w:rPr>
          <w:rFonts w:eastAsia="Times New Roman"/>
          <w:sz w:val="24"/>
          <w:szCs w:val="24"/>
          <w:highlight w:val="white"/>
        </w:rPr>
        <w:t xml:space="preserve">The conducted situational evaluation indicates that the company </w:t>
      </w:r>
      <w:r w:rsidR="000D35D3">
        <w:rPr>
          <w:rFonts w:eastAsia="Times New Roman"/>
          <w:sz w:val="24"/>
          <w:szCs w:val="24"/>
          <w:highlight w:val="white"/>
        </w:rPr>
        <w:t>operates</w:t>
      </w:r>
      <w:r w:rsidRPr="000D35D3">
        <w:rPr>
          <w:rFonts w:eastAsia="Times New Roman"/>
          <w:sz w:val="24"/>
          <w:szCs w:val="24"/>
          <w:highlight w:val="white"/>
        </w:rPr>
        <w:t xml:space="preserve"> in a very complex and strongly competitive retail market. Political, economic, social, technical, legal and environmental elements impact the operational practices of Sainsbury’s. Brexit-oriented sourcing charges increased by 7.2%. At the same time, inflation increased by 3.1%. These statistical insights impact the buying capacity of consumers. Studies indicate that 68% of the customers of the UK select environmentally conscious and ethically imported goods. Technical developments, such as </w:t>
      </w:r>
      <w:r w:rsidR="000D35D3">
        <w:rPr>
          <w:rFonts w:eastAsia="Times New Roman"/>
          <w:sz w:val="24"/>
          <w:szCs w:val="24"/>
          <w:highlight w:val="white"/>
        </w:rPr>
        <w:t xml:space="preserve">an </w:t>
      </w:r>
      <w:r w:rsidRPr="000D35D3">
        <w:rPr>
          <w:rFonts w:eastAsia="Times New Roman"/>
          <w:sz w:val="24"/>
          <w:szCs w:val="24"/>
          <w:highlight w:val="white"/>
        </w:rPr>
        <w:t>11% improvement in digital grocery buying, aid</w:t>
      </w:r>
      <w:r w:rsidR="00E86A44" w:rsidRPr="000D35D3">
        <w:rPr>
          <w:rFonts w:eastAsia="Times New Roman"/>
          <w:sz w:val="24"/>
          <w:szCs w:val="24"/>
          <w:highlight w:val="white"/>
        </w:rPr>
        <w:t>ed</w:t>
      </w:r>
      <w:r w:rsidRPr="000D35D3">
        <w:rPr>
          <w:rFonts w:eastAsia="Times New Roman"/>
          <w:sz w:val="24"/>
          <w:szCs w:val="24"/>
          <w:highlight w:val="white"/>
        </w:rPr>
        <w:t xml:space="preserve"> the company </w:t>
      </w:r>
      <w:r w:rsidR="000D35D3" w:rsidRPr="000D35D3">
        <w:rPr>
          <w:rFonts w:eastAsia="Times New Roman"/>
          <w:sz w:val="24"/>
          <w:szCs w:val="24"/>
          <w:highlight w:val="white"/>
        </w:rPr>
        <w:t>in developing</w:t>
      </w:r>
      <w:r w:rsidRPr="000D35D3">
        <w:rPr>
          <w:rFonts w:eastAsia="Times New Roman"/>
          <w:sz w:val="24"/>
          <w:szCs w:val="24"/>
          <w:highlight w:val="white"/>
        </w:rPr>
        <w:t xml:space="preserve"> technical deliveries.</w:t>
      </w:r>
    </w:p>
    <w:p w14:paraId="7BC46355" w14:textId="77777777" w:rsidR="00D927EF" w:rsidRPr="000D35D3" w:rsidRDefault="00D927EF">
      <w:pPr>
        <w:spacing w:line="360" w:lineRule="auto"/>
        <w:jc w:val="both"/>
        <w:rPr>
          <w:rFonts w:eastAsia="Times New Roman"/>
          <w:sz w:val="24"/>
          <w:szCs w:val="24"/>
          <w:highlight w:val="white"/>
        </w:rPr>
      </w:pPr>
    </w:p>
    <w:p w14:paraId="3823A70B" w14:textId="549A77A7" w:rsidR="00D927EF" w:rsidRPr="000D35D3" w:rsidRDefault="00F51A93">
      <w:pPr>
        <w:spacing w:line="360" w:lineRule="auto"/>
        <w:jc w:val="both"/>
        <w:rPr>
          <w:rFonts w:eastAsia="Times New Roman"/>
          <w:sz w:val="24"/>
          <w:szCs w:val="24"/>
          <w:highlight w:val="white"/>
        </w:rPr>
      </w:pPr>
      <w:r w:rsidRPr="000D35D3">
        <w:rPr>
          <w:rFonts w:eastAsia="Times New Roman"/>
          <w:sz w:val="24"/>
          <w:szCs w:val="24"/>
          <w:highlight w:val="white"/>
        </w:rPr>
        <w:t xml:space="preserve">Based on the situational analysis, the company will have to enrich local importing to reduce costs and ensure supply chain expertise. This brand needs to </w:t>
      </w:r>
      <w:r w:rsidRPr="000D35D3">
        <w:rPr>
          <w:rFonts w:eastAsia="Times New Roman"/>
          <w:i/>
          <w:sz w:val="24"/>
          <w:szCs w:val="24"/>
          <w:highlight w:val="white"/>
        </w:rPr>
        <w:t>expand e-commerce and technology solutions</w:t>
      </w:r>
      <w:r w:rsidRPr="000D35D3">
        <w:rPr>
          <w:rFonts w:eastAsia="Times New Roman"/>
          <w:sz w:val="24"/>
          <w:szCs w:val="24"/>
          <w:highlight w:val="white"/>
        </w:rPr>
        <w:t xml:space="preserve"> to enhance </w:t>
      </w:r>
      <w:r w:rsidRPr="000D35D3">
        <w:rPr>
          <w:rFonts w:eastAsia="Times New Roman"/>
          <w:i/>
          <w:sz w:val="24"/>
          <w:szCs w:val="24"/>
          <w:highlight w:val="white"/>
        </w:rPr>
        <w:t>consumer benefits and consumer relationships</w:t>
      </w:r>
      <w:r w:rsidRPr="000D35D3">
        <w:rPr>
          <w:rFonts w:eastAsia="Times New Roman"/>
          <w:sz w:val="24"/>
          <w:szCs w:val="24"/>
          <w:highlight w:val="white"/>
        </w:rPr>
        <w:t xml:space="preserve">. The firm ought to support moral and environmentally conscious products using plausible marketing campaigns to enhance the confidence and satisfaction of customers. Through such practical recommendations, the company will be capable of enhancing brand </w:t>
      </w:r>
      <w:r w:rsidR="000D35D3">
        <w:rPr>
          <w:rFonts w:eastAsia="Times New Roman"/>
          <w:sz w:val="24"/>
          <w:szCs w:val="24"/>
          <w:highlight w:val="white"/>
        </w:rPr>
        <w:t>goodwill</w:t>
      </w:r>
      <w:r w:rsidRPr="000D35D3">
        <w:rPr>
          <w:rFonts w:eastAsia="Times New Roman"/>
          <w:sz w:val="24"/>
          <w:szCs w:val="24"/>
          <w:highlight w:val="white"/>
        </w:rPr>
        <w:t xml:space="preserve">, competitiveness and operational proficiency </w:t>
      </w:r>
      <w:r w:rsidR="000D35D3">
        <w:rPr>
          <w:rFonts w:eastAsia="Times New Roman"/>
          <w:sz w:val="24"/>
          <w:szCs w:val="24"/>
          <w:highlight w:val="white"/>
        </w:rPr>
        <w:t>in</w:t>
      </w:r>
      <w:r w:rsidRPr="000D35D3">
        <w:rPr>
          <w:rFonts w:eastAsia="Times New Roman"/>
          <w:sz w:val="24"/>
          <w:szCs w:val="24"/>
          <w:highlight w:val="white"/>
        </w:rPr>
        <w:t xml:space="preserve"> an unstable environment.</w:t>
      </w:r>
    </w:p>
    <w:p w14:paraId="16A25943" w14:textId="1C526644" w:rsidR="00D927EF" w:rsidRPr="000D35D3" w:rsidRDefault="00F51A93">
      <w:pPr>
        <w:spacing w:line="360" w:lineRule="auto"/>
        <w:jc w:val="both"/>
        <w:rPr>
          <w:rFonts w:eastAsia="Times New Roman"/>
          <w:sz w:val="24"/>
          <w:szCs w:val="24"/>
          <w:highlight w:val="white"/>
        </w:rPr>
      </w:pPr>
      <w:r w:rsidRPr="000D35D3">
        <w:rPr>
          <w:rFonts w:eastAsia="Times New Roman"/>
          <w:sz w:val="24"/>
          <w:szCs w:val="24"/>
          <w:highlight w:val="white"/>
        </w:rPr>
        <w:t xml:space="preserve">Conducting the assessment assists such an enterprise to make sound tactical choices </w:t>
      </w:r>
      <w:r w:rsidR="000D35D3">
        <w:rPr>
          <w:rFonts w:eastAsia="Times New Roman"/>
          <w:sz w:val="24"/>
          <w:szCs w:val="24"/>
          <w:highlight w:val="white"/>
        </w:rPr>
        <w:t>in</w:t>
      </w:r>
      <w:r w:rsidRPr="000D35D3">
        <w:rPr>
          <w:rFonts w:eastAsia="Times New Roman"/>
          <w:sz w:val="24"/>
          <w:szCs w:val="24"/>
          <w:highlight w:val="white"/>
        </w:rPr>
        <w:t xml:space="preserve"> an exciting retail business. Consequently, it helps to identify opportunities, challenges </w:t>
      </w:r>
      <w:r w:rsidR="000D35D3" w:rsidRPr="000D35D3">
        <w:rPr>
          <w:rFonts w:eastAsia="Times New Roman"/>
          <w:sz w:val="24"/>
          <w:szCs w:val="24"/>
          <w:highlight w:val="white"/>
        </w:rPr>
        <w:t>and</w:t>
      </w:r>
      <w:r w:rsidRPr="000D35D3">
        <w:rPr>
          <w:rFonts w:eastAsia="Times New Roman"/>
          <w:sz w:val="24"/>
          <w:szCs w:val="24"/>
          <w:highlight w:val="white"/>
        </w:rPr>
        <w:t xml:space="preserve"> trends that can have an influential impact on the operational practices and marketing approaches. The presence of constant tracking of both external and internal factors guarantees the resilience of </w:t>
      </w:r>
      <w:proofErr w:type="spellStart"/>
      <w:r w:rsidR="000D35D3">
        <w:rPr>
          <w:rFonts w:eastAsia="Times New Roman"/>
          <w:sz w:val="24"/>
          <w:szCs w:val="24"/>
          <w:highlight w:val="white"/>
        </w:rPr>
        <w:t>organisations</w:t>
      </w:r>
      <w:proofErr w:type="spellEnd"/>
      <w:r w:rsidRPr="000D35D3">
        <w:rPr>
          <w:rFonts w:eastAsia="Times New Roman"/>
          <w:sz w:val="24"/>
          <w:szCs w:val="24"/>
          <w:highlight w:val="white"/>
        </w:rPr>
        <w:t xml:space="preserve"> in the long term, profitability, and sustainable growth. The effectiveness of those strategic planning decisions is based on the deep analysis of the situation</w:t>
      </w:r>
      <w:r w:rsidR="00E11011">
        <w:rPr>
          <w:rFonts w:eastAsia="Times New Roman"/>
          <w:sz w:val="24"/>
          <w:szCs w:val="24"/>
          <w:highlight w:val="white"/>
        </w:rPr>
        <w:t>,</w:t>
      </w:r>
      <w:r w:rsidRPr="000D35D3">
        <w:rPr>
          <w:rFonts w:eastAsia="Times New Roman"/>
          <w:sz w:val="24"/>
          <w:szCs w:val="24"/>
          <w:highlight w:val="white"/>
        </w:rPr>
        <w:t xml:space="preserve"> being confident in resource allocation and investment choices.</w:t>
      </w:r>
    </w:p>
    <w:p w14:paraId="6D470E9E" w14:textId="77777777" w:rsidR="00D927EF" w:rsidRDefault="00D927EF">
      <w:pPr>
        <w:spacing w:before="240" w:after="240" w:line="360" w:lineRule="auto"/>
        <w:jc w:val="both"/>
        <w:rPr>
          <w:rFonts w:ascii="Times New Roman" w:eastAsia="Times New Roman" w:hAnsi="Times New Roman" w:cs="Times New Roman"/>
          <w:color w:val="FF0000"/>
          <w:sz w:val="24"/>
          <w:szCs w:val="24"/>
        </w:rPr>
      </w:pPr>
    </w:p>
    <w:p w14:paraId="5A08B4D7" w14:textId="77777777" w:rsidR="00D927EF" w:rsidRDefault="00D927EF">
      <w:pPr>
        <w:spacing w:before="240" w:after="240" w:line="360" w:lineRule="auto"/>
        <w:jc w:val="both"/>
        <w:rPr>
          <w:rFonts w:ascii="Times New Roman" w:eastAsia="Times New Roman" w:hAnsi="Times New Roman" w:cs="Times New Roman"/>
          <w:sz w:val="24"/>
          <w:szCs w:val="24"/>
        </w:rPr>
      </w:pPr>
    </w:p>
    <w:p w14:paraId="1B0E7619" w14:textId="77777777" w:rsidR="00D927EF" w:rsidRDefault="00D927EF">
      <w:pPr>
        <w:spacing w:before="240" w:after="240" w:line="360" w:lineRule="auto"/>
        <w:jc w:val="both"/>
        <w:rPr>
          <w:rFonts w:ascii="Times New Roman" w:eastAsia="Times New Roman" w:hAnsi="Times New Roman" w:cs="Times New Roman"/>
          <w:sz w:val="24"/>
          <w:szCs w:val="24"/>
        </w:rPr>
      </w:pPr>
    </w:p>
    <w:p w14:paraId="14D55655" w14:textId="0096FA94" w:rsidR="00D927EF" w:rsidRPr="00E11011" w:rsidRDefault="00E11011">
      <w:pPr>
        <w:spacing w:before="240" w:after="240" w:line="360" w:lineRule="auto"/>
        <w:jc w:val="both"/>
        <w:rPr>
          <w:rFonts w:eastAsia="Times New Roman"/>
          <w:sz w:val="32"/>
          <w:szCs w:val="32"/>
        </w:rPr>
      </w:pPr>
      <w:r w:rsidRPr="00E11011">
        <w:rPr>
          <w:rFonts w:eastAsia="Times New Roman"/>
          <w:sz w:val="32"/>
          <w:szCs w:val="32"/>
        </w:rPr>
        <w:lastRenderedPageBreak/>
        <w:t>References:</w:t>
      </w:r>
    </w:p>
    <w:p w14:paraId="23DC2BB5" w14:textId="77777777" w:rsidR="00E11011" w:rsidRDefault="00E86A44" w:rsidP="00681245">
      <w:pPr>
        <w:spacing w:before="240" w:after="240" w:line="360" w:lineRule="auto"/>
        <w:jc w:val="both"/>
        <w:rPr>
          <w:rFonts w:eastAsia="Times New Roman"/>
          <w:sz w:val="24"/>
          <w:szCs w:val="24"/>
          <w:highlight w:val="white"/>
        </w:rPr>
      </w:pPr>
      <w:hyperlink r:id="rId13">
        <w:r w:rsidRPr="00E11011">
          <w:rPr>
            <w:rFonts w:eastAsia="Times New Roman"/>
            <w:sz w:val="24"/>
            <w:szCs w:val="24"/>
            <w:highlight w:val="white"/>
          </w:rPr>
          <w:t>ons.gov.uk</w:t>
        </w:r>
      </w:hyperlink>
      <w:r w:rsidRPr="00E11011">
        <w:rPr>
          <w:rFonts w:eastAsia="Times New Roman"/>
          <w:sz w:val="24"/>
          <w:szCs w:val="24"/>
          <w:highlight w:val="white"/>
        </w:rPr>
        <w:t xml:space="preserve"> (2024) Total value of UK exports and imports of goods and services in current prices, chained volume measures and implied deflators. </w:t>
      </w:r>
    </w:p>
    <w:p w14:paraId="18A81048" w14:textId="27D7CD1A" w:rsidR="00E11011" w:rsidRDefault="00E11011"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Available</w:t>
      </w:r>
      <w:r>
        <w:rPr>
          <w:rFonts w:eastAsia="Times New Roman"/>
          <w:sz w:val="24"/>
          <w:szCs w:val="24"/>
        </w:rPr>
        <w:t>:</w:t>
      </w:r>
      <w:hyperlink r:id="rId14" w:history="1">
        <w:r w:rsidRPr="00CF5002">
          <w:rPr>
            <w:rStyle w:val="Hyperlink"/>
            <w:rFonts w:eastAsia="Times New Roman"/>
            <w:sz w:val="24"/>
            <w:szCs w:val="24"/>
            <w:highlight w:val="white"/>
          </w:rPr>
          <w:t>https://www.ons.gov.uk/economy/nationalaccounts/balanceofpayments/bulletins/uktrade/july2024/</w:t>
        </w:r>
      </w:hyperlink>
      <w:r w:rsidR="00E86A44" w:rsidRPr="00E11011">
        <w:rPr>
          <w:rFonts w:eastAsia="Times New Roman"/>
          <w:sz w:val="24"/>
          <w:szCs w:val="24"/>
          <w:highlight w:val="white"/>
        </w:rPr>
        <w:t xml:space="preserve"> </w:t>
      </w:r>
    </w:p>
    <w:p w14:paraId="004B3BC9" w14:textId="2A21DD6A" w:rsidR="00E86A44" w:rsidRP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 xml:space="preserve">Accessed on (3rd </w:t>
      </w:r>
      <w:r w:rsidR="00E11011" w:rsidRPr="00E11011">
        <w:rPr>
          <w:rFonts w:eastAsia="Times New Roman"/>
          <w:sz w:val="24"/>
          <w:szCs w:val="24"/>
          <w:highlight w:val="white"/>
        </w:rPr>
        <w:t>October</w:t>
      </w:r>
      <w:r w:rsidRPr="00E11011">
        <w:rPr>
          <w:rFonts w:eastAsia="Times New Roman"/>
          <w:sz w:val="24"/>
          <w:szCs w:val="24"/>
          <w:highlight w:val="white"/>
        </w:rPr>
        <w:t xml:space="preserve"> 2025) </w:t>
      </w:r>
    </w:p>
    <w:p w14:paraId="469F7E37" w14:textId="77777777" w:rsidR="00E11011" w:rsidRDefault="00E86A44" w:rsidP="00681245">
      <w:pPr>
        <w:spacing w:before="240" w:after="240" w:line="360" w:lineRule="auto"/>
        <w:jc w:val="both"/>
        <w:rPr>
          <w:rFonts w:eastAsia="Times New Roman"/>
          <w:sz w:val="24"/>
          <w:szCs w:val="24"/>
          <w:highlight w:val="white"/>
        </w:rPr>
      </w:pPr>
      <w:hyperlink r:id="rId15">
        <w:r w:rsidRPr="00E11011">
          <w:rPr>
            <w:rFonts w:eastAsia="Times New Roman"/>
            <w:sz w:val="24"/>
            <w:szCs w:val="24"/>
            <w:highlight w:val="white"/>
          </w:rPr>
          <w:t>mintel.com</w:t>
        </w:r>
      </w:hyperlink>
      <w:r w:rsidRPr="00E11011">
        <w:rPr>
          <w:rFonts w:eastAsia="Times New Roman"/>
          <w:sz w:val="24"/>
          <w:szCs w:val="24"/>
          <w:highlight w:val="white"/>
        </w:rPr>
        <w:t xml:space="preserve"> (2024) The World’s Leading Consumer Sustainability Study </w:t>
      </w:r>
    </w:p>
    <w:p w14:paraId="2760ECF0" w14:textId="77777777" w:rsid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Available</w:t>
      </w:r>
      <w:r w:rsidR="00E11011">
        <w:rPr>
          <w:rFonts w:eastAsia="Times New Roman"/>
          <w:sz w:val="24"/>
          <w:szCs w:val="24"/>
        </w:rPr>
        <w:t>:</w:t>
      </w:r>
      <w:hyperlink r:id="rId16" w:history="1">
        <w:r w:rsidR="00E11011" w:rsidRPr="00CF5002">
          <w:rPr>
            <w:rStyle w:val="Hyperlink"/>
            <w:rFonts w:eastAsia="Times New Roman"/>
            <w:sz w:val="24"/>
            <w:szCs w:val="24"/>
            <w:highlight w:val="white"/>
          </w:rPr>
          <w:t>https://www.mintel.com/insights/consumer-research/consumer-attitudes-towards-sustainability/</w:t>
        </w:r>
      </w:hyperlink>
      <w:r w:rsidRPr="00E11011">
        <w:rPr>
          <w:rFonts w:eastAsia="Times New Roman"/>
          <w:sz w:val="24"/>
          <w:szCs w:val="24"/>
          <w:highlight w:val="white"/>
        </w:rPr>
        <w:t xml:space="preserve"> </w:t>
      </w:r>
    </w:p>
    <w:p w14:paraId="61413069" w14:textId="2C5AE53C" w:rsidR="00E86A44" w:rsidRPr="00E11011" w:rsidRDefault="00E86A44" w:rsidP="00681245">
      <w:pPr>
        <w:spacing w:before="240" w:after="240" w:line="360" w:lineRule="auto"/>
        <w:jc w:val="both"/>
        <w:rPr>
          <w:rFonts w:eastAsia="Times New Roman"/>
          <w:sz w:val="24"/>
          <w:szCs w:val="24"/>
        </w:rPr>
      </w:pPr>
      <w:r w:rsidRPr="00E11011">
        <w:rPr>
          <w:rFonts w:eastAsia="Times New Roman"/>
          <w:sz w:val="24"/>
          <w:szCs w:val="24"/>
          <w:highlight w:val="white"/>
        </w:rPr>
        <w:t xml:space="preserve">Accessed on (3rd </w:t>
      </w:r>
      <w:r w:rsidR="00E11011" w:rsidRPr="00E11011">
        <w:rPr>
          <w:rFonts w:eastAsia="Times New Roman"/>
          <w:sz w:val="24"/>
          <w:szCs w:val="24"/>
          <w:highlight w:val="white"/>
        </w:rPr>
        <w:t>October</w:t>
      </w:r>
      <w:r w:rsidRPr="00E11011">
        <w:rPr>
          <w:rFonts w:eastAsia="Times New Roman"/>
          <w:sz w:val="24"/>
          <w:szCs w:val="24"/>
          <w:highlight w:val="white"/>
        </w:rPr>
        <w:t xml:space="preserve"> 2025) </w:t>
      </w:r>
    </w:p>
    <w:p w14:paraId="06F7A992" w14:textId="77777777" w:rsidR="00E11011" w:rsidRDefault="00E86A44" w:rsidP="00681245">
      <w:pPr>
        <w:spacing w:before="240" w:after="240" w:line="360" w:lineRule="auto"/>
        <w:jc w:val="both"/>
        <w:rPr>
          <w:rFonts w:eastAsia="Times New Roman"/>
          <w:sz w:val="24"/>
          <w:szCs w:val="24"/>
          <w:highlight w:val="white"/>
        </w:rPr>
      </w:pPr>
      <w:hyperlink r:id="rId17">
        <w:r w:rsidRPr="00E11011">
          <w:rPr>
            <w:rFonts w:eastAsia="Times New Roman"/>
            <w:sz w:val="24"/>
            <w:szCs w:val="24"/>
            <w:highlight w:val="white"/>
          </w:rPr>
          <w:t>statista.com</w:t>
        </w:r>
      </w:hyperlink>
      <w:r w:rsidRPr="00E11011">
        <w:rPr>
          <w:rFonts w:eastAsia="Times New Roman"/>
          <w:sz w:val="24"/>
          <w:szCs w:val="24"/>
          <w:highlight w:val="white"/>
        </w:rPr>
        <w:t xml:space="preserve"> (2025) Online grocery shopping - statistics &amp; facts </w:t>
      </w:r>
    </w:p>
    <w:p w14:paraId="26523F98" w14:textId="77777777" w:rsid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Available</w:t>
      </w:r>
      <w:r w:rsidR="00E11011">
        <w:rPr>
          <w:rFonts w:eastAsia="Times New Roman"/>
          <w:sz w:val="24"/>
          <w:szCs w:val="24"/>
        </w:rPr>
        <w:t>:</w:t>
      </w:r>
      <w:hyperlink r:id="rId18" w:history="1">
        <w:r w:rsidR="00E11011" w:rsidRPr="00CF5002">
          <w:rPr>
            <w:rStyle w:val="Hyperlink"/>
            <w:rFonts w:eastAsia="Times New Roman"/>
            <w:sz w:val="24"/>
            <w:szCs w:val="24"/>
            <w:highlight w:val="white"/>
          </w:rPr>
          <w:t>https://www.statista.com/topics/9572/online-grocery-shopping-in-india/?srsltid=AfmBOophxMPVW8wSO8o_La8la-FzdodJQxZWNBPe2imOBYJEz15rJ_q-#topicOverview/</w:t>
        </w:r>
      </w:hyperlink>
      <w:r w:rsidRPr="00E11011">
        <w:rPr>
          <w:rFonts w:eastAsia="Times New Roman"/>
          <w:sz w:val="24"/>
          <w:szCs w:val="24"/>
          <w:highlight w:val="white"/>
        </w:rPr>
        <w:t xml:space="preserve"> </w:t>
      </w:r>
    </w:p>
    <w:p w14:paraId="1CEB144C" w14:textId="100B8FFD" w:rsidR="00E86A44" w:rsidRPr="00E11011" w:rsidRDefault="00E86A44" w:rsidP="00681245">
      <w:pPr>
        <w:spacing w:before="240" w:after="240" w:line="360" w:lineRule="auto"/>
        <w:jc w:val="both"/>
        <w:rPr>
          <w:rFonts w:eastAsia="Times New Roman"/>
          <w:sz w:val="24"/>
          <w:szCs w:val="24"/>
        </w:rPr>
      </w:pPr>
      <w:r w:rsidRPr="00E11011">
        <w:rPr>
          <w:rFonts w:eastAsia="Times New Roman"/>
          <w:sz w:val="24"/>
          <w:szCs w:val="24"/>
          <w:highlight w:val="white"/>
        </w:rPr>
        <w:t xml:space="preserve">Accessed on (5th </w:t>
      </w:r>
      <w:r w:rsidR="00E11011" w:rsidRPr="00E11011">
        <w:rPr>
          <w:rFonts w:eastAsia="Times New Roman"/>
          <w:sz w:val="24"/>
          <w:szCs w:val="24"/>
          <w:highlight w:val="white"/>
        </w:rPr>
        <w:t>October</w:t>
      </w:r>
      <w:r w:rsidRPr="00E11011">
        <w:rPr>
          <w:rFonts w:eastAsia="Times New Roman"/>
          <w:sz w:val="24"/>
          <w:szCs w:val="24"/>
          <w:highlight w:val="white"/>
        </w:rPr>
        <w:t xml:space="preserve"> 2025) </w:t>
      </w:r>
    </w:p>
    <w:p w14:paraId="429FBFE9" w14:textId="77777777" w:rsidR="00E11011" w:rsidRDefault="00E86A44" w:rsidP="00681245">
      <w:pPr>
        <w:spacing w:before="240" w:after="240" w:line="360" w:lineRule="auto"/>
        <w:jc w:val="both"/>
        <w:rPr>
          <w:rFonts w:eastAsia="Times New Roman"/>
          <w:sz w:val="24"/>
          <w:szCs w:val="24"/>
          <w:highlight w:val="white"/>
        </w:rPr>
      </w:pPr>
      <w:hyperlink r:id="rId19">
        <w:r w:rsidRPr="00E11011">
          <w:rPr>
            <w:rFonts w:eastAsia="Times New Roman"/>
            <w:sz w:val="24"/>
            <w:szCs w:val="24"/>
            <w:highlight w:val="white"/>
          </w:rPr>
          <w:t>gov.uk</w:t>
        </w:r>
      </w:hyperlink>
      <w:r w:rsidRPr="00E11011">
        <w:rPr>
          <w:rFonts w:eastAsia="Times New Roman"/>
          <w:sz w:val="24"/>
          <w:szCs w:val="24"/>
          <w:highlight w:val="white"/>
        </w:rPr>
        <w:t xml:space="preserve"> (2024) Climate change and sustainability strategy</w:t>
      </w:r>
    </w:p>
    <w:p w14:paraId="4ACF9FCC" w14:textId="77777777" w:rsid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Available</w:t>
      </w:r>
      <w:r w:rsidR="00E11011">
        <w:rPr>
          <w:rFonts w:eastAsia="Times New Roman"/>
          <w:sz w:val="24"/>
          <w:szCs w:val="24"/>
        </w:rPr>
        <w:t>:</w:t>
      </w:r>
      <w:hyperlink r:id="rId20" w:history="1">
        <w:r w:rsidR="00E11011" w:rsidRPr="00CF5002">
          <w:rPr>
            <w:rStyle w:val="Hyperlink"/>
            <w:rFonts w:eastAsia="Times New Roman"/>
            <w:sz w:val="24"/>
            <w:szCs w:val="24"/>
            <w:highlight w:val="white"/>
          </w:rPr>
          <w:t>https://www.gov.uk/government/publications/climate-change-and-sustainability-strategy-moj/climate-change-and-sustainability-strategy/</w:t>
        </w:r>
      </w:hyperlink>
    </w:p>
    <w:p w14:paraId="01767BE8" w14:textId="485BD8DD" w:rsidR="00E86A44" w:rsidRPr="00E11011" w:rsidRDefault="00E86A44" w:rsidP="00681245">
      <w:pPr>
        <w:spacing w:before="240" w:after="240" w:line="360" w:lineRule="auto"/>
        <w:jc w:val="both"/>
        <w:rPr>
          <w:rFonts w:eastAsia="Times New Roman"/>
          <w:sz w:val="24"/>
          <w:szCs w:val="24"/>
        </w:rPr>
      </w:pPr>
      <w:r w:rsidRPr="00E11011">
        <w:rPr>
          <w:rFonts w:eastAsia="Times New Roman"/>
          <w:sz w:val="24"/>
          <w:szCs w:val="24"/>
          <w:highlight w:val="white"/>
        </w:rPr>
        <w:t xml:space="preserve">Accessed on (3rd </w:t>
      </w:r>
      <w:r w:rsidR="00E11011" w:rsidRPr="00E11011">
        <w:rPr>
          <w:rFonts w:eastAsia="Times New Roman"/>
          <w:sz w:val="24"/>
          <w:szCs w:val="24"/>
          <w:highlight w:val="white"/>
        </w:rPr>
        <w:t>October</w:t>
      </w:r>
      <w:r w:rsidRPr="00E11011">
        <w:rPr>
          <w:rFonts w:eastAsia="Times New Roman"/>
          <w:sz w:val="24"/>
          <w:szCs w:val="24"/>
          <w:highlight w:val="white"/>
        </w:rPr>
        <w:t xml:space="preserve"> 2025) </w:t>
      </w:r>
    </w:p>
    <w:p w14:paraId="397C3405" w14:textId="1285A02E" w:rsidR="00E86A44" w:rsidRP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 xml:space="preserve">Yaneva, D., 2020. </w:t>
      </w:r>
      <w:r w:rsidRPr="00E11011">
        <w:rPr>
          <w:rFonts w:eastAsia="Times New Roman"/>
          <w:i/>
          <w:iCs/>
          <w:sz w:val="24"/>
          <w:szCs w:val="24"/>
          <w:highlight w:val="white"/>
        </w:rPr>
        <w:t xml:space="preserve">Importance of the marketing environment analysis in the process of Strategic Marketing </w:t>
      </w:r>
      <w:r w:rsidR="00E11011" w:rsidRPr="00E11011">
        <w:rPr>
          <w:rFonts w:eastAsia="Times New Roman"/>
          <w:i/>
          <w:iCs/>
          <w:sz w:val="24"/>
          <w:szCs w:val="24"/>
          <w:highlight w:val="white"/>
        </w:rPr>
        <w:t>decision-making</w:t>
      </w:r>
      <w:r w:rsidRPr="00E11011">
        <w:rPr>
          <w:rFonts w:eastAsia="Times New Roman"/>
          <w:i/>
          <w:iCs/>
          <w:sz w:val="24"/>
          <w:szCs w:val="24"/>
          <w:highlight w:val="white"/>
        </w:rPr>
        <w:t>. Economics and Law,</w:t>
      </w:r>
      <w:r w:rsidRPr="00E11011">
        <w:rPr>
          <w:rFonts w:eastAsia="Times New Roman"/>
          <w:sz w:val="24"/>
          <w:szCs w:val="24"/>
          <w:highlight w:val="white"/>
        </w:rPr>
        <w:t xml:space="preserve"> </w:t>
      </w:r>
      <w:r w:rsidRPr="00E11011">
        <w:rPr>
          <w:rFonts w:eastAsia="Times New Roman"/>
          <w:i/>
          <w:sz w:val="24"/>
          <w:szCs w:val="24"/>
          <w:highlight w:val="white"/>
        </w:rPr>
        <w:t>2</w:t>
      </w:r>
      <w:r w:rsidRPr="00E11011">
        <w:rPr>
          <w:rFonts w:eastAsia="Times New Roman"/>
          <w:sz w:val="24"/>
          <w:szCs w:val="24"/>
          <w:highlight w:val="white"/>
        </w:rPr>
        <w:t>(2), pp.24-32.</w:t>
      </w:r>
    </w:p>
    <w:p w14:paraId="70277FB0" w14:textId="77777777" w:rsid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 xml:space="preserve">Wu, X., 2025. An analysis of the international differentiated marketing strategy pattern of multinational supermarket brands: A case study </w:t>
      </w:r>
      <w:proofErr w:type="gramStart"/>
      <w:r w:rsidR="00E11011">
        <w:rPr>
          <w:rFonts w:eastAsia="Times New Roman"/>
          <w:sz w:val="24"/>
          <w:szCs w:val="24"/>
          <w:highlight w:val="white"/>
        </w:rPr>
        <w:t>of</w:t>
      </w:r>
      <w:proofErr w:type="gramEnd"/>
      <w:r w:rsidRPr="00E11011">
        <w:rPr>
          <w:rFonts w:eastAsia="Times New Roman"/>
          <w:sz w:val="24"/>
          <w:szCs w:val="24"/>
          <w:highlight w:val="white"/>
        </w:rPr>
        <w:t xml:space="preserve"> Aldi.</w:t>
      </w:r>
    </w:p>
    <w:p w14:paraId="6CE47B42" w14:textId="29CE733C" w:rsidR="00E86A44" w:rsidRP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lastRenderedPageBreak/>
        <w:t xml:space="preserve"> In </w:t>
      </w:r>
      <w:r w:rsidRPr="00E11011">
        <w:rPr>
          <w:rFonts w:eastAsia="Times New Roman"/>
          <w:i/>
          <w:sz w:val="24"/>
          <w:szCs w:val="24"/>
          <w:highlight w:val="white"/>
        </w:rPr>
        <w:t>Global Dialogue on Media Dynamics, Trends and Perspectives on Public Relations and Communication</w:t>
      </w:r>
      <w:r w:rsidRPr="00E11011">
        <w:rPr>
          <w:rFonts w:eastAsia="Times New Roman"/>
          <w:sz w:val="24"/>
          <w:szCs w:val="24"/>
          <w:highlight w:val="white"/>
        </w:rPr>
        <w:t xml:space="preserve"> (pp. 540-546). CRC Press.</w:t>
      </w:r>
    </w:p>
    <w:p w14:paraId="1459774F" w14:textId="0474D8FA" w:rsidR="00E86A44" w:rsidRP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 xml:space="preserve">Ali, B.J. and Anwar, G., 2021. Porter’s Generic Competitive Strategies and </w:t>
      </w:r>
      <w:r w:rsidR="00F77133">
        <w:rPr>
          <w:rFonts w:eastAsia="Times New Roman"/>
          <w:sz w:val="24"/>
          <w:szCs w:val="24"/>
          <w:highlight w:val="white"/>
        </w:rPr>
        <w:t>their</w:t>
      </w:r>
      <w:r w:rsidRPr="00E11011">
        <w:rPr>
          <w:rFonts w:eastAsia="Times New Roman"/>
          <w:sz w:val="24"/>
          <w:szCs w:val="24"/>
          <w:highlight w:val="white"/>
        </w:rPr>
        <w:t xml:space="preserve"> influence on the Competitive Advantage. </w:t>
      </w:r>
      <w:r w:rsidRPr="00E11011">
        <w:rPr>
          <w:rFonts w:eastAsia="Times New Roman"/>
          <w:i/>
          <w:sz w:val="24"/>
          <w:szCs w:val="24"/>
          <w:highlight w:val="white"/>
        </w:rPr>
        <w:t>International Journal of Advanced Engineering, Management and Science</w:t>
      </w:r>
      <w:r w:rsidRPr="00E11011">
        <w:rPr>
          <w:rFonts w:eastAsia="Times New Roman"/>
          <w:sz w:val="24"/>
          <w:szCs w:val="24"/>
          <w:highlight w:val="white"/>
        </w:rPr>
        <w:t xml:space="preserve">, </w:t>
      </w:r>
      <w:r w:rsidRPr="00E11011">
        <w:rPr>
          <w:rFonts w:eastAsia="Times New Roman"/>
          <w:i/>
          <w:sz w:val="24"/>
          <w:szCs w:val="24"/>
          <w:highlight w:val="white"/>
        </w:rPr>
        <w:t>7</w:t>
      </w:r>
      <w:r w:rsidRPr="00E11011">
        <w:rPr>
          <w:rFonts w:eastAsia="Times New Roman"/>
          <w:sz w:val="24"/>
          <w:szCs w:val="24"/>
          <w:highlight w:val="white"/>
        </w:rPr>
        <w:t>(6), pp.42-51.</w:t>
      </w:r>
    </w:p>
    <w:p w14:paraId="4742CD91" w14:textId="77777777" w:rsidR="00E86A44" w:rsidRP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 xml:space="preserve">Healy, E., 2023. Rise in grocery sales boosts Sainsbury's profits. Retail. </w:t>
      </w:r>
      <w:r w:rsidRPr="00E11011">
        <w:rPr>
          <w:rFonts w:eastAsia="Times New Roman"/>
          <w:i/>
          <w:sz w:val="24"/>
          <w:szCs w:val="24"/>
          <w:highlight w:val="white"/>
        </w:rPr>
        <w:t>The Financial Times</w:t>
      </w:r>
      <w:r w:rsidRPr="00E11011">
        <w:rPr>
          <w:rFonts w:eastAsia="Times New Roman"/>
          <w:sz w:val="24"/>
          <w:szCs w:val="24"/>
          <w:highlight w:val="white"/>
        </w:rPr>
        <w:t>, pp.14-14.</w:t>
      </w:r>
    </w:p>
    <w:p w14:paraId="68D51288" w14:textId="77777777" w:rsidR="00E86A44" w:rsidRP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 xml:space="preserve">Xiao, B., Chen, Q. and Yu, Z., 2021, April. Research on the Investment Value of Sainsbury’s. In </w:t>
      </w:r>
      <w:r w:rsidRPr="00E11011">
        <w:rPr>
          <w:rFonts w:eastAsia="Times New Roman"/>
          <w:i/>
          <w:sz w:val="24"/>
          <w:szCs w:val="24"/>
          <w:highlight w:val="white"/>
        </w:rPr>
        <w:t>2021 6th International Conference on Social Sciences and Economic Development (ICSSED 2021)</w:t>
      </w:r>
      <w:r w:rsidRPr="00E11011">
        <w:rPr>
          <w:rFonts w:eastAsia="Times New Roman"/>
          <w:sz w:val="24"/>
          <w:szCs w:val="24"/>
          <w:highlight w:val="white"/>
        </w:rPr>
        <w:t xml:space="preserve"> (pp. 108-115). Atlantis Press.</w:t>
      </w:r>
    </w:p>
    <w:p w14:paraId="761DF9C2" w14:textId="77777777" w:rsidR="00E11011" w:rsidRDefault="00E86A44" w:rsidP="00681245">
      <w:pPr>
        <w:spacing w:before="240" w:after="240" w:line="360" w:lineRule="auto"/>
        <w:jc w:val="both"/>
        <w:rPr>
          <w:rFonts w:eastAsia="Times New Roman"/>
          <w:sz w:val="24"/>
          <w:szCs w:val="24"/>
          <w:highlight w:val="white"/>
        </w:rPr>
      </w:pPr>
      <w:hyperlink r:id="rId21">
        <w:r w:rsidRPr="00E11011">
          <w:rPr>
            <w:rFonts w:eastAsia="Times New Roman"/>
            <w:sz w:val="24"/>
            <w:szCs w:val="24"/>
            <w:highlight w:val="white"/>
          </w:rPr>
          <w:t>bankofengland.co.uk</w:t>
        </w:r>
      </w:hyperlink>
      <w:r w:rsidRPr="00E11011">
        <w:rPr>
          <w:rFonts w:eastAsia="Times New Roman"/>
          <w:sz w:val="24"/>
          <w:szCs w:val="24"/>
          <w:highlight w:val="white"/>
        </w:rPr>
        <w:t xml:space="preserve"> (2024) Monetary Policy Report - February 2024</w:t>
      </w:r>
    </w:p>
    <w:p w14:paraId="73AA357B" w14:textId="4E18D432" w:rsidR="00E11011" w:rsidRPr="00E11011" w:rsidRDefault="00E86A44" w:rsidP="00681245">
      <w:pPr>
        <w:spacing w:before="240" w:after="240" w:line="360" w:lineRule="auto"/>
        <w:jc w:val="both"/>
        <w:rPr>
          <w:rFonts w:eastAsia="Times New Roman"/>
          <w:sz w:val="24"/>
          <w:szCs w:val="24"/>
        </w:rPr>
      </w:pPr>
      <w:r w:rsidRPr="00E11011">
        <w:rPr>
          <w:rFonts w:eastAsia="Times New Roman"/>
          <w:sz w:val="24"/>
          <w:szCs w:val="24"/>
          <w:highlight w:val="white"/>
        </w:rPr>
        <w:t xml:space="preserve"> Available</w:t>
      </w:r>
      <w:r w:rsidR="00E11011">
        <w:rPr>
          <w:rFonts w:eastAsia="Times New Roman"/>
          <w:sz w:val="24"/>
          <w:szCs w:val="24"/>
        </w:rPr>
        <w:t>:</w:t>
      </w:r>
      <w:hyperlink r:id="rId22" w:history="1">
        <w:r w:rsidR="00F77133" w:rsidRPr="00CF5002">
          <w:rPr>
            <w:rStyle w:val="Hyperlink"/>
            <w:rFonts w:eastAsia="Times New Roman"/>
            <w:sz w:val="24"/>
            <w:szCs w:val="24"/>
            <w:highlight w:val="white"/>
          </w:rPr>
          <w:t>https://www.bankofengland.co.uk/monetary-policy-report/2024/february-2024/</w:t>
        </w:r>
      </w:hyperlink>
    </w:p>
    <w:p w14:paraId="5134E9F6" w14:textId="7969CAD3" w:rsidR="00E86A44" w:rsidRPr="00E11011" w:rsidRDefault="00E86A44" w:rsidP="00681245">
      <w:pPr>
        <w:spacing w:before="240" w:after="240" w:line="360" w:lineRule="auto"/>
        <w:jc w:val="both"/>
        <w:rPr>
          <w:rFonts w:eastAsia="Times New Roman"/>
          <w:sz w:val="24"/>
          <w:szCs w:val="24"/>
          <w:highlight w:val="white"/>
        </w:rPr>
      </w:pPr>
      <w:r w:rsidRPr="00E11011">
        <w:rPr>
          <w:rFonts w:eastAsia="Times New Roman"/>
          <w:sz w:val="24"/>
          <w:szCs w:val="24"/>
          <w:highlight w:val="white"/>
        </w:rPr>
        <w:t xml:space="preserve">Accessed on (2nd </w:t>
      </w:r>
      <w:r w:rsidR="00E11011" w:rsidRPr="00E11011">
        <w:rPr>
          <w:rFonts w:eastAsia="Times New Roman"/>
          <w:sz w:val="24"/>
          <w:szCs w:val="24"/>
          <w:highlight w:val="white"/>
        </w:rPr>
        <w:t>October</w:t>
      </w:r>
      <w:r w:rsidRPr="00E11011">
        <w:rPr>
          <w:rFonts w:eastAsia="Times New Roman"/>
          <w:sz w:val="24"/>
          <w:szCs w:val="24"/>
          <w:highlight w:val="white"/>
        </w:rPr>
        <w:t xml:space="preserve"> 2025) </w:t>
      </w:r>
    </w:p>
    <w:sectPr w:rsidR="00E86A44" w:rsidRPr="00E11011" w:rsidSect="00681245">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BC2A0" w14:textId="77777777" w:rsidR="00DD1318" w:rsidRDefault="00DD1318" w:rsidP="00E86A44">
      <w:pPr>
        <w:spacing w:line="240" w:lineRule="auto"/>
      </w:pPr>
      <w:r>
        <w:separator/>
      </w:r>
    </w:p>
  </w:endnote>
  <w:endnote w:type="continuationSeparator" w:id="0">
    <w:p w14:paraId="1B832AB6" w14:textId="77777777" w:rsidR="00DD1318" w:rsidRDefault="00DD1318" w:rsidP="00E86A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7084762"/>
      <w:docPartObj>
        <w:docPartGallery w:val="Page Numbers (Bottom of Page)"/>
        <w:docPartUnique/>
      </w:docPartObj>
    </w:sdtPr>
    <w:sdtEndPr>
      <w:rPr>
        <w:noProof/>
      </w:rPr>
    </w:sdtEndPr>
    <w:sdtContent>
      <w:p w14:paraId="72AE1DB6" w14:textId="77777777" w:rsidR="00E86A44" w:rsidRDefault="00E86A44">
        <w:pPr>
          <w:pStyle w:val="Footer"/>
          <w:jc w:val="right"/>
        </w:pPr>
        <w:r>
          <w:fldChar w:fldCharType="begin"/>
        </w:r>
        <w:r>
          <w:instrText xml:space="preserve"> PAGE   \* MERGEFORMAT </w:instrText>
        </w:r>
        <w:r>
          <w:fldChar w:fldCharType="separate"/>
        </w:r>
        <w:r w:rsidR="00681245">
          <w:rPr>
            <w:noProof/>
          </w:rPr>
          <w:t>4</w:t>
        </w:r>
        <w:r>
          <w:rPr>
            <w:noProof/>
          </w:rPr>
          <w:fldChar w:fldCharType="end"/>
        </w:r>
      </w:p>
    </w:sdtContent>
  </w:sdt>
  <w:p w14:paraId="1CB6D58B" w14:textId="77777777" w:rsidR="00E86A44" w:rsidRDefault="00E86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BA9F8" w14:textId="77777777" w:rsidR="00DD1318" w:rsidRDefault="00DD1318" w:rsidP="00E86A44">
      <w:pPr>
        <w:spacing w:line="240" w:lineRule="auto"/>
      </w:pPr>
      <w:r>
        <w:separator/>
      </w:r>
    </w:p>
  </w:footnote>
  <w:footnote w:type="continuationSeparator" w:id="0">
    <w:p w14:paraId="25D091D0" w14:textId="77777777" w:rsidR="00DD1318" w:rsidRDefault="00DD1318" w:rsidP="00E86A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434705"/>
    <w:multiLevelType w:val="multilevel"/>
    <w:tmpl w:val="963A97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97666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927EF"/>
    <w:rsid w:val="000D35D3"/>
    <w:rsid w:val="00281191"/>
    <w:rsid w:val="004F34BE"/>
    <w:rsid w:val="005F19FC"/>
    <w:rsid w:val="006658B2"/>
    <w:rsid w:val="00681245"/>
    <w:rsid w:val="008B229E"/>
    <w:rsid w:val="008E67C8"/>
    <w:rsid w:val="009927CE"/>
    <w:rsid w:val="00D927EF"/>
    <w:rsid w:val="00DD1318"/>
    <w:rsid w:val="00E11011"/>
    <w:rsid w:val="00E86A44"/>
    <w:rsid w:val="00ED7300"/>
    <w:rsid w:val="00F037D9"/>
    <w:rsid w:val="00F51A93"/>
    <w:rsid w:val="00F771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744B10"/>
  <w15:docId w15:val="{73905DB7-1206-1847-8352-64B8C3F51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86A44"/>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E86A44"/>
    <w:pPr>
      <w:tabs>
        <w:tab w:val="center" w:pos="4680"/>
        <w:tab w:val="right" w:pos="9360"/>
      </w:tabs>
      <w:spacing w:line="240" w:lineRule="auto"/>
    </w:pPr>
  </w:style>
  <w:style w:type="character" w:customStyle="1" w:styleId="HeaderChar">
    <w:name w:val="Header Char"/>
    <w:basedOn w:val="DefaultParagraphFont"/>
    <w:link w:val="Header"/>
    <w:uiPriority w:val="99"/>
    <w:rsid w:val="00E86A44"/>
  </w:style>
  <w:style w:type="paragraph" w:styleId="Footer">
    <w:name w:val="footer"/>
    <w:basedOn w:val="Normal"/>
    <w:link w:val="FooterChar"/>
    <w:uiPriority w:val="99"/>
    <w:unhideWhenUsed/>
    <w:rsid w:val="00E86A44"/>
    <w:pPr>
      <w:tabs>
        <w:tab w:val="center" w:pos="4680"/>
        <w:tab w:val="right" w:pos="9360"/>
      </w:tabs>
      <w:spacing w:line="240" w:lineRule="auto"/>
    </w:pPr>
  </w:style>
  <w:style w:type="character" w:customStyle="1" w:styleId="FooterChar">
    <w:name w:val="Footer Char"/>
    <w:basedOn w:val="DefaultParagraphFont"/>
    <w:link w:val="Footer"/>
    <w:uiPriority w:val="99"/>
    <w:rsid w:val="00E86A44"/>
  </w:style>
  <w:style w:type="paragraph" w:styleId="TOCHeading">
    <w:name w:val="TOC Heading"/>
    <w:basedOn w:val="Heading1"/>
    <w:next w:val="Normal"/>
    <w:uiPriority w:val="39"/>
    <w:semiHidden/>
    <w:unhideWhenUsed/>
    <w:qFormat/>
    <w:rsid w:val="00E86A44"/>
    <w:pPr>
      <w:spacing w:before="480" w:after="0" w:line="276" w:lineRule="auto"/>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F77133"/>
    <w:pPr>
      <w:tabs>
        <w:tab w:val="right" w:leader="dot" w:pos="9350"/>
      </w:tabs>
      <w:spacing w:after="100" w:line="360" w:lineRule="auto"/>
    </w:pPr>
    <w:rPr>
      <w:noProof/>
      <w:sz w:val="24"/>
    </w:rPr>
  </w:style>
  <w:style w:type="character" w:styleId="Hyperlink">
    <w:name w:val="Hyperlink"/>
    <w:basedOn w:val="DefaultParagraphFont"/>
    <w:uiPriority w:val="99"/>
    <w:unhideWhenUsed/>
    <w:rsid w:val="00E86A44"/>
    <w:rPr>
      <w:color w:val="0000FF" w:themeColor="hyperlink"/>
      <w:u w:val="single"/>
    </w:rPr>
  </w:style>
  <w:style w:type="paragraph" w:styleId="BalloonText">
    <w:name w:val="Balloon Text"/>
    <w:basedOn w:val="Normal"/>
    <w:link w:val="BalloonTextChar"/>
    <w:uiPriority w:val="99"/>
    <w:semiHidden/>
    <w:unhideWhenUsed/>
    <w:rsid w:val="00E86A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6A44"/>
    <w:rPr>
      <w:rFonts w:ascii="Tahoma" w:hAnsi="Tahoma" w:cs="Tahoma"/>
      <w:sz w:val="16"/>
      <w:szCs w:val="16"/>
    </w:rPr>
  </w:style>
  <w:style w:type="character" w:customStyle="1" w:styleId="TitleChar">
    <w:name w:val="Title Char"/>
    <w:basedOn w:val="DefaultParagraphFont"/>
    <w:link w:val="Title"/>
    <w:uiPriority w:val="10"/>
    <w:rsid w:val="008E67C8"/>
    <w:rPr>
      <w:sz w:val="52"/>
      <w:szCs w:val="52"/>
    </w:rPr>
  </w:style>
  <w:style w:type="character" w:styleId="UnresolvedMention">
    <w:name w:val="Unresolved Mention"/>
    <w:basedOn w:val="DefaultParagraphFont"/>
    <w:uiPriority w:val="99"/>
    <w:semiHidden/>
    <w:unhideWhenUsed/>
    <w:rsid w:val="00E110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ons.gov.uk" TargetMode="External"/><Relationship Id="rId13" Type="http://schemas.openxmlformats.org/officeDocument/2006/relationships/hyperlink" Target="http://ons.gov.uk" TargetMode="External"/><Relationship Id="rId18" Type="http://schemas.openxmlformats.org/officeDocument/2006/relationships/hyperlink" Target="https://www.statista.com/topics/9572/online-grocery-shopping-in-india/?srsltid=AfmBOophxMPVW8wSO8o_La8la-FzdodJQxZWNBPe2imOBYJEz15rJ_q-#topicOverview/" TargetMode="External"/><Relationship Id="rId3" Type="http://schemas.openxmlformats.org/officeDocument/2006/relationships/styles" Target="styles.xml"/><Relationship Id="rId21" Type="http://schemas.openxmlformats.org/officeDocument/2006/relationships/hyperlink" Target="http://bankofengland.co.uk" TargetMode="External"/><Relationship Id="rId7" Type="http://schemas.openxmlformats.org/officeDocument/2006/relationships/endnotes" Target="endnotes.xml"/><Relationship Id="rId12" Type="http://schemas.openxmlformats.org/officeDocument/2006/relationships/hyperlink" Target="http://gov.uk" TargetMode="External"/><Relationship Id="rId17" Type="http://schemas.openxmlformats.org/officeDocument/2006/relationships/hyperlink" Target="http://statista.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intel.com/insights/consumer-research/consumer-attitudes-towards-sustainability/" TargetMode="External"/><Relationship Id="rId20" Type="http://schemas.openxmlformats.org/officeDocument/2006/relationships/hyperlink" Target="https://www.gov.uk/government/publications/climate-change-and-sustainability-strategy-moj/climate-change-and-sustainability-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tista.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mintel.com" TargetMode="External"/><Relationship Id="rId23" Type="http://schemas.openxmlformats.org/officeDocument/2006/relationships/footer" Target="footer1.xml"/><Relationship Id="rId10" Type="http://schemas.openxmlformats.org/officeDocument/2006/relationships/hyperlink" Target="http://mintel.com" TargetMode="External"/><Relationship Id="rId19" Type="http://schemas.openxmlformats.org/officeDocument/2006/relationships/hyperlink" Target="http://gov.uk" TargetMode="External"/><Relationship Id="rId4" Type="http://schemas.openxmlformats.org/officeDocument/2006/relationships/settings" Target="settings.xml"/><Relationship Id="rId9" Type="http://schemas.openxmlformats.org/officeDocument/2006/relationships/hyperlink" Target="http://bankofengland.co.uk" TargetMode="External"/><Relationship Id="rId14" Type="http://schemas.openxmlformats.org/officeDocument/2006/relationships/hyperlink" Target="https://www.ons.gov.uk/economy/nationalaccounts/balanceofpayments/bulletins/uktrade/july2024/" TargetMode="External"/><Relationship Id="rId22" Type="http://schemas.openxmlformats.org/officeDocument/2006/relationships/hyperlink" Target="https://www.bankofengland.co.uk/monetary-policy-report/2024/february-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2FB8AC-D5FE-481D-A2FD-11F552326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8</Pages>
  <Words>1330</Words>
  <Characters>9111</Characters>
  <Application>Microsoft Office Word</Application>
  <DocSecurity>0</DocSecurity>
  <Lines>253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Florenta Ene (2310121)</cp:lastModifiedBy>
  <cp:revision>3</cp:revision>
  <dcterms:created xsi:type="dcterms:W3CDTF">2025-10-08T08:59:00Z</dcterms:created>
  <dcterms:modified xsi:type="dcterms:W3CDTF">2025-10-08T15:45:00Z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c453aebc-ecc5-4570-ba00-c4790fdd5bb9</vt:lpwstr>
  </property>
</Properties>
</file>