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A9831" w14:textId="77777777" w:rsidR="00656DC8" w:rsidRDefault="00656DC8" w:rsidP="00656DC8">
      <w:pPr>
        <w:rPr>
          <w:rFonts w:ascii="Arial" w:eastAsia="Arial" w:hAnsi="Arial" w:cs="Arial"/>
          <w:b/>
          <w:bCs/>
          <w:i/>
          <w:iCs/>
          <w:sz w:val="24"/>
          <w:szCs w:val="24"/>
        </w:rPr>
      </w:pPr>
      <w:r w:rsidRPr="43D343CA">
        <w:rPr>
          <w:rFonts w:ascii="Arial" w:eastAsia="Arial" w:hAnsi="Arial" w:cs="Arial"/>
          <w:b/>
          <w:bCs/>
          <w:i/>
          <w:iCs/>
          <w:sz w:val="24"/>
          <w:szCs w:val="24"/>
        </w:rPr>
        <w:t>Task 2: Safeguarding and Risk Assessment</w:t>
      </w:r>
    </w:p>
    <w:p w14:paraId="5DD957E8" w14:textId="7022770F" w:rsidR="006664AC" w:rsidRDefault="006664AC" w:rsidP="006664AC">
      <w:pPr>
        <w:spacing w:line="360" w:lineRule="auto"/>
        <w:rPr>
          <w:rFonts w:ascii="Arial" w:eastAsia="Arial" w:hAnsi="Arial" w:cs="Arial"/>
          <w:b/>
          <w:bCs/>
          <w:color w:val="000000" w:themeColor="text1"/>
          <w:sz w:val="24"/>
          <w:szCs w:val="24"/>
        </w:rPr>
      </w:pPr>
      <w:r w:rsidRPr="43D343CA">
        <w:rPr>
          <w:rFonts w:ascii="Arial" w:eastAsia="Arial" w:hAnsi="Arial" w:cs="Arial"/>
          <w:sz w:val="24"/>
          <w:szCs w:val="24"/>
        </w:rPr>
        <w:t>Choose an investigation from your practice in which you played a significant part where vulnerable people were exploited (either as victims, witnesses or both) and provide brief details of the incident.</w:t>
      </w:r>
    </w:p>
    <w:p w14:paraId="1D332F19" w14:textId="77777777" w:rsidR="006664AC" w:rsidRDefault="006664AC" w:rsidP="006664AC">
      <w:pPr>
        <w:pStyle w:val="ListParagraph"/>
        <w:numPr>
          <w:ilvl w:val="0"/>
          <w:numId w:val="7"/>
        </w:numPr>
        <w:spacing w:line="360" w:lineRule="auto"/>
        <w:rPr>
          <w:rFonts w:ascii="Arial" w:eastAsia="Arial" w:hAnsi="Arial" w:cs="Arial"/>
          <w:sz w:val="24"/>
          <w:szCs w:val="24"/>
        </w:rPr>
      </w:pPr>
      <w:r w:rsidRPr="43D343CA">
        <w:rPr>
          <w:rFonts w:ascii="Arial" w:eastAsia="Arial" w:hAnsi="Arial" w:cs="Arial"/>
          <w:b/>
          <w:bCs/>
          <w:sz w:val="24"/>
          <w:szCs w:val="24"/>
        </w:rPr>
        <w:t>Describe</w:t>
      </w:r>
      <w:r w:rsidRPr="43D343CA">
        <w:rPr>
          <w:rFonts w:ascii="Arial" w:eastAsia="Arial" w:hAnsi="Arial" w:cs="Arial"/>
          <w:sz w:val="24"/>
          <w:szCs w:val="24"/>
        </w:rPr>
        <w:t xml:space="preserve"> the crime types involved and </w:t>
      </w:r>
      <w:r w:rsidRPr="43D343CA">
        <w:rPr>
          <w:rFonts w:ascii="Arial" w:eastAsia="Arial" w:hAnsi="Arial" w:cs="Arial"/>
          <w:b/>
          <w:bCs/>
          <w:sz w:val="24"/>
          <w:szCs w:val="24"/>
        </w:rPr>
        <w:t>discuss</w:t>
      </w:r>
      <w:r w:rsidRPr="43D343CA">
        <w:rPr>
          <w:rFonts w:ascii="Arial" w:eastAsia="Arial" w:hAnsi="Arial" w:cs="Arial"/>
          <w:sz w:val="24"/>
          <w:szCs w:val="24"/>
        </w:rPr>
        <w:t xml:space="preserve"> the difficulties and obstacles that you faced in identifying and investigating these crimes. </w:t>
      </w:r>
    </w:p>
    <w:p w14:paraId="4FA286E8" w14:textId="77777777" w:rsidR="006664AC" w:rsidRDefault="006664AC" w:rsidP="006664AC">
      <w:pPr>
        <w:pStyle w:val="ListParagraph"/>
        <w:numPr>
          <w:ilvl w:val="0"/>
          <w:numId w:val="7"/>
        </w:numPr>
        <w:rPr>
          <w:rFonts w:ascii="Arial" w:eastAsia="Arial" w:hAnsi="Arial" w:cs="Arial"/>
          <w:sz w:val="24"/>
          <w:szCs w:val="24"/>
        </w:rPr>
      </w:pPr>
      <w:bookmarkStart w:id="0" w:name="_Hlk191568273"/>
      <w:r w:rsidRPr="43D343CA">
        <w:rPr>
          <w:rFonts w:ascii="Arial" w:eastAsia="Arial" w:hAnsi="Arial" w:cs="Arial"/>
          <w:b/>
          <w:bCs/>
          <w:sz w:val="24"/>
          <w:szCs w:val="24"/>
        </w:rPr>
        <w:t xml:space="preserve">Critically evaluate </w:t>
      </w:r>
      <w:r w:rsidRPr="43D343CA">
        <w:rPr>
          <w:rFonts w:ascii="Arial" w:eastAsia="Arial" w:hAnsi="Arial" w:cs="Arial"/>
          <w:sz w:val="24"/>
          <w:szCs w:val="24"/>
        </w:rPr>
        <w:t xml:space="preserve">the effectiveness of the </w:t>
      </w:r>
      <w:bookmarkStart w:id="1" w:name="_Hlk194594485"/>
      <w:r w:rsidRPr="43D343CA">
        <w:rPr>
          <w:rFonts w:ascii="Arial" w:eastAsia="Arial" w:hAnsi="Arial" w:cs="Arial"/>
          <w:sz w:val="24"/>
          <w:szCs w:val="24"/>
        </w:rPr>
        <w:t xml:space="preserve">investigative methods and legal processes that can be used to overcome these obstacles </w:t>
      </w:r>
      <w:proofErr w:type="gramStart"/>
      <w:r w:rsidRPr="43D343CA">
        <w:rPr>
          <w:rFonts w:ascii="Arial" w:eastAsia="Arial" w:hAnsi="Arial" w:cs="Arial"/>
          <w:sz w:val="24"/>
          <w:szCs w:val="24"/>
        </w:rPr>
        <w:t>in order to</w:t>
      </w:r>
      <w:proofErr w:type="gramEnd"/>
      <w:r w:rsidRPr="43D343CA">
        <w:rPr>
          <w:rFonts w:ascii="Arial" w:eastAsia="Arial" w:hAnsi="Arial" w:cs="Arial"/>
          <w:sz w:val="24"/>
          <w:szCs w:val="24"/>
        </w:rPr>
        <w:t xml:space="preserve"> successfully support vulnerable victims and witnesses</w:t>
      </w:r>
      <w:bookmarkEnd w:id="1"/>
      <w:r w:rsidRPr="43D343CA">
        <w:rPr>
          <w:rFonts w:ascii="Arial" w:eastAsia="Arial" w:hAnsi="Arial" w:cs="Arial"/>
          <w:sz w:val="24"/>
          <w:szCs w:val="24"/>
        </w:rPr>
        <w:t>.</w:t>
      </w:r>
    </w:p>
    <w:bookmarkEnd w:id="0"/>
    <w:p w14:paraId="291E4E4B" w14:textId="77777777" w:rsidR="006664AC" w:rsidRDefault="006664AC" w:rsidP="006664AC">
      <w:pPr>
        <w:rPr>
          <w:rFonts w:ascii="Arial" w:eastAsia="Arial" w:hAnsi="Arial" w:cs="Arial"/>
          <w:color w:val="000000" w:themeColor="text1"/>
          <w:sz w:val="24"/>
          <w:szCs w:val="24"/>
        </w:rPr>
      </w:pPr>
    </w:p>
    <w:p w14:paraId="0AAE6F30" w14:textId="203593C7" w:rsidR="006664AC" w:rsidRPr="0033711B" w:rsidRDefault="006664AC" w:rsidP="0033711B">
      <w:pPr>
        <w:pStyle w:val="ListParagraph"/>
        <w:numPr>
          <w:ilvl w:val="0"/>
          <w:numId w:val="8"/>
        </w:numPr>
        <w:ind w:right="237"/>
        <w:jc w:val="both"/>
        <w:rPr>
          <w:rFonts w:ascii="Arial" w:eastAsia="Arial" w:hAnsi="Arial" w:cs="Arial"/>
          <w:sz w:val="24"/>
          <w:szCs w:val="24"/>
        </w:rPr>
      </w:pPr>
      <w:r w:rsidRPr="0033711B">
        <w:rPr>
          <w:rFonts w:ascii="Arial" w:eastAsia="Arial" w:hAnsi="Arial" w:cs="Arial"/>
          <w:b/>
          <w:bCs/>
          <w:color w:val="000000" w:themeColor="text1"/>
          <w:sz w:val="24"/>
          <w:szCs w:val="24"/>
        </w:rPr>
        <w:t>ds</w:t>
      </w:r>
      <w:r w:rsidRPr="0033711B">
        <w:rPr>
          <w:rFonts w:ascii="Arial" w:eastAsia="Arial" w:hAnsi="Arial" w:cs="Arial"/>
          <w:color w:val="000000" w:themeColor="text1"/>
          <w:sz w:val="24"/>
          <w:szCs w:val="24"/>
        </w:rPr>
        <w:t xml:space="preserve"> </w:t>
      </w:r>
      <w:r w:rsidRPr="0033711B">
        <w:rPr>
          <w:rFonts w:ascii="Arial" w:eastAsia="Arial" w:hAnsi="Arial" w:cs="Arial"/>
          <w:i/>
          <w:iCs/>
          <w:color w:val="000000" w:themeColor="text1"/>
          <w:sz w:val="24"/>
          <w:szCs w:val="24"/>
        </w:rPr>
        <w:t>(+/- 10%: include your actual word count at the end of each section)</w:t>
      </w:r>
    </w:p>
    <w:p w14:paraId="4F9B2DF0" w14:textId="77777777" w:rsidR="006664AC" w:rsidRDefault="006664AC" w:rsidP="00664CF4">
      <w:pPr>
        <w:spacing w:line="360" w:lineRule="auto"/>
        <w:rPr>
          <w:rFonts w:ascii="Arial" w:hAnsi="Arial" w:cs="Arial"/>
        </w:rPr>
      </w:pPr>
    </w:p>
    <w:p w14:paraId="411D19CE" w14:textId="766FEB06" w:rsidR="0033711B" w:rsidRPr="00B539B7" w:rsidRDefault="0033711B" w:rsidP="00B539B7">
      <w:pPr>
        <w:pStyle w:val="ListParagraph"/>
        <w:numPr>
          <w:ilvl w:val="1"/>
          <w:numId w:val="7"/>
        </w:numPr>
        <w:spacing w:line="360" w:lineRule="auto"/>
        <w:rPr>
          <w:rFonts w:ascii="Arial" w:eastAsia="Arial" w:hAnsi="Arial" w:cs="Arial"/>
          <w:sz w:val="24"/>
          <w:szCs w:val="24"/>
        </w:rPr>
      </w:pPr>
      <w:r w:rsidRPr="00B539B7">
        <w:rPr>
          <w:rFonts w:ascii="Arial" w:eastAsia="Arial" w:hAnsi="Arial" w:cs="Arial"/>
          <w:b/>
          <w:bCs/>
          <w:sz w:val="24"/>
          <w:szCs w:val="24"/>
        </w:rPr>
        <w:t>Describe</w:t>
      </w:r>
      <w:r w:rsidRPr="00B539B7">
        <w:rPr>
          <w:rFonts w:ascii="Arial" w:eastAsia="Arial" w:hAnsi="Arial" w:cs="Arial"/>
          <w:sz w:val="24"/>
          <w:szCs w:val="24"/>
        </w:rPr>
        <w:t xml:space="preserve"> the crime types involved and </w:t>
      </w:r>
      <w:r w:rsidRPr="00B539B7">
        <w:rPr>
          <w:rFonts w:ascii="Arial" w:eastAsia="Arial" w:hAnsi="Arial" w:cs="Arial"/>
          <w:b/>
          <w:bCs/>
          <w:sz w:val="24"/>
          <w:szCs w:val="24"/>
        </w:rPr>
        <w:t>discuss</w:t>
      </w:r>
      <w:r w:rsidRPr="00B539B7">
        <w:rPr>
          <w:rFonts w:ascii="Arial" w:eastAsia="Arial" w:hAnsi="Arial" w:cs="Arial"/>
          <w:sz w:val="24"/>
          <w:szCs w:val="24"/>
        </w:rPr>
        <w:t xml:space="preserve"> the difficulties and obstacles that you faced in identifying and investigating these crimes. </w:t>
      </w:r>
    </w:p>
    <w:p w14:paraId="728CD427" w14:textId="77777777" w:rsidR="00B539B7" w:rsidRDefault="00B539B7" w:rsidP="00F1341C">
      <w:pPr>
        <w:pStyle w:val="whitespace-pre-wrap"/>
        <w:spacing w:line="360" w:lineRule="auto"/>
        <w:rPr>
          <w:rFonts w:ascii="Arial" w:hAnsi="Arial" w:cs="Arial"/>
          <w:sz w:val="22"/>
          <w:szCs w:val="22"/>
        </w:rPr>
      </w:pPr>
      <w:r w:rsidRPr="00B539B7">
        <w:rPr>
          <w:rStyle w:val="Strong"/>
          <w:rFonts w:ascii="Arial" w:eastAsiaTheme="majorEastAsia" w:hAnsi="Arial" w:cs="Arial"/>
          <w:sz w:val="22"/>
          <w:szCs w:val="22"/>
        </w:rPr>
        <w:t>Introduction</w:t>
      </w:r>
      <w:r w:rsidRPr="00B539B7">
        <w:rPr>
          <w:rFonts w:ascii="Arial" w:hAnsi="Arial" w:cs="Arial"/>
          <w:sz w:val="22"/>
          <w:szCs w:val="22"/>
        </w:rPr>
        <w:t xml:space="preserve"> </w:t>
      </w:r>
    </w:p>
    <w:p w14:paraId="1FBB380E" w14:textId="28557C43" w:rsidR="00B539B7" w:rsidRPr="00B539B7" w:rsidRDefault="00B539B7" w:rsidP="00F1341C">
      <w:pPr>
        <w:pStyle w:val="whitespace-pre-wrap"/>
        <w:spacing w:line="360" w:lineRule="auto"/>
        <w:rPr>
          <w:rFonts w:ascii="Arial" w:hAnsi="Arial" w:cs="Arial"/>
          <w:sz w:val="22"/>
          <w:szCs w:val="22"/>
        </w:rPr>
      </w:pPr>
      <w:r w:rsidRPr="00B539B7">
        <w:rPr>
          <w:rFonts w:ascii="Arial" w:hAnsi="Arial" w:cs="Arial"/>
          <w:sz w:val="22"/>
          <w:szCs w:val="22"/>
        </w:rPr>
        <w:t xml:space="preserve">In 2023, I initiated Operation </w:t>
      </w:r>
      <w:proofErr w:type="spellStart"/>
      <w:r w:rsidRPr="00B539B7">
        <w:rPr>
          <w:rFonts w:ascii="Arial" w:hAnsi="Arial" w:cs="Arial"/>
          <w:sz w:val="22"/>
          <w:szCs w:val="22"/>
        </w:rPr>
        <w:t>Exacum</w:t>
      </w:r>
      <w:proofErr w:type="spellEnd"/>
      <w:r w:rsidRPr="00B539B7">
        <w:rPr>
          <w:rFonts w:ascii="Arial" w:hAnsi="Arial" w:cs="Arial"/>
          <w:sz w:val="22"/>
          <w:szCs w:val="22"/>
        </w:rPr>
        <w:t xml:space="preserve">, a multi-agency investigation targeting an Albanian Organised Crime Group (OCG) suspected of trafficking adults into the UK for large-scale cannabis production. The investigation focused on offences related to </w:t>
      </w:r>
      <w:r w:rsidRPr="00B539B7">
        <w:rPr>
          <w:rStyle w:val="Emphasis"/>
          <w:rFonts w:ascii="Arial" w:eastAsiaTheme="majorEastAsia" w:hAnsi="Arial" w:cs="Arial"/>
          <w:sz w:val="22"/>
          <w:szCs w:val="22"/>
        </w:rPr>
        <w:t>conspiring to produce Class B drugs under Section 1 of the Criminal Law Act 1977 and arranging or facilitating travel for exploitation under Section 2 of the Modern Slavery Act 2015</w:t>
      </w:r>
      <w:r w:rsidRPr="00B539B7">
        <w:rPr>
          <w:rFonts w:ascii="Arial" w:hAnsi="Arial" w:cs="Arial"/>
          <w:sz w:val="22"/>
          <w:szCs w:val="22"/>
        </w:rPr>
        <w:t>. The complex investigation identified the OCG's leader and several members and was later incorporated into Op Mille, a national operation.</w:t>
      </w:r>
    </w:p>
    <w:p w14:paraId="6C6234DB" w14:textId="1BCA8630" w:rsidR="00B539B7" w:rsidRDefault="00B539B7" w:rsidP="00F1341C">
      <w:pPr>
        <w:pStyle w:val="whitespace-pre-wrap"/>
        <w:spacing w:line="360" w:lineRule="auto"/>
        <w:rPr>
          <w:rFonts w:ascii="Arial" w:hAnsi="Arial" w:cs="Arial"/>
          <w:sz w:val="22"/>
          <w:szCs w:val="22"/>
        </w:rPr>
      </w:pPr>
      <w:r w:rsidRPr="00B539B7">
        <w:rPr>
          <w:rFonts w:ascii="Arial" w:hAnsi="Arial" w:cs="Arial"/>
          <w:sz w:val="22"/>
          <w:szCs w:val="22"/>
        </w:rPr>
        <w:lastRenderedPageBreak/>
        <w:t xml:space="preserve">Albanian OCGs use various properties across the UK to produce cannabis. In June 2023, Op Mille resulted in a thousand search warrants, hundreds of arrests, </w:t>
      </w:r>
      <w:r w:rsidR="00EF628A">
        <w:rPr>
          <w:rFonts w:ascii="Arial" w:hAnsi="Arial" w:cs="Arial"/>
          <w:sz w:val="22"/>
          <w:szCs w:val="22"/>
        </w:rPr>
        <w:t xml:space="preserve">and </w:t>
      </w:r>
      <w:r w:rsidRPr="00B539B7">
        <w:rPr>
          <w:rFonts w:ascii="Arial" w:hAnsi="Arial" w:cs="Arial"/>
          <w:sz w:val="22"/>
          <w:szCs w:val="22"/>
        </w:rPr>
        <w:t xml:space="preserve">seizures of firearms, cash, and cannabis plants worth £115-£130 million (National Police Chiefs' Council (NPCC), n.d.). In August 2024, OCGs targeted vacant commercial properties to grow cannabis on an industrial scale (Griffith, 2024). The drugs trade fuels gang violence as groups </w:t>
      </w:r>
      <w:proofErr w:type="gramStart"/>
      <w:r w:rsidRPr="00B539B7">
        <w:rPr>
          <w:rFonts w:ascii="Arial" w:hAnsi="Arial" w:cs="Arial"/>
          <w:sz w:val="22"/>
          <w:szCs w:val="22"/>
        </w:rPr>
        <w:t>compete</w:t>
      </w:r>
      <w:proofErr w:type="gramEnd"/>
      <w:r w:rsidRPr="00B539B7">
        <w:rPr>
          <w:rFonts w:ascii="Arial" w:hAnsi="Arial" w:cs="Arial"/>
          <w:sz w:val="22"/>
          <w:szCs w:val="22"/>
        </w:rPr>
        <w:t xml:space="preserve"> for territory (Crocker et al., 2017).</w:t>
      </w:r>
    </w:p>
    <w:p w14:paraId="5BD24061" w14:textId="77777777" w:rsidR="00B539B7" w:rsidRPr="00B539B7" w:rsidRDefault="00B539B7" w:rsidP="00F1341C">
      <w:pPr>
        <w:pStyle w:val="whitespace-pre-wrap"/>
        <w:spacing w:line="360" w:lineRule="auto"/>
        <w:rPr>
          <w:rFonts w:ascii="Arial" w:hAnsi="Arial" w:cs="Arial"/>
          <w:sz w:val="22"/>
          <w:szCs w:val="22"/>
        </w:rPr>
      </w:pPr>
      <w:r w:rsidRPr="00B539B7">
        <w:rPr>
          <w:rFonts w:ascii="Arial" w:hAnsi="Arial" w:cs="Arial"/>
          <w:b/>
          <w:bCs/>
          <w:sz w:val="22"/>
          <w:szCs w:val="22"/>
        </w:rPr>
        <w:t>Difficulties and Obstacles</w:t>
      </w:r>
      <w:r w:rsidRPr="00B539B7">
        <w:rPr>
          <w:rFonts w:ascii="Arial" w:hAnsi="Arial" w:cs="Arial"/>
          <w:sz w:val="22"/>
          <w:szCs w:val="22"/>
        </w:rPr>
        <w:t xml:space="preserve"> </w:t>
      </w:r>
    </w:p>
    <w:p w14:paraId="391AB64C" w14:textId="77777777" w:rsidR="00B4222D" w:rsidRPr="00B4222D" w:rsidRDefault="00B4222D" w:rsidP="00B4222D">
      <w:pPr>
        <w:pStyle w:val="whitespace-pre-wrap"/>
        <w:spacing w:line="360" w:lineRule="auto"/>
        <w:rPr>
          <w:rFonts w:ascii="Arial" w:hAnsi="Arial" w:cs="Arial"/>
          <w:sz w:val="22"/>
          <w:szCs w:val="22"/>
        </w:rPr>
      </w:pPr>
      <w:r w:rsidRPr="00B4222D">
        <w:rPr>
          <w:rFonts w:ascii="Arial" w:hAnsi="Arial" w:cs="Arial"/>
          <w:sz w:val="22"/>
          <w:szCs w:val="22"/>
        </w:rPr>
        <w:t xml:space="preserve">The complexities I encountered within the social and legislative context of Operation </w:t>
      </w:r>
      <w:proofErr w:type="spellStart"/>
      <w:r w:rsidRPr="00B4222D">
        <w:rPr>
          <w:rFonts w:ascii="Arial" w:hAnsi="Arial" w:cs="Arial"/>
          <w:sz w:val="22"/>
          <w:szCs w:val="22"/>
        </w:rPr>
        <w:t>Exacum</w:t>
      </w:r>
      <w:proofErr w:type="spellEnd"/>
      <w:r w:rsidRPr="00B4222D">
        <w:rPr>
          <w:rFonts w:ascii="Arial" w:hAnsi="Arial" w:cs="Arial"/>
          <w:sz w:val="22"/>
          <w:szCs w:val="22"/>
        </w:rPr>
        <w:t>, particularly the Modern Slavery Act 2015 and the National Referral Mechanism (NRM) process, presented me with significant challenges. The NRM demonstrated both strengths and limitations in its approach (O'Brien, Palmer and Blinkhorn, 2022), with its effectiveness hindered by factors such as the requirement for adult consent, the low proportion of recognised victims receiving support, and the difficulty in identifying certain types of exploitation (O'Brien, Palmer and Blinkhorn, 2022).</w:t>
      </w:r>
    </w:p>
    <w:p w14:paraId="50D064E3" w14:textId="77777777" w:rsidR="00B4222D" w:rsidRPr="00B4222D" w:rsidRDefault="00B4222D" w:rsidP="00B4222D">
      <w:pPr>
        <w:pStyle w:val="whitespace-pre-wrap"/>
        <w:spacing w:line="360" w:lineRule="auto"/>
        <w:rPr>
          <w:rFonts w:ascii="Arial" w:hAnsi="Arial" w:cs="Arial"/>
          <w:sz w:val="22"/>
          <w:szCs w:val="22"/>
        </w:rPr>
      </w:pPr>
      <w:r w:rsidRPr="00B4222D">
        <w:rPr>
          <w:rFonts w:ascii="Arial" w:hAnsi="Arial" w:cs="Arial"/>
          <w:sz w:val="22"/>
          <w:szCs w:val="22"/>
        </w:rPr>
        <w:t xml:space="preserve">During Operation </w:t>
      </w:r>
      <w:proofErr w:type="spellStart"/>
      <w:r w:rsidRPr="00B4222D">
        <w:rPr>
          <w:rFonts w:ascii="Arial" w:hAnsi="Arial" w:cs="Arial"/>
          <w:sz w:val="22"/>
          <w:szCs w:val="22"/>
        </w:rPr>
        <w:t>Exacum</w:t>
      </w:r>
      <w:proofErr w:type="spellEnd"/>
      <w:r w:rsidRPr="00B4222D">
        <w:rPr>
          <w:rFonts w:ascii="Arial" w:hAnsi="Arial" w:cs="Arial"/>
          <w:sz w:val="22"/>
          <w:szCs w:val="22"/>
        </w:rPr>
        <w:t>, I interviewed cannabis factory workers who provided similar accounts, claiming trafficking victimisation due to debts owed to Albanian criminals (Holt, 2024). Investigating these claims required extensive international cooperation and navigating complex mutual legal assistance protocols (Home Office, 2013). I faced challenges arising from disagreements with Crown Prosecution Service lawyers not fully conversant with the NRM process, resulting in suspects being granted bail and many absconding or continuing to produce cannabis using false identities. Although the NRM is intended to support genuine victims (GOV.UK, n.d.), I uncovered evidence revealing its exploitation by organised crime group (OCG) members.</w:t>
      </w:r>
    </w:p>
    <w:p w14:paraId="65BB4C27" w14:textId="77777777" w:rsidR="00B4222D" w:rsidRPr="00B4222D" w:rsidRDefault="00B4222D" w:rsidP="00B4222D">
      <w:pPr>
        <w:pStyle w:val="whitespace-pre-wrap"/>
        <w:spacing w:line="360" w:lineRule="auto"/>
        <w:rPr>
          <w:rFonts w:ascii="Arial" w:hAnsi="Arial" w:cs="Arial"/>
          <w:sz w:val="22"/>
          <w:szCs w:val="22"/>
        </w:rPr>
      </w:pPr>
      <w:r w:rsidRPr="00B4222D">
        <w:rPr>
          <w:rFonts w:ascii="Arial" w:hAnsi="Arial" w:cs="Arial"/>
          <w:sz w:val="22"/>
          <w:szCs w:val="22"/>
        </w:rPr>
        <w:t>Through prison telephone intercepts, I confirmed that suspects had received coaching on interview responses and defence statements (</w:t>
      </w:r>
      <w:hyperlink r:id="rId6" w:history="1">
        <w:r w:rsidRPr="00B4222D">
          <w:rPr>
            <w:rStyle w:val="Hyperlink"/>
            <w:rFonts w:ascii="Arial" w:hAnsi="Arial" w:cs="Arial"/>
            <w:sz w:val="22"/>
            <w:szCs w:val="22"/>
          </w:rPr>
          <w:t>www.cps.gov.uk</w:t>
        </w:r>
      </w:hyperlink>
      <w:r w:rsidRPr="00B4222D">
        <w:rPr>
          <w:rFonts w:ascii="Arial" w:hAnsi="Arial" w:cs="Arial"/>
          <w:sz w:val="22"/>
          <w:szCs w:val="22"/>
        </w:rPr>
        <w:t xml:space="preserve">, n.d.), raising concerns about the impartiality of the legal process (HMICFRS, 2019). This external guidance enables suspects to tailor their responses, avoid self-incrimination, and maintain consistent but potentially untruthful narratives (Tekin et al., 2015), undermining my efforts to gather accurate information and pursue justice (Hartwig, Anders </w:t>
      </w:r>
      <w:proofErr w:type="spellStart"/>
      <w:r w:rsidRPr="00B4222D">
        <w:rPr>
          <w:rFonts w:ascii="Arial" w:hAnsi="Arial" w:cs="Arial"/>
          <w:sz w:val="22"/>
          <w:szCs w:val="22"/>
        </w:rPr>
        <w:t>Granhag</w:t>
      </w:r>
      <w:proofErr w:type="spellEnd"/>
      <w:r w:rsidRPr="00B4222D">
        <w:rPr>
          <w:rFonts w:ascii="Arial" w:hAnsi="Arial" w:cs="Arial"/>
          <w:sz w:val="22"/>
          <w:szCs w:val="22"/>
        </w:rPr>
        <w:t xml:space="preserve"> and </w:t>
      </w:r>
      <w:proofErr w:type="spellStart"/>
      <w:r w:rsidRPr="00B4222D">
        <w:rPr>
          <w:rFonts w:ascii="Arial" w:hAnsi="Arial" w:cs="Arial"/>
          <w:sz w:val="22"/>
          <w:szCs w:val="22"/>
        </w:rPr>
        <w:t>Strömwall</w:t>
      </w:r>
      <w:proofErr w:type="spellEnd"/>
      <w:r w:rsidRPr="00B4222D">
        <w:rPr>
          <w:rFonts w:ascii="Arial" w:hAnsi="Arial" w:cs="Arial"/>
          <w:sz w:val="22"/>
          <w:szCs w:val="22"/>
        </w:rPr>
        <w:t xml:space="preserve">, 2007). Defence statements should provide a genuine account of the suspect's version of events (Crown Prosecution Service, 2017), but during Operation </w:t>
      </w:r>
      <w:proofErr w:type="spellStart"/>
      <w:r w:rsidRPr="00B4222D">
        <w:rPr>
          <w:rFonts w:ascii="Arial" w:hAnsi="Arial" w:cs="Arial"/>
          <w:sz w:val="22"/>
          <w:szCs w:val="22"/>
        </w:rPr>
        <w:t>Exacum</w:t>
      </w:r>
      <w:proofErr w:type="spellEnd"/>
      <w:r w:rsidRPr="00B4222D">
        <w:rPr>
          <w:rFonts w:ascii="Arial" w:hAnsi="Arial" w:cs="Arial"/>
          <w:sz w:val="22"/>
          <w:szCs w:val="22"/>
        </w:rPr>
        <w:t xml:space="preserve">, suspects were </w:t>
      </w:r>
      <w:r w:rsidRPr="00B4222D">
        <w:rPr>
          <w:rFonts w:ascii="Arial" w:hAnsi="Arial" w:cs="Arial"/>
          <w:sz w:val="22"/>
          <w:szCs w:val="22"/>
        </w:rPr>
        <w:lastRenderedPageBreak/>
        <w:t>instructed to claim they were working in cannabis factories to pay off debts, a tactic also employed by young UK-based gang members (Robinson, McLean and Densley, 2018).</w:t>
      </w:r>
    </w:p>
    <w:p w14:paraId="5D655F64" w14:textId="77777777" w:rsidR="00B4222D" w:rsidRPr="00B4222D" w:rsidRDefault="00B4222D" w:rsidP="00B4222D">
      <w:pPr>
        <w:pStyle w:val="whitespace-pre-wrap"/>
        <w:spacing w:line="360" w:lineRule="auto"/>
        <w:rPr>
          <w:rFonts w:ascii="Arial" w:hAnsi="Arial" w:cs="Arial"/>
          <w:sz w:val="22"/>
          <w:szCs w:val="22"/>
        </w:rPr>
      </w:pPr>
      <w:r w:rsidRPr="00B4222D">
        <w:rPr>
          <w:rFonts w:ascii="Arial" w:hAnsi="Arial" w:cs="Arial"/>
          <w:sz w:val="22"/>
          <w:szCs w:val="22"/>
        </w:rPr>
        <w:t>Distinguishing between trafficking suspects and victims proved to be a complex task (Broad and Turnbull, 2019), exacerbated by my collaboration with inexperienced prosecution staff (</w:t>
      </w:r>
      <w:proofErr w:type="spellStart"/>
      <w:r w:rsidRPr="00B4222D">
        <w:rPr>
          <w:rFonts w:ascii="Arial" w:hAnsi="Arial" w:cs="Arial"/>
          <w:sz w:val="22"/>
          <w:szCs w:val="22"/>
        </w:rPr>
        <w:t>Forstenlechner</w:t>
      </w:r>
      <w:proofErr w:type="spellEnd"/>
      <w:r w:rsidRPr="00B4222D">
        <w:rPr>
          <w:rFonts w:ascii="Arial" w:hAnsi="Arial" w:cs="Arial"/>
          <w:sz w:val="22"/>
          <w:szCs w:val="22"/>
        </w:rPr>
        <w:t xml:space="preserve"> and Lettice, 2008). Genuine trafficking victims' distrust and fear of law enforcement created substantial barriers to effective communication (Journal of Identity and Migration Studies RCIMI, 2013), while victims often failed to recognise their own exploitation, likely due to psychological manipulation (Atkinson-Sheppard et al., 2023).</w:t>
      </w:r>
    </w:p>
    <w:p w14:paraId="15095666" w14:textId="184F0807" w:rsidR="00B4222D" w:rsidRPr="00B4222D" w:rsidRDefault="00B4222D" w:rsidP="00B4222D">
      <w:pPr>
        <w:pStyle w:val="whitespace-pre-wrap"/>
        <w:spacing w:line="360" w:lineRule="auto"/>
        <w:rPr>
          <w:rFonts w:ascii="Arial" w:hAnsi="Arial" w:cs="Arial"/>
          <w:sz w:val="22"/>
          <w:szCs w:val="22"/>
        </w:rPr>
      </w:pPr>
      <w:r w:rsidRPr="00B4222D">
        <w:rPr>
          <w:rFonts w:ascii="Arial" w:hAnsi="Arial" w:cs="Arial"/>
          <w:sz w:val="22"/>
          <w:szCs w:val="22"/>
        </w:rPr>
        <w:t>Despite my carefully considered approaches to build rapport and encourage cooperation while avoiding re-traumatisation (</w:t>
      </w:r>
      <w:proofErr w:type="spellStart"/>
      <w:r w:rsidRPr="00B4222D">
        <w:rPr>
          <w:rFonts w:ascii="Arial" w:hAnsi="Arial" w:cs="Arial"/>
          <w:sz w:val="22"/>
          <w:szCs w:val="22"/>
        </w:rPr>
        <w:t>O'neill</w:t>
      </w:r>
      <w:proofErr w:type="spellEnd"/>
      <w:r w:rsidRPr="00B4222D">
        <w:rPr>
          <w:rFonts w:ascii="Arial" w:hAnsi="Arial" w:cs="Arial"/>
          <w:sz w:val="22"/>
          <w:szCs w:val="22"/>
        </w:rPr>
        <w:t xml:space="preserve">, n.d.), my efforts were largely unsuccessful, likely due to the influence of the Albanian cultural code of "Besa" (Kosovo Online, 2024). This deeply ingrained honour system, paralleling the Italian mafia's code of </w:t>
      </w:r>
      <w:r w:rsidR="00FB0731" w:rsidRPr="00FB0731">
        <w:rPr>
          <w:rFonts w:ascii="Arial" w:hAnsi="Arial" w:cs="Arial"/>
          <w:sz w:val="22"/>
          <w:szCs w:val="22"/>
        </w:rPr>
        <w:t>Omertà</w:t>
      </w:r>
      <w:r w:rsidR="00FB0731">
        <w:rPr>
          <w:rFonts w:ascii="Arial" w:hAnsi="Arial" w:cs="Arial"/>
          <w:sz w:val="22"/>
          <w:szCs w:val="22"/>
        </w:rPr>
        <w:t xml:space="preserve">, </w:t>
      </w:r>
      <w:r w:rsidRPr="00B4222D">
        <w:rPr>
          <w:rFonts w:ascii="Arial" w:hAnsi="Arial" w:cs="Arial"/>
          <w:sz w:val="22"/>
          <w:szCs w:val="22"/>
        </w:rPr>
        <w:t>significantly impacted my ability to gather intelligence and secure cooperation (The Sun, 2018).</w:t>
      </w:r>
    </w:p>
    <w:p w14:paraId="54C207A7" w14:textId="77777777" w:rsidR="00FC4854" w:rsidRDefault="00B539B7" w:rsidP="00B539B7">
      <w:pPr>
        <w:pStyle w:val="whitespace-pre-wrap"/>
        <w:spacing w:line="360" w:lineRule="auto"/>
        <w:rPr>
          <w:rFonts w:ascii="Arial" w:hAnsi="Arial" w:cs="Arial"/>
          <w:sz w:val="22"/>
          <w:szCs w:val="22"/>
        </w:rPr>
      </w:pPr>
      <w:r w:rsidRPr="00B539B7">
        <w:rPr>
          <w:rFonts w:ascii="Arial" w:hAnsi="Arial" w:cs="Arial"/>
          <w:b/>
          <w:bCs/>
          <w:sz w:val="22"/>
          <w:szCs w:val="22"/>
        </w:rPr>
        <w:t>Conclusion</w:t>
      </w:r>
      <w:r w:rsidRPr="00B539B7">
        <w:rPr>
          <w:rFonts w:ascii="Arial" w:hAnsi="Arial" w:cs="Arial"/>
          <w:sz w:val="22"/>
          <w:szCs w:val="22"/>
        </w:rPr>
        <w:t xml:space="preserve"> </w:t>
      </w:r>
    </w:p>
    <w:p w14:paraId="2CC81551" w14:textId="0AEF5510" w:rsidR="00FC4854" w:rsidRPr="00FC4854" w:rsidRDefault="00FC4854" w:rsidP="00FC4854">
      <w:pPr>
        <w:spacing w:line="360" w:lineRule="auto"/>
        <w:rPr>
          <w:rFonts w:ascii="Arial" w:hAnsi="Arial" w:cs="Arial"/>
        </w:rPr>
      </w:pPr>
      <w:r w:rsidRPr="00FC4854">
        <w:rPr>
          <w:rFonts w:ascii="Arial" w:hAnsi="Arial" w:cs="Arial"/>
        </w:rPr>
        <w:t xml:space="preserve">Operation </w:t>
      </w:r>
      <w:proofErr w:type="spellStart"/>
      <w:r w:rsidRPr="00FC4854">
        <w:rPr>
          <w:rFonts w:ascii="Arial" w:hAnsi="Arial" w:cs="Arial"/>
        </w:rPr>
        <w:t>Exacum</w:t>
      </w:r>
      <w:proofErr w:type="spellEnd"/>
      <w:r w:rsidRPr="00FC4854">
        <w:rPr>
          <w:rFonts w:ascii="Arial" w:hAnsi="Arial" w:cs="Arial"/>
        </w:rPr>
        <w:t>, as part of the larger national Operation Mille, exposed the complex and interconnected nature of modern slavery and organi</w:t>
      </w:r>
      <w:r w:rsidR="00880201">
        <w:rPr>
          <w:rFonts w:ascii="Arial" w:hAnsi="Arial" w:cs="Arial"/>
        </w:rPr>
        <w:t>s</w:t>
      </w:r>
      <w:r w:rsidRPr="00FC4854">
        <w:rPr>
          <w:rFonts w:ascii="Arial" w:hAnsi="Arial" w:cs="Arial"/>
        </w:rPr>
        <w:t>ed crime within the Albanian community in the UK. The investigation highlighted the challenges faced by law enforcement in tackling these issues, particularly in navigating the legislative framework of the Modern Slavery Act 2015 and the National Referral Mechanism (NRM) process.</w:t>
      </w:r>
    </w:p>
    <w:p w14:paraId="12E69B45" w14:textId="4B02045C" w:rsidR="00FC4854" w:rsidRPr="00FC4854" w:rsidRDefault="00FC4854" w:rsidP="00FC4854">
      <w:pPr>
        <w:spacing w:line="360" w:lineRule="auto"/>
        <w:rPr>
          <w:rFonts w:ascii="Arial" w:hAnsi="Arial" w:cs="Arial"/>
        </w:rPr>
      </w:pPr>
      <w:r w:rsidRPr="00FC4854">
        <w:rPr>
          <w:rFonts w:ascii="Arial" w:hAnsi="Arial" w:cs="Arial"/>
        </w:rPr>
        <w:t>While the NRM has made significant strides in identifying and supporting victims of modern slavery, its effectiveness is hampered by several limitations, such as the requirement for adult consent and the difficulty in identifying certain types of exploitation</w:t>
      </w:r>
      <w:r>
        <w:rPr>
          <w:rFonts w:ascii="Arial" w:hAnsi="Arial" w:cs="Arial"/>
        </w:rPr>
        <w:t xml:space="preserve">. </w:t>
      </w:r>
      <w:r w:rsidRPr="00FC4854">
        <w:rPr>
          <w:rFonts w:ascii="Arial" w:hAnsi="Arial" w:cs="Arial"/>
        </w:rPr>
        <w:t>The exploitation of the NRM by organi</w:t>
      </w:r>
      <w:r>
        <w:rPr>
          <w:rFonts w:ascii="Arial" w:hAnsi="Arial" w:cs="Arial"/>
        </w:rPr>
        <w:t>s</w:t>
      </w:r>
      <w:r w:rsidRPr="00FC4854">
        <w:rPr>
          <w:rFonts w:ascii="Arial" w:hAnsi="Arial" w:cs="Arial"/>
        </w:rPr>
        <w:t>ed crime group members, as evidenced by the coaching of suspects on interview responses and defence statements</w:t>
      </w:r>
      <w:r w:rsidR="00FB0731">
        <w:rPr>
          <w:rFonts w:ascii="Arial" w:hAnsi="Arial" w:cs="Arial"/>
        </w:rPr>
        <w:t>,</w:t>
      </w:r>
      <w:r>
        <w:rPr>
          <w:rFonts w:ascii="Arial" w:hAnsi="Arial" w:cs="Arial"/>
        </w:rPr>
        <w:t xml:space="preserve"> furthe</w:t>
      </w:r>
      <w:r w:rsidRPr="00FC4854">
        <w:rPr>
          <w:rFonts w:ascii="Arial" w:hAnsi="Arial" w:cs="Arial"/>
        </w:rPr>
        <w:t>r undermines the integrity of the system and the ability of law enforcement to bring perpetrators to justice.</w:t>
      </w:r>
    </w:p>
    <w:p w14:paraId="33DF6D8D" w14:textId="13BC5F61" w:rsidR="00FC4854" w:rsidRPr="00FC4854" w:rsidRDefault="00FC4854" w:rsidP="00FC4854">
      <w:pPr>
        <w:spacing w:line="360" w:lineRule="auto"/>
        <w:rPr>
          <w:rFonts w:ascii="Arial" w:hAnsi="Arial" w:cs="Arial"/>
        </w:rPr>
      </w:pPr>
      <w:r w:rsidRPr="00FC4854">
        <w:rPr>
          <w:rFonts w:ascii="Arial" w:hAnsi="Arial" w:cs="Arial"/>
        </w:rPr>
        <w:lastRenderedPageBreak/>
        <w:t xml:space="preserve">The challenges encountered during Operation </w:t>
      </w:r>
      <w:proofErr w:type="spellStart"/>
      <w:r w:rsidRPr="00FC4854">
        <w:rPr>
          <w:rFonts w:ascii="Arial" w:hAnsi="Arial" w:cs="Arial"/>
        </w:rPr>
        <w:t>Exacum</w:t>
      </w:r>
      <w:proofErr w:type="spellEnd"/>
      <w:r w:rsidRPr="00FC4854">
        <w:rPr>
          <w:rFonts w:ascii="Arial" w:hAnsi="Arial" w:cs="Arial"/>
        </w:rPr>
        <w:t xml:space="preserve"> underscore the need for a multi-faceted approach to combating modern slavery and organi</w:t>
      </w:r>
      <w:r>
        <w:rPr>
          <w:rFonts w:ascii="Arial" w:hAnsi="Arial" w:cs="Arial"/>
        </w:rPr>
        <w:t>s</w:t>
      </w:r>
      <w:r w:rsidRPr="00FC4854">
        <w:rPr>
          <w:rFonts w:ascii="Arial" w:hAnsi="Arial" w:cs="Arial"/>
        </w:rPr>
        <w:t>ed crime. This includes increased training for law enforcement and legal professionals to better understand and navigate the complexities of the NRM process, as well as enhanced international cooperation to investigate and prosecute cross-border crimes</w:t>
      </w:r>
      <w:r>
        <w:rPr>
          <w:rFonts w:ascii="Arial" w:hAnsi="Arial" w:cs="Arial"/>
        </w:rPr>
        <w:t xml:space="preserve">. </w:t>
      </w:r>
    </w:p>
    <w:p w14:paraId="1D7A78A4" w14:textId="1B057DAE" w:rsidR="00FC4854" w:rsidRPr="00FC4854" w:rsidRDefault="00FC4854" w:rsidP="00FC4854">
      <w:pPr>
        <w:spacing w:line="360" w:lineRule="auto"/>
        <w:rPr>
          <w:rFonts w:ascii="Arial" w:hAnsi="Arial" w:cs="Arial"/>
        </w:rPr>
      </w:pPr>
      <w:r w:rsidRPr="00FC4854">
        <w:rPr>
          <w:rFonts w:ascii="Arial" w:hAnsi="Arial" w:cs="Arial"/>
        </w:rPr>
        <w:t>Moreover, the psychological manipulation of victims by traffickers and the influence of cultural codes such as "Besa" highlight the importance of culturally sensitive interventions and support services for victims. Collaboration with community leaders and organi</w:t>
      </w:r>
      <w:r>
        <w:rPr>
          <w:rFonts w:ascii="Arial" w:hAnsi="Arial" w:cs="Arial"/>
        </w:rPr>
        <w:t>s</w:t>
      </w:r>
      <w:r w:rsidRPr="00FC4854">
        <w:rPr>
          <w:rFonts w:ascii="Arial" w:hAnsi="Arial" w:cs="Arial"/>
        </w:rPr>
        <w:t>ations is crucial in building trust and breaking down barriers to communication and cooperation</w:t>
      </w:r>
      <w:r>
        <w:rPr>
          <w:rFonts w:ascii="Arial" w:hAnsi="Arial" w:cs="Arial"/>
        </w:rPr>
        <w:t xml:space="preserve">. </w:t>
      </w:r>
    </w:p>
    <w:p w14:paraId="7E72EAD0" w14:textId="1369E8A3" w:rsidR="00FC4854" w:rsidRPr="00FC4854" w:rsidRDefault="00FC4854" w:rsidP="00FC4854">
      <w:pPr>
        <w:spacing w:line="360" w:lineRule="auto"/>
        <w:rPr>
          <w:rFonts w:ascii="Arial" w:hAnsi="Arial" w:cs="Arial"/>
        </w:rPr>
      </w:pPr>
      <w:r w:rsidRPr="00FC4854">
        <w:rPr>
          <w:rFonts w:ascii="Arial" w:hAnsi="Arial" w:cs="Arial"/>
        </w:rPr>
        <w:t xml:space="preserve">Operation </w:t>
      </w:r>
      <w:proofErr w:type="spellStart"/>
      <w:r w:rsidRPr="00FC4854">
        <w:rPr>
          <w:rFonts w:ascii="Arial" w:hAnsi="Arial" w:cs="Arial"/>
        </w:rPr>
        <w:t>Exacum</w:t>
      </w:r>
      <w:proofErr w:type="spellEnd"/>
      <w:r w:rsidRPr="00FC4854">
        <w:rPr>
          <w:rFonts w:ascii="Arial" w:hAnsi="Arial" w:cs="Arial"/>
        </w:rPr>
        <w:t xml:space="preserve"> serves as a stark reminder of the scale and complexity of modern slavery and organi</w:t>
      </w:r>
      <w:r>
        <w:rPr>
          <w:rFonts w:ascii="Arial" w:hAnsi="Arial" w:cs="Arial"/>
        </w:rPr>
        <w:t>s</w:t>
      </w:r>
      <w:r w:rsidRPr="00FC4854">
        <w:rPr>
          <w:rFonts w:ascii="Arial" w:hAnsi="Arial" w:cs="Arial"/>
        </w:rPr>
        <w:t>ed crime within the UK. Addressing these issues will require a sustained and coordinated effort from law enforcement, policymakers, and support services, as well as a commitment to understanding and engaging with the communities most affected by these crimes. Only by working together can we hope to dismantle the criminal networks that perpetuate exploitation and bring justice to the victims of these heinous crimes.</w:t>
      </w:r>
    </w:p>
    <w:p w14:paraId="2FCD8908" w14:textId="46E3A6FA" w:rsidR="0001354C" w:rsidRDefault="001265D5" w:rsidP="00664CF4">
      <w:pPr>
        <w:spacing w:line="360" w:lineRule="auto"/>
        <w:rPr>
          <w:rFonts w:ascii="Arial" w:hAnsi="Arial" w:cs="Arial"/>
          <w:b/>
          <w:bCs/>
        </w:rPr>
      </w:pPr>
      <w:r>
        <w:rPr>
          <w:rFonts w:ascii="Arial" w:hAnsi="Arial" w:cs="Arial"/>
          <w:b/>
          <w:bCs/>
        </w:rPr>
        <w:t xml:space="preserve">Words – </w:t>
      </w:r>
      <w:r w:rsidR="00B4222D">
        <w:rPr>
          <w:rFonts w:ascii="Arial" w:hAnsi="Arial" w:cs="Arial"/>
          <w:b/>
          <w:bCs/>
        </w:rPr>
        <w:t>91</w:t>
      </w:r>
      <w:r w:rsidR="00FB0731">
        <w:rPr>
          <w:rFonts w:ascii="Arial" w:hAnsi="Arial" w:cs="Arial"/>
          <w:b/>
          <w:bCs/>
        </w:rPr>
        <w:t>3</w:t>
      </w:r>
    </w:p>
    <w:p w14:paraId="08099A9C" w14:textId="6A7EAA0C" w:rsidR="00AB6393" w:rsidRDefault="00AB6393" w:rsidP="004D2951">
      <w:pPr>
        <w:spacing w:line="360" w:lineRule="auto"/>
        <w:rPr>
          <w:rFonts w:ascii="Arial" w:hAnsi="Arial" w:cs="Arial"/>
          <w:b/>
          <w:bCs/>
        </w:rPr>
      </w:pPr>
      <w:r>
        <w:rPr>
          <w:rFonts w:ascii="Arial" w:hAnsi="Arial" w:cs="Arial"/>
          <w:b/>
          <w:bCs/>
        </w:rPr>
        <w:t>Reference</w:t>
      </w:r>
    </w:p>
    <w:p w14:paraId="35FD74EE"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Atkinson-Sheppard, S., Dando, C., Ormerod, T. &amp; Robinson, B. 2023. Coercion and crime: Convergences, divergences and ‘county lines’. </w:t>
      </w:r>
      <w:r w:rsidRPr="001265D5">
        <w:rPr>
          <w:rFonts w:ascii="Arial" w:hAnsi="Arial" w:cs="Arial"/>
          <w:i/>
          <w:color w:val="000000" w:themeColor="text1"/>
        </w:rPr>
        <w:t>Criminology &amp; Criminal Justice,</w:t>
      </w:r>
      <w:r w:rsidRPr="001265D5">
        <w:rPr>
          <w:rFonts w:ascii="Arial" w:hAnsi="Arial" w:cs="Arial"/>
          <w:color w:val="000000" w:themeColor="text1"/>
        </w:rPr>
        <w:t xml:space="preserve"> 0</w:t>
      </w:r>
      <w:r w:rsidRPr="001265D5">
        <w:rPr>
          <w:rFonts w:ascii="Arial" w:hAnsi="Arial" w:cs="Arial"/>
          <w:b/>
          <w:color w:val="000000" w:themeColor="text1"/>
        </w:rPr>
        <w:t>,</w:t>
      </w:r>
      <w:r w:rsidRPr="001265D5">
        <w:rPr>
          <w:rFonts w:ascii="Arial" w:hAnsi="Arial" w:cs="Arial"/>
          <w:color w:val="000000" w:themeColor="text1"/>
        </w:rPr>
        <w:t xml:space="preserve"> 17488958231153981.</w:t>
      </w:r>
    </w:p>
    <w:p w14:paraId="6FA4743F"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p>
    <w:p w14:paraId="483DB35C"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Broad, R. &amp; Turnbull, N. 2019. From Human Trafficking to Modern Slavery: The Development of Anti-Trafficking Policy in the UK. </w:t>
      </w:r>
      <w:r w:rsidRPr="001265D5">
        <w:rPr>
          <w:rFonts w:ascii="Arial" w:hAnsi="Arial" w:cs="Arial"/>
          <w:i/>
          <w:color w:val="000000" w:themeColor="text1"/>
        </w:rPr>
        <w:t>European Journal on Criminal Policy and Research,</w:t>
      </w:r>
      <w:r w:rsidRPr="001265D5">
        <w:rPr>
          <w:rFonts w:ascii="Arial" w:hAnsi="Arial" w:cs="Arial"/>
          <w:color w:val="000000" w:themeColor="text1"/>
        </w:rPr>
        <w:t xml:space="preserve"> 25</w:t>
      </w:r>
      <w:r w:rsidRPr="001265D5">
        <w:rPr>
          <w:rFonts w:ascii="Arial" w:hAnsi="Arial" w:cs="Arial"/>
          <w:b/>
          <w:color w:val="000000" w:themeColor="text1"/>
        </w:rPr>
        <w:t>,</w:t>
      </w:r>
      <w:r w:rsidRPr="001265D5">
        <w:rPr>
          <w:rFonts w:ascii="Arial" w:hAnsi="Arial" w:cs="Arial"/>
          <w:color w:val="000000" w:themeColor="text1"/>
        </w:rPr>
        <w:t xml:space="preserve"> 119-133.</w:t>
      </w:r>
    </w:p>
    <w:p w14:paraId="40725E21" w14:textId="4F5E1705" w:rsidR="001265D5" w:rsidRPr="001265D5" w:rsidRDefault="001B7BAE" w:rsidP="00AB6393">
      <w:pPr>
        <w:pStyle w:val="EndNoteBibliography"/>
        <w:spacing w:after="0" w:line="360" w:lineRule="auto"/>
        <w:ind w:left="720" w:hanging="720"/>
        <w:rPr>
          <w:rFonts w:ascii="Arial" w:hAnsi="Arial" w:cs="Arial"/>
          <w:color w:val="000000" w:themeColor="text1"/>
          <w:lang w:val="en-GB"/>
        </w:rPr>
      </w:pPr>
      <w:r w:rsidRPr="001B7BAE">
        <w:rPr>
          <w:rFonts w:ascii="Arial" w:hAnsi="Arial" w:cs="Arial"/>
          <w:color w:val="000000" w:themeColor="text1"/>
          <w:lang w:val="en-GB"/>
        </w:rPr>
        <w:t>Crown Prosecution Service (2017). </w:t>
      </w:r>
      <w:r w:rsidRPr="001B7BAE">
        <w:rPr>
          <w:rFonts w:ascii="Arial" w:hAnsi="Arial" w:cs="Arial"/>
          <w:i/>
          <w:iCs/>
          <w:color w:val="000000" w:themeColor="text1"/>
          <w:lang w:val="en-GB"/>
        </w:rPr>
        <w:t>Disclosure | The Crown Prosecution Service</w:t>
      </w:r>
      <w:r w:rsidRPr="001B7BAE">
        <w:rPr>
          <w:rFonts w:ascii="Arial" w:hAnsi="Arial" w:cs="Arial"/>
          <w:color w:val="000000" w:themeColor="text1"/>
          <w:lang w:val="en-GB"/>
        </w:rPr>
        <w:t>. [online] www.cps.gov.uk. Available at: https://www.cps.gov.uk/about-cps/disclosure.</w:t>
      </w:r>
    </w:p>
    <w:p w14:paraId="425E4803" w14:textId="77777777" w:rsidR="001265D5" w:rsidRPr="001265D5" w:rsidRDefault="001265D5" w:rsidP="00AB6393">
      <w:pPr>
        <w:pStyle w:val="EndNoteBibliography"/>
        <w:spacing w:after="0" w:line="360" w:lineRule="auto"/>
        <w:ind w:left="720" w:hanging="720"/>
        <w:rPr>
          <w:rFonts w:ascii="Arial" w:hAnsi="Arial" w:cs="Arial"/>
          <w:color w:val="000000" w:themeColor="text1"/>
          <w:lang w:val="en-GB"/>
        </w:rPr>
      </w:pPr>
    </w:p>
    <w:p w14:paraId="73E950D5" w14:textId="77777777" w:rsidR="001265D5" w:rsidRPr="001265D5" w:rsidRDefault="00AB6393" w:rsidP="001265D5">
      <w:pPr>
        <w:spacing w:line="360" w:lineRule="auto"/>
        <w:rPr>
          <w:rFonts w:ascii="Arial" w:hAnsi="Arial" w:cs="Arial"/>
          <w:color w:val="000000" w:themeColor="text1"/>
        </w:rPr>
      </w:pPr>
      <w:r w:rsidRPr="001265D5">
        <w:rPr>
          <w:rFonts w:ascii="Arial" w:hAnsi="Arial" w:cs="Arial"/>
          <w:color w:val="000000" w:themeColor="text1"/>
        </w:rPr>
        <w:lastRenderedPageBreak/>
        <w:t>Crocker, R., Webb, S., Garner, S. and Skidmore, M. (2017). </w:t>
      </w:r>
      <w:r w:rsidRPr="001265D5">
        <w:rPr>
          <w:rFonts w:ascii="Arial" w:hAnsi="Arial" w:cs="Arial"/>
          <w:i/>
          <w:iCs/>
          <w:color w:val="000000" w:themeColor="text1"/>
        </w:rPr>
        <w:t>EMBARGOED Embargoed for release at 00:01 on Monday 1st The impact of organised crime in local communities</w:t>
      </w:r>
      <w:r w:rsidRPr="001265D5">
        <w:rPr>
          <w:rFonts w:ascii="Arial" w:hAnsi="Arial" w:cs="Arial"/>
          <w:color w:val="000000" w:themeColor="text1"/>
        </w:rPr>
        <w:t xml:space="preserve">. [online] Available at: </w:t>
      </w:r>
      <w:hyperlink r:id="rId7" w:history="1">
        <w:r w:rsidR="001265D5" w:rsidRPr="001265D5">
          <w:rPr>
            <w:rStyle w:val="Hyperlink"/>
            <w:rFonts w:ascii="Arial" w:hAnsi="Arial" w:cs="Arial"/>
            <w:color w:val="000000" w:themeColor="text1"/>
            <w:u w:val="none"/>
          </w:rPr>
          <w:t>https://www.police-foundation.org.uk/wp-content/uploads/2017/10/oc_in_local_communities_final.pdf</w:t>
        </w:r>
      </w:hyperlink>
      <w:r w:rsidRPr="001265D5">
        <w:rPr>
          <w:rFonts w:ascii="Arial" w:hAnsi="Arial" w:cs="Arial"/>
          <w:color w:val="000000" w:themeColor="text1"/>
        </w:rPr>
        <w:t>.</w:t>
      </w:r>
      <w:r w:rsidR="001265D5" w:rsidRPr="001265D5">
        <w:rPr>
          <w:rFonts w:ascii="Arial" w:hAnsi="Arial" w:cs="Arial"/>
          <w:color w:val="000000" w:themeColor="text1"/>
        </w:rPr>
        <w:t xml:space="preserve"> [Accessed 28 March 2025].</w:t>
      </w:r>
    </w:p>
    <w:p w14:paraId="77039F6F" w14:textId="77777777" w:rsidR="00AB6393" w:rsidRPr="001265D5" w:rsidRDefault="00AB6393" w:rsidP="00AB6393">
      <w:pPr>
        <w:spacing w:line="360" w:lineRule="auto"/>
        <w:rPr>
          <w:rFonts w:ascii="Arial" w:hAnsi="Arial" w:cs="Arial"/>
          <w:color w:val="000000" w:themeColor="text1"/>
        </w:rPr>
      </w:pPr>
    </w:p>
    <w:p w14:paraId="1140837F"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i/>
          <w:color w:val="000000" w:themeColor="text1"/>
        </w:rPr>
        <w:t>Criminal Law Act 1977, The First Section</w:t>
      </w:r>
      <w:r w:rsidRPr="001265D5">
        <w:rPr>
          <w:rFonts w:ascii="Arial" w:hAnsi="Arial" w:cs="Arial"/>
          <w:color w:val="000000" w:themeColor="text1"/>
        </w:rPr>
        <w:t xml:space="preserve">, [Online]  Available at: </w:t>
      </w:r>
      <w:hyperlink r:id="rId8" w:history="1">
        <w:r w:rsidRPr="001265D5">
          <w:rPr>
            <w:rStyle w:val="Hyperlink"/>
            <w:rFonts w:ascii="Arial" w:hAnsi="Arial" w:cs="Arial"/>
            <w:color w:val="000000" w:themeColor="text1"/>
            <w:u w:val="none"/>
          </w:rPr>
          <w:t>https://www.legislation.gov.uk/ukpga/1977/45/section/1</w:t>
        </w:r>
      </w:hyperlink>
      <w:r w:rsidRPr="001265D5">
        <w:rPr>
          <w:rFonts w:ascii="Arial" w:hAnsi="Arial" w:cs="Arial"/>
          <w:color w:val="000000" w:themeColor="text1"/>
        </w:rPr>
        <w:t>. [Accessed 20 March 2025].</w:t>
      </w:r>
    </w:p>
    <w:p w14:paraId="4E1B8816" w14:textId="77777777" w:rsidR="001265D5" w:rsidRDefault="001265D5" w:rsidP="001265D5">
      <w:pPr>
        <w:spacing w:line="360" w:lineRule="auto"/>
        <w:rPr>
          <w:rFonts w:ascii="Arial" w:hAnsi="Arial" w:cs="Arial"/>
          <w:color w:val="000000" w:themeColor="text1"/>
        </w:rPr>
      </w:pPr>
    </w:p>
    <w:p w14:paraId="6423ACEF"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lang w:val="en-GB"/>
        </w:rPr>
        <w:t>Forstenlechner, I. and Lettice, F. (2008). Well paid but undervalued and overworked. </w:t>
      </w:r>
      <w:r w:rsidRPr="001265D5">
        <w:rPr>
          <w:rFonts w:ascii="Arial" w:hAnsi="Arial" w:cs="Arial"/>
          <w:i/>
          <w:iCs/>
          <w:color w:val="000000" w:themeColor="text1"/>
          <w:lang w:val="en-GB"/>
        </w:rPr>
        <w:t>Employee Relations</w:t>
      </w:r>
      <w:r w:rsidRPr="001265D5">
        <w:rPr>
          <w:rFonts w:ascii="Arial" w:hAnsi="Arial" w:cs="Arial"/>
          <w:color w:val="000000" w:themeColor="text1"/>
          <w:lang w:val="en-GB"/>
        </w:rPr>
        <w:t>, 30(6), pp.640–652. doi:https://doi.org/10.1108/01425450810910037.</w:t>
      </w:r>
    </w:p>
    <w:p w14:paraId="21340800" w14:textId="77777777" w:rsidR="001265D5" w:rsidRDefault="001265D5" w:rsidP="001265D5">
      <w:pPr>
        <w:spacing w:line="360" w:lineRule="auto"/>
        <w:rPr>
          <w:rFonts w:ascii="Arial" w:hAnsi="Arial" w:cs="Arial"/>
          <w:color w:val="000000" w:themeColor="text1"/>
        </w:rPr>
      </w:pPr>
    </w:p>
    <w:p w14:paraId="542E84E9" w14:textId="77777777" w:rsid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GOV.UK. (n.d.). </w:t>
      </w:r>
      <w:r w:rsidRPr="001265D5">
        <w:rPr>
          <w:rFonts w:ascii="Arial" w:hAnsi="Arial" w:cs="Arial"/>
          <w:i/>
          <w:iCs/>
          <w:color w:val="000000" w:themeColor="text1"/>
        </w:rPr>
        <w:t>National referral mechanism guidance: adult (England and Wales)</w:t>
      </w:r>
      <w:r w:rsidRPr="001265D5">
        <w:rPr>
          <w:rFonts w:ascii="Arial" w:hAnsi="Arial" w:cs="Arial"/>
          <w:color w:val="000000" w:themeColor="text1"/>
        </w:rPr>
        <w:t xml:space="preserve">. [online] Available at: </w:t>
      </w:r>
      <w:hyperlink r:id="rId9" w:anchor="Section-6" w:history="1">
        <w:r w:rsidRPr="001265D5">
          <w:rPr>
            <w:rStyle w:val="Hyperlink"/>
            <w:rFonts w:ascii="Arial" w:hAnsi="Arial" w:cs="Arial"/>
            <w:color w:val="000000" w:themeColor="text1"/>
            <w:u w:val="none"/>
          </w:rPr>
          <w:t>https://www.gov.uk/government/publications/human-trafficking-victims-referral-and-assessment-forms/guidance-on-the-national-referral-mechanism-for-potential-adult-victims-of-modern-slavery-england-and-wales#Section-6</w:t>
        </w:r>
      </w:hyperlink>
      <w:r w:rsidRPr="001265D5">
        <w:rPr>
          <w:rFonts w:ascii="Arial" w:hAnsi="Arial" w:cs="Arial"/>
          <w:color w:val="000000" w:themeColor="text1"/>
        </w:rPr>
        <w:t>. [Accessed 20 March 2025].</w:t>
      </w:r>
    </w:p>
    <w:p w14:paraId="1DA3E44B" w14:textId="77777777" w:rsidR="001265D5" w:rsidRDefault="001265D5" w:rsidP="001265D5">
      <w:pPr>
        <w:pStyle w:val="EndNoteBibliography"/>
        <w:spacing w:after="0" w:line="360" w:lineRule="auto"/>
        <w:ind w:left="720" w:hanging="720"/>
        <w:rPr>
          <w:rFonts w:ascii="Arial" w:hAnsi="Arial" w:cs="Arial"/>
          <w:color w:val="000000" w:themeColor="text1"/>
        </w:rPr>
      </w:pPr>
    </w:p>
    <w:p w14:paraId="26792E4D" w14:textId="77777777" w:rsidR="001265D5" w:rsidRDefault="001265D5" w:rsidP="001265D5">
      <w:pPr>
        <w:spacing w:line="360" w:lineRule="auto"/>
        <w:rPr>
          <w:rFonts w:ascii="Arial" w:hAnsi="Arial" w:cs="Arial"/>
          <w:color w:val="000000" w:themeColor="text1"/>
        </w:rPr>
      </w:pPr>
      <w:r w:rsidRPr="001265D5">
        <w:rPr>
          <w:rFonts w:ascii="Arial" w:hAnsi="Arial" w:cs="Arial"/>
          <w:color w:val="000000" w:themeColor="text1"/>
        </w:rPr>
        <w:t>Griffith, H. (2024). Cannabis: Drug production booming in UK’s empty high streets. </w:t>
      </w:r>
      <w:r w:rsidRPr="001265D5">
        <w:rPr>
          <w:rFonts w:ascii="Arial" w:hAnsi="Arial" w:cs="Arial"/>
          <w:i/>
          <w:iCs/>
          <w:color w:val="000000" w:themeColor="text1"/>
        </w:rPr>
        <w:t>BBC News</w:t>
      </w:r>
      <w:r w:rsidRPr="001265D5">
        <w:rPr>
          <w:rFonts w:ascii="Arial" w:hAnsi="Arial" w:cs="Arial"/>
          <w:color w:val="000000" w:themeColor="text1"/>
        </w:rPr>
        <w:t xml:space="preserve">. [online] 9 Aug. Available at: </w:t>
      </w:r>
      <w:hyperlink r:id="rId10" w:history="1">
        <w:r w:rsidRPr="001265D5">
          <w:rPr>
            <w:rStyle w:val="Hyperlink"/>
            <w:rFonts w:ascii="Arial" w:hAnsi="Arial" w:cs="Arial"/>
            <w:color w:val="000000" w:themeColor="text1"/>
            <w:u w:val="none"/>
          </w:rPr>
          <w:t>https://www.bbc.co.uk/news/articles/c2x0x6ypgneo</w:t>
        </w:r>
      </w:hyperlink>
      <w:r w:rsidRPr="001265D5">
        <w:rPr>
          <w:rFonts w:ascii="Arial" w:hAnsi="Arial" w:cs="Arial"/>
          <w:color w:val="000000" w:themeColor="text1"/>
        </w:rPr>
        <w:t>. [Accessed 28 March 2025].</w:t>
      </w:r>
    </w:p>
    <w:p w14:paraId="661749DA"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p>
    <w:p w14:paraId="22A2B08F" w14:textId="3CB5045D" w:rsidR="00273E36" w:rsidRDefault="00273E36" w:rsidP="002C4146">
      <w:pPr>
        <w:spacing w:line="360" w:lineRule="auto"/>
        <w:rPr>
          <w:rFonts w:ascii="Arial" w:hAnsi="Arial" w:cs="Arial"/>
          <w:color w:val="000000" w:themeColor="text1"/>
        </w:rPr>
      </w:pPr>
      <w:r w:rsidRPr="00273E36">
        <w:rPr>
          <w:rFonts w:ascii="Arial" w:hAnsi="Arial" w:cs="Arial"/>
          <w:color w:val="000000" w:themeColor="text1"/>
        </w:rPr>
        <w:t xml:space="preserve">Hartwig, M., Anders </w:t>
      </w:r>
      <w:proofErr w:type="spellStart"/>
      <w:r w:rsidRPr="00273E36">
        <w:rPr>
          <w:rFonts w:ascii="Arial" w:hAnsi="Arial" w:cs="Arial"/>
          <w:color w:val="000000" w:themeColor="text1"/>
        </w:rPr>
        <w:t>Granhag</w:t>
      </w:r>
      <w:proofErr w:type="spellEnd"/>
      <w:r w:rsidRPr="00273E36">
        <w:rPr>
          <w:rFonts w:ascii="Arial" w:hAnsi="Arial" w:cs="Arial"/>
          <w:color w:val="000000" w:themeColor="text1"/>
        </w:rPr>
        <w:t xml:space="preserve">, P. and </w:t>
      </w:r>
      <w:proofErr w:type="spellStart"/>
      <w:r w:rsidRPr="00273E36">
        <w:rPr>
          <w:rFonts w:ascii="Arial" w:hAnsi="Arial" w:cs="Arial"/>
          <w:color w:val="000000" w:themeColor="text1"/>
        </w:rPr>
        <w:t>Strömwall</w:t>
      </w:r>
      <w:proofErr w:type="spellEnd"/>
      <w:r w:rsidRPr="00273E36">
        <w:rPr>
          <w:rFonts w:ascii="Arial" w:hAnsi="Arial" w:cs="Arial"/>
          <w:color w:val="000000" w:themeColor="text1"/>
        </w:rPr>
        <w:t>, L.A. (2007). Guilty and innocent suspects’ strategies during police interrogations. </w:t>
      </w:r>
      <w:r w:rsidRPr="00273E36">
        <w:rPr>
          <w:rFonts w:ascii="Arial" w:hAnsi="Arial" w:cs="Arial"/>
          <w:i/>
          <w:iCs/>
          <w:color w:val="000000" w:themeColor="text1"/>
        </w:rPr>
        <w:t>Psychology, Crime &amp; Law</w:t>
      </w:r>
      <w:r w:rsidRPr="00273E36">
        <w:rPr>
          <w:rFonts w:ascii="Arial" w:hAnsi="Arial" w:cs="Arial"/>
          <w:color w:val="000000" w:themeColor="text1"/>
        </w:rPr>
        <w:t xml:space="preserve">, 13(2), pp.213–227. </w:t>
      </w:r>
      <w:proofErr w:type="spellStart"/>
      <w:proofErr w:type="gramStart"/>
      <w:r w:rsidRPr="00273E36">
        <w:rPr>
          <w:rFonts w:ascii="Arial" w:hAnsi="Arial" w:cs="Arial"/>
          <w:color w:val="000000" w:themeColor="text1"/>
        </w:rPr>
        <w:t>doi:https</w:t>
      </w:r>
      <w:proofErr w:type="spellEnd"/>
      <w:r w:rsidRPr="00273E36">
        <w:rPr>
          <w:rFonts w:ascii="Arial" w:hAnsi="Arial" w:cs="Arial"/>
          <w:color w:val="000000" w:themeColor="text1"/>
        </w:rPr>
        <w:t>://doi.org/10.1080/10683160600750264</w:t>
      </w:r>
      <w:proofErr w:type="gramEnd"/>
      <w:r w:rsidRPr="00273E36">
        <w:rPr>
          <w:rFonts w:ascii="Arial" w:hAnsi="Arial" w:cs="Arial"/>
          <w:color w:val="000000" w:themeColor="text1"/>
        </w:rPr>
        <w:t>.</w:t>
      </w:r>
    </w:p>
    <w:p w14:paraId="27CFEBD9" w14:textId="77777777" w:rsidR="00273E36" w:rsidRDefault="00273E36" w:rsidP="002C4146">
      <w:pPr>
        <w:spacing w:line="360" w:lineRule="auto"/>
        <w:rPr>
          <w:rFonts w:ascii="Arial" w:hAnsi="Arial" w:cs="Arial"/>
          <w:color w:val="000000" w:themeColor="text1"/>
        </w:rPr>
      </w:pPr>
    </w:p>
    <w:p w14:paraId="44824219" w14:textId="565C23A2" w:rsidR="001265D5" w:rsidRPr="001265D5" w:rsidRDefault="002C4146" w:rsidP="002C4146">
      <w:pPr>
        <w:spacing w:line="360" w:lineRule="auto"/>
        <w:rPr>
          <w:rFonts w:ascii="Arial" w:hAnsi="Arial" w:cs="Arial"/>
          <w:color w:val="000000" w:themeColor="text1"/>
        </w:rPr>
      </w:pPr>
      <w:r w:rsidRPr="002C4146">
        <w:rPr>
          <w:rFonts w:ascii="Arial" w:hAnsi="Arial" w:cs="Arial"/>
          <w:color w:val="000000" w:themeColor="text1"/>
        </w:rPr>
        <w:t xml:space="preserve">Holt, R., </w:t>
      </w:r>
      <w:r>
        <w:rPr>
          <w:rFonts w:ascii="Arial" w:hAnsi="Arial" w:cs="Arial"/>
          <w:color w:val="000000" w:themeColor="text1"/>
        </w:rPr>
        <w:t>(</w:t>
      </w:r>
      <w:r w:rsidRPr="002C4146">
        <w:rPr>
          <w:rFonts w:ascii="Arial" w:hAnsi="Arial" w:cs="Arial"/>
          <w:color w:val="000000" w:themeColor="text1"/>
        </w:rPr>
        <w:t>2024</w:t>
      </w:r>
      <w:r>
        <w:rPr>
          <w:rFonts w:ascii="Arial" w:hAnsi="Arial" w:cs="Arial"/>
          <w:color w:val="000000" w:themeColor="text1"/>
        </w:rPr>
        <w:t>)</w:t>
      </w:r>
      <w:r w:rsidRPr="002C4146">
        <w:rPr>
          <w:rFonts w:ascii="Arial" w:hAnsi="Arial" w:cs="Arial"/>
          <w:color w:val="000000" w:themeColor="text1"/>
        </w:rPr>
        <w:t xml:space="preserve"> Albanian organised crime in the UK; Monopolisation, Security Risks and Effective Counterstrategies.</w:t>
      </w:r>
    </w:p>
    <w:p w14:paraId="52413725" w14:textId="77777777" w:rsidR="00AB6393" w:rsidRPr="001265D5" w:rsidRDefault="00AB6393" w:rsidP="00AB6393">
      <w:pPr>
        <w:spacing w:line="360" w:lineRule="auto"/>
        <w:rPr>
          <w:rFonts w:ascii="Arial" w:hAnsi="Arial" w:cs="Arial"/>
          <w:color w:val="000000" w:themeColor="text1"/>
        </w:rPr>
      </w:pPr>
    </w:p>
    <w:p w14:paraId="5BB49DE1"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lang w:val="en-GB"/>
        </w:rPr>
        <w:t>HMICFRS (2019). </w:t>
      </w:r>
      <w:r w:rsidRPr="001265D5">
        <w:rPr>
          <w:rFonts w:ascii="Arial" w:hAnsi="Arial" w:cs="Arial"/>
          <w:i/>
          <w:iCs/>
          <w:color w:val="000000" w:themeColor="text1"/>
          <w:lang w:val="en-GB"/>
        </w:rPr>
        <w:t>An inspection into activism and impartiality in policing - His Majesty’s Inspectorate of Constabulary and Fire &amp; Rescue Services</w:t>
      </w:r>
      <w:r w:rsidRPr="001265D5">
        <w:rPr>
          <w:rFonts w:ascii="Arial" w:hAnsi="Arial" w:cs="Arial"/>
          <w:color w:val="000000" w:themeColor="text1"/>
          <w:lang w:val="en-GB"/>
        </w:rPr>
        <w:t xml:space="preserve">. [online] His Majesty’s Inspectorate of Constabulary and Fire &amp; Rescue Services. Available at: </w:t>
      </w:r>
      <w:hyperlink r:id="rId11" w:history="1">
        <w:r w:rsidRPr="001265D5">
          <w:rPr>
            <w:rStyle w:val="Hyperlink"/>
            <w:rFonts w:ascii="Arial" w:hAnsi="Arial" w:cs="Arial"/>
            <w:color w:val="000000" w:themeColor="text1"/>
            <w:u w:val="none"/>
            <w:lang w:val="en-GB"/>
          </w:rPr>
          <w:t>https://hmicfrs.justiceinspectorates.gov.uk/publication-html/activism-and-impartiality-in-policing/</w:t>
        </w:r>
      </w:hyperlink>
      <w:r w:rsidRPr="001265D5">
        <w:rPr>
          <w:rFonts w:ascii="Arial" w:hAnsi="Arial" w:cs="Arial"/>
          <w:color w:val="000000" w:themeColor="text1"/>
          <w:lang w:val="en-GB"/>
        </w:rPr>
        <w:t xml:space="preserve">. </w:t>
      </w:r>
      <w:r w:rsidRPr="001265D5">
        <w:rPr>
          <w:rFonts w:ascii="Arial" w:hAnsi="Arial" w:cs="Arial"/>
          <w:color w:val="000000" w:themeColor="text1"/>
        </w:rPr>
        <w:t>[Accessed 20 March 2025].</w:t>
      </w:r>
    </w:p>
    <w:p w14:paraId="5B3D5A0D" w14:textId="77777777" w:rsidR="001265D5" w:rsidRDefault="001265D5" w:rsidP="001265D5">
      <w:pPr>
        <w:spacing w:line="360" w:lineRule="auto"/>
        <w:rPr>
          <w:rFonts w:ascii="Arial" w:hAnsi="Arial" w:cs="Arial"/>
          <w:color w:val="000000" w:themeColor="text1"/>
        </w:rPr>
      </w:pPr>
    </w:p>
    <w:p w14:paraId="2B4106F7" w14:textId="77777777" w:rsidR="001265D5" w:rsidRDefault="001265D5" w:rsidP="001265D5">
      <w:pPr>
        <w:spacing w:line="360" w:lineRule="auto"/>
        <w:rPr>
          <w:rFonts w:ascii="Arial" w:hAnsi="Arial" w:cs="Arial"/>
          <w:color w:val="000000" w:themeColor="text1"/>
        </w:rPr>
      </w:pPr>
      <w:r w:rsidRPr="001265D5">
        <w:rPr>
          <w:rFonts w:ascii="Arial" w:hAnsi="Arial" w:cs="Arial"/>
          <w:color w:val="000000" w:themeColor="text1"/>
        </w:rPr>
        <w:t>Home Office (2013). </w:t>
      </w:r>
      <w:r w:rsidRPr="001265D5">
        <w:rPr>
          <w:rFonts w:ascii="Arial" w:hAnsi="Arial" w:cs="Arial"/>
          <w:i/>
          <w:iCs/>
          <w:color w:val="000000" w:themeColor="text1"/>
        </w:rPr>
        <w:t>Mutual legal assistance requests</w:t>
      </w:r>
      <w:r w:rsidRPr="001265D5">
        <w:rPr>
          <w:rFonts w:ascii="Arial" w:hAnsi="Arial" w:cs="Arial"/>
          <w:color w:val="000000" w:themeColor="text1"/>
        </w:rPr>
        <w:t xml:space="preserve">. [online] GOV.UK. Available at: </w:t>
      </w:r>
      <w:hyperlink r:id="rId12" w:history="1">
        <w:r w:rsidRPr="001265D5">
          <w:rPr>
            <w:rStyle w:val="Hyperlink"/>
            <w:rFonts w:ascii="Arial" w:hAnsi="Arial" w:cs="Arial"/>
            <w:color w:val="000000" w:themeColor="text1"/>
            <w:u w:val="none"/>
          </w:rPr>
          <w:t>https://www.gov.uk/guidance/mutual-legal-assistance-mla-requests</w:t>
        </w:r>
      </w:hyperlink>
      <w:r w:rsidRPr="001265D5">
        <w:rPr>
          <w:rFonts w:ascii="Arial" w:hAnsi="Arial" w:cs="Arial"/>
          <w:color w:val="000000" w:themeColor="text1"/>
        </w:rPr>
        <w:t>. [Accessed 28 March 2025].</w:t>
      </w:r>
    </w:p>
    <w:p w14:paraId="510AED5E" w14:textId="77777777" w:rsidR="001265D5" w:rsidRDefault="001265D5" w:rsidP="001265D5">
      <w:pPr>
        <w:pStyle w:val="EndNoteBibliography"/>
        <w:spacing w:after="0" w:line="360" w:lineRule="auto"/>
        <w:ind w:left="720" w:hanging="720"/>
        <w:rPr>
          <w:rFonts w:ascii="Arial" w:hAnsi="Arial" w:cs="Arial"/>
          <w:color w:val="000000" w:themeColor="text1"/>
        </w:rPr>
      </w:pPr>
    </w:p>
    <w:p w14:paraId="1D17147B" w14:textId="351A67BF"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Home Office. 2022. </w:t>
      </w:r>
      <w:r w:rsidRPr="001265D5">
        <w:rPr>
          <w:rFonts w:ascii="Arial" w:hAnsi="Arial" w:cs="Arial"/>
          <w:i/>
          <w:color w:val="000000" w:themeColor="text1"/>
        </w:rPr>
        <w:t xml:space="preserve">Policy paper, PACE Code B (accessible) </w:t>
      </w:r>
      <w:r w:rsidRPr="001265D5">
        <w:rPr>
          <w:rFonts w:ascii="Arial" w:hAnsi="Arial" w:cs="Arial"/>
          <w:color w:val="000000" w:themeColor="text1"/>
        </w:rPr>
        <w:t xml:space="preserve">[Online]. Available: </w:t>
      </w:r>
      <w:hyperlink r:id="rId13" w:anchor="action-after-searches" w:history="1">
        <w:r w:rsidRPr="001265D5">
          <w:rPr>
            <w:rStyle w:val="Hyperlink"/>
            <w:rFonts w:ascii="Arial" w:hAnsi="Arial" w:cs="Arial"/>
            <w:color w:val="000000" w:themeColor="text1"/>
            <w:u w:val="none"/>
          </w:rPr>
          <w:t>https://www.gov.uk/government/publications/pace-code-b-2013/pace-code-b-accessible#action-after-searches</w:t>
        </w:r>
      </w:hyperlink>
      <w:r w:rsidRPr="001265D5">
        <w:rPr>
          <w:rFonts w:ascii="Arial" w:hAnsi="Arial" w:cs="Arial"/>
          <w:color w:val="000000" w:themeColor="text1"/>
        </w:rPr>
        <w:t xml:space="preserve"> [Accessed 26 March 2025].</w:t>
      </w:r>
    </w:p>
    <w:p w14:paraId="19797FCA" w14:textId="77777777" w:rsidR="001265D5" w:rsidRPr="001265D5" w:rsidRDefault="001265D5" w:rsidP="001265D5">
      <w:pPr>
        <w:spacing w:line="360" w:lineRule="auto"/>
        <w:rPr>
          <w:rFonts w:ascii="Arial" w:hAnsi="Arial" w:cs="Arial"/>
          <w:color w:val="000000" w:themeColor="text1"/>
        </w:rPr>
      </w:pPr>
    </w:p>
    <w:p w14:paraId="65281856"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Home Office. 2023. </w:t>
      </w:r>
      <w:r w:rsidRPr="001265D5">
        <w:rPr>
          <w:rFonts w:ascii="Arial" w:hAnsi="Arial" w:cs="Arial"/>
          <w:i/>
          <w:color w:val="000000" w:themeColor="text1"/>
        </w:rPr>
        <w:t xml:space="preserve">Regulation of Investigatory Powers Act 2000 (RIPA) </w:t>
      </w:r>
      <w:r w:rsidRPr="001265D5">
        <w:rPr>
          <w:rFonts w:ascii="Arial" w:hAnsi="Arial" w:cs="Arial"/>
          <w:color w:val="000000" w:themeColor="text1"/>
        </w:rPr>
        <w:t xml:space="preserve">[Online]. GOV.UK. Available: </w:t>
      </w:r>
      <w:hyperlink r:id="rId14" w:history="1">
        <w:r w:rsidRPr="001265D5">
          <w:rPr>
            <w:rStyle w:val="Hyperlink"/>
            <w:rFonts w:ascii="Arial" w:hAnsi="Arial" w:cs="Arial"/>
            <w:color w:val="000000" w:themeColor="text1"/>
            <w:u w:val="none"/>
          </w:rPr>
          <w:t>https://www.gov.uk/government/publications/regulation-of-investigatory-powers-act-2000-ripa/regulation-of-investigatory-powers-act-2000-ripa</w:t>
        </w:r>
      </w:hyperlink>
      <w:r w:rsidRPr="001265D5">
        <w:rPr>
          <w:rFonts w:ascii="Arial" w:hAnsi="Arial" w:cs="Arial"/>
          <w:color w:val="000000" w:themeColor="text1"/>
        </w:rPr>
        <w:t xml:space="preserve"> [Accessed 19 March 2025].</w:t>
      </w:r>
    </w:p>
    <w:p w14:paraId="1D401F36" w14:textId="77777777" w:rsidR="001265D5" w:rsidRDefault="001265D5" w:rsidP="001265D5">
      <w:pPr>
        <w:spacing w:line="360" w:lineRule="auto"/>
        <w:rPr>
          <w:rFonts w:ascii="Arial" w:hAnsi="Arial" w:cs="Arial"/>
          <w:color w:val="000000" w:themeColor="text1"/>
        </w:rPr>
      </w:pPr>
    </w:p>
    <w:p w14:paraId="0F53D531"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Journal of Identity and Migration Studies RCIMI. (2013). Available at: </w:t>
      </w:r>
      <w:hyperlink r:id="rId15" w:anchor="page=71" w:history="1">
        <w:r w:rsidRPr="001265D5">
          <w:rPr>
            <w:rStyle w:val="Hyperlink"/>
            <w:rFonts w:ascii="Arial" w:hAnsi="Arial" w:cs="Arial"/>
            <w:color w:val="000000" w:themeColor="text1"/>
            <w:u w:val="none"/>
          </w:rPr>
          <w:t>https://e-migration.ro/jims/Vol7_No1_2013/JIMS_Vol7_No1_2013.pdf#page=71</w:t>
        </w:r>
      </w:hyperlink>
      <w:r w:rsidRPr="001265D5">
        <w:rPr>
          <w:rFonts w:ascii="Arial" w:hAnsi="Arial" w:cs="Arial"/>
          <w:color w:val="000000" w:themeColor="text1"/>
        </w:rPr>
        <w:t>. [Accessed 19 March 2025].</w:t>
      </w:r>
    </w:p>
    <w:p w14:paraId="3DE4D889" w14:textId="77777777" w:rsidR="001265D5" w:rsidRDefault="001265D5" w:rsidP="001265D5">
      <w:pPr>
        <w:spacing w:line="360" w:lineRule="auto"/>
        <w:rPr>
          <w:rFonts w:ascii="Arial" w:hAnsi="Arial" w:cs="Arial"/>
          <w:color w:val="000000" w:themeColor="text1"/>
        </w:rPr>
      </w:pPr>
    </w:p>
    <w:p w14:paraId="74F71C71" w14:textId="3E397907" w:rsidR="001265D5" w:rsidRPr="001265D5" w:rsidRDefault="001265D5" w:rsidP="001265D5">
      <w:pPr>
        <w:spacing w:line="360" w:lineRule="auto"/>
        <w:rPr>
          <w:rFonts w:ascii="Arial" w:hAnsi="Arial" w:cs="Arial"/>
          <w:color w:val="000000" w:themeColor="text1"/>
        </w:rPr>
      </w:pPr>
      <w:r w:rsidRPr="001265D5">
        <w:rPr>
          <w:rFonts w:ascii="Arial" w:hAnsi="Arial" w:cs="Arial"/>
          <w:color w:val="000000" w:themeColor="text1"/>
        </w:rPr>
        <w:t>Kosovo Online. (2024). </w:t>
      </w:r>
      <w:r w:rsidRPr="001265D5">
        <w:rPr>
          <w:rFonts w:ascii="Arial" w:hAnsi="Arial" w:cs="Arial"/>
          <w:i/>
          <w:iCs/>
          <w:color w:val="000000" w:themeColor="text1"/>
        </w:rPr>
        <w:t>The impact and significance of the word ‘besa’ among Albanians - then and now - Kosovo Online</w:t>
      </w:r>
      <w:r w:rsidRPr="001265D5">
        <w:rPr>
          <w:rFonts w:ascii="Arial" w:hAnsi="Arial" w:cs="Arial"/>
          <w:color w:val="000000" w:themeColor="text1"/>
        </w:rPr>
        <w:t>. [online] Available at: https://www.kosovo-online.com/en/news/kontext/impact-and-significance-word-besa-among-albanians-then-and-now-10-1-2024 [Accessed 28 March 2025].</w:t>
      </w:r>
    </w:p>
    <w:p w14:paraId="672E7BCE" w14:textId="77777777" w:rsidR="00101CE0" w:rsidRPr="001265D5" w:rsidRDefault="00101CE0" w:rsidP="00AB6393">
      <w:pPr>
        <w:spacing w:line="360" w:lineRule="auto"/>
        <w:rPr>
          <w:rFonts w:ascii="Arial" w:hAnsi="Arial" w:cs="Arial"/>
          <w:color w:val="000000" w:themeColor="text1"/>
        </w:rPr>
      </w:pPr>
    </w:p>
    <w:p w14:paraId="4C15BF71"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Modern Slavery Act 2015,  Second Section, [Online]  Available at: </w:t>
      </w:r>
      <w:hyperlink r:id="rId16" w:history="1">
        <w:r w:rsidRPr="001265D5">
          <w:rPr>
            <w:rStyle w:val="Hyperlink"/>
            <w:rFonts w:ascii="Arial" w:hAnsi="Arial" w:cs="Arial"/>
            <w:color w:val="000000" w:themeColor="text1"/>
            <w:u w:val="none"/>
          </w:rPr>
          <w:t>https://www.legislation.gov.uk/ukpga/2015/30/section/2</w:t>
        </w:r>
      </w:hyperlink>
      <w:r w:rsidRPr="001265D5">
        <w:rPr>
          <w:rFonts w:ascii="Arial" w:hAnsi="Arial" w:cs="Arial"/>
          <w:color w:val="000000" w:themeColor="text1"/>
        </w:rPr>
        <w:t xml:space="preserve"> [Accessed 20 March 2025].</w:t>
      </w:r>
    </w:p>
    <w:p w14:paraId="0DCFDFB0" w14:textId="77777777" w:rsidR="001265D5" w:rsidRDefault="001265D5" w:rsidP="001265D5">
      <w:pPr>
        <w:spacing w:line="360" w:lineRule="auto"/>
        <w:rPr>
          <w:rFonts w:ascii="Arial" w:hAnsi="Arial" w:cs="Arial"/>
          <w:color w:val="000000" w:themeColor="text1"/>
        </w:rPr>
      </w:pPr>
    </w:p>
    <w:p w14:paraId="76418EF2" w14:textId="77777777" w:rsidR="001265D5" w:rsidRDefault="001265D5" w:rsidP="001265D5">
      <w:pPr>
        <w:spacing w:line="360" w:lineRule="auto"/>
        <w:rPr>
          <w:rFonts w:ascii="Arial" w:hAnsi="Arial" w:cs="Arial"/>
          <w:color w:val="000000" w:themeColor="text1"/>
        </w:rPr>
      </w:pPr>
    </w:p>
    <w:p w14:paraId="160430A5" w14:textId="7AC51848" w:rsidR="001265D5" w:rsidRDefault="00AB6393" w:rsidP="001265D5">
      <w:pPr>
        <w:spacing w:line="360" w:lineRule="auto"/>
        <w:rPr>
          <w:rFonts w:ascii="Arial" w:hAnsi="Arial" w:cs="Arial"/>
          <w:color w:val="000000" w:themeColor="text1"/>
        </w:rPr>
      </w:pPr>
      <w:r w:rsidRPr="001265D5">
        <w:rPr>
          <w:rFonts w:ascii="Arial" w:hAnsi="Arial" w:cs="Arial"/>
          <w:color w:val="000000" w:themeColor="text1"/>
        </w:rPr>
        <w:t>National Police Chiefs’ Council (NPCC). (n.d.). </w:t>
      </w:r>
      <w:r w:rsidRPr="001265D5">
        <w:rPr>
          <w:rFonts w:ascii="Arial" w:hAnsi="Arial" w:cs="Arial"/>
          <w:i/>
          <w:iCs/>
          <w:color w:val="000000" w:themeColor="text1"/>
        </w:rPr>
        <w:t>Unprecedented operation leads to £130M of cannabis seized</w:t>
      </w:r>
      <w:r w:rsidRPr="001265D5">
        <w:rPr>
          <w:rFonts w:ascii="Arial" w:hAnsi="Arial" w:cs="Arial"/>
          <w:color w:val="000000" w:themeColor="text1"/>
        </w:rPr>
        <w:t xml:space="preserve">. [online] Available at: </w:t>
      </w:r>
      <w:hyperlink r:id="rId17" w:history="1">
        <w:r w:rsidRPr="001265D5">
          <w:rPr>
            <w:rStyle w:val="Hyperlink"/>
            <w:rFonts w:ascii="Arial" w:hAnsi="Arial" w:cs="Arial"/>
            <w:color w:val="000000" w:themeColor="text1"/>
            <w:u w:val="none"/>
          </w:rPr>
          <w:t>https://news.npcc.police.uk/releases/unprecedented-police-operation-against-organised-crime-leads-to-1-000-arrests-and-gbp-130-million-of-cannabis-seized</w:t>
        </w:r>
      </w:hyperlink>
      <w:r w:rsidRPr="001265D5">
        <w:rPr>
          <w:rFonts w:ascii="Arial" w:hAnsi="Arial" w:cs="Arial"/>
          <w:color w:val="000000" w:themeColor="text1"/>
        </w:rPr>
        <w:t>.</w:t>
      </w:r>
      <w:r w:rsidR="001265D5" w:rsidRPr="001265D5">
        <w:rPr>
          <w:rFonts w:ascii="Arial" w:hAnsi="Arial" w:cs="Arial"/>
          <w:color w:val="000000" w:themeColor="text1"/>
        </w:rPr>
        <w:t xml:space="preserve"> [Accessed 28 March 2025].</w:t>
      </w:r>
    </w:p>
    <w:p w14:paraId="6BE2D00A" w14:textId="77777777" w:rsidR="001265D5" w:rsidRDefault="001265D5" w:rsidP="001265D5">
      <w:pPr>
        <w:spacing w:line="360" w:lineRule="auto"/>
        <w:rPr>
          <w:rFonts w:ascii="Arial" w:hAnsi="Arial" w:cs="Arial"/>
          <w:color w:val="000000" w:themeColor="text1"/>
        </w:rPr>
      </w:pPr>
    </w:p>
    <w:p w14:paraId="3AED2151"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Npcc. 2024. </w:t>
      </w:r>
      <w:r w:rsidRPr="001265D5">
        <w:rPr>
          <w:rFonts w:ascii="Arial" w:hAnsi="Arial" w:cs="Arial"/>
          <w:i/>
          <w:color w:val="000000" w:themeColor="text1"/>
        </w:rPr>
        <w:t xml:space="preserve">County Lines are changing to become more localised, reveals new County Lines Strategic Threat Risk Assessment </w:t>
      </w:r>
      <w:r w:rsidRPr="001265D5">
        <w:rPr>
          <w:rFonts w:ascii="Arial" w:hAnsi="Arial" w:cs="Arial"/>
          <w:color w:val="000000" w:themeColor="text1"/>
        </w:rPr>
        <w:t xml:space="preserve">[Online]. National Police Chiefs’ Council (NPCC). Available: </w:t>
      </w:r>
      <w:hyperlink r:id="rId18" w:history="1">
        <w:r w:rsidRPr="001265D5">
          <w:rPr>
            <w:rStyle w:val="Hyperlink"/>
            <w:rFonts w:ascii="Arial" w:hAnsi="Arial" w:cs="Arial"/>
            <w:color w:val="000000" w:themeColor="text1"/>
            <w:u w:val="none"/>
          </w:rPr>
          <w:t>https://news.npcc.police.uk/releases/county-lines-are-changing-to-become-more-localised-reveals-new-county-lines-strategic-threat-risk-assessment</w:t>
        </w:r>
      </w:hyperlink>
      <w:r w:rsidRPr="001265D5">
        <w:rPr>
          <w:rFonts w:ascii="Arial" w:hAnsi="Arial" w:cs="Arial"/>
          <w:color w:val="000000" w:themeColor="text1"/>
        </w:rPr>
        <w:t xml:space="preserve"> [Accessed 21 March 2025].</w:t>
      </w:r>
    </w:p>
    <w:p w14:paraId="21B82892" w14:textId="77777777" w:rsidR="00AB6393" w:rsidRPr="001265D5" w:rsidRDefault="00AB6393" w:rsidP="00AB6393">
      <w:pPr>
        <w:spacing w:line="360" w:lineRule="auto"/>
        <w:rPr>
          <w:rFonts w:ascii="Arial" w:hAnsi="Arial" w:cs="Arial"/>
          <w:color w:val="000000" w:themeColor="text1"/>
        </w:rPr>
      </w:pPr>
    </w:p>
    <w:p w14:paraId="00BC48A4" w14:textId="66DFB4D1" w:rsidR="00AB6393" w:rsidRPr="001265D5" w:rsidRDefault="00AB6393" w:rsidP="00AB6393">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O’brien, F., Palmer, S. &amp; Blinkhorn, V. </w:t>
      </w:r>
      <w:r w:rsidR="002045DF">
        <w:rPr>
          <w:rFonts w:ascii="Arial" w:hAnsi="Arial" w:cs="Arial"/>
          <w:color w:val="000000" w:themeColor="text1"/>
        </w:rPr>
        <w:t>(</w:t>
      </w:r>
      <w:r w:rsidRPr="001265D5">
        <w:rPr>
          <w:rFonts w:ascii="Arial" w:hAnsi="Arial" w:cs="Arial"/>
          <w:color w:val="000000" w:themeColor="text1"/>
        </w:rPr>
        <w:t>2022</w:t>
      </w:r>
      <w:r w:rsidR="002045DF">
        <w:rPr>
          <w:rFonts w:ascii="Arial" w:hAnsi="Arial" w:cs="Arial"/>
          <w:color w:val="000000" w:themeColor="text1"/>
        </w:rPr>
        <w:t>)</w:t>
      </w:r>
      <w:r w:rsidRPr="001265D5">
        <w:rPr>
          <w:rFonts w:ascii="Arial" w:hAnsi="Arial" w:cs="Arial"/>
          <w:color w:val="000000" w:themeColor="text1"/>
        </w:rPr>
        <w:t xml:space="preserve"> Factors that predict the referral of adult Modern Day Slavery cases to the UK's National Referral Mechanism. </w:t>
      </w:r>
      <w:r w:rsidRPr="001265D5">
        <w:rPr>
          <w:rFonts w:ascii="Arial" w:hAnsi="Arial" w:cs="Arial"/>
          <w:i/>
          <w:color w:val="000000" w:themeColor="text1"/>
        </w:rPr>
        <w:t>International Journal of Police Science &amp; Management,</w:t>
      </w:r>
      <w:r w:rsidRPr="001265D5">
        <w:rPr>
          <w:rFonts w:ascii="Arial" w:hAnsi="Arial" w:cs="Arial"/>
          <w:color w:val="000000" w:themeColor="text1"/>
        </w:rPr>
        <w:t xml:space="preserve"> 24</w:t>
      </w:r>
      <w:r w:rsidRPr="001265D5">
        <w:rPr>
          <w:rFonts w:ascii="Arial" w:hAnsi="Arial" w:cs="Arial"/>
          <w:b/>
          <w:color w:val="000000" w:themeColor="text1"/>
        </w:rPr>
        <w:t>,</w:t>
      </w:r>
      <w:r w:rsidRPr="001265D5">
        <w:rPr>
          <w:rFonts w:ascii="Arial" w:hAnsi="Arial" w:cs="Arial"/>
          <w:color w:val="000000" w:themeColor="text1"/>
        </w:rPr>
        <w:t xml:space="preserve"> 273-284.</w:t>
      </w:r>
    </w:p>
    <w:p w14:paraId="6ABD719B" w14:textId="77777777" w:rsidR="00AB6393" w:rsidRPr="001265D5" w:rsidRDefault="00AB6393" w:rsidP="004D2951">
      <w:pPr>
        <w:spacing w:line="360" w:lineRule="auto"/>
        <w:rPr>
          <w:rFonts w:ascii="Arial" w:hAnsi="Arial" w:cs="Arial"/>
          <w:b/>
          <w:bCs/>
          <w:color w:val="000000" w:themeColor="text1"/>
        </w:rPr>
      </w:pPr>
    </w:p>
    <w:p w14:paraId="5E7EDDFF" w14:textId="0496EEB3" w:rsidR="00AB6393" w:rsidRPr="001265D5" w:rsidRDefault="001265D5" w:rsidP="00AB6393">
      <w:pPr>
        <w:pStyle w:val="EndNoteBibliography"/>
        <w:spacing w:after="0" w:line="360" w:lineRule="auto"/>
        <w:ind w:left="720" w:hanging="720"/>
        <w:rPr>
          <w:rFonts w:ascii="Arial" w:hAnsi="Arial" w:cs="Arial"/>
          <w:color w:val="000000" w:themeColor="text1"/>
          <w:lang w:val="en-GB"/>
        </w:rPr>
      </w:pPr>
      <w:r w:rsidRPr="001265D5">
        <w:rPr>
          <w:rFonts w:ascii="Arial" w:hAnsi="Arial" w:cs="Arial"/>
          <w:color w:val="000000" w:themeColor="text1"/>
          <w:lang w:val="en-GB"/>
        </w:rPr>
        <w:t>O'neill, C. (n.d.). </w:t>
      </w:r>
      <w:r w:rsidRPr="001265D5">
        <w:rPr>
          <w:rFonts w:ascii="Arial" w:hAnsi="Arial" w:cs="Arial"/>
          <w:i/>
          <w:iCs/>
          <w:color w:val="000000" w:themeColor="text1"/>
          <w:lang w:val="en-GB"/>
        </w:rPr>
        <w:t>People, not just books: An Investigation into the Knowledge and Understanding of Trauma Informed Practice in The Justice System</w:t>
      </w:r>
      <w:r w:rsidRPr="001265D5">
        <w:rPr>
          <w:rFonts w:ascii="Arial" w:hAnsi="Arial" w:cs="Arial"/>
          <w:color w:val="000000" w:themeColor="text1"/>
          <w:lang w:val="en-GB"/>
        </w:rPr>
        <w:t xml:space="preserve">. [online] Available at: </w:t>
      </w:r>
      <w:hyperlink r:id="rId19" w:history="1">
        <w:r w:rsidRPr="001265D5">
          <w:rPr>
            <w:rStyle w:val="Hyperlink"/>
            <w:rFonts w:ascii="Arial" w:hAnsi="Arial" w:cs="Arial"/>
            <w:color w:val="000000" w:themeColor="text1"/>
            <w:u w:val="none"/>
            <w:lang w:val="en-GB"/>
          </w:rPr>
          <w:t>https://www.intermediaries-for-justice.org/sites/default/files/people_not_just_books-_an_investigation_into_the_knowledge_and_understanding_of_trauma_informed_practice_in_the_justice_system.pdf</w:t>
        </w:r>
      </w:hyperlink>
      <w:r w:rsidRPr="001265D5">
        <w:rPr>
          <w:rFonts w:ascii="Arial" w:hAnsi="Arial" w:cs="Arial"/>
          <w:color w:val="000000" w:themeColor="text1"/>
          <w:lang w:val="en-GB"/>
        </w:rPr>
        <w:t xml:space="preserve">. </w:t>
      </w:r>
      <w:r w:rsidRPr="001265D5">
        <w:rPr>
          <w:rFonts w:ascii="Arial" w:hAnsi="Arial" w:cs="Arial"/>
          <w:color w:val="000000" w:themeColor="text1"/>
        </w:rPr>
        <w:t>[Accessed 20 April 2025].</w:t>
      </w:r>
    </w:p>
    <w:p w14:paraId="60174AFB"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2B59B3C8" w14:textId="1CAD9B02" w:rsidR="00702BFE" w:rsidRDefault="00702BFE" w:rsidP="00897319">
      <w:pPr>
        <w:pStyle w:val="EndNoteBibliography"/>
        <w:spacing w:after="0" w:line="360" w:lineRule="auto"/>
        <w:ind w:left="720" w:hanging="720"/>
        <w:rPr>
          <w:rFonts w:ascii="Arial" w:hAnsi="Arial" w:cs="Arial"/>
          <w:color w:val="000000" w:themeColor="text1"/>
          <w:lang w:val="en-GB"/>
        </w:rPr>
      </w:pPr>
      <w:r w:rsidRPr="00702BFE">
        <w:rPr>
          <w:rFonts w:ascii="Arial" w:hAnsi="Arial" w:cs="Arial"/>
          <w:color w:val="000000" w:themeColor="text1"/>
          <w:lang w:val="en-GB"/>
        </w:rPr>
        <w:lastRenderedPageBreak/>
        <w:t>Robinson, G., McLean, R. and Densley, J. (2018). Working County Lines: Child Criminal Exploitation and Illicit Drug Dealing in Glasgow and Merseyside. </w:t>
      </w:r>
      <w:r w:rsidRPr="00702BFE">
        <w:rPr>
          <w:rFonts w:ascii="Arial" w:hAnsi="Arial" w:cs="Arial"/>
          <w:i/>
          <w:iCs/>
          <w:color w:val="000000" w:themeColor="text1"/>
          <w:lang w:val="en-GB"/>
        </w:rPr>
        <w:t>International Journal of Offender Therapy and Comparative Criminology</w:t>
      </w:r>
      <w:r w:rsidRPr="00702BFE">
        <w:rPr>
          <w:rFonts w:ascii="Arial" w:hAnsi="Arial" w:cs="Arial"/>
          <w:color w:val="000000" w:themeColor="text1"/>
          <w:lang w:val="en-GB"/>
        </w:rPr>
        <w:t>, [online] 63(5). Available at: https://journals.sagepub.com/doi/full/10.1177/0306624X18806742.</w:t>
      </w:r>
    </w:p>
    <w:p w14:paraId="3ECBA0B6" w14:textId="2B52D7EC" w:rsidR="00897319" w:rsidRDefault="00897319" w:rsidP="00897319">
      <w:pPr>
        <w:pStyle w:val="EndNoteBibliography"/>
        <w:spacing w:after="0" w:line="360" w:lineRule="auto"/>
        <w:ind w:left="720" w:hanging="720"/>
        <w:rPr>
          <w:rFonts w:ascii="Arial" w:hAnsi="Arial" w:cs="Arial"/>
          <w:color w:val="000000" w:themeColor="text1"/>
          <w:lang w:val="en-GB"/>
        </w:rPr>
      </w:pPr>
      <w:r w:rsidRPr="00897319">
        <w:rPr>
          <w:rFonts w:ascii="Arial" w:hAnsi="Arial" w:cs="Arial"/>
          <w:color w:val="000000" w:themeColor="text1"/>
          <w:lang w:val="en-GB"/>
        </w:rPr>
        <w:t>Tekin, S. </w:t>
      </w:r>
      <w:r w:rsidRPr="00897319">
        <w:rPr>
          <w:rFonts w:ascii="Arial" w:hAnsi="Arial" w:cs="Arial"/>
          <w:i/>
          <w:iCs/>
          <w:color w:val="000000" w:themeColor="text1"/>
          <w:lang w:val="en-GB"/>
        </w:rPr>
        <w:t>et al.</w:t>
      </w:r>
      <w:r w:rsidRPr="00897319">
        <w:rPr>
          <w:rFonts w:ascii="Arial" w:hAnsi="Arial" w:cs="Arial"/>
          <w:color w:val="000000" w:themeColor="text1"/>
          <w:lang w:val="en-GB"/>
        </w:rPr>
        <w:t> (2015) ‘Interviewing Strategically to Elicit Admissions From Guilty Suspects’, </w:t>
      </w:r>
      <w:r w:rsidRPr="00897319">
        <w:rPr>
          <w:rFonts w:ascii="Arial" w:hAnsi="Arial" w:cs="Arial"/>
          <w:i/>
          <w:iCs/>
          <w:color w:val="000000" w:themeColor="text1"/>
          <w:lang w:val="en-GB"/>
        </w:rPr>
        <w:t>Law and human behavior</w:t>
      </w:r>
      <w:r w:rsidRPr="00897319">
        <w:rPr>
          <w:rFonts w:ascii="Arial" w:hAnsi="Arial" w:cs="Arial"/>
          <w:color w:val="000000" w:themeColor="text1"/>
          <w:lang w:val="en-GB"/>
        </w:rPr>
        <w:t>, 39(3), pp. 244–252. Available at: https://doi.org/10.1037/lhb0000131.</w:t>
      </w:r>
    </w:p>
    <w:p w14:paraId="2A48FA75" w14:textId="77777777" w:rsidR="00897319" w:rsidRDefault="00897319" w:rsidP="001265D5">
      <w:pPr>
        <w:pStyle w:val="EndNoteBibliography"/>
        <w:spacing w:after="0" w:line="360" w:lineRule="auto"/>
        <w:ind w:left="720" w:hanging="720"/>
        <w:rPr>
          <w:rFonts w:ascii="Arial" w:hAnsi="Arial" w:cs="Arial"/>
          <w:color w:val="000000" w:themeColor="text1"/>
          <w:lang w:val="en-GB"/>
        </w:rPr>
      </w:pPr>
    </w:p>
    <w:p w14:paraId="560D5DED" w14:textId="1B551666"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lang w:val="en-GB"/>
        </w:rPr>
        <w:t>The Sun. (2018). </w:t>
      </w:r>
      <w:r w:rsidRPr="001265D5">
        <w:rPr>
          <w:rFonts w:ascii="Arial" w:hAnsi="Arial" w:cs="Arial"/>
          <w:i/>
          <w:iCs/>
          <w:color w:val="000000" w:themeColor="text1"/>
          <w:lang w:val="en-GB"/>
        </w:rPr>
        <w:t>The brutal rise of Albanian mafia controlling the cocaine trade in the UK and the secret ‘Besa’ code they live by</w:t>
      </w:r>
      <w:r w:rsidRPr="001265D5">
        <w:rPr>
          <w:rFonts w:ascii="Arial" w:hAnsi="Arial" w:cs="Arial"/>
          <w:color w:val="000000" w:themeColor="text1"/>
          <w:lang w:val="en-GB"/>
        </w:rPr>
        <w:t xml:space="preserve">. [online] Available at: </w:t>
      </w:r>
      <w:hyperlink r:id="rId20" w:history="1">
        <w:r w:rsidRPr="001265D5">
          <w:rPr>
            <w:rStyle w:val="Hyperlink"/>
            <w:rFonts w:ascii="Arial" w:hAnsi="Arial" w:cs="Arial"/>
            <w:color w:val="000000" w:themeColor="text1"/>
            <w:u w:val="none"/>
            <w:lang w:val="en-GB"/>
          </w:rPr>
          <w:t>https://www.thesun.co.uk/news/6254719/the-brutal-rise-of-albanian-mafia-controlling-the-cocaine-trade-in-the-uk-and-the-the-secret-besa-code-they-live-by/</w:t>
        </w:r>
      </w:hyperlink>
      <w:r w:rsidRPr="001265D5">
        <w:rPr>
          <w:rFonts w:ascii="Arial" w:hAnsi="Arial" w:cs="Arial"/>
          <w:color w:val="000000" w:themeColor="text1"/>
          <w:lang w:val="en-GB"/>
        </w:rPr>
        <w:t xml:space="preserve">. </w:t>
      </w:r>
      <w:r w:rsidRPr="001265D5">
        <w:rPr>
          <w:rFonts w:ascii="Arial" w:hAnsi="Arial" w:cs="Arial"/>
          <w:color w:val="000000" w:themeColor="text1"/>
        </w:rPr>
        <w:t>[Accessed 21 March 2025].</w:t>
      </w:r>
    </w:p>
    <w:p w14:paraId="59D92177" w14:textId="77777777" w:rsidR="001265D5" w:rsidRPr="001265D5" w:rsidRDefault="001265D5" w:rsidP="001265D5">
      <w:pPr>
        <w:pStyle w:val="EndNoteBibliography"/>
        <w:spacing w:after="0" w:line="360" w:lineRule="auto"/>
        <w:ind w:left="720" w:hanging="720"/>
        <w:rPr>
          <w:rFonts w:ascii="Arial" w:hAnsi="Arial" w:cs="Arial"/>
          <w:color w:val="000000" w:themeColor="text1"/>
          <w:lang w:val="en-GB"/>
        </w:rPr>
      </w:pPr>
    </w:p>
    <w:p w14:paraId="79E5C04C" w14:textId="77777777" w:rsidR="001265D5" w:rsidRPr="001265D5" w:rsidRDefault="001265D5" w:rsidP="001265D5">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lang w:val="en-GB"/>
        </w:rPr>
        <w:t>www.cps.gov.uk. (n.d.). </w:t>
      </w:r>
      <w:r w:rsidRPr="001265D5">
        <w:rPr>
          <w:rFonts w:ascii="Arial" w:hAnsi="Arial" w:cs="Arial"/>
          <w:i/>
          <w:iCs/>
          <w:color w:val="000000" w:themeColor="text1"/>
          <w:lang w:val="en-GB"/>
        </w:rPr>
        <w:t>Disclosure Manual: Chapter 15 - Defence Disclosure | The Crown Prosecution Service</w:t>
      </w:r>
      <w:r w:rsidRPr="001265D5">
        <w:rPr>
          <w:rFonts w:ascii="Arial" w:hAnsi="Arial" w:cs="Arial"/>
          <w:color w:val="000000" w:themeColor="text1"/>
          <w:lang w:val="en-GB"/>
        </w:rPr>
        <w:t xml:space="preserve">. [online] Available at: </w:t>
      </w:r>
      <w:hyperlink r:id="rId21" w:history="1">
        <w:r w:rsidRPr="001265D5">
          <w:rPr>
            <w:rStyle w:val="Hyperlink"/>
            <w:rFonts w:ascii="Arial" w:hAnsi="Arial" w:cs="Arial"/>
            <w:color w:val="000000" w:themeColor="text1"/>
            <w:u w:val="none"/>
            <w:lang w:val="en-GB"/>
          </w:rPr>
          <w:t>https://www.cps.gov.uk/legal-guidance/disclosure-manual-chapter-15-defence-disclosure</w:t>
        </w:r>
      </w:hyperlink>
      <w:r w:rsidRPr="001265D5">
        <w:rPr>
          <w:rFonts w:ascii="Arial" w:hAnsi="Arial" w:cs="Arial"/>
          <w:color w:val="000000" w:themeColor="text1"/>
          <w:lang w:val="en-GB"/>
        </w:rPr>
        <w:t xml:space="preserve">. </w:t>
      </w:r>
      <w:r w:rsidRPr="001265D5">
        <w:rPr>
          <w:rFonts w:ascii="Arial" w:hAnsi="Arial" w:cs="Arial"/>
          <w:color w:val="000000" w:themeColor="text1"/>
        </w:rPr>
        <w:t>[Accessed 21 March 2025].</w:t>
      </w:r>
    </w:p>
    <w:p w14:paraId="7E0F1D4A" w14:textId="77777777" w:rsidR="001265D5" w:rsidRDefault="001265D5" w:rsidP="001265D5">
      <w:pPr>
        <w:pStyle w:val="EndNoteBibliography"/>
        <w:spacing w:after="0" w:line="360" w:lineRule="auto"/>
        <w:ind w:left="720" w:hanging="720"/>
        <w:rPr>
          <w:rFonts w:ascii="Arial" w:hAnsi="Arial" w:cs="Arial"/>
        </w:rPr>
      </w:pPr>
    </w:p>
    <w:p w14:paraId="12FF2F7F" w14:textId="77777777" w:rsidR="001B7BAE" w:rsidRDefault="001B7BAE" w:rsidP="001265D5">
      <w:pPr>
        <w:pStyle w:val="EndNoteBibliography"/>
        <w:spacing w:after="0" w:line="360" w:lineRule="auto"/>
        <w:ind w:left="720" w:hanging="720"/>
        <w:rPr>
          <w:rFonts w:ascii="Arial" w:hAnsi="Arial" w:cs="Arial"/>
        </w:rPr>
      </w:pPr>
    </w:p>
    <w:p w14:paraId="6F01D577"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0E41CBD0" w14:textId="1EC56098" w:rsidR="00B539B7" w:rsidRPr="00B539B7" w:rsidRDefault="00B539B7" w:rsidP="00B539B7">
      <w:pPr>
        <w:pStyle w:val="ListParagraph"/>
        <w:numPr>
          <w:ilvl w:val="0"/>
          <w:numId w:val="10"/>
        </w:numPr>
        <w:rPr>
          <w:rFonts w:ascii="Arial" w:eastAsia="Arial" w:hAnsi="Arial" w:cs="Arial"/>
          <w:sz w:val="24"/>
          <w:szCs w:val="24"/>
        </w:rPr>
      </w:pPr>
      <w:r w:rsidRPr="00B539B7">
        <w:rPr>
          <w:rFonts w:ascii="Arial" w:eastAsia="Arial" w:hAnsi="Arial" w:cs="Arial"/>
          <w:b/>
          <w:bCs/>
          <w:sz w:val="24"/>
          <w:szCs w:val="24"/>
        </w:rPr>
        <w:t xml:space="preserve">Critically evaluate </w:t>
      </w:r>
      <w:r w:rsidRPr="00B539B7">
        <w:rPr>
          <w:rFonts w:ascii="Arial" w:eastAsia="Arial" w:hAnsi="Arial" w:cs="Arial"/>
          <w:sz w:val="24"/>
          <w:szCs w:val="24"/>
        </w:rPr>
        <w:t xml:space="preserve">the effectiveness of the investigative methods and legal processes that can be used to overcome these obstacles </w:t>
      </w:r>
      <w:proofErr w:type="gramStart"/>
      <w:r w:rsidRPr="00B539B7">
        <w:rPr>
          <w:rFonts w:ascii="Arial" w:eastAsia="Arial" w:hAnsi="Arial" w:cs="Arial"/>
          <w:sz w:val="24"/>
          <w:szCs w:val="24"/>
        </w:rPr>
        <w:t>in order to</w:t>
      </w:r>
      <w:proofErr w:type="gramEnd"/>
      <w:r w:rsidRPr="00B539B7">
        <w:rPr>
          <w:rFonts w:ascii="Arial" w:eastAsia="Arial" w:hAnsi="Arial" w:cs="Arial"/>
          <w:sz w:val="24"/>
          <w:szCs w:val="24"/>
        </w:rPr>
        <w:t xml:space="preserve"> successfully support vulnerable victims and witnesses.</w:t>
      </w:r>
    </w:p>
    <w:p w14:paraId="3D1AFF29" w14:textId="77777777" w:rsidR="00AB6393" w:rsidRPr="001265D5" w:rsidRDefault="00AB6393" w:rsidP="00AB6393">
      <w:pPr>
        <w:pStyle w:val="EndNoteBibliography"/>
        <w:spacing w:after="0" w:line="360" w:lineRule="auto"/>
        <w:ind w:left="720" w:hanging="720"/>
        <w:rPr>
          <w:rFonts w:ascii="Arial" w:hAnsi="Arial" w:cs="Arial"/>
          <w:color w:val="000000" w:themeColor="text1"/>
          <w:lang w:val="en-GB"/>
        </w:rPr>
      </w:pPr>
    </w:p>
    <w:p w14:paraId="49D2256B" w14:textId="77777777" w:rsidR="00F1341C" w:rsidRDefault="00F1341C" w:rsidP="00F1341C">
      <w:pPr>
        <w:spacing w:line="360" w:lineRule="auto"/>
        <w:rPr>
          <w:rFonts w:ascii="Arial" w:hAnsi="Arial" w:cs="Arial"/>
          <w:b/>
          <w:bCs/>
        </w:rPr>
      </w:pPr>
      <w:r w:rsidRPr="00F1341C">
        <w:rPr>
          <w:rFonts w:ascii="Arial" w:hAnsi="Arial" w:cs="Arial"/>
          <w:b/>
          <w:bCs/>
        </w:rPr>
        <w:t xml:space="preserve">Introduction </w:t>
      </w:r>
    </w:p>
    <w:p w14:paraId="5871163F" w14:textId="49462297" w:rsidR="00F1341C" w:rsidRPr="00F1341C" w:rsidRDefault="00F1341C" w:rsidP="00880201">
      <w:pPr>
        <w:spacing w:line="360" w:lineRule="auto"/>
        <w:rPr>
          <w:rFonts w:ascii="Arial" w:hAnsi="Arial" w:cs="Arial"/>
        </w:rPr>
      </w:pPr>
      <w:r w:rsidRPr="00F1341C">
        <w:rPr>
          <w:rFonts w:ascii="Arial" w:hAnsi="Arial" w:cs="Arial"/>
        </w:rPr>
        <w:t xml:space="preserve">Supporting vulnerable victims and witnesses through the criminal justice process presents significant challenges. Obstacles such as fear, stigma, communication barriers, mental health issues, and lack of understanding of the legal system can prevent vulnerable individuals from reporting crimes, participating in investigations, and testifying effectively in court </w:t>
      </w:r>
      <w:r w:rsidR="004121E1" w:rsidRPr="004121E1">
        <w:rPr>
          <w:rFonts w:ascii="Arial" w:hAnsi="Arial" w:cs="Arial"/>
        </w:rPr>
        <w:t>(</w:t>
      </w:r>
      <w:proofErr w:type="spellStart"/>
      <w:r w:rsidR="004121E1" w:rsidRPr="004121E1">
        <w:rPr>
          <w:rFonts w:ascii="Arial" w:hAnsi="Arial" w:cs="Arial"/>
        </w:rPr>
        <w:t>Beckene</w:t>
      </w:r>
      <w:proofErr w:type="spellEnd"/>
      <w:r w:rsidR="004121E1" w:rsidRPr="004121E1">
        <w:rPr>
          <w:rFonts w:ascii="Arial" w:hAnsi="Arial" w:cs="Arial"/>
        </w:rPr>
        <w:t>, Forrester</w:t>
      </w:r>
      <w:r w:rsidR="004121E1" w:rsidRPr="004121E1">
        <w:rPr>
          <w:rFonts w:ascii="Cambria Math" w:hAnsi="Cambria Math" w:cs="Cambria Math"/>
        </w:rPr>
        <w:t>‐</w:t>
      </w:r>
      <w:r w:rsidR="004121E1" w:rsidRPr="004121E1">
        <w:rPr>
          <w:rFonts w:ascii="Arial" w:hAnsi="Arial" w:cs="Arial"/>
        </w:rPr>
        <w:t>Jones and Murphy, 2017)</w:t>
      </w:r>
      <w:r w:rsidR="004121E1">
        <w:rPr>
          <w:rFonts w:ascii="Arial" w:hAnsi="Arial" w:cs="Arial"/>
        </w:rPr>
        <w:t>.</w:t>
      </w:r>
      <w:r w:rsidRPr="00F1341C">
        <w:rPr>
          <w:rFonts w:ascii="Arial" w:hAnsi="Arial" w:cs="Arial"/>
        </w:rPr>
        <w:t xml:space="preserve"> In this essay, I </w:t>
      </w:r>
      <w:r w:rsidRPr="00F1341C">
        <w:rPr>
          <w:rFonts w:ascii="Arial" w:hAnsi="Arial" w:cs="Arial"/>
        </w:rPr>
        <w:lastRenderedPageBreak/>
        <w:t xml:space="preserve">will critically evaluate the effectiveness of investigative methods and legal processes that aim to overcome these specific obstacles to successfully support vulnerable victims and witnesses, drawing upon my experiences from Operation </w:t>
      </w:r>
      <w:proofErr w:type="spellStart"/>
      <w:r w:rsidRPr="00F1341C">
        <w:rPr>
          <w:rFonts w:ascii="Arial" w:hAnsi="Arial" w:cs="Arial"/>
        </w:rPr>
        <w:t>Exacum</w:t>
      </w:r>
      <w:proofErr w:type="spellEnd"/>
      <w:r w:rsidRPr="00F1341C">
        <w:rPr>
          <w:rFonts w:ascii="Arial" w:hAnsi="Arial" w:cs="Arial"/>
        </w:rPr>
        <w:t>.</w:t>
      </w:r>
    </w:p>
    <w:p w14:paraId="73F56520" w14:textId="77777777" w:rsidR="00F1341C" w:rsidRDefault="00F1341C" w:rsidP="00F1341C">
      <w:pPr>
        <w:spacing w:line="360" w:lineRule="auto"/>
        <w:rPr>
          <w:rFonts w:ascii="Arial" w:hAnsi="Arial" w:cs="Arial"/>
          <w:b/>
          <w:bCs/>
        </w:rPr>
      </w:pPr>
      <w:r w:rsidRPr="00F1341C">
        <w:rPr>
          <w:rFonts w:ascii="Arial" w:hAnsi="Arial" w:cs="Arial"/>
          <w:b/>
          <w:bCs/>
        </w:rPr>
        <w:t xml:space="preserve">Achieving Best Evidence (ABE) Interviews </w:t>
      </w:r>
    </w:p>
    <w:p w14:paraId="180D0382" w14:textId="75D42E90" w:rsidR="00B4222D" w:rsidRPr="00B4222D" w:rsidRDefault="00B4222D" w:rsidP="00B4222D">
      <w:pPr>
        <w:spacing w:line="360" w:lineRule="auto"/>
        <w:rPr>
          <w:rFonts w:ascii="Arial" w:hAnsi="Arial" w:cs="Arial"/>
        </w:rPr>
      </w:pPr>
      <w:r w:rsidRPr="00B4222D">
        <w:rPr>
          <w:rFonts w:ascii="Arial" w:hAnsi="Arial" w:cs="Arial"/>
        </w:rPr>
        <w:t>ABE interviews help overcome fear and trauma that may prevent vulnerable individuals from providing their accounts by capturing evidence in a controlled environment that minimi</w:t>
      </w:r>
      <w:r>
        <w:rPr>
          <w:rFonts w:ascii="Arial" w:hAnsi="Arial" w:cs="Arial"/>
        </w:rPr>
        <w:t>s</w:t>
      </w:r>
      <w:r w:rsidRPr="00B4222D">
        <w:rPr>
          <w:rFonts w:ascii="Arial" w:hAnsi="Arial" w:cs="Arial"/>
        </w:rPr>
        <w:t>es distress. Video-recording the interview reduces the need for multiple interviews and allows the recording to be played in court, minimi</w:t>
      </w:r>
      <w:r w:rsidR="00EE31CD">
        <w:rPr>
          <w:rFonts w:ascii="Arial" w:hAnsi="Arial" w:cs="Arial"/>
        </w:rPr>
        <w:t>s</w:t>
      </w:r>
      <w:r w:rsidRPr="00B4222D">
        <w:rPr>
          <w:rFonts w:ascii="Arial" w:hAnsi="Arial" w:cs="Arial"/>
        </w:rPr>
        <w:t>ing the trauma of testifying (Smith, 2024).</w:t>
      </w:r>
    </w:p>
    <w:p w14:paraId="464C53B7" w14:textId="11CC776F" w:rsidR="00B4222D" w:rsidRPr="00B4222D" w:rsidRDefault="00B4222D" w:rsidP="00B4222D">
      <w:pPr>
        <w:spacing w:line="360" w:lineRule="auto"/>
        <w:rPr>
          <w:rFonts w:ascii="Arial" w:hAnsi="Arial" w:cs="Arial"/>
        </w:rPr>
      </w:pPr>
      <w:r w:rsidRPr="00B4222D">
        <w:rPr>
          <w:rFonts w:ascii="Arial" w:hAnsi="Arial" w:cs="Arial"/>
        </w:rPr>
        <w:t>However, the effectiveness of ABE interviews in addressing these obstacles has been questioned. Richardson, Stokoe, and Antaki (2018) found that officers sometimes inappropriately elicited confirmations rather than demonstrations of understanding, repeated questions implying dishonesty, and introduced truth/lies discussions at unsuitable times during ABE interviews with vulnerable sexual assault victims. These practices can discredit victims' evidence and increase their fear or trauma, undermining the supportive intent of ABE guidelines. The study emphasi</w:t>
      </w:r>
      <w:r>
        <w:rPr>
          <w:rFonts w:ascii="Arial" w:hAnsi="Arial" w:cs="Arial"/>
        </w:rPr>
        <w:t>s</w:t>
      </w:r>
      <w:r w:rsidRPr="00B4222D">
        <w:rPr>
          <w:rFonts w:ascii="Arial" w:hAnsi="Arial" w:cs="Arial"/>
        </w:rPr>
        <w:t>es the importance of adhering to ABE guidance to create a safe environment for victims and reduce barriers to seeking justice. Research suggests many officers lack the necessary skills to conduct ABE interviews properly, resulting in poor</w:t>
      </w:r>
      <w:r w:rsidR="00EE31CD">
        <w:rPr>
          <w:rFonts w:ascii="Arial" w:hAnsi="Arial" w:cs="Arial"/>
        </w:rPr>
        <w:t xml:space="preserve"> -</w:t>
      </w:r>
      <w:r w:rsidRPr="00B4222D">
        <w:rPr>
          <w:rFonts w:ascii="Arial" w:hAnsi="Arial" w:cs="Arial"/>
        </w:rPr>
        <w:t xml:space="preserve"> quality evidence (Hanway &amp; Akehurst, 2018). ABE interviews have been critici</w:t>
      </w:r>
      <w:r>
        <w:rPr>
          <w:rFonts w:ascii="Arial" w:hAnsi="Arial" w:cs="Arial"/>
        </w:rPr>
        <w:t>s</w:t>
      </w:r>
      <w:r w:rsidRPr="00B4222D">
        <w:rPr>
          <w:rFonts w:ascii="Arial" w:hAnsi="Arial" w:cs="Arial"/>
        </w:rPr>
        <w:t>ed for being too long, using inappropriate questioning techniques, and failing to meet the specific needs of certain vulnerable groups (42br.com, 2018).</w:t>
      </w:r>
    </w:p>
    <w:p w14:paraId="4E3CCE2E" w14:textId="77777777" w:rsidR="00B4222D" w:rsidRDefault="00B4222D" w:rsidP="00F1341C">
      <w:pPr>
        <w:spacing w:line="360" w:lineRule="auto"/>
        <w:rPr>
          <w:rFonts w:ascii="Arial" w:hAnsi="Arial" w:cs="Arial"/>
        </w:rPr>
      </w:pPr>
    </w:p>
    <w:p w14:paraId="05E1768C" w14:textId="2B8E479E" w:rsidR="00F1341C" w:rsidRPr="00F1341C" w:rsidRDefault="00F1341C" w:rsidP="00F1341C">
      <w:pPr>
        <w:spacing w:line="360" w:lineRule="auto"/>
        <w:rPr>
          <w:rFonts w:ascii="Arial" w:hAnsi="Arial" w:cs="Arial"/>
        </w:rPr>
      </w:pPr>
      <w:r w:rsidRPr="00F1341C">
        <w:rPr>
          <w:rFonts w:ascii="Arial" w:hAnsi="Arial" w:cs="Arial"/>
        </w:rPr>
        <w:t xml:space="preserve">During Operation </w:t>
      </w:r>
      <w:proofErr w:type="spellStart"/>
      <w:r w:rsidRPr="00F1341C">
        <w:rPr>
          <w:rFonts w:ascii="Arial" w:hAnsi="Arial" w:cs="Arial"/>
        </w:rPr>
        <w:t>Exacum</w:t>
      </w:r>
      <w:proofErr w:type="spellEnd"/>
      <w:r w:rsidRPr="00F1341C">
        <w:rPr>
          <w:rFonts w:ascii="Arial" w:hAnsi="Arial" w:cs="Arial"/>
        </w:rPr>
        <w:t>, I encountered challenges in conducting effective ABE interviews with vulnerable victims and witnesses. Many of the cannabis factory workers were reluctant to provide detailed accounts of their experiences due to fear and distrust of law enforcement (Journal of Identity and Migration Studies RCIMI, 2013). This reluctance was likely exacerbated by the cultural influence of "Besa"</w:t>
      </w:r>
      <w:r w:rsidR="00272093">
        <w:rPr>
          <w:rFonts w:ascii="Arial" w:hAnsi="Arial" w:cs="Arial"/>
        </w:rPr>
        <w:t>,</w:t>
      </w:r>
      <w:r w:rsidRPr="00F1341C">
        <w:rPr>
          <w:rFonts w:ascii="Arial" w:hAnsi="Arial" w:cs="Arial"/>
        </w:rPr>
        <w:t xml:space="preserve"> which discouraged cooperation with authorities (Kosovo Online, 2024). Despite my efforts to create a safe and supportive environment during the interviews, the quality of the evidence obtained was often limited, highlighting the need for further training and cultural awareness among investigators like </w:t>
      </w:r>
      <w:r w:rsidRPr="00880201">
        <w:rPr>
          <w:rFonts w:ascii="Arial" w:hAnsi="Arial" w:cs="Arial"/>
        </w:rPr>
        <w:t>me</w:t>
      </w:r>
      <w:r w:rsidRPr="00F1341C">
        <w:rPr>
          <w:rFonts w:ascii="Arial" w:hAnsi="Arial" w:cs="Arial"/>
        </w:rPr>
        <w:t xml:space="preserve"> (Hamida </w:t>
      </w:r>
      <w:proofErr w:type="spellStart"/>
      <w:r w:rsidRPr="00F1341C">
        <w:rPr>
          <w:rFonts w:ascii="Arial" w:hAnsi="Arial" w:cs="Arial"/>
        </w:rPr>
        <w:t>Zekiroski</w:t>
      </w:r>
      <w:proofErr w:type="spellEnd"/>
      <w:r w:rsidRPr="00F1341C">
        <w:rPr>
          <w:rFonts w:ascii="Arial" w:hAnsi="Arial" w:cs="Arial"/>
        </w:rPr>
        <w:t>, Powell and Cashman, 2024).</w:t>
      </w:r>
    </w:p>
    <w:p w14:paraId="47325961" w14:textId="0122CD75" w:rsidR="004121E1" w:rsidRPr="004121E1" w:rsidRDefault="004121E1" w:rsidP="004121E1">
      <w:pPr>
        <w:spacing w:line="360" w:lineRule="auto"/>
        <w:rPr>
          <w:rFonts w:ascii="Arial" w:hAnsi="Arial" w:cs="Arial"/>
          <w:b/>
          <w:bCs/>
        </w:rPr>
      </w:pPr>
      <w:r w:rsidRPr="004121E1">
        <w:rPr>
          <w:rFonts w:ascii="Arial" w:hAnsi="Arial" w:cs="Arial"/>
          <w:b/>
          <w:bCs/>
        </w:rPr>
        <w:lastRenderedPageBreak/>
        <w:t>Special Measures</w:t>
      </w:r>
    </w:p>
    <w:p w14:paraId="15360483" w14:textId="003688FF" w:rsidR="004121E1" w:rsidRPr="004121E1" w:rsidRDefault="004121E1" w:rsidP="004121E1">
      <w:pPr>
        <w:spacing w:line="360" w:lineRule="auto"/>
        <w:rPr>
          <w:rFonts w:ascii="Arial" w:hAnsi="Arial" w:cs="Arial"/>
        </w:rPr>
      </w:pPr>
      <w:r w:rsidRPr="004121E1">
        <w:rPr>
          <w:rFonts w:ascii="Arial" w:hAnsi="Arial" w:cs="Arial"/>
        </w:rPr>
        <w:t>Special measures can assist vulnerable victims and witnesses during court proceedings (Youth Justice and Criminal Evidence Act, 1999), addressing obstacles such as fear, communication difficulties, and mental health issues.</w:t>
      </w:r>
    </w:p>
    <w:p w14:paraId="5457D2A8" w14:textId="77777777" w:rsidR="004121E1" w:rsidRPr="004121E1" w:rsidRDefault="004121E1" w:rsidP="004121E1">
      <w:pPr>
        <w:spacing w:line="360" w:lineRule="auto"/>
        <w:rPr>
          <w:rFonts w:ascii="Arial" w:hAnsi="Arial" w:cs="Arial"/>
        </w:rPr>
      </w:pPr>
      <w:r w:rsidRPr="004121E1">
        <w:rPr>
          <w:rFonts w:ascii="Arial" w:hAnsi="Arial" w:cs="Arial"/>
        </w:rPr>
        <w:t>Research shows these measures are valuable in reducing distress and facilitating participation (Burton et al., 2007). Screens can prevent witnesses from seeing defendants, alleviating fear and anxiety. Live links allow testimony from outside the courtroom, providing a less intimidating environment. Intermediaries can assist with communication barriers.</w:t>
      </w:r>
    </w:p>
    <w:p w14:paraId="4839524B" w14:textId="77777777" w:rsidR="004121E1" w:rsidRPr="004121E1" w:rsidRDefault="004121E1" w:rsidP="004121E1">
      <w:pPr>
        <w:spacing w:line="360" w:lineRule="auto"/>
        <w:rPr>
          <w:rFonts w:ascii="Arial" w:hAnsi="Arial" w:cs="Arial"/>
        </w:rPr>
      </w:pPr>
      <w:r w:rsidRPr="004121E1">
        <w:rPr>
          <w:rFonts w:ascii="Arial" w:hAnsi="Arial" w:cs="Arial"/>
        </w:rPr>
        <w:t>However, there are limitations. Some witnesses find special measures daunting (Fairclough, 2021). Screens or video links may hamper the defence's ability to cross-examine and undermine jurors' ability to assess credibility (Cooper, n.d.). Judges must carefully consider whether a whole trial order for an intermediary is justified (Winson, 2024). While judges generally allow special measures requests, refusal may occur (Majeed-Ariss et al., 2019).</w:t>
      </w:r>
    </w:p>
    <w:p w14:paraId="65085C5B" w14:textId="3DFE1BF8" w:rsidR="00F1341C" w:rsidRPr="00F1341C" w:rsidRDefault="00F1341C" w:rsidP="00F1341C">
      <w:pPr>
        <w:spacing w:line="360" w:lineRule="auto"/>
        <w:rPr>
          <w:rFonts w:ascii="Arial" w:hAnsi="Arial" w:cs="Arial"/>
        </w:rPr>
      </w:pPr>
      <w:r w:rsidRPr="00F1341C">
        <w:rPr>
          <w:rFonts w:ascii="Arial" w:hAnsi="Arial" w:cs="Arial"/>
        </w:rPr>
        <w:t xml:space="preserve">In the context of Operation </w:t>
      </w:r>
      <w:proofErr w:type="spellStart"/>
      <w:r w:rsidRPr="00F1341C">
        <w:rPr>
          <w:rFonts w:ascii="Arial" w:hAnsi="Arial" w:cs="Arial"/>
        </w:rPr>
        <w:t>Exacum</w:t>
      </w:r>
      <w:proofErr w:type="spellEnd"/>
      <w:r w:rsidRPr="00F1341C">
        <w:rPr>
          <w:rFonts w:ascii="Arial" w:hAnsi="Arial" w:cs="Arial"/>
        </w:rPr>
        <w:t xml:space="preserve">, the use of special measures was </w:t>
      </w:r>
      <w:r w:rsidR="00880201">
        <w:rPr>
          <w:rFonts w:ascii="Arial" w:hAnsi="Arial" w:cs="Arial"/>
        </w:rPr>
        <w:t xml:space="preserve">non-existent </w:t>
      </w:r>
      <w:r w:rsidRPr="00F1341C">
        <w:rPr>
          <w:rFonts w:ascii="Arial" w:hAnsi="Arial" w:cs="Arial"/>
        </w:rPr>
        <w:t xml:space="preserve">due to the nature of the investigation and the reluctance of </w:t>
      </w:r>
      <w:r w:rsidR="00880201">
        <w:rPr>
          <w:rFonts w:ascii="Arial" w:hAnsi="Arial" w:cs="Arial"/>
        </w:rPr>
        <w:t>the v</w:t>
      </w:r>
      <w:r w:rsidRPr="00F1341C">
        <w:rPr>
          <w:rFonts w:ascii="Arial" w:hAnsi="Arial" w:cs="Arial"/>
        </w:rPr>
        <w:t>ictims and witnesses to engage with the criminal justice process. The</w:t>
      </w:r>
      <w:r w:rsidR="00880201">
        <w:rPr>
          <w:rFonts w:ascii="Arial" w:hAnsi="Arial" w:cs="Arial"/>
        </w:rPr>
        <w:t>ir</w:t>
      </w:r>
      <w:r w:rsidRPr="00F1341C">
        <w:rPr>
          <w:rFonts w:ascii="Arial" w:hAnsi="Arial" w:cs="Arial"/>
        </w:rPr>
        <w:t xml:space="preserve"> fear and distrust of law enforcement, as well as the cultural barriers posed by "Besa"</w:t>
      </w:r>
      <w:r w:rsidR="00EE31CD">
        <w:rPr>
          <w:rFonts w:ascii="Arial" w:hAnsi="Arial" w:cs="Arial"/>
        </w:rPr>
        <w:t>,</w:t>
      </w:r>
      <w:r w:rsidRPr="00F1341C">
        <w:rPr>
          <w:rFonts w:ascii="Arial" w:hAnsi="Arial" w:cs="Arial"/>
        </w:rPr>
        <w:t xml:space="preserve"> made it challenging for me to persuade vulnerable individuals to testify in court, even with the availability of special measures (Journal of Identity and Migration Studies RCIMI, 2013; Kosovo Online, 2024). This highlights the need for a more proactive and culturally sensitive approach to building trust and rapport with vulnerable communities to encourage their participation in the legal process (Atkinson-Sheppard et al., 2023).</w:t>
      </w:r>
    </w:p>
    <w:p w14:paraId="4C4E4E15" w14:textId="77777777" w:rsidR="00F1341C" w:rsidRDefault="00F1341C" w:rsidP="00F1341C">
      <w:pPr>
        <w:spacing w:line="360" w:lineRule="auto"/>
        <w:rPr>
          <w:rFonts w:ascii="Arial" w:hAnsi="Arial" w:cs="Arial"/>
          <w:b/>
          <w:bCs/>
        </w:rPr>
      </w:pPr>
      <w:r w:rsidRPr="00F1341C">
        <w:rPr>
          <w:rFonts w:ascii="Arial" w:hAnsi="Arial" w:cs="Arial"/>
          <w:b/>
          <w:bCs/>
        </w:rPr>
        <w:t xml:space="preserve">Intermediaries </w:t>
      </w:r>
    </w:p>
    <w:p w14:paraId="0CCC05C0" w14:textId="3630C0AF" w:rsidR="00F1341C" w:rsidRPr="00F1341C" w:rsidRDefault="00F1341C" w:rsidP="00F1341C">
      <w:pPr>
        <w:spacing w:line="360" w:lineRule="auto"/>
        <w:rPr>
          <w:rFonts w:ascii="Arial" w:hAnsi="Arial" w:cs="Arial"/>
        </w:rPr>
      </w:pPr>
      <w:r w:rsidRPr="00F1341C">
        <w:rPr>
          <w:rFonts w:ascii="Arial" w:hAnsi="Arial" w:cs="Arial"/>
        </w:rPr>
        <w:t>Registered Intermediaries (RIs) assist vulnerable witnesses in communicating during police interviews and court proceedings, helping to overcome communication barriers and ensure the witness's evidence is accurately understood. However, using RIs can be costly</w:t>
      </w:r>
      <w:r w:rsidR="00EE31CD">
        <w:rPr>
          <w:rFonts w:ascii="Arial" w:hAnsi="Arial" w:cs="Arial"/>
        </w:rPr>
        <w:t xml:space="preserve"> and </w:t>
      </w:r>
      <w:r w:rsidRPr="00F1341C">
        <w:rPr>
          <w:rFonts w:ascii="Arial" w:hAnsi="Arial" w:cs="Arial"/>
        </w:rPr>
        <w:t>time-consuming and may lead to trial delays due to limited availability. Defendants are not statutorily eligible for intermediaries under the Youth Justice Criminal Evidence Act 1999, but courts have allowed their use to ensure fair trials (CPS, 2023).</w:t>
      </w:r>
    </w:p>
    <w:p w14:paraId="0A053F71" w14:textId="0B0B4A84" w:rsidR="00F1341C" w:rsidRPr="00F1341C" w:rsidRDefault="00F1341C" w:rsidP="00F1341C">
      <w:pPr>
        <w:spacing w:line="360" w:lineRule="auto"/>
        <w:rPr>
          <w:rFonts w:ascii="Arial" w:hAnsi="Arial" w:cs="Arial"/>
        </w:rPr>
      </w:pPr>
      <w:r w:rsidRPr="00F1341C">
        <w:rPr>
          <w:rFonts w:ascii="Arial" w:hAnsi="Arial" w:cs="Arial"/>
        </w:rPr>
        <w:lastRenderedPageBreak/>
        <w:t xml:space="preserve">Trafficking victims' evidence weaknesses can often be shown without cross-examination. The prosecution must prove to a criminal standard that the witness is afraid and that this fear prevents them from testifying. </w:t>
      </w:r>
      <w:proofErr w:type="gramStart"/>
      <w:r w:rsidRPr="00F1341C">
        <w:rPr>
          <w:rFonts w:ascii="Arial" w:hAnsi="Arial" w:cs="Arial"/>
        </w:rPr>
        <w:t>This high standard risks</w:t>
      </w:r>
      <w:proofErr w:type="gramEnd"/>
      <w:r w:rsidRPr="00F1341C">
        <w:rPr>
          <w:rFonts w:ascii="Arial" w:hAnsi="Arial" w:cs="Arial"/>
        </w:rPr>
        <w:t xml:space="preserve"> prejudging the defendants' guilt (Ward and </w:t>
      </w:r>
      <w:proofErr w:type="spellStart"/>
      <w:r w:rsidRPr="00F1341C">
        <w:rPr>
          <w:rFonts w:ascii="Arial" w:hAnsi="Arial" w:cs="Arial"/>
        </w:rPr>
        <w:t>Fouladvand</w:t>
      </w:r>
      <w:proofErr w:type="spellEnd"/>
      <w:r w:rsidRPr="00F1341C">
        <w:rPr>
          <w:rFonts w:ascii="Arial" w:hAnsi="Arial" w:cs="Arial"/>
        </w:rPr>
        <w:t>, 2018).</w:t>
      </w:r>
    </w:p>
    <w:p w14:paraId="065F775E" w14:textId="4B36691E" w:rsidR="00F1341C" w:rsidRPr="00F1341C" w:rsidRDefault="00F1341C" w:rsidP="00F1341C">
      <w:pPr>
        <w:spacing w:line="360" w:lineRule="auto"/>
        <w:rPr>
          <w:rFonts w:ascii="Arial" w:hAnsi="Arial" w:cs="Arial"/>
        </w:rPr>
      </w:pPr>
      <w:r w:rsidRPr="00F1341C">
        <w:rPr>
          <w:rFonts w:ascii="Arial" w:hAnsi="Arial" w:cs="Arial"/>
        </w:rPr>
        <w:t xml:space="preserve">During Operation </w:t>
      </w:r>
      <w:proofErr w:type="spellStart"/>
      <w:r w:rsidRPr="00F1341C">
        <w:rPr>
          <w:rFonts w:ascii="Arial" w:hAnsi="Arial" w:cs="Arial"/>
        </w:rPr>
        <w:t>Exacum</w:t>
      </w:r>
      <w:proofErr w:type="spellEnd"/>
      <w:r w:rsidRPr="00F1341C">
        <w:rPr>
          <w:rFonts w:ascii="Arial" w:hAnsi="Arial" w:cs="Arial"/>
        </w:rPr>
        <w:t xml:space="preserve">, I considered the use of intermediaries to assist with communication barriers and ensure the accurate understanding of victim and witness evidence. However, </w:t>
      </w:r>
      <w:r w:rsidR="00880201">
        <w:rPr>
          <w:rFonts w:ascii="Arial" w:hAnsi="Arial" w:cs="Arial"/>
        </w:rPr>
        <w:t>due to guilty pleas being entered, intermediaries were not required.</w:t>
      </w:r>
      <w:r w:rsidRPr="00F1341C">
        <w:rPr>
          <w:rFonts w:ascii="Arial" w:hAnsi="Arial" w:cs="Arial"/>
        </w:rPr>
        <w:t xml:space="preserve"> Additionally, the cultural barriers posed by "Besa" and the distrust of law enforcement among the Albanian</w:t>
      </w:r>
      <w:r w:rsidR="00880201">
        <w:rPr>
          <w:rFonts w:ascii="Arial" w:hAnsi="Arial" w:cs="Arial"/>
        </w:rPr>
        <w:t xml:space="preserve">s I dealt with </w:t>
      </w:r>
      <w:r w:rsidRPr="00F1341C">
        <w:rPr>
          <w:rFonts w:ascii="Arial" w:hAnsi="Arial" w:cs="Arial"/>
        </w:rPr>
        <w:t xml:space="preserve">made it </w:t>
      </w:r>
      <w:r w:rsidR="00A36A15">
        <w:rPr>
          <w:rFonts w:ascii="Arial" w:hAnsi="Arial" w:cs="Arial"/>
        </w:rPr>
        <w:t xml:space="preserve">impossible </w:t>
      </w:r>
      <w:r w:rsidRPr="00F1341C">
        <w:rPr>
          <w:rFonts w:ascii="Arial" w:hAnsi="Arial" w:cs="Arial"/>
        </w:rPr>
        <w:t>for me to secure the cooperation of victims and witnesses</w:t>
      </w:r>
      <w:r w:rsidR="00A36A15">
        <w:rPr>
          <w:rFonts w:ascii="Arial" w:hAnsi="Arial" w:cs="Arial"/>
        </w:rPr>
        <w:t xml:space="preserve"> </w:t>
      </w:r>
      <w:r w:rsidRPr="00F1341C">
        <w:rPr>
          <w:rFonts w:ascii="Arial" w:hAnsi="Arial" w:cs="Arial"/>
        </w:rPr>
        <w:t>(Kosovo Online, 2024; Journal of Identity and Migration Studies RCIMI, 2013).</w:t>
      </w:r>
    </w:p>
    <w:p w14:paraId="3968011F" w14:textId="2ABF67CF" w:rsidR="00F1341C" w:rsidRDefault="00F1341C" w:rsidP="00F1341C">
      <w:pPr>
        <w:spacing w:line="360" w:lineRule="auto"/>
        <w:rPr>
          <w:rFonts w:ascii="Arial" w:hAnsi="Arial" w:cs="Arial"/>
          <w:b/>
          <w:bCs/>
        </w:rPr>
      </w:pPr>
      <w:r w:rsidRPr="00F1341C">
        <w:rPr>
          <w:rFonts w:ascii="Arial" w:hAnsi="Arial" w:cs="Arial"/>
          <w:b/>
          <w:bCs/>
        </w:rPr>
        <w:t xml:space="preserve">Multi-Agency Support </w:t>
      </w:r>
    </w:p>
    <w:p w14:paraId="17731629" w14:textId="26112092" w:rsidR="00F1341C" w:rsidRPr="00F1341C" w:rsidRDefault="00F1341C" w:rsidP="00F1341C">
      <w:pPr>
        <w:spacing w:line="360" w:lineRule="auto"/>
        <w:rPr>
          <w:rFonts w:ascii="Arial" w:hAnsi="Arial" w:cs="Arial"/>
        </w:rPr>
      </w:pPr>
      <w:r w:rsidRPr="00F1341C">
        <w:rPr>
          <w:rFonts w:ascii="Arial" w:hAnsi="Arial" w:cs="Arial"/>
        </w:rPr>
        <w:t>A joined-up multi-agency approach is vital to effectively supporting vulnerable victims and witnesses (Barton et al., 2018). Multi-agency support</w:t>
      </w:r>
      <w:r w:rsidR="00EE31CD">
        <w:rPr>
          <w:rFonts w:ascii="Arial" w:hAnsi="Arial" w:cs="Arial"/>
        </w:rPr>
        <w:t>,</w:t>
      </w:r>
      <w:r w:rsidRPr="00F1341C">
        <w:rPr>
          <w:rFonts w:ascii="Arial" w:hAnsi="Arial" w:cs="Arial"/>
        </w:rPr>
        <w:t xml:space="preserve"> </w:t>
      </w:r>
      <w:r w:rsidR="00DF210D">
        <w:rPr>
          <w:rFonts w:ascii="Arial" w:hAnsi="Arial" w:cs="Arial"/>
        </w:rPr>
        <w:t xml:space="preserve">such as the recently introduced </w:t>
      </w:r>
      <w:r w:rsidR="00DF210D" w:rsidRPr="00DF210D">
        <w:rPr>
          <w:rFonts w:ascii="Arial" w:hAnsi="Arial" w:cs="Arial"/>
        </w:rPr>
        <w:t>Right Care, Right Person (RCRP)</w:t>
      </w:r>
      <w:r w:rsidR="00DF210D">
        <w:rPr>
          <w:rFonts w:ascii="Arial" w:hAnsi="Arial" w:cs="Arial"/>
        </w:rPr>
        <w:t xml:space="preserve"> approach, </w:t>
      </w:r>
      <w:r w:rsidRPr="00F1341C">
        <w:rPr>
          <w:rFonts w:ascii="Arial" w:hAnsi="Arial" w:cs="Arial"/>
        </w:rPr>
        <w:t>can help address various obstacles, including lack of understanding of the legal system, fear, and mental health issues, by providing comprehensive and tailored assistance to vulnerable individuals</w:t>
      </w:r>
      <w:r w:rsidR="00DF210D">
        <w:rPr>
          <w:rFonts w:ascii="Arial" w:hAnsi="Arial" w:cs="Arial"/>
        </w:rPr>
        <w:t xml:space="preserve"> </w:t>
      </w:r>
      <w:r w:rsidR="00DF210D" w:rsidRPr="00DF210D">
        <w:rPr>
          <w:rFonts w:ascii="Arial" w:hAnsi="Arial" w:cs="Arial"/>
        </w:rPr>
        <w:t>(Crawford, 2024)</w:t>
      </w:r>
      <w:r w:rsidR="00DF210D">
        <w:rPr>
          <w:rFonts w:ascii="Arial" w:hAnsi="Arial" w:cs="Arial"/>
        </w:rPr>
        <w:t>.</w:t>
      </w:r>
    </w:p>
    <w:p w14:paraId="3525E189" w14:textId="7A1B3D81" w:rsidR="00F1341C" w:rsidRPr="00F1341C" w:rsidRDefault="00F1341C" w:rsidP="00F1341C">
      <w:pPr>
        <w:spacing w:line="360" w:lineRule="auto"/>
        <w:rPr>
          <w:rFonts w:ascii="Arial" w:hAnsi="Arial" w:cs="Arial"/>
        </w:rPr>
      </w:pPr>
      <w:r w:rsidRPr="00F1341C">
        <w:rPr>
          <w:rFonts w:ascii="Arial" w:hAnsi="Arial" w:cs="Arial"/>
        </w:rPr>
        <w:t>Forbes et al. (2023) demonstrate the value of hospital-based Independent Domestic Violence Advisor (IDVA) programmes in improving outcomes for domestic violence and abuse (DVA) survivors, emphasising the need for sustainable funding and staff training through joint local DVA services and Integrated Care Boards. These programmes can help overcome barriers to reporting abuse and seeking support by providing accessible, trauma-informed assistance within a healthcare setting.</w:t>
      </w:r>
    </w:p>
    <w:p w14:paraId="094A18EB" w14:textId="02136E1C" w:rsidR="00F1341C" w:rsidRPr="00F1341C" w:rsidRDefault="00F1341C" w:rsidP="00F1341C">
      <w:pPr>
        <w:spacing w:line="360" w:lineRule="auto"/>
        <w:rPr>
          <w:rFonts w:ascii="Arial" w:hAnsi="Arial" w:cs="Arial"/>
        </w:rPr>
      </w:pPr>
      <w:r w:rsidRPr="00F1341C">
        <w:rPr>
          <w:rFonts w:ascii="Arial" w:hAnsi="Arial" w:cs="Arial"/>
        </w:rPr>
        <w:t xml:space="preserve">The challenges I encountered during Operation </w:t>
      </w:r>
      <w:proofErr w:type="spellStart"/>
      <w:r w:rsidRPr="00F1341C">
        <w:rPr>
          <w:rFonts w:ascii="Arial" w:hAnsi="Arial" w:cs="Arial"/>
        </w:rPr>
        <w:t>Exacum</w:t>
      </w:r>
      <w:proofErr w:type="spellEnd"/>
      <w:r w:rsidRPr="00F1341C">
        <w:rPr>
          <w:rFonts w:ascii="Arial" w:hAnsi="Arial" w:cs="Arial"/>
        </w:rPr>
        <w:t xml:space="preserve"> underscore the importance of a multi-agency approach in supporting vulnerable victims and witnesses. Collaboration between law enforcement, social services, and community organi</w:t>
      </w:r>
      <w:r w:rsidR="00880201">
        <w:rPr>
          <w:rFonts w:ascii="Arial" w:hAnsi="Arial" w:cs="Arial"/>
        </w:rPr>
        <w:t>s</w:t>
      </w:r>
      <w:r w:rsidRPr="00F1341C">
        <w:rPr>
          <w:rFonts w:ascii="Arial" w:hAnsi="Arial" w:cs="Arial"/>
        </w:rPr>
        <w:t xml:space="preserve">ations </w:t>
      </w:r>
      <w:r w:rsidR="00272093">
        <w:rPr>
          <w:rFonts w:ascii="Arial" w:hAnsi="Arial" w:cs="Arial"/>
        </w:rPr>
        <w:t>is</w:t>
      </w:r>
      <w:r w:rsidRPr="00F1341C">
        <w:rPr>
          <w:rFonts w:ascii="Arial" w:hAnsi="Arial" w:cs="Arial"/>
        </w:rPr>
        <w:t xml:space="preserve"> crucial in identifying and assisting victims of trafficking and exploitation (Barton et al., 2018). However, the cultural barriers and distrust of </w:t>
      </w:r>
      <w:r w:rsidR="00272093">
        <w:rPr>
          <w:rFonts w:ascii="Arial" w:hAnsi="Arial" w:cs="Arial"/>
        </w:rPr>
        <w:t xml:space="preserve">law enforcement </w:t>
      </w:r>
      <w:r w:rsidRPr="00F1341C">
        <w:rPr>
          <w:rFonts w:ascii="Arial" w:hAnsi="Arial" w:cs="Arial"/>
        </w:rPr>
        <w:t xml:space="preserve">among the Albanian </w:t>
      </w:r>
      <w:r w:rsidR="00A36A15">
        <w:rPr>
          <w:rFonts w:ascii="Arial" w:hAnsi="Arial" w:cs="Arial"/>
        </w:rPr>
        <w:t xml:space="preserve">nationals I dealt with </w:t>
      </w:r>
      <w:r w:rsidRPr="00F1341C">
        <w:rPr>
          <w:rFonts w:ascii="Arial" w:hAnsi="Arial" w:cs="Arial"/>
        </w:rPr>
        <w:t xml:space="preserve">highlighted </w:t>
      </w:r>
      <w:r w:rsidR="00A36A15">
        <w:rPr>
          <w:rFonts w:ascii="Arial" w:hAnsi="Arial" w:cs="Arial"/>
        </w:rPr>
        <w:t xml:space="preserve">to me </w:t>
      </w:r>
      <w:r w:rsidRPr="00F1341C">
        <w:rPr>
          <w:rFonts w:ascii="Arial" w:hAnsi="Arial" w:cs="Arial"/>
        </w:rPr>
        <w:t xml:space="preserve">the need for more culturally sensitive and trauma-informed support services (Journal of Identity and Migration Studies RCIMI, 2013). Engaging with community leaders and building trust through a more proactive and compassionate </w:t>
      </w:r>
      <w:r w:rsidRPr="00F1341C">
        <w:rPr>
          <w:rFonts w:ascii="Arial" w:hAnsi="Arial" w:cs="Arial"/>
        </w:rPr>
        <w:lastRenderedPageBreak/>
        <w:t>approach could help overcome th</w:t>
      </w:r>
      <w:r w:rsidR="00A36A15">
        <w:rPr>
          <w:rFonts w:ascii="Arial" w:hAnsi="Arial" w:cs="Arial"/>
        </w:rPr>
        <w:t>o</w:t>
      </w:r>
      <w:r w:rsidRPr="00F1341C">
        <w:rPr>
          <w:rFonts w:ascii="Arial" w:hAnsi="Arial" w:cs="Arial"/>
        </w:rPr>
        <w:t>se obstacles and ensure that vulnerable individuals receive the support they need (Atkinson-Sheppard et al., 2023).</w:t>
      </w:r>
    </w:p>
    <w:p w14:paraId="6F1E8652" w14:textId="77777777" w:rsidR="00F1341C" w:rsidRDefault="00F1341C" w:rsidP="00F1341C">
      <w:pPr>
        <w:spacing w:line="360" w:lineRule="auto"/>
        <w:rPr>
          <w:rFonts w:ascii="Arial" w:hAnsi="Arial" w:cs="Arial"/>
          <w:b/>
          <w:bCs/>
        </w:rPr>
      </w:pPr>
      <w:r w:rsidRPr="00F1341C">
        <w:rPr>
          <w:rFonts w:ascii="Arial" w:hAnsi="Arial" w:cs="Arial"/>
          <w:b/>
          <w:bCs/>
        </w:rPr>
        <w:t xml:space="preserve">Conclusion </w:t>
      </w:r>
    </w:p>
    <w:p w14:paraId="7AAAA22B" w14:textId="322C78AE" w:rsidR="00F1341C" w:rsidRPr="00F1341C" w:rsidRDefault="00F1341C" w:rsidP="00F1341C">
      <w:pPr>
        <w:spacing w:line="360" w:lineRule="auto"/>
        <w:rPr>
          <w:rFonts w:ascii="Arial" w:hAnsi="Arial" w:cs="Arial"/>
        </w:rPr>
      </w:pPr>
      <w:r w:rsidRPr="00F1341C">
        <w:rPr>
          <w:rFonts w:ascii="Arial" w:hAnsi="Arial" w:cs="Arial"/>
        </w:rPr>
        <w:t xml:space="preserve">In conclusion, my critical evaluation of the effectiveness of investigative methods and legal processes in supporting vulnerable victims and witnesses, informed by my experiences in Operation </w:t>
      </w:r>
      <w:proofErr w:type="spellStart"/>
      <w:r w:rsidRPr="00F1341C">
        <w:rPr>
          <w:rFonts w:ascii="Arial" w:hAnsi="Arial" w:cs="Arial"/>
        </w:rPr>
        <w:t>Exacum</w:t>
      </w:r>
      <w:proofErr w:type="spellEnd"/>
      <w:r w:rsidRPr="00F1341C">
        <w:rPr>
          <w:rFonts w:ascii="Arial" w:hAnsi="Arial" w:cs="Arial"/>
        </w:rPr>
        <w:t>, reveals both strengths and limitations. ABE interviews, special measures, intermediaries, and multi-agency support can help overcome obstacles such as fear, communication barriers, and lack of understanding of the legal system. However, issues such as inadequate training, limited resources, and cultural barriers can hinder their effectiveness.</w:t>
      </w:r>
    </w:p>
    <w:p w14:paraId="7F1C51AA" w14:textId="292726EB" w:rsidR="00F1341C" w:rsidRPr="00F1341C" w:rsidRDefault="00F1341C" w:rsidP="00F1341C">
      <w:pPr>
        <w:spacing w:line="360" w:lineRule="auto"/>
        <w:rPr>
          <w:rFonts w:ascii="Arial" w:hAnsi="Arial" w:cs="Arial"/>
        </w:rPr>
      </w:pPr>
      <w:r w:rsidRPr="00F1341C">
        <w:rPr>
          <w:rFonts w:ascii="Arial" w:hAnsi="Arial" w:cs="Arial"/>
        </w:rPr>
        <w:t xml:space="preserve">The challenges I encountered during Operation </w:t>
      </w:r>
      <w:proofErr w:type="spellStart"/>
      <w:r w:rsidRPr="00F1341C">
        <w:rPr>
          <w:rFonts w:ascii="Arial" w:hAnsi="Arial" w:cs="Arial"/>
        </w:rPr>
        <w:t>Exacum</w:t>
      </w:r>
      <w:proofErr w:type="spellEnd"/>
      <w:r w:rsidRPr="00F1341C">
        <w:rPr>
          <w:rFonts w:ascii="Arial" w:hAnsi="Arial" w:cs="Arial"/>
        </w:rPr>
        <w:t>, particularly in relation to the Albanian community's distrust of authorities and the influence of "Besa"</w:t>
      </w:r>
      <w:r w:rsidR="00EE31CD">
        <w:rPr>
          <w:rFonts w:ascii="Arial" w:hAnsi="Arial" w:cs="Arial"/>
        </w:rPr>
        <w:t>,</w:t>
      </w:r>
      <w:r w:rsidRPr="00F1341C">
        <w:rPr>
          <w:rFonts w:ascii="Arial" w:hAnsi="Arial" w:cs="Arial"/>
        </w:rPr>
        <w:t xml:space="preserve"> highlight the need for a more culturally sensitive and trauma-informed approach to supporting vulnerable individuals. By prioritising training for investigators, increasing access to special measures and intermediaries, and fostering stronger multi-agency collaboration, we can work towards more effectively supporting vulnerable victims and witnesses in their pursuit of justice.</w:t>
      </w:r>
    </w:p>
    <w:p w14:paraId="7C75E54F" w14:textId="0170ED7A" w:rsidR="00F1341C" w:rsidRPr="00F1341C" w:rsidRDefault="00F1341C" w:rsidP="00F1341C">
      <w:pPr>
        <w:spacing w:line="360" w:lineRule="auto"/>
        <w:rPr>
          <w:rFonts w:ascii="Arial" w:hAnsi="Arial" w:cs="Arial"/>
        </w:rPr>
      </w:pPr>
      <w:r w:rsidRPr="00F1341C">
        <w:rPr>
          <w:rFonts w:ascii="Arial" w:hAnsi="Arial" w:cs="Arial"/>
        </w:rPr>
        <w:t xml:space="preserve">Ultimately, overcoming the obstacles faced by vulnerable individuals in the criminal justice system requires a sustained, multi-faceted effort that </w:t>
      </w:r>
      <w:r w:rsidR="00880201" w:rsidRPr="00F1341C">
        <w:rPr>
          <w:rFonts w:ascii="Arial" w:hAnsi="Arial" w:cs="Arial"/>
        </w:rPr>
        <w:t>considers</w:t>
      </w:r>
      <w:r w:rsidRPr="00F1341C">
        <w:rPr>
          <w:rFonts w:ascii="Arial" w:hAnsi="Arial" w:cs="Arial"/>
        </w:rPr>
        <w:t xml:space="preserve"> the unique cultural, social, and psychological factors at play. By continually refining our investigative methods and legal processes, and by prioritising the needs and well-being of vulnerable victims and witnesses, we can create a more inclusive and supportive criminal justice system that ensures equal access to justice for all.</w:t>
      </w:r>
    </w:p>
    <w:p w14:paraId="30B05181" w14:textId="2E3813A9" w:rsidR="00F1341C" w:rsidRDefault="00A36A15" w:rsidP="00B539B7">
      <w:pPr>
        <w:spacing w:line="360" w:lineRule="auto"/>
        <w:rPr>
          <w:rFonts w:ascii="Arial" w:hAnsi="Arial" w:cs="Arial"/>
          <w:b/>
          <w:bCs/>
        </w:rPr>
      </w:pPr>
      <w:r>
        <w:rPr>
          <w:rFonts w:ascii="Arial" w:hAnsi="Arial" w:cs="Arial"/>
          <w:b/>
          <w:bCs/>
        </w:rPr>
        <w:t>Words – 1,</w:t>
      </w:r>
      <w:r w:rsidR="004121E1">
        <w:rPr>
          <w:rFonts w:ascii="Arial" w:hAnsi="Arial" w:cs="Arial"/>
          <w:b/>
          <w:bCs/>
        </w:rPr>
        <w:t>28</w:t>
      </w:r>
      <w:r w:rsidR="00EE31CD">
        <w:rPr>
          <w:rFonts w:ascii="Arial" w:hAnsi="Arial" w:cs="Arial"/>
          <w:b/>
          <w:bCs/>
        </w:rPr>
        <w:t>9</w:t>
      </w:r>
    </w:p>
    <w:p w14:paraId="69C2F74A" w14:textId="004E0D64" w:rsidR="00AB6393" w:rsidRPr="00B539B7" w:rsidRDefault="00B539B7" w:rsidP="00AB6393">
      <w:pPr>
        <w:pStyle w:val="EndNoteBibliography"/>
        <w:spacing w:after="0" w:line="360" w:lineRule="auto"/>
        <w:ind w:left="720" w:hanging="720"/>
        <w:rPr>
          <w:rFonts w:ascii="Arial" w:hAnsi="Arial" w:cs="Arial"/>
          <w:b/>
          <w:bCs/>
          <w:color w:val="000000" w:themeColor="text1"/>
          <w:lang w:val="en-GB"/>
        </w:rPr>
      </w:pPr>
      <w:r w:rsidRPr="00B539B7">
        <w:rPr>
          <w:rFonts w:ascii="Arial" w:hAnsi="Arial" w:cs="Arial"/>
          <w:b/>
          <w:bCs/>
          <w:color w:val="000000" w:themeColor="text1"/>
          <w:lang w:val="en-GB"/>
        </w:rPr>
        <w:t>Reference</w:t>
      </w:r>
    </w:p>
    <w:p w14:paraId="3B66BD6A" w14:textId="77777777" w:rsidR="00F82D8B" w:rsidRDefault="00F82D8B" w:rsidP="00B539B7">
      <w:pPr>
        <w:spacing w:line="360" w:lineRule="auto"/>
        <w:rPr>
          <w:rFonts w:ascii="Arial" w:eastAsia="Arial" w:hAnsi="Arial" w:cs="Arial"/>
        </w:rPr>
      </w:pPr>
    </w:p>
    <w:p w14:paraId="01B5DB2D" w14:textId="07C55733" w:rsidR="00F82D8B" w:rsidRDefault="00F82D8B" w:rsidP="00B539B7">
      <w:pPr>
        <w:spacing w:line="360" w:lineRule="auto"/>
        <w:rPr>
          <w:rFonts w:ascii="Arial" w:eastAsia="Arial" w:hAnsi="Arial" w:cs="Arial"/>
        </w:rPr>
      </w:pPr>
      <w:r w:rsidRPr="00F82D8B">
        <w:rPr>
          <w:rFonts w:ascii="Arial" w:eastAsia="Arial" w:hAnsi="Arial" w:cs="Arial"/>
        </w:rPr>
        <w:t xml:space="preserve">Barton, E.R., </w:t>
      </w:r>
      <w:proofErr w:type="spellStart"/>
      <w:r w:rsidRPr="00F82D8B">
        <w:rPr>
          <w:rFonts w:ascii="Arial" w:eastAsia="Arial" w:hAnsi="Arial" w:cs="Arial"/>
        </w:rPr>
        <w:t>Bezeczky</w:t>
      </w:r>
      <w:proofErr w:type="spellEnd"/>
      <w:r w:rsidRPr="00F82D8B">
        <w:rPr>
          <w:rFonts w:ascii="Arial" w:eastAsia="Arial" w:hAnsi="Arial" w:cs="Arial"/>
        </w:rPr>
        <w:t xml:space="preserve">, Z., Newbury, A. and Roberts, J., </w:t>
      </w:r>
      <w:r>
        <w:rPr>
          <w:rFonts w:ascii="Arial" w:eastAsia="Arial" w:hAnsi="Arial" w:cs="Arial"/>
        </w:rPr>
        <w:t>(</w:t>
      </w:r>
      <w:r w:rsidRPr="00F82D8B">
        <w:rPr>
          <w:rFonts w:ascii="Arial" w:eastAsia="Arial" w:hAnsi="Arial" w:cs="Arial"/>
        </w:rPr>
        <w:t>2018</w:t>
      </w:r>
      <w:r>
        <w:rPr>
          <w:rFonts w:ascii="Arial" w:eastAsia="Arial" w:hAnsi="Arial" w:cs="Arial"/>
        </w:rPr>
        <w:t>)</w:t>
      </w:r>
      <w:r w:rsidRPr="00F82D8B">
        <w:rPr>
          <w:rFonts w:ascii="Arial" w:eastAsia="Arial" w:hAnsi="Arial" w:cs="Arial"/>
        </w:rPr>
        <w:t> </w:t>
      </w:r>
      <w:r w:rsidRPr="00F82D8B">
        <w:rPr>
          <w:rFonts w:ascii="Arial" w:eastAsia="Arial" w:hAnsi="Arial" w:cs="Arial"/>
          <w:i/>
          <w:iCs/>
        </w:rPr>
        <w:t>Evaluation of a structured multi-agency, early intervention approach to vulnerability with neighbourhood policing teams</w:t>
      </w:r>
      <w:r w:rsidRPr="00F82D8B">
        <w:rPr>
          <w:rFonts w:ascii="Arial" w:eastAsia="Arial" w:hAnsi="Arial" w:cs="Arial"/>
        </w:rPr>
        <w:t>. Public Health Wales.</w:t>
      </w:r>
    </w:p>
    <w:p w14:paraId="70725423" w14:textId="77777777" w:rsidR="00F82D8B" w:rsidRDefault="00F82D8B" w:rsidP="00B539B7">
      <w:pPr>
        <w:spacing w:line="360" w:lineRule="auto"/>
        <w:rPr>
          <w:rFonts w:ascii="Arial" w:eastAsia="Arial" w:hAnsi="Arial" w:cs="Arial"/>
        </w:rPr>
      </w:pPr>
    </w:p>
    <w:p w14:paraId="1C7BFCE6" w14:textId="27C03DEC" w:rsidR="00B539B7" w:rsidRPr="00B76439" w:rsidRDefault="00B539B7" w:rsidP="00B539B7">
      <w:pPr>
        <w:spacing w:line="360" w:lineRule="auto"/>
        <w:rPr>
          <w:rFonts w:ascii="Arial" w:eastAsia="Arial" w:hAnsi="Arial" w:cs="Arial"/>
        </w:rPr>
      </w:pPr>
      <w:proofErr w:type="spellStart"/>
      <w:r w:rsidRPr="00B76439">
        <w:rPr>
          <w:rFonts w:ascii="Arial" w:eastAsia="Arial" w:hAnsi="Arial" w:cs="Arial"/>
        </w:rPr>
        <w:t>Beckene</w:t>
      </w:r>
      <w:proofErr w:type="spellEnd"/>
      <w:r w:rsidRPr="00B76439">
        <w:rPr>
          <w:rFonts w:ascii="Arial" w:eastAsia="Arial" w:hAnsi="Arial" w:cs="Arial"/>
        </w:rPr>
        <w:t>, T., Forrester</w:t>
      </w:r>
      <w:r w:rsidRPr="00B76439">
        <w:rPr>
          <w:rFonts w:ascii="Cambria Math" w:eastAsia="Arial" w:hAnsi="Cambria Math" w:cs="Cambria Math"/>
        </w:rPr>
        <w:t>‐</w:t>
      </w:r>
      <w:r w:rsidRPr="00B76439">
        <w:rPr>
          <w:rFonts w:ascii="Arial" w:eastAsia="Arial" w:hAnsi="Arial" w:cs="Arial"/>
        </w:rPr>
        <w:t>Jones, R. and Murphy, G.H. (2017) Experiences of going to court: Witnesses with intellectual disabilities and their carers speak up. </w:t>
      </w:r>
      <w:r w:rsidRPr="00B76439">
        <w:rPr>
          <w:rFonts w:ascii="Arial" w:eastAsia="Arial" w:hAnsi="Arial" w:cs="Arial"/>
          <w:i/>
          <w:iCs/>
        </w:rPr>
        <w:t>Journal of Applied Research in Intellectual Disabilities</w:t>
      </w:r>
      <w:r w:rsidRPr="00B76439">
        <w:rPr>
          <w:rFonts w:ascii="Arial" w:eastAsia="Arial" w:hAnsi="Arial" w:cs="Arial"/>
        </w:rPr>
        <w:t xml:space="preserve">, 33(1), pp.67–78. </w:t>
      </w:r>
      <w:proofErr w:type="spellStart"/>
      <w:proofErr w:type="gramStart"/>
      <w:r w:rsidRPr="00B76439">
        <w:rPr>
          <w:rFonts w:ascii="Arial" w:eastAsia="Arial" w:hAnsi="Arial" w:cs="Arial"/>
        </w:rPr>
        <w:t>doi:https</w:t>
      </w:r>
      <w:proofErr w:type="spellEnd"/>
      <w:r w:rsidRPr="00B76439">
        <w:rPr>
          <w:rFonts w:ascii="Arial" w:eastAsia="Arial" w:hAnsi="Arial" w:cs="Arial"/>
        </w:rPr>
        <w:t>://doi.org/10.1111/jar.12334</w:t>
      </w:r>
      <w:proofErr w:type="gramEnd"/>
      <w:r w:rsidRPr="00B76439">
        <w:rPr>
          <w:rFonts w:ascii="Arial" w:eastAsia="Arial" w:hAnsi="Arial" w:cs="Arial"/>
        </w:rPr>
        <w:t>.</w:t>
      </w:r>
    </w:p>
    <w:p w14:paraId="5BA1D3F4" w14:textId="77777777" w:rsidR="00B539B7" w:rsidRDefault="00B539B7" w:rsidP="00B539B7">
      <w:pPr>
        <w:spacing w:line="360" w:lineRule="auto"/>
        <w:rPr>
          <w:rFonts w:ascii="Arial" w:eastAsia="Arial" w:hAnsi="Arial" w:cs="Arial"/>
        </w:rPr>
      </w:pPr>
    </w:p>
    <w:p w14:paraId="6A4D0DA8" w14:textId="77777777" w:rsidR="00B539B7" w:rsidRPr="00670FE2" w:rsidRDefault="00B539B7" w:rsidP="00B539B7">
      <w:pPr>
        <w:spacing w:line="360" w:lineRule="auto"/>
        <w:rPr>
          <w:rFonts w:ascii="Arial" w:eastAsia="Arial" w:hAnsi="Arial" w:cs="Arial"/>
        </w:rPr>
      </w:pPr>
      <w:r w:rsidRPr="00670FE2">
        <w:rPr>
          <w:rFonts w:ascii="Arial" w:eastAsia="Arial" w:hAnsi="Arial" w:cs="Arial"/>
        </w:rPr>
        <w:t>Burton, M., Evans, R. and Sanders, A. (2007) Vulnerable and Intimidated Witnesses and the Adversarial Process in England and Wales. </w:t>
      </w:r>
      <w:r w:rsidRPr="00670FE2">
        <w:rPr>
          <w:rFonts w:ascii="Arial" w:eastAsia="Arial" w:hAnsi="Arial" w:cs="Arial"/>
          <w:i/>
          <w:iCs/>
        </w:rPr>
        <w:t>The International Journal of Evidence &amp; Proof</w:t>
      </w:r>
      <w:r w:rsidRPr="00670FE2">
        <w:rPr>
          <w:rFonts w:ascii="Arial" w:eastAsia="Arial" w:hAnsi="Arial" w:cs="Arial"/>
        </w:rPr>
        <w:t xml:space="preserve">, [online] 11(1), pp.1–23. </w:t>
      </w:r>
      <w:proofErr w:type="spellStart"/>
      <w:proofErr w:type="gramStart"/>
      <w:r w:rsidRPr="00670FE2">
        <w:rPr>
          <w:rFonts w:ascii="Arial" w:eastAsia="Arial" w:hAnsi="Arial" w:cs="Arial"/>
        </w:rPr>
        <w:t>doi:https</w:t>
      </w:r>
      <w:proofErr w:type="spellEnd"/>
      <w:r w:rsidRPr="00670FE2">
        <w:rPr>
          <w:rFonts w:ascii="Arial" w:eastAsia="Arial" w:hAnsi="Arial" w:cs="Arial"/>
        </w:rPr>
        <w:t>://doi.org/10.1350/ijep.2006.11.1.1</w:t>
      </w:r>
      <w:proofErr w:type="gramEnd"/>
      <w:r w:rsidRPr="00670FE2">
        <w:rPr>
          <w:rFonts w:ascii="Arial" w:eastAsia="Arial" w:hAnsi="Arial" w:cs="Arial"/>
        </w:rPr>
        <w:t>.</w:t>
      </w:r>
    </w:p>
    <w:p w14:paraId="2911D3F4" w14:textId="77777777" w:rsidR="00B539B7" w:rsidRDefault="00B539B7" w:rsidP="00B539B7">
      <w:pPr>
        <w:spacing w:line="360" w:lineRule="auto"/>
        <w:rPr>
          <w:rFonts w:ascii="Arial" w:eastAsia="Arial" w:hAnsi="Arial" w:cs="Arial"/>
        </w:rPr>
      </w:pPr>
    </w:p>
    <w:p w14:paraId="2BFCFD07" w14:textId="77777777" w:rsidR="00B539B7" w:rsidRPr="00670FE2" w:rsidRDefault="00B539B7" w:rsidP="00B539B7">
      <w:pPr>
        <w:spacing w:line="360" w:lineRule="auto"/>
        <w:rPr>
          <w:rFonts w:ascii="Arial" w:eastAsia="Arial" w:hAnsi="Arial" w:cs="Arial"/>
        </w:rPr>
      </w:pPr>
      <w:r w:rsidRPr="00670FE2">
        <w:rPr>
          <w:rFonts w:ascii="Arial" w:eastAsia="Arial" w:hAnsi="Arial" w:cs="Arial"/>
        </w:rPr>
        <w:t>Cooper, P. (n.d.) </w:t>
      </w:r>
      <w:r w:rsidRPr="00670FE2">
        <w:rPr>
          <w:rFonts w:ascii="Arial" w:eastAsia="Arial" w:hAnsi="Arial" w:cs="Arial"/>
          <w:i/>
          <w:iCs/>
        </w:rPr>
        <w:t xml:space="preserve">Speaking when they are spoken </w:t>
      </w:r>
      <w:proofErr w:type="gramStart"/>
      <w:r w:rsidRPr="00670FE2">
        <w:rPr>
          <w:rFonts w:ascii="Arial" w:eastAsia="Arial" w:hAnsi="Arial" w:cs="Arial"/>
          <w:i/>
          <w:iCs/>
        </w:rPr>
        <w:t>to:</w:t>
      </w:r>
      <w:proofErr w:type="gramEnd"/>
      <w:r w:rsidRPr="00670FE2">
        <w:rPr>
          <w:rFonts w:ascii="Arial" w:eastAsia="Arial" w:hAnsi="Arial" w:cs="Arial"/>
          <w:i/>
          <w:iCs/>
        </w:rPr>
        <w:t xml:space="preserve"> hearing vulnerable witnesses in care proceedings</w:t>
      </w:r>
      <w:r w:rsidRPr="00670FE2">
        <w:rPr>
          <w:rFonts w:ascii="Arial" w:eastAsia="Arial" w:hAnsi="Arial" w:cs="Arial"/>
        </w:rPr>
        <w:t>. [online] Available at: https://pennycooper.co.uk/wp-content/uploads/2019/01/P-Cooper-2014-Speaking-when-they-are-spoken-to-CFLQ-Speaking-When-They-Are-Spoken-To.pdf.</w:t>
      </w:r>
    </w:p>
    <w:p w14:paraId="2D0EA39F" w14:textId="77777777" w:rsidR="00F82D8B" w:rsidRDefault="00F82D8B" w:rsidP="00B539B7">
      <w:pPr>
        <w:spacing w:line="360" w:lineRule="auto"/>
        <w:rPr>
          <w:rFonts w:ascii="Arial" w:eastAsia="Arial" w:hAnsi="Arial" w:cs="Arial"/>
        </w:rPr>
      </w:pPr>
    </w:p>
    <w:p w14:paraId="6F0550F6" w14:textId="6808C806" w:rsidR="00F82D8B" w:rsidRPr="00077426" w:rsidRDefault="00B539B7" w:rsidP="00F82D8B">
      <w:pPr>
        <w:spacing w:line="360" w:lineRule="auto"/>
        <w:rPr>
          <w:rFonts w:ascii="Arial" w:eastAsia="Arial" w:hAnsi="Arial" w:cs="Arial"/>
        </w:rPr>
      </w:pPr>
      <w:r w:rsidRPr="005D5347">
        <w:rPr>
          <w:rFonts w:ascii="Arial" w:eastAsia="Arial" w:hAnsi="Arial" w:cs="Arial"/>
        </w:rPr>
        <w:t>CPS (2023) </w:t>
      </w:r>
      <w:r w:rsidRPr="005D5347">
        <w:rPr>
          <w:rFonts w:ascii="Arial" w:eastAsia="Arial" w:hAnsi="Arial" w:cs="Arial"/>
          <w:i/>
          <w:iCs/>
        </w:rPr>
        <w:t>Special Measures | the Crown Prosecution Service</w:t>
      </w:r>
      <w:r w:rsidRPr="005D5347">
        <w:rPr>
          <w:rFonts w:ascii="Arial" w:eastAsia="Arial" w:hAnsi="Arial" w:cs="Arial"/>
        </w:rPr>
        <w:t xml:space="preserve">. [online] Cps.gov.uk. Available at: </w:t>
      </w:r>
      <w:hyperlink r:id="rId22" w:history="1">
        <w:r w:rsidR="00F82D8B" w:rsidRPr="003F5A87">
          <w:rPr>
            <w:rStyle w:val="Hyperlink"/>
            <w:rFonts w:ascii="Arial" w:eastAsia="Arial" w:hAnsi="Arial" w:cs="Arial"/>
          </w:rPr>
          <w:t>https://www.cps.gov.uk/legal-guidance/special-measures</w:t>
        </w:r>
      </w:hyperlink>
      <w:r w:rsidRPr="005D5347">
        <w:rPr>
          <w:rFonts w:ascii="Arial" w:eastAsia="Arial" w:hAnsi="Arial" w:cs="Arial"/>
        </w:rPr>
        <w:t>.</w:t>
      </w:r>
      <w:r w:rsidR="00F82D8B">
        <w:rPr>
          <w:rFonts w:ascii="Arial" w:eastAsia="Arial" w:hAnsi="Arial" w:cs="Arial"/>
        </w:rPr>
        <w:t xml:space="preserve"> </w:t>
      </w:r>
      <w:r w:rsidR="00F82D8B" w:rsidRPr="00670FE2">
        <w:rPr>
          <w:rFonts w:ascii="Arial" w:eastAsia="Arial" w:hAnsi="Arial" w:cs="Arial"/>
        </w:rPr>
        <w:t>[Accessed 4 Apr</w:t>
      </w:r>
      <w:r w:rsidR="00F82D8B">
        <w:rPr>
          <w:rFonts w:ascii="Arial" w:eastAsia="Arial" w:hAnsi="Arial" w:cs="Arial"/>
        </w:rPr>
        <w:t>il</w:t>
      </w:r>
      <w:r w:rsidR="00F82D8B" w:rsidRPr="00670FE2">
        <w:rPr>
          <w:rFonts w:ascii="Arial" w:eastAsia="Arial" w:hAnsi="Arial" w:cs="Arial"/>
        </w:rPr>
        <w:t xml:space="preserve"> 2025].</w:t>
      </w:r>
      <w:r w:rsidR="00F82D8B" w:rsidRPr="00077426">
        <w:rPr>
          <w:rFonts w:ascii="Arial" w:eastAsia="Arial" w:hAnsi="Arial" w:cs="Arial"/>
        </w:rPr>
        <w:t xml:space="preserve"> </w:t>
      </w:r>
    </w:p>
    <w:p w14:paraId="66E3869C" w14:textId="77777777" w:rsidR="00F82D8B" w:rsidRDefault="00F82D8B" w:rsidP="00B539B7">
      <w:pPr>
        <w:spacing w:line="360" w:lineRule="auto"/>
        <w:rPr>
          <w:rFonts w:ascii="Arial" w:eastAsia="Arial" w:hAnsi="Arial" w:cs="Arial"/>
        </w:rPr>
      </w:pPr>
    </w:p>
    <w:p w14:paraId="22A5AC3E" w14:textId="1D16B795" w:rsidR="00DF210D" w:rsidRDefault="00DF210D" w:rsidP="00B539B7">
      <w:pPr>
        <w:spacing w:line="360" w:lineRule="auto"/>
        <w:rPr>
          <w:rFonts w:ascii="Arial" w:eastAsia="Arial" w:hAnsi="Arial" w:cs="Arial"/>
        </w:rPr>
      </w:pPr>
      <w:r w:rsidRPr="00DF210D">
        <w:rPr>
          <w:rFonts w:ascii="Arial" w:eastAsia="Arial" w:hAnsi="Arial" w:cs="Arial"/>
        </w:rPr>
        <w:t>Crawford, A. (2024). Vulnerability and Policing: Rethinking the Role and Limits of the Police. </w:t>
      </w:r>
      <w:r w:rsidRPr="00DF210D">
        <w:rPr>
          <w:rFonts w:ascii="Arial" w:eastAsia="Arial" w:hAnsi="Arial" w:cs="Arial"/>
          <w:i/>
          <w:iCs/>
        </w:rPr>
        <w:t>Political quarterly</w:t>
      </w:r>
      <w:r w:rsidRPr="00DF210D">
        <w:rPr>
          <w:rFonts w:ascii="Arial" w:eastAsia="Arial" w:hAnsi="Arial" w:cs="Arial"/>
        </w:rPr>
        <w:t xml:space="preserve">, 95(3). </w:t>
      </w:r>
      <w:proofErr w:type="spellStart"/>
      <w:proofErr w:type="gramStart"/>
      <w:r w:rsidRPr="00DF210D">
        <w:rPr>
          <w:rFonts w:ascii="Arial" w:eastAsia="Arial" w:hAnsi="Arial" w:cs="Arial"/>
        </w:rPr>
        <w:t>doi:https</w:t>
      </w:r>
      <w:proofErr w:type="spellEnd"/>
      <w:r w:rsidRPr="00DF210D">
        <w:rPr>
          <w:rFonts w:ascii="Arial" w:eastAsia="Arial" w:hAnsi="Arial" w:cs="Arial"/>
        </w:rPr>
        <w:t>://doi.org/10.1111/1467-923x.13422</w:t>
      </w:r>
      <w:proofErr w:type="gramEnd"/>
      <w:r w:rsidRPr="00DF210D">
        <w:rPr>
          <w:rFonts w:ascii="Arial" w:eastAsia="Arial" w:hAnsi="Arial" w:cs="Arial"/>
        </w:rPr>
        <w:t>.</w:t>
      </w:r>
    </w:p>
    <w:p w14:paraId="77EDC130" w14:textId="77777777" w:rsidR="00DF210D" w:rsidRDefault="00DF210D" w:rsidP="00B539B7">
      <w:pPr>
        <w:spacing w:line="360" w:lineRule="auto"/>
        <w:rPr>
          <w:rFonts w:ascii="Arial" w:eastAsia="Arial" w:hAnsi="Arial" w:cs="Arial"/>
        </w:rPr>
      </w:pPr>
    </w:p>
    <w:p w14:paraId="0FC623A7" w14:textId="03ABFBF6" w:rsidR="00B539B7" w:rsidRPr="00670FE2" w:rsidRDefault="00B539B7" w:rsidP="00B539B7">
      <w:pPr>
        <w:spacing w:line="360" w:lineRule="auto"/>
        <w:rPr>
          <w:rFonts w:ascii="Arial" w:eastAsia="Arial" w:hAnsi="Arial" w:cs="Arial"/>
        </w:rPr>
      </w:pPr>
      <w:r w:rsidRPr="00670FE2">
        <w:rPr>
          <w:rFonts w:ascii="Arial" w:eastAsia="Arial" w:hAnsi="Arial" w:cs="Arial"/>
        </w:rPr>
        <w:t>Fairclough, S. (2021) ‘The Lost Leg of the Youth Justice and Criminal Evidence Act (1999): Special Measures and Humane Treatment’, </w:t>
      </w:r>
      <w:r w:rsidRPr="00670FE2">
        <w:rPr>
          <w:rFonts w:ascii="Arial" w:eastAsia="Arial" w:hAnsi="Arial" w:cs="Arial"/>
          <w:i/>
          <w:iCs/>
        </w:rPr>
        <w:t>Oxford journal of legal studies</w:t>
      </w:r>
      <w:r w:rsidRPr="00670FE2">
        <w:rPr>
          <w:rFonts w:ascii="Arial" w:eastAsia="Arial" w:hAnsi="Arial" w:cs="Arial"/>
        </w:rPr>
        <w:t>, 41(4), pp. 1066–1095. Available at: https://doi.org/10.1093/ojls/gqab014.</w:t>
      </w:r>
    </w:p>
    <w:p w14:paraId="3F526561" w14:textId="77777777" w:rsidR="00B539B7" w:rsidRDefault="00B539B7" w:rsidP="00B539B7">
      <w:pPr>
        <w:spacing w:line="360" w:lineRule="auto"/>
        <w:rPr>
          <w:rFonts w:ascii="Arial" w:eastAsia="Arial" w:hAnsi="Arial" w:cs="Arial"/>
        </w:rPr>
      </w:pPr>
    </w:p>
    <w:p w14:paraId="57081E6B" w14:textId="6F7D6B1D" w:rsidR="00B539B7" w:rsidRDefault="00B539B7" w:rsidP="00B539B7">
      <w:pPr>
        <w:spacing w:line="360" w:lineRule="auto"/>
        <w:rPr>
          <w:rFonts w:ascii="Arial" w:eastAsia="Arial" w:hAnsi="Arial" w:cs="Arial"/>
        </w:rPr>
      </w:pPr>
      <w:r w:rsidRPr="00F82D8B">
        <w:rPr>
          <w:rFonts w:ascii="Arial" w:eastAsia="Arial" w:hAnsi="Arial" w:cs="Arial"/>
        </w:rPr>
        <w:t xml:space="preserve">Forbes, C., Alderson, H., Domoney, J., Papamichail, A., Berry, V., McGovern, R., </w:t>
      </w:r>
      <w:proofErr w:type="spellStart"/>
      <w:r w:rsidRPr="00F82D8B">
        <w:rPr>
          <w:rFonts w:ascii="Arial" w:eastAsia="Arial" w:hAnsi="Arial" w:cs="Arial"/>
        </w:rPr>
        <w:t>Sevdalis</w:t>
      </w:r>
      <w:proofErr w:type="spellEnd"/>
      <w:r w:rsidRPr="00F82D8B">
        <w:rPr>
          <w:rFonts w:ascii="Arial" w:eastAsia="Arial" w:hAnsi="Arial" w:cs="Arial"/>
        </w:rPr>
        <w:t>, N., Rankin, J., Newburn, M., Healey, A., Easter, A., Heslin, M., Feder, G., Hudson, K., Wilson, C.A., Melendez-Torres, G.J., Howard, L.M. and Trevillion, K. (2023) A survey and stakeholder consultation of Independent Domestic Violence Advisor (IDVA) programmes in English maternity services. </w:t>
      </w:r>
      <w:r w:rsidRPr="00F82D8B">
        <w:rPr>
          <w:rFonts w:ascii="Arial" w:eastAsia="Arial" w:hAnsi="Arial" w:cs="Arial"/>
          <w:i/>
          <w:iCs/>
        </w:rPr>
        <w:t>BMC pregnancy and childbirth</w:t>
      </w:r>
      <w:r w:rsidRPr="00F82D8B">
        <w:rPr>
          <w:rFonts w:ascii="Arial" w:eastAsia="Arial" w:hAnsi="Arial" w:cs="Arial"/>
        </w:rPr>
        <w:t xml:space="preserve">, [online] 23(1), p.404. </w:t>
      </w:r>
      <w:proofErr w:type="spellStart"/>
      <w:proofErr w:type="gramStart"/>
      <w:r w:rsidRPr="00F82D8B">
        <w:rPr>
          <w:rFonts w:ascii="Arial" w:eastAsia="Arial" w:hAnsi="Arial" w:cs="Arial"/>
        </w:rPr>
        <w:t>doi:https</w:t>
      </w:r>
      <w:proofErr w:type="spellEnd"/>
      <w:r w:rsidRPr="00F82D8B">
        <w:rPr>
          <w:rFonts w:ascii="Arial" w:eastAsia="Arial" w:hAnsi="Arial" w:cs="Arial"/>
        </w:rPr>
        <w:t>://doi.org/10.1186/s12884-023-05731-1</w:t>
      </w:r>
      <w:proofErr w:type="gramEnd"/>
      <w:r w:rsidRPr="00F82D8B">
        <w:rPr>
          <w:rFonts w:ascii="Arial" w:eastAsia="Arial" w:hAnsi="Arial" w:cs="Arial"/>
        </w:rPr>
        <w:t>.</w:t>
      </w:r>
    </w:p>
    <w:p w14:paraId="30762D9C" w14:textId="77777777" w:rsidR="00F82D8B" w:rsidRDefault="00F82D8B" w:rsidP="00B539B7">
      <w:pPr>
        <w:spacing w:line="360" w:lineRule="auto"/>
        <w:rPr>
          <w:rFonts w:ascii="Arial" w:eastAsia="Arial" w:hAnsi="Arial" w:cs="Arial"/>
        </w:rPr>
      </w:pPr>
    </w:p>
    <w:p w14:paraId="6D37B7E4" w14:textId="25A7C67B" w:rsidR="00B539B7" w:rsidRPr="00670FE2" w:rsidRDefault="00B539B7" w:rsidP="00B539B7">
      <w:pPr>
        <w:spacing w:line="360" w:lineRule="auto"/>
        <w:rPr>
          <w:rFonts w:ascii="Arial" w:eastAsia="Arial" w:hAnsi="Arial" w:cs="Arial"/>
        </w:rPr>
      </w:pPr>
      <w:r w:rsidRPr="00670FE2">
        <w:rPr>
          <w:rFonts w:ascii="Arial" w:eastAsia="Arial" w:hAnsi="Arial" w:cs="Arial"/>
        </w:rPr>
        <w:t xml:space="preserve">Hamida </w:t>
      </w:r>
      <w:proofErr w:type="spellStart"/>
      <w:r w:rsidRPr="00670FE2">
        <w:rPr>
          <w:rFonts w:ascii="Arial" w:eastAsia="Arial" w:hAnsi="Arial" w:cs="Arial"/>
        </w:rPr>
        <w:t>Zekiroski</w:t>
      </w:r>
      <w:proofErr w:type="spellEnd"/>
      <w:r w:rsidRPr="00670FE2">
        <w:rPr>
          <w:rFonts w:ascii="Arial" w:eastAsia="Arial" w:hAnsi="Arial" w:cs="Arial"/>
        </w:rPr>
        <w:t>, Powell, M.B. and Cashman, K. (2024) Police officers’ perceptions of a training course designed to enhance open-ended questions with adult witnesses. </w:t>
      </w:r>
      <w:r w:rsidRPr="00670FE2">
        <w:rPr>
          <w:rFonts w:ascii="Arial" w:eastAsia="Arial" w:hAnsi="Arial" w:cs="Arial"/>
          <w:i/>
          <w:iCs/>
        </w:rPr>
        <w:t>Psychiatry Psychology and Law</w:t>
      </w:r>
      <w:r w:rsidRPr="00670FE2">
        <w:rPr>
          <w:rFonts w:ascii="Arial" w:eastAsia="Arial" w:hAnsi="Arial" w:cs="Arial"/>
        </w:rPr>
        <w:t xml:space="preserve">, pp.1–17. </w:t>
      </w:r>
      <w:proofErr w:type="spellStart"/>
      <w:proofErr w:type="gramStart"/>
      <w:r w:rsidRPr="00670FE2">
        <w:rPr>
          <w:rFonts w:ascii="Arial" w:eastAsia="Arial" w:hAnsi="Arial" w:cs="Arial"/>
        </w:rPr>
        <w:t>doi:https</w:t>
      </w:r>
      <w:proofErr w:type="spellEnd"/>
      <w:r w:rsidRPr="00670FE2">
        <w:rPr>
          <w:rFonts w:ascii="Arial" w:eastAsia="Arial" w:hAnsi="Arial" w:cs="Arial"/>
        </w:rPr>
        <w:t>://doi.org/10.1080/13218719.2024.2346718</w:t>
      </w:r>
      <w:proofErr w:type="gramEnd"/>
      <w:r w:rsidRPr="00670FE2">
        <w:rPr>
          <w:rFonts w:ascii="Arial" w:eastAsia="Arial" w:hAnsi="Arial" w:cs="Arial"/>
        </w:rPr>
        <w:t>.</w:t>
      </w:r>
      <w:r w:rsidRPr="00077426">
        <w:rPr>
          <w:rFonts w:ascii="Arial" w:eastAsia="Arial" w:hAnsi="Arial" w:cs="Arial"/>
        </w:rPr>
        <w:t xml:space="preserve"> </w:t>
      </w:r>
    </w:p>
    <w:p w14:paraId="0D969660" w14:textId="77777777" w:rsidR="00B539B7" w:rsidRDefault="00B539B7" w:rsidP="00B539B7">
      <w:pPr>
        <w:spacing w:line="360" w:lineRule="auto"/>
        <w:rPr>
          <w:rFonts w:ascii="Arial" w:eastAsia="Arial" w:hAnsi="Arial" w:cs="Arial"/>
        </w:rPr>
      </w:pPr>
    </w:p>
    <w:p w14:paraId="65138DC1" w14:textId="77777777" w:rsidR="00B539B7" w:rsidRPr="00077426" w:rsidRDefault="00B539B7" w:rsidP="00B539B7">
      <w:pPr>
        <w:spacing w:line="360" w:lineRule="auto"/>
        <w:rPr>
          <w:rFonts w:ascii="Arial" w:eastAsia="Arial" w:hAnsi="Arial" w:cs="Arial"/>
        </w:rPr>
      </w:pPr>
      <w:r w:rsidRPr="00670FE2">
        <w:rPr>
          <w:rFonts w:ascii="Arial" w:eastAsia="Arial" w:hAnsi="Arial" w:cs="Arial"/>
        </w:rPr>
        <w:t>Hanway, P. and Akehurst, L. (2018) The voice from the front line: Police officers’ perceptions of real-world interviewing with vulnerable witnesses. [online] 9(1), pp.14–33. Available at: https://www.researchgate.net/profile/Pamela-Hanway/publication/325646282_The_voice_from_the_front_line_Police_officers.</w:t>
      </w:r>
    </w:p>
    <w:p w14:paraId="3A321DC0" w14:textId="77777777" w:rsidR="00B539B7" w:rsidRDefault="00B539B7" w:rsidP="00B539B7">
      <w:pPr>
        <w:spacing w:line="360" w:lineRule="auto"/>
        <w:rPr>
          <w:rFonts w:ascii="Arial" w:eastAsia="Arial" w:hAnsi="Arial" w:cs="Arial"/>
        </w:rPr>
      </w:pPr>
    </w:p>
    <w:p w14:paraId="4CA9D5B7" w14:textId="77777777" w:rsidR="008C4BF3" w:rsidRPr="001265D5" w:rsidRDefault="008C4BF3" w:rsidP="008C4BF3">
      <w:pPr>
        <w:pStyle w:val="EndNoteBibliography"/>
        <w:spacing w:after="0" w:line="360" w:lineRule="auto"/>
        <w:ind w:left="720" w:hanging="720"/>
        <w:rPr>
          <w:rFonts w:ascii="Arial" w:hAnsi="Arial" w:cs="Arial"/>
          <w:color w:val="000000" w:themeColor="text1"/>
        </w:rPr>
      </w:pPr>
      <w:r w:rsidRPr="001265D5">
        <w:rPr>
          <w:rFonts w:ascii="Arial" w:hAnsi="Arial" w:cs="Arial"/>
          <w:color w:val="000000" w:themeColor="text1"/>
        </w:rPr>
        <w:t xml:space="preserve">Journal of Identity and Migration Studies RCIMI. (2013). Available at: </w:t>
      </w:r>
      <w:hyperlink r:id="rId23" w:anchor="page=71" w:history="1">
        <w:r w:rsidRPr="001265D5">
          <w:rPr>
            <w:rStyle w:val="Hyperlink"/>
            <w:rFonts w:ascii="Arial" w:hAnsi="Arial" w:cs="Arial"/>
            <w:color w:val="000000" w:themeColor="text1"/>
            <w:u w:val="none"/>
          </w:rPr>
          <w:t>https://e-migration.ro/jims/Vol7_No1_2013/JIMS_Vol7_No1_2013.pdf#page=71</w:t>
        </w:r>
      </w:hyperlink>
      <w:r w:rsidRPr="001265D5">
        <w:rPr>
          <w:rFonts w:ascii="Arial" w:hAnsi="Arial" w:cs="Arial"/>
          <w:color w:val="000000" w:themeColor="text1"/>
        </w:rPr>
        <w:t>. [Accessed 19 March 2025].</w:t>
      </w:r>
    </w:p>
    <w:p w14:paraId="469B3E17" w14:textId="77777777" w:rsidR="008C4BF3" w:rsidRDefault="008C4BF3" w:rsidP="00B539B7">
      <w:pPr>
        <w:spacing w:line="360" w:lineRule="auto"/>
        <w:rPr>
          <w:rFonts w:ascii="Arial" w:eastAsia="Arial" w:hAnsi="Arial" w:cs="Arial"/>
        </w:rPr>
      </w:pPr>
    </w:p>
    <w:p w14:paraId="3640E048" w14:textId="77777777" w:rsidR="008C4BF3" w:rsidRPr="001265D5" w:rsidRDefault="008C4BF3" w:rsidP="008C4BF3">
      <w:pPr>
        <w:spacing w:line="360" w:lineRule="auto"/>
        <w:rPr>
          <w:rFonts w:ascii="Arial" w:hAnsi="Arial" w:cs="Arial"/>
          <w:color w:val="000000" w:themeColor="text1"/>
        </w:rPr>
      </w:pPr>
      <w:r w:rsidRPr="001265D5">
        <w:rPr>
          <w:rFonts w:ascii="Arial" w:hAnsi="Arial" w:cs="Arial"/>
          <w:color w:val="000000" w:themeColor="text1"/>
        </w:rPr>
        <w:t>Kosovo Online. (2024). </w:t>
      </w:r>
      <w:r w:rsidRPr="001265D5">
        <w:rPr>
          <w:rFonts w:ascii="Arial" w:hAnsi="Arial" w:cs="Arial"/>
          <w:i/>
          <w:iCs/>
          <w:color w:val="000000" w:themeColor="text1"/>
        </w:rPr>
        <w:t>The impact and significance of the word ‘besa’ among Albanians - then and now - Kosovo Online</w:t>
      </w:r>
      <w:r w:rsidRPr="001265D5">
        <w:rPr>
          <w:rFonts w:ascii="Arial" w:hAnsi="Arial" w:cs="Arial"/>
          <w:color w:val="000000" w:themeColor="text1"/>
        </w:rPr>
        <w:t>. [online] Available at: https://www.kosovo-online.com/en/news/kontext/impact-and-significance-word-besa-among-albanians-then-and-now-10-1-2024 [Accessed 28 March 2025].</w:t>
      </w:r>
    </w:p>
    <w:p w14:paraId="33EE201C" w14:textId="77777777" w:rsidR="008C4BF3" w:rsidRDefault="008C4BF3" w:rsidP="00B539B7">
      <w:pPr>
        <w:spacing w:line="360" w:lineRule="auto"/>
        <w:rPr>
          <w:rFonts w:ascii="Arial" w:eastAsia="Arial" w:hAnsi="Arial" w:cs="Arial"/>
        </w:rPr>
      </w:pPr>
    </w:p>
    <w:p w14:paraId="67B56DC4" w14:textId="77777777" w:rsidR="008C4BF3" w:rsidRDefault="008C4BF3" w:rsidP="00B539B7">
      <w:pPr>
        <w:spacing w:line="360" w:lineRule="auto"/>
        <w:rPr>
          <w:rFonts w:ascii="Arial" w:eastAsia="Arial" w:hAnsi="Arial" w:cs="Arial"/>
        </w:rPr>
      </w:pPr>
    </w:p>
    <w:p w14:paraId="2FAC1329" w14:textId="515291EF" w:rsidR="00B539B7" w:rsidRPr="00670FE2" w:rsidRDefault="00B539B7" w:rsidP="00B539B7">
      <w:pPr>
        <w:spacing w:line="360" w:lineRule="auto"/>
        <w:rPr>
          <w:rFonts w:ascii="Arial" w:eastAsia="Arial" w:hAnsi="Arial" w:cs="Arial"/>
        </w:rPr>
      </w:pPr>
      <w:r w:rsidRPr="00670FE2">
        <w:rPr>
          <w:rFonts w:ascii="Arial" w:eastAsia="Arial" w:hAnsi="Arial" w:cs="Arial"/>
        </w:rPr>
        <w:t>Majeed-Ariss, R., Brockway, A., Cook, K. and White, C. (2019) ‘Could do better’: Report on the use of special measures in sexual offences cases. </w:t>
      </w:r>
      <w:r w:rsidRPr="00670FE2">
        <w:rPr>
          <w:rFonts w:ascii="Arial" w:eastAsia="Arial" w:hAnsi="Arial" w:cs="Arial"/>
          <w:i/>
          <w:iCs/>
        </w:rPr>
        <w:t>Criminology &amp; Criminal Justice</w:t>
      </w:r>
      <w:r w:rsidRPr="00670FE2">
        <w:rPr>
          <w:rFonts w:ascii="Arial" w:eastAsia="Arial" w:hAnsi="Arial" w:cs="Arial"/>
        </w:rPr>
        <w:t xml:space="preserve">, 21(1), p.174889581984039. </w:t>
      </w:r>
      <w:proofErr w:type="spellStart"/>
      <w:proofErr w:type="gramStart"/>
      <w:r w:rsidRPr="00670FE2">
        <w:rPr>
          <w:rFonts w:ascii="Arial" w:eastAsia="Arial" w:hAnsi="Arial" w:cs="Arial"/>
        </w:rPr>
        <w:t>doi:https</w:t>
      </w:r>
      <w:proofErr w:type="spellEnd"/>
      <w:r w:rsidRPr="00670FE2">
        <w:rPr>
          <w:rFonts w:ascii="Arial" w:eastAsia="Arial" w:hAnsi="Arial" w:cs="Arial"/>
        </w:rPr>
        <w:t>://doi.org/10.1177/1748895819840396</w:t>
      </w:r>
      <w:proofErr w:type="gramEnd"/>
      <w:r w:rsidRPr="00670FE2">
        <w:rPr>
          <w:rFonts w:ascii="Arial" w:eastAsia="Arial" w:hAnsi="Arial" w:cs="Arial"/>
        </w:rPr>
        <w:t>.</w:t>
      </w:r>
    </w:p>
    <w:p w14:paraId="7767DF83" w14:textId="77777777" w:rsidR="00B539B7" w:rsidRDefault="00B539B7" w:rsidP="00B539B7">
      <w:pPr>
        <w:spacing w:line="360" w:lineRule="auto"/>
        <w:rPr>
          <w:rFonts w:ascii="Arial" w:eastAsia="Arial" w:hAnsi="Arial" w:cs="Arial"/>
        </w:rPr>
      </w:pPr>
    </w:p>
    <w:p w14:paraId="66F699B3" w14:textId="39832F0C" w:rsidR="00B539B7" w:rsidRPr="00077426" w:rsidRDefault="00B539B7" w:rsidP="00B539B7">
      <w:pPr>
        <w:spacing w:line="360" w:lineRule="auto"/>
        <w:rPr>
          <w:rFonts w:ascii="Arial" w:eastAsia="Arial" w:hAnsi="Arial" w:cs="Arial"/>
        </w:rPr>
      </w:pPr>
      <w:r w:rsidRPr="00077426">
        <w:rPr>
          <w:rFonts w:ascii="Arial" w:eastAsia="Arial" w:hAnsi="Arial" w:cs="Arial"/>
        </w:rPr>
        <w:t xml:space="preserve">Ministry of Justice. (2022) Achieving Best Evidence in Criminal Proceedings: Guidance on interviewing victims and witnesses, and guidance on using special measures. </w:t>
      </w:r>
      <w:hyperlink r:id="rId24" w:history="1">
        <w:r w:rsidRPr="00077426">
          <w:rPr>
            <w:rStyle w:val="Hyperlink"/>
            <w:rFonts w:ascii="Arial" w:eastAsia="Arial" w:hAnsi="Arial" w:cs="Arial"/>
          </w:rPr>
          <w:t>https://www.gov.uk/government/publications/achieving-best-evidence-in-criminal-proceedings</w:t>
        </w:r>
      </w:hyperlink>
    </w:p>
    <w:p w14:paraId="1D7364A3" w14:textId="77777777" w:rsidR="00B539B7" w:rsidRDefault="00B539B7" w:rsidP="00B539B7">
      <w:pPr>
        <w:spacing w:line="360" w:lineRule="auto"/>
        <w:rPr>
          <w:rFonts w:ascii="Arial" w:eastAsia="Arial" w:hAnsi="Arial" w:cs="Arial"/>
        </w:rPr>
      </w:pPr>
    </w:p>
    <w:p w14:paraId="7912D22C" w14:textId="78B0AE68" w:rsidR="00B539B7" w:rsidRDefault="00B539B7" w:rsidP="00B539B7">
      <w:pPr>
        <w:spacing w:line="360" w:lineRule="auto"/>
        <w:rPr>
          <w:rFonts w:ascii="Arial" w:eastAsia="Arial" w:hAnsi="Arial" w:cs="Arial"/>
        </w:rPr>
      </w:pPr>
      <w:r w:rsidRPr="00B539B7">
        <w:rPr>
          <w:rFonts w:ascii="Arial" w:eastAsia="Arial" w:hAnsi="Arial" w:cs="Arial"/>
        </w:rPr>
        <w:t>Richardson, E., Stokoe, E. and Antaki, C. (2018) Establishing Intellectually Impaired Victims’ Understanding about ‘Truth’ and ‘Lies’: Police Interview Guidance and Practice in Cases of Sexual Assault. </w:t>
      </w:r>
      <w:r w:rsidRPr="00B539B7">
        <w:rPr>
          <w:rFonts w:ascii="Arial" w:eastAsia="Arial" w:hAnsi="Arial" w:cs="Arial"/>
          <w:i/>
          <w:iCs/>
        </w:rPr>
        <w:t>Applied Linguistics</w:t>
      </w:r>
      <w:r w:rsidRPr="00B539B7">
        <w:rPr>
          <w:rFonts w:ascii="Arial" w:eastAsia="Arial" w:hAnsi="Arial" w:cs="Arial"/>
        </w:rPr>
        <w:t xml:space="preserve">. </w:t>
      </w:r>
      <w:proofErr w:type="spellStart"/>
      <w:proofErr w:type="gramStart"/>
      <w:r w:rsidRPr="00B539B7">
        <w:rPr>
          <w:rFonts w:ascii="Arial" w:eastAsia="Arial" w:hAnsi="Arial" w:cs="Arial"/>
        </w:rPr>
        <w:t>doi:https</w:t>
      </w:r>
      <w:proofErr w:type="spellEnd"/>
      <w:r w:rsidRPr="00B539B7">
        <w:rPr>
          <w:rFonts w:ascii="Arial" w:eastAsia="Arial" w:hAnsi="Arial" w:cs="Arial"/>
        </w:rPr>
        <w:t>://doi.org/10.1093/</w:t>
      </w:r>
      <w:proofErr w:type="spellStart"/>
      <w:r w:rsidRPr="00B539B7">
        <w:rPr>
          <w:rFonts w:ascii="Arial" w:eastAsia="Arial" w:hAnsi="Arial" w:cs="Arial"/>
        </w:rPr>
        <w:t>applin</w:t>
      </w:r>
      <w:proofErr w:type="spellEnd"/>
      <w:r w:rsidRPr="00B539B7">
        <w:rPr>
          <w:rFonts w:ascii="Arial" w:eastAsia="Arial" w:hAnsi="Arial" w:cs="Arial"/>
        </w:rPr>
        <w:t>/amy023</w:t>
      </w:r>
      <w:proofErr w:type="gramEnd"/>
      <w:r w:rsidRPr="00B539B7">
        <w:rPr>
          <w:rFonts w:ascii="Arial" w:eastAsia="Arial" w:hAnsi="Arial" w:cs="Arial"/>
        </w:rPr>
        <w:t>.</w:t>
      </w:r>
    </w:p>
    <w:p w14:paraId="7BF2246C" w14:textId="77777777" w:rsidR="00B539B7" w:rsidRDefault="00B539B7" w:rsidP="00B539B7">
      <w:pPr>
        <w:spacing w:line="360" w:lineRule="auto"/>
        <w:rPr>
          <w:rFonts w:ascii="Arial" w:eastAsia="Arial" w:hAnsi="Arial" w:cs="Arial"/>
        </w:rPr>
      </w:pPr>
    </w:p>
    <w:p w14:paraId="6EE8774F" w14:textId="6215DDFD" w:rsidR="00B539B7" w:rsidRPr="00670FE2" w:rsidRDefault="00B539B7" w:rsidP="00B539B7">
      <w:pPr>
        <w:spacing w:line="360" w:lineRule="auto"/>
        <w:rPr>
          <w:rFonts w:ascii="Arial" w:eastAsia="Arial" w:hAnsi="Arial" w:cs="Arial"/>
        </w:rPr>
      </w:pPr>
      <w:r w:rsidRPr="00670FE2">
        <w:rPr>
          <w:rFonts w:ascii="Arial" w:eastAsia="Arial" w:hAnsi="Arial" w:cs="Arial"/>
        </w:rPr>
        <w:t>Smith, K. (2024) Twenty-five Years of Achieving Best evidence: Investigative Interviews with Victims and Witnesses in England and Wales. </w:t>
      </w:r>
      <w:r w:rsidRPr="00670FE2">
        <w:rPr>
          <w:rFonts w:ascii="Arial" w:eastAsia="Arial" w:hAnsi="Arial" w:cs="Arial"/>
          <w:i/>
          <w:iCs/>
        </w:rPr>
        <w:t>International Journal of Police Science &amp; Management</w:t>
      </w:r>
      <w:r w:rsidRPr="00670FE2">
        <w:rPr>
          <w:rFonts w:ascii="Arial" w:eastAsia="Arial" w:hAnsi="Arial" w:cs="Arial"/>
        </w:rPr>
        <w:t xml:space="preserve">, 26(4), pp.421–428. </w:t>
      </w:r>
      <w:proofErr w:type="spellStart"/>
      <w:proofErr w:type="gramStart"/>
      <w:r w:rsidRPr="00670FE2">
        <w:rPr>
          <w:rFonts w:ascii="Arial" w:eastAsia="Arial" w:hAnsi="Arial" w:cs="Arial"/>
        </w:rPr>
        <w:t>doi:https</w:t>
      </w:r>
      <w:proofErr w:type="spellEnd"/>
      <w:r w:rsidRPr="00670FE2">
        <w:rPr>
          <w:rFonts w:ascii="Arial" w:eastAsia="Arial" w:hAnsi="Arial" w:cs="Arial"/>
        </w:rPr>
        <w:t>://doi.org/10.1177/14613557241298802</w:t>
      </w:r>
      <w:proofErr w:type="gramEnd"/>
      <w:r w:rsidRPr="00670FE2">
        <w:rPr>
          <w:rFonts w:ascii="Arial" w:eastAsia="Arial" w:hAnsi="Arial" w:cs="Arial"/>
        </w:rPr>
        <w:t>.</w:t>
      </w:r>
    </w:p>
    <w:p w14:paraId="67361772" w14:textId="77777777" w:rsidR="00B539B7" w:rsidRDefault="00B539B7" w:rsidP="00B539B7">
      <w:pPr>
        <w:spacing w:line="360" w:lineRule="auto"/>
        <w:rPr>
          <w:rFonts w:ascii="Arial" w:hAnsi="Arial" w:cs="Arial"/>
        </w:rPr>
      </w:pPr>
    </w:p>
    <w:p w14:paraId="212E5319" w14:textId="23F3B68F" w:rsidR="00B539B7" w:rsidRPr="00077426" w:rsidRDefault="00B539B7" w:rsidP="00B539B7">
      <w:pPr>
        <w:spacing w:line="360" w:lineRule="auto"/>
        <w:rPr>
          <w:rFonts w:ascii="Arial" w:eastAsia="Arial" w:hAnsi="Arial" w:cs="Arial"/>
        </w:rPr>
      </w:pPr>
      <w:r w:rsidRPr="00670FE2">
        <w:rPr>
          <w:rFonts w:ascii="Arial" w:eastAsia="Arial" w:hAnsi="Arial" w:cs="Arial"/>
        </w:rPr>
        <w:t>42br.com. (2018) </w:t>
      </w:r>
      <w:r w:rsidRPr="00670FE2">
        <w:rPr>
          <w:rFonts w:ascii="Arial" w:eastAsia="Arial" w:hAnsi="Arial" w:cs="Arial"/>
          <w:i/>
          <w:iCs/>
        </w:rPr>
        <w:t>Applying Criminal Law and Procedure to Police Evidence in Care Proceedings – The ABE Interview by Gemma Farrington and Alison Pryor - Latest news - 42BR Barristers</w:t>
      </w:r>
      <w:r w:rsidRPr="00670FE2">
        <w:rPr>
          <w:rFonts w:ascii="Arial" w:eastAsia="Arial" w:hAnsi="Arial" w:cs="Arial"/>
        </w:rPr>
        <w:t>. [online] Available at: https://www.42br.com/latest-news/applying-criminal-law-and-procedure-to-police-evidence-in-care-proceedings-the-abe-interview-by-gemma-farrington-and-alison-pryor.htm [Accessed 4 Apr</w:t>
      </w:r>
      <w:r w:rsidR="00F82D8B">
        <w:rPr>
          <w:rFonts w:ascii="Arial" w:eastAsia="Arial" w:hAnsi="Arial" w:cs="Arial"/>
        </w:rPr>
        <w:t>il</w:t>
      </w:r>
      <w:r w:rsidRPr="00670FE2">
        <w:rPr>
          <w:rFonts w:ascii="Arial" w:eastAsia="Arial" w:hAnsi="Arial" w:cs="Arial"/>
        </w:rPr>
        <w:t xml:space="preserve"> 2025].</w:t>
      </w:r>
      <w:r w:rsidRPr="00077426">
        <w:rPr>
          <w:rFonts w:ascii="Arial" w:eastAsia="Arial" w:hAnsi="Arial" w:cs="Arial"/>
        </w:rPr>
        <w:t xml:space="preserve"> </w:t>
      </w:r>
    </w:p>
    <w:p w14:paraId="0936A207" w14:textId="77777777" w:rsidR="00B539B7" w:rsidRDefault="00B539B7" w:rsidP="00B539B7">
      <w:pPr>
        <w:spacing w:line="360" w:lineRule="auto"/>
        <w:rPr>
          <w:rFonts w:ascii="Arial" w:hAnsi="Arial" w:cs="Arial"/>
        </w:rPr>
      </w:pPr>
    </w:p>
    <w:p w14:paraId="0FF2A603" w14:textId="77777777" w:rsidR="00B539B7" w:rsidRDefault="00B539B7" w:rsidP="00B539B7">
      <w:pPr>
        <w:spacing w:line="360" w:lineRule="auto"/>
        <w:rPr>
          <w:rFonts w:ascii="Arial" w:eastAsia="Arial" w:hAnsi="Arial" w:cs="Arial"/>
        </w:rPr>
      </w:pPr>
      <w:r w:rsidRPr="00FD2D9B">
        <w:rPr>
          <w:rFonts w:ascii="Arial" w:eastAsia="Arial" w:hAnsi="Arial" w:cs="Arial"/>
        </w:rPr>
        <w:t xml:space="preserve">Ward, T. and </w:t>
      </w:r>
      <w:proofErr w:type="spellStart"/>
      <w:r w:rsidRPr="00FD2D9B">
        <w:rPr>
          <w:rFonts w:ascii="Arial" w:eastAsia="Arial" w:hAnsi="Arial" w:cs="Arial"/>
        </w:rPr>
        <w:t>Fouladvand</w:t>
      </w:r>
      <w:proofErr w:type="spellEnd"/>
      <w:r w:rsidRPr="00FD2D9B">
        <w:rPr>
          <w:rFonts w:ascii="Arial" w:eastAsia="Arial" w:hAnsi="Arial" w:cs="Arial"/>
        </w:rPr>
        <w:t>, S. (2018) Human Trafficking, Victims’ Rights and Fair Trials. </w:t>
      </w:r>
      <w:r w:rsidRPr="00FD2D9B">
        <w:rPr>
          <w:rFonts w:ascii="Arial" w:eastAsia="Arial" w:hAnsi="Arial" w:cs="Arial"/>
          <w:i/>
          <w:iCs/>
        </w:rPr>
        <w:t>The Journal of Criminal Law</w:t>
      </w:r>
      <w:r w:rsidRPr="00FD2D9B">
        <w:rPr>
          <w:rFonts w:ascii="Arial" w:eastAsia="Arial" w:hAnsi="Arial" w:cs="Arial"/>
        </w:rPr>
        <w:t xml:space="preserve">, 82(2), pp.138–155. </w:t>
      </w:r>
      <w:proofErr w:type="spellStart"/>
      <w:proofErr w:type="gramStart"/>
      <w:r w:rsidRPr="00FD2D9B">
        <w:rPr>
          <w:rFonts w:ascii="Arial" w:eastAsia="Arial" w:hAnsi="Arial" w:cs="Arial"/>
        </w:rPr>
        <w:t>doi:https</w:t>
      </w:r>
      <w:proofErr w:type="spellEnd"/>
      <w:r w:rsidRPr="00FD2D9B">
        <w:rPr>
          <w:rFonts w:ascii="Arial" w:eastAsia="Arial" w:hAnsi="Arial" w:cs="Arial"/>
        </w:rPr>
        <w:t>://doi.org/10.1177/0022018318761680</w:t>
      </w:r>
      <w:proofErr w:type="gramEnd"/>
      <w:r w:rsidRPr="00FD2D9B">
        <w:rPr>
          <w:rFonts w:ascii="Arial" w:eastAsia="Arial" w:hAnsi="Arial" w:cs="Arial"/>
        </w:rPr>
        <w:t>.</w:t>
      </w:r>
    </w:p>
    <w:p w14:paraId="6AD76ECB" w14:textId="77777777" w:rsidR="00B539B7" w:rsidRDefault="00B539B7" w:rsidP="00B539B7">
      <w:pPr>
        <w:spacing w:line="360" w:lineRule="auto"/>
        <w:rPr>
          <w:rFonts w:ascii="Arial" w:hAnsi="Arial" w:cs="Arial"/>
        </w:rPr>
      </w:pPr>
    </w:p>
    <w:p w14:paraId="65C25A4E" w14:textId="4429ED2B" w:rsidR="00B539B7" w:rsidRPr="00670FE2" w:rsidRDefault="00B539B7" w:rsidP="00B539B7">
      <w:pPr>
        <w:spacing w:line="360" w:lineRule="auto"/>
        <w:rPr>
          <w:rFonts w:ascii="Arial" w:eastAsia="Arial" w:hAnsi="Arial" w:cs="Arial"/>
        </w:rPr>
      </w:pPr>
      <w:r w:rsidRPr="00670FE2">
        <w:rPr>
          <w:rFonts w:ascii="Arial" w:eastAsia="Arial" w:hAnsi="Arial" w:cs="Arial"/>
        </w:rPr>
        <w:t>Winson, L. (2024) </w:t>
      </w:r>
      <w:r w:rsidRPr="00670FE2">
        <w:rPr>
          <w:rFonts w:ascii="Arial" w:eastAsia="Arial" w:hAnsi="Arial" w:cs="Arial"/>
          <w:i/>
          <w:iCs/>
        </w:rPr>
        <w:t>High Court judge gives guidance on use of intermediaries in Family Court</w:t>
      </w:r>
      <w:r w:rsidRPr="00670FE2">
        <w:rPr>
          <w:rFonts w:ascii="Arial" w:eastAsia="Arial" w:hAnsi="Arial" w:cs="Arial"/>
        </w:rPr>
        <w:t>. [online] Local Government Lawyer. Available at: https://www.localgovernmentlawyer.co.uk/child-protection/392-children-protection-news/56242-high-court-judge-gives-guidance-on-use-of-intermediaries-in-family-court [Accessed 4 Apr</w:t>
      </w:r>
      <w:r w:rsidR="00F82D8B">
        <w:rPr>
          <w:rFonts w:ascii="Arial" w:eastAsia="Arial" w:hAnsi="Arial" w:cs="Arial"/>
        </w:rPr>
        <w:t>il</w:t>
      </w:r>
      <w:r w:rsidRPr="00670FE2">
        <w:rPr>
          <w:rFonts w:ascii="Arial" w:eastAsia="Arial" w:hAnsi="Arial" w:cs="Arial"/>
        </w:rPr>
        <w:t xml:space="preserve"> 2025].</w:t>
      </w:r>
    </w:p>
    <w:p w14:paraId="6C0F4637" w14:textId="77777777" w:rsidR="00B539B7" w:rsidRDefault="00B539B7" w:rsidP="00B539B7">
      <w:pPr>
        <w:spacing w:line="360" w:lineRule="auto"/>
        <w:rPr>
          <w:rFonts w:ascii="Arial" w:hAnsi="Arial" w:cs="Arial"/>
        </w:rPr>
      </w:pPr>
    </w:p>
    <w:p w14:paraId="7D06F0B0" w14:textId="77777777" w:rsidR="00B539B7" w:rsidRPr="001265D5" w:rsidRDefault="00B539B7" w:rsidP="00AB6393">
      <w:pPr>
        <w:pStyle w:val="EndNoteBibliography"/>
        <w:spacing w:after="0" w:line="360" w:lineRule="auto"/>
        <w:ind w:left="720" w:hanging="720"/>
        <w:rPr>
          <w:rFonts w:ascii="Arial" w:hAnsi="Arial" w:cs="Arial"/>
          <w:color w:val="000000" w:themeColor="text1"/>
          <w:lang w:val="en-GB"/>
        </w:rPr>
      </w:pPr>
    </w:p>
    <w:p w14:paraId="1220D7E0" w14:textId="77777777" w:rsidR="00AB6393" w:rsidRPr="001265D5" w:rsidRDefault="00AB6393" w:rsidP="00AB6393">
      <w:pPr>
        <w:spacing w:line="360" w:lineRule="auto"/>
        <w:rPr>
          <w:rFonts w:ascii="Arial" w:hAnsi="Arial" w:cs="Arial"/>
          <w:color w:val="000000" w:themeColor="text1"/>
        </w:rPr>
      </w:pPr>
    </w:p>
    <w:p w14:paraId="16724154"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3840F9F3" w14:textId="7E86278C" w:rsidR="00AB6393" w:rsidRPr="001265D5" w:rsidRDefault="00AB6393" w:rsidP="00AB6393">
      <w:pPr>
        <w:pStyle w:val="EndNoteBibliography"/>
        <w:spacing w:after="0" w:line="360" w:lineRule="auto"/>
        <w:ind w:left="720" w:hanging="720"/>
        <w:rPr>
          <w:rFonts w:ascii="Arial" w:hAnsi="Arial" w:cs="Arial"/>
          <w:color w:val="000000" w:themeColor="text1"/>
        </w:rPr>
      </w:pPr>
    </w:p>
    <w:p w14:paraId="2FC1AF3A"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31AD71DD"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5A0967C9" w14:textId="77777777" w:rsidR="00AB6393" w:rsidRPr="001265D5" w:rsidRDefault="00AB6393" w:rsidP="00AB6393">
      <w:pPr>
        <w:spacing w:line="360" w:lineRule="auto"/>
        <w:rPr>
          <w:rFonts w:ascii="Arial" w:hAnsi="Arial" w:cs="Arial"/>
          <w:color w:val="000000" w:themeColor="text1"/>
        </w:rPr>
      </w:pPr>
    </w:p>
    <w:p w14:paraId="589BE2D9" w14:textId="77777777" w:rsidR="00AB6393" w:rsidRPr="001265D5" w:rsidRDefault="00AB6393" w:rsidP="00AB6393">
      <w:pPr>
        <w:pStyle w:val="EndNoteBibliography"/>
        <w:spacing w:after="0" w:line="360" w:lineRule="auto"/>
        <w:ind w:left="720" w:hanging="720"/>
        <w:rPr>
          <w:rFonts w:ascii="Arial" w:hAnsi="Arial" w:cs="Arial"/>
          <w:color w:val="000000" w:themeColor="text1"/>
        </w:rPr>
      </w:pPr>
    </w:p>
    <w:p w14:paraId="11EED3FA" w14:textId="77777777" w:rsidR="00AB6393" w:rsidRPr="001265D5" w:rsidRDefault="00AB6393" w:rsidP="00AB6393">
      <w:pPr>
        <w:spacing w:line="360" w:lineRule="auto"/>
        <w:rPr>
          <w:rFonts w:ascii="Arial" w:hAnsi="Arial" w:cs="Arial"/>
          <w:color w:val="000000" w:themeColor="text1"/>
        </w:rPr>
      </w:pPr>
    </w:p>
    <w:p w14:paraId="1D2419D4" w14:textId="77777777" w:rsidR="00AB6393" w:rsidRPr="001265D5" w:rsidRDefault="00AB6393" w:rsidP="00AB6393">
      <w:pPr>
        <w:spacing w:line="360" w:lineRule="auto"/>
        <w:rPr>
          <w:rFonts w:ascii="Arial" w:hAnsi="Arial" w:cs="Arial"/>
          <w:color w:val="000000" w:themeColor="text1"/>
        </w:rPr>
      </w:pPr>
    </w:p>
    <w:p w14:paraId="4692C207" w14:textId="77777777" w:rsidR="00AB6393" w:rsidRPr="001265D5" w:rsidRDefault="00AB6393" w:rsidP="00AB6393">
      <w:pPr>
        <w:spacing w:line="360" w:lineRule="auto"/>
        <w:rPr>
          <w:rFonts w:ascii="Arial" w:hAnsi="Arial" w:cs="Arial"/>
          <w:color w:val="000000" w:themeColor="text1"/>
        </w:rPr>
      </w:pPr>
    </w:p>
    <w:p w14:paraId="7E563191" w14:textId="77777777" w:rsidR="00AB6393" w:rsidRPr="001265D5" w:rsidRDefault="00AB6393" w:rsidP="00AB6393">
      <w:pPr>
        <w:spacing w:line="360" w:lineRule="auto"/>
        <w:rPr>
          <w:rFonts w:ascii="Arial" w:hAnsi="Arial" w:cs="Arial"/>
          <w:color w:val="000000" w:themeColor="text1"/>
        </w:rPr>
      </w:pPr>
    </w:p>
    <w:p w14:paraId="7158C7CB" w14:textId="77777777" w:rsidR="00AB6393" w:rsidRPr="003360E9" w:rsidRDefault="00AB6393" w:rsidP="00AB6393">
      <w:pPr>
        <w:pStyle w:val="EndNoteBibliography"/>
        <w:spacing w:after="0" w:line="360" w:lineRule="auto"/>
        <w:ind w:left="720" w:hanging="720"/>
        <w:rPr>
          <w:rFonts w:ascii="Arial" w:hAnsi="Arial" w:cs="Arial"/>
        </w:rPr>
      </w:pPr>
    </w:p>
    <w:p w14:paraId="75F5A9AF" w14:textId="77777777" w:rsidR="00AB6393" w:rsidRPr="003360E9" w:rsidRDefault="00AB6393" w:rsidP="00AB6393">
      <w:pPr>
        <w:spacing w:line="360" w:lineRule="auto"/>
        <w:rPr>
          <w:rFonts w:ascii="Arial" w:hAnsi="Arial" w:cs="Arial"/>
          <w:color w:val="000000" w:themeColor="text1"/>
        </w:rPr>
      </w:pPr>
    </w:p>
    <w:p w14:paraId="15E7D6CC" w14:textId="77777777" w:rsidR="00AB6393" w:rsidRDefault="00AB6393" w:rsidP="00664CF4">
      <w:pPr>
        <w:spacing w:line="360" w:lineRule="auto"/>
        <w:rPr>
          <w:rFonts w:ascii="Arial" w:hAnsi="Arial" w:cs="Arial"/>
        </w:rPr>
      </w:pPr>
    </w:p>
    <w:p w14:paraId="662102B0" w14:textId="77777777" w:rsidR="00AB6393" w:rsidRDefault="00AB6393" w:rsidP="00664CF4">
      <w:pPr>
        <w:spacing w:line="360" w:lineRule="auto"/>
        <w:rPr>
          <w:rFonts w:ascii="Arial" w:hAnsi="Arial" w:cs="Arial"/>
        </w:rPr>
      </w:pPr>
    </w:p>
    <w:p w14:paraId="57FA02D1" w14:textId="77777777" w:rsidR="00AB6393" w:rsidRDefault="00AB6393" w:rsidP="00664CF4">
      <w:pPr>
        <w:spacing w:line="360" w:lineRule="auto"/>
        <w:rPr>
          <w:rFonts w:ascii="Arial" w:hAnsi="Arial" w:cs="Arial"/>
        </w:rPr>
      </w:pPr>
    </w:p>
    <w:p w14:paraId="2EA23343" w14:textId="77777777" w:rsidR="00AB6393" w:rsidRDefault="00AB6393" w:rsidP="00664CF4">
      <w:pPr>
        <w:spacing w:line="360" w:lineRule="auto"/>
        <w:rPr>
          <w:rFonts w:ascii="Arial" w:hAnsi="Arial" w:cs="Arial"/>
        </w:rPr>
      </w:pPr>
    </w:p>
    <w:p w14:paraId="41603F57" w14:textId="77777777" w:rsidR="00AB6393" w:rsidRDefault="00AB6393" w:rsidP="00664CF4">
      <w:pPr>
        <w:spacing w:line="360" w:lineRule="auto"/>
        <w:rPr>
          <w:rFonts w:ascii="Arial" w:hAnsi="Arial" w:cs="Arial"/>
        </w:rPr>
      </w:pPr>
    </w:p>
    <w:p w14:paraId="30CA23E3" w14:textId="77777777" w:rsidR="00AB6393" w:rsidRDefault="00AB6393" w:rsidP="00664CF4">
      <w:pPr>
        <w:spacing w:line="360" w:lineRule="auto"/>
        <w:rPr>
          <w:rFonts w:ascii="Arial" w:hAnsi="Arial" w:cs="Arial"/>
        </w:rPr>
      </w:pPr>
    </w:p>
    <w:p w14:paraId="56E5FD5C" w14:textId="77777777" w:rsidR="00971419" w:rsidRDefault="00971419" w:rsidP="00664CF4">
      <w:pPr>
        <w:spacing w:line="360" w:lineRule="auto"/>
        <w:rPr>
          <w:rFonts w:ascii="Arial" w:hAnsi="Arial" w:cs="Arial"/>
        </w:rPr>
      </w:pPr>
    </w:p>
    <w:p w14:paraId="32EDC585" w14:textId="77777777" w:rsidR="00971419" w:rsidRPr="00664CF4" w:rsidRDefault="00971419" w:rsidP="00664CF4">
      <w:pPr>
        <w:spacing w:line="360" w:lineRule="auto"/>
        <w:rPr>
          <w:rFonts w:ascii="Arial" w:hAnsi="Arial" w:cs="Arial"/>
        </w:rPr>
      </w:pPr>
    </w:p>
    <w:sectPr w:rsidR="00971419" w:rsidRPr="00664CF4" w:rsidSect="00FC485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31F5E"/>
    <w:multiLevelType w:val="hybridMultilevel"/>
    <w:tmpl w:val="3410C2C0"/>
    <w:lvl w:ilvl="0" w:tplc="17BA9748">
      <w:start w:val="2000"/>
      <w:numFmt w:val="decimal"/>
      <w:lvlText w:val="%1"/>
      <w:lvlJc w:val="left"/>
      <w:pPr>
        <w:ind w:left="900" w:hanging="54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ED2E1C"/>
    <w:multiLevelType w:val="hybridMultilevel"/>
    <w:tmpl w:val="36DAA1AE"/>
    <w:lvl w:ilvl="0" w:tplc="13F0302A">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D2CB5"/>
    <w:multiLevelType w:val="multilevel"/>
    <w:tmpl w:val="887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60047"/>
    <w:multiLevelType w:val="multilevel"/>
    <w:tmpl w:val="C1209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AA3D22"/>
    <w:multiLevelType w:val="hybridMultilevel"/>
    <w:tmpl w:val="095429CC"/>
    <w:lvl w:ilvl="0" w:tplc="D6AE76BA">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42F3B"/>
    <w:multiLevelType w:val="multilevel"/>
    <w:tmpl w:val="60A4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44DFC"/>
    <w:multiLevelType w:val="multilevel"/>
    <w:tmpl w:val="F5FA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C0985"/>
    <w:multiLevelType w:val="multilevel"/>
    <w:tmpl w:val="B09C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370868"/>
    <w:multiLevelType w:val="multilevel"/>
    <w:tmpl w:val="4BAA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746206"/>
    <w:multiLevelType w:val="multilevel"/>
    <w:tmpl w:val="82DC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DE62A0"/>
    <w:multiLevelType w:val="hybridMultilevel"/>
    <w:tmpl w:val="BF0A8718"/>
    <w:lvl w:ilvl="0" w:tplc="2B8AD4BC">
      <w:start w:val="1"/>
      <w:numFmt w:val="lowerLetter"/>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EA9C69"/>
    <w:multiLevelType w:val="hybridMultilevel"/>
    <w:tmpl w:val="6CB83460"/>
    <w:lvl w:ilvl="0" w:tplc="D6AE76BA">
      <w:start w:val="1"/>
      <w:numFmt w:val="lowerLetter"/>
      <w:lvlText w:val="%1."/>
      <w:lvlJc w:val="left"/>
      <w:pPr>
        <w:ind w:left="360" w:hanging="360"/>
      </w:pPr>
    </w:lvl>
    <w:lvl w:ilvl="1" w:tplc="2B8AD4BC">
      <w:start w:val="1"/>
      <w:numFmt w:val="lowerLetter"/>
      <w:lvlText w:val="%2."/>
      <w:lvlJc w:val="left"/>
      <w:pPr>
        <w:ind w:left="1080" w:hanging="360"/>
      </w:pPr>
    </w:lvl>
    <w:lvl w:ilvl="2" w:tplc="C172E3C0">
      <w:start w:val="1"/>
      <w:numFmt w:val="lowerRoman"/>
      <w:lvlText w:val="%3."/>
      <w:lvlJc w:val="right"/>
      <w:pPr>
        <w:ind w:left="1800" w:hanging="180"/>
      </w:pPr>
    </w:lvl>
    <w:lvl w:ilvl="3" w:tplc="00181880">
      <w:start w:val="1"/>
      <w:numFmt w:val="decimal"/>
      <w:lvlText w:val="%4."/>
      <w:lvlJc w:val="left"/>
      <w:pPr>
        <w:ind w:left="2520" w:hanging="360"/>
      </w:pPr>
    </w:lvl>
    <w:lvl w:ilvl="4" w:tplc="2AE61098">
      <w:start w:val="1"/>
      <w:numFmt w:val="lowerLetter"/>
      <w:lvlText w:val="%5."/>
      <w:lvlJc w:val="left"/>
      <w:pPr>
        <w:ind w:left="3240" w:hanging="360"/>
      </w:pPr>
    </w:lvl>
    <w:lvl w:ilvl="5" w:tplc="1868C4CC">
      <w:start w:val="1"/>
      <w:numFmt w:val="lowerRoman"/>
      <w:lvlText w:val="%6."/>
      <w:lvlJc w:val="right"/>
      <w:pPr>
        <w:ind w:left="3960" w:hanging="180"/>
      </w:pPr>
    </w:lvl>
    <w:lvl w:ilvl="6" w:tplc="4F1668A8">
      <w:start w:val="1"/>
      <w:numFmt w:val="decimal"/>
      <w:lvlText w:val="%7."/>
      <w:lvlJc w:val="left"/>
      <w:pPr>
        <w:ind w:left="4680" w:hanging="360"/>
      </w:pPr>
    </w:lvl>
    <w:lvl w:ilvl="7" w:tplc="7CB24B82">
      <w:start w:val="1"/>
      <w:numFmt w:val="lowerLetter"/>
      <w:lvlText w:val="%8."/>
      <w:lvlJc w:val="left"/>
      <w:pPr>
        <w:ind w:left="5400" w:hanging="360"/>
      </w:pPr>
    </w:lvl>
    <w:lvl w:ilvl="8" w:tplc="2AAA2C2C">
      <w:start w:val="1"/>
      <w:numFmt w:val="lowerRoman"/>
      <w:lvlText w:val="%9."/>
      <w:lvlJc w:val="right"/>
      <w:pPr>
        <w:ind w:left="6120" w:hanging="180"/>
      </w:pPr>
    </w:lvl>
  </w:abstractNum>
  <w:num w:numId="1" w16cid:durableId="906450448">
    <w:abstractNumId w:val="2"/>
  </w:num>
  <w:num w:numId="2" w16cid:durableId="1221132513">
    <w:abstractNumId w:val="9"/>
  </w:num>
  <w:num w:numId="3" w16cid:durableId="1618870375">
    <w:abstractNumId w:val="8"/>
  </w:num>
  <w:num w:numId="4" w16cid:durableId="1976064270">
    <w:abstractNumId w:val="3"/>
  </w:num>
  <w:num w:numId="5" w16cid:durableId="702093344">
    <w:abstractNumId w:val="7"/>
  </w:num>
  <w:num w:numId="6" w16cid:durableId="450828265">
    <w:abstractNumId w:val="5"/>
  </w:num>
  <w:num w:numId="7" w16cid:durableId="1116556124">
    <w:abstractNumId w:val="11"/>
  </w:num>
  <w:num w:numId="8" w16cid:durableId="200869254">
    <w:abstractNumId w:val="0"/>
  </w:num>
  <w:num w:numId="9" w16cid:durableId="913971300">
    <w:abstractNumId w:val="10"/>
  </w:num>
  <w:num w:numId="10" w16cid:durableId="927227703">
    <w:abstractNumId w:val="1"/>
  </w:num>
  <w:num w:numId="11" w16cid:durableId="1932274924">
    <w:abstractNumId w:val="6"/>
  </w:num>
  <w:num w:numId="12" w16cid:durableId="348146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CF4"/>
    <w:rsid w:val="0001354C"/>
    <w:rsid w:val="000A096A"/>
    <w:rsid w:val="000A7485"/>
    <w:rsid w:val="00101CE0"/>
    <w:rsid w:val="001265D5"/>
    <w:rsid w:val="001B7BAE"/>
    <w:rsid w:val="002045DF"/>
    <w:rsid w:val="00256EFC"/>
    <w:rsid w:val="00272093"/>
    <w:rsid w:val="00273E36"/>
    <w:rsid w:val="002C4146"/>
    <w:rsid w:val="003050D3"/>
    <w:rsid w:val="0033711B"/>
    <w:rsid w:val="00364C02"/>
    <w:rsid w:val="004121E1"/>
    <w:rsid w:val="004D2951"/>
    <w:rsid w:val="00511563"/>
    <w:rsid w:val="00570358"/>
    <w:rsid w:val="00586D02"/>
    <w:rsid w:val="005A58B3"/>
    <w:rsid w:val="005B2E13"/>
    <w:rsid w:val="00641E80"/>
    <w:rsid w:val="00656DC8"/>
    <w:rsid w:val="00664CF4"/>
    <w:rsid w:val="006664AC"/>
    <w:rsid w:val="00702BFE"/>
    <w:rsid w:val="007428BB"/>
    <w:rsid w:val="00783D57"/>
    <w:rsid w:val="007C1E6B"/>
    <w:rsid w:val="00811876"/>
    <w:rsid w:val="00880201"/>
    <w:rsid w:val="00897319"/>
    <w:rsid w:val="008C4BF3"/>
    <w:rsid w:val="0091435A"/>
    <w:rsid w:val="00922CB1"/>
    <w:rsid w:val="0095070E"/>
    <w:rsid w:val="009542E2"/>
    <w:rsid w:val="0096739F"/>
    <w:rsid w:val="00971419"/>
    <w:rsid w:val="00A36A15"/>
    <w:rsid w:val="00AB6393"/>
    <w:rsid w:val="00AD549B"/>
    <w:rsid w:val="00B4222D"/>
    <w:rsid w:val="00B539B7"/>
    <w:rsid w:val="00B911B9"/>
    <w:rsid w:val="00BA6D4E"/>
    <w:rsid w:val="00C1467C"/>
    <w:rsid w:val="00DF210D"/>
    <w:rsid w:val="00E33F73"/>
    <w:rsid w:val="00E753A0"/>
    <w:rsid w:val="00EB18E5"/>
    <w:rsid w:val="00EE31CD"/>
    <w:rsid w:val="00EF628A"/>
    <w:rsid w:val="00F1341C"/>
    <w:rsid w:val="00F5157C"/>
    <w:rsid w:val="00F82D8B"/>
    <w:rsid w:val="00FB0731"/>
    <w:rsid w:val="00FC4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CCD4"/>
  <w15:chartTrackingRefBased/>
  <w15:docId w15:val="{BB514833-8408-4067-B698-AC7949342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CF4"/>
    <w:rPr>
      <w:rFonts w:eastAsiaTheme="majorEastAsia" w:cstheme="majorBidi"/>
      <w:color w:val="272727" w:themeColor="text1" w:themeTint="D8"/>
    </w:rPr>
  </w:style>
  <w:style w:type="paragraph" w:styleId="Title">
    <w:name w:val="Title"/>
    <w:basedOn w:val="Normal"/>
    <w:next w:val="Normal"/>
    <w:link w:val="TitleChar"/>
    <w:uiPriority w:val="10"/>
    <w:qFormat/>
    <w:rsid w:val="00664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CF4"/>
    <w:pPr>
      <w:spacing w:before="160"/>
      <w:jc w:val="center"/>
    </w:pPr>
    <w:rPr>
      <w:i/>
      <w:iCs/>
      <w:color w:val="404040" w:themeColor="text1" w:themeTint="BF"/>
    </w:rPr>
  </w:style>
  <w:style w:type="character" w:customStyle="1" w:styleId="QuoteChar">
    <w:name w:val="Quote Char"/>
    <w:basedOn w:val="DefaultParagraphFont"/>
    <w:link w:val="Quote"/>
    <w:uiPriority w:val="29"/>
    <w:rsid w:val="00664CF4"/>
    <w:rPr>
      <w:i/>
      <w:iCs/>
      <w:color w:val="404040" w:themeColor="text1" w:themeTint="BF"/>
    </w:rPr>
  </w:style>
  <w:style w:type="paragraph" w:styleId="ListParagraph">
    <w:name w:val="List Paragraph"/>
    <w:basedOn w:val="Normal"/>
    <w:uiPriority w:val="34"/>
    <w:qFormat/>
    <w:rsid w:val="00664CF4"/>
    <w:pPr>
      <w:ind w:left="720"/>
      <w:contextualSpacing/>
    </w:pPr>
  </w:style>
  <w:style w:type="character" w:styleId="IntenseEmphasis">
    <w:name w:val="Intense Emphasis"/>
    <w:basedOn w:val="DefaultParagraphFont"/>
    <w:uiPriority w:val="21"/>
    <w:qFormat/>
    <w:rsid w:val="00664CF4"/>
    <w:rPr>
      <w:i/>
      <w:iCs/>
      <w:color w:val="0F4761" w:themeColor="accent1" w:themeShade="BF"/>
    </w:rPr>
  </w:style>
  <w:style w:type="paragraph" w:styleId="IntenseQuote">
    <w:name w:val="Intense Quote"/>
    <w:basedOn w:val="Normal"/>
    <w:next w:val="Normal"/>
    <w:link w:val="IntenseQuoteChar"/>
    <w:uiPriority w:val="30"/>
    <w:qFormat/>
    <w:rsid w:val="00664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CF4"/>
    <w:rPr>
      <w:i/>
      <w:iCs/>
      <w:color w:val="0F4761" w:themeColor="accent1" w:themeShade="BF"/>
    </w:rPr>
  </w:style>
  <w:style w:type="character" w:styleId="IntenseReference">
    <w:name w:val="Intense Reference"/>
    <w:basedOn w:val="DefaultParagraphFont"/>
    <w:uiPriority w:val="32"/>
    <w:qFormat/>
    <w:rsid w:val="00664CF4"/>
    <w:rPr>
      <w:b/>
      <w:bCs/>
      <w:smallCaps/>
      <w:color w:val="0F4761" w:themeColor="accent1" w:themeShade="BF"/>
      <w:spacing w:val="5"/>
    </w:rPr>
  </w:style>
  <w:style w:type="character" w:styleId="Hyperlink">
    <w:name w:val="Hyperlink"/>
    <w:basedOn w:val="DefaultParagraphFont"/>
    <w:uiPriority w:val="99"/>
    <w:unhideWhenUsed/>
    <w:rsid w:val="00664CF4"/>
    <w:rPr>
      <w:color w:val="467886" w:themeColor="hyperlink"/>
      <w:u w:val="single"/>
    </w:rPr>
  </w:style>
  <w:style w:type="paragraph" w:customStyle="1" w:styleId="EndNoteBibliography">
    <w:name w:val="EndNote Bibliography"/>
    <w:basedOn w:val="Normal"/>
    <w:link w:val="EndNoteBibliographyChar"/>
    <w:rsid w:val="00AB6393"/>
    <w:pPr>
      <w:spacing w:line="240" w:lineRule="auto"/>
    </w:pPr>
    <w:rPr>
      <w:rFonts w:ascii="Aptos" w:hAnsi="Aptos"/>
      <w:noProof/>
      <w:lang w:val="en-US"/>
    </w:rPr>
  </w:style>
  <w:style w:type="character" w:customStyle="1" w:styleId="EndNoteBibliographyChar">
    <w:name w:val="EndNote Bibliography Char"/>
    <w:basedOn w:val="DefaultParagraphFont"/>
    <w:link w:val="EndNoteBibliography"/>
    <w:rsid w:val="00AB6393"/>
    <w:rPr>
      <w:rFonts w:ascii="Aptos" w:hAnsi="Aptos"/>
      <w:noProof/>
      <w:lang w:val="en-US"/>
    </w:rPr>
  </w:style>
  <w:style w:type="character" w:styleId="UnresolvedMention">
    <w:name w:val="Unresolved Mention"/>
    <w:basedOn w:val="DefaultParagraphFont"/>
    <w:uiPriority w:val="99"/>
    <w:semiHidden/>
    <w:unhideWhenUsed/>
    <w:rsid w:val="0001354C"/>
    <w:rPr>
      <w:color w:val="605E5C"/>
      <w:shd w:val="clear" w:color="auto" w:fill="E1DFDD"/>
    </w:rPr>
  </w:style>
  <w:style w:type="paragraph" w:customStyle="1" w:styleId="whitespace-pre-wrap">
    <w:name w:val="whitespace-pre-wrap"/>
    <w:basedOn w:val="Normal"/>
    <w:rsid w:val="001265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265D5"/>
    <w:rPr>
      <w:b/>
      <w:bCs/>
    </w:rPr>
  </w:style>
  <w:style w:type="character" w:styleId="Emphasis">
    <w:name w:val="Emphasis"/>
    <w:basedOn w:val="DefaultParagraphFont"/>
    <w:uiPriority w:val="20"/>
    <w:qFormat/>
    <w:rsid w:val="001265D5"/>
    <w:rPr>
      <w:i/>
      <w:iCs/>
    </w:rPr>
  </w:style>
  <w:style w:type="paragraph" w:styleId="NormalWeb">
    <w:name w:val="Normal (Web)"/>
    <w:basedOn w:val="Normal"/>
    <w:uiPriority w:val="99"/>
    <w:semiHidden/>
    <w:unhideWhenUsed/>
    <w:rsid w:val="001265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s-empty">
    <w:name w:val="is-empty"/>
    <w:basedOn w:val="Normal"/>
    <w:rsid w:val="001265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961">
      <w:bodyDiv w:val="1"/>
      <w:marLeft w:val="0"/>
      <w:marRight w:val="0"/>
      <w:marTop w:val="0"/>
      <w:marBottom w:val="0"/>
      <w:divBdr>
        <w:top w:val="none" w:sz="0" w:space="0" w:color="auto"/>
        <w:left w:val="none" w:sz="0" w:space="0" w:color="auto"/>
        <w:bottom w:val="none" w:sz="0" w:space="0" w:color="auto"/>
        <w:right w:val="none" w:sz="0" w:space="0" w:color="auto"/>
      </w:divBdr>
    </w:div>
    <w:div w:id="48575495">
      <w:bodyDiv w:val="1"/>
      <w:marLeft w:val="0"/>
      <w:marRight w:val="0"/>
      <w:marTop w:val="0"/>
      <w:marBottom w:val="0"/>
      <w:divBdr>
        <w:top w:val="none" w:sz="0" w:space="0" w:color="auto"/>
        <w:left w:val="none" w:sz="0" w:space="0" w:color="auto"/>
        <w:bottom w:val="none" w:sz="0" w:space="0" w:color="auto"/>
        <w:right w:val="none" w:sz="0" w:space="0" w:color="auto"/>
      </w:divBdr>
    </w:div>
    <w:div w:id="70080698">
      <w:bodyDiv w:val="1"/>
      <w:marLeft w:val="0"/>
      <w:marRight w:val="0"/>
      <w:marTop w:val="0"/>
      <w:marBottom w:val="0"/>
      <w:divBdr>
        <w:top w:val="none" w:sz="0" w:space="0" w:color="auto"/>
        <w:left w:val="none" w:sz="0" w:space="0" w:color="auto"/>
        <w:bottom w:val="none" w:sz="0" w:space="0" w:color="auto"/>
        <w:right w:val="none" w:sz="0" w:space="0" w:color="auto"/>
      </w:divBdr>
    </w:div>
    <w:div w:id="117988774">
      <w:bodyDiv w:val="1"/>
      <w:marLeft w:val="0"/>
      <w:marRight w:val="0"/>
      <w:marTop w:val="0"/>
      <w:marBottom w:val="0"/>
      <w:divBdr>
        <w:top w:val="none" w:sz="0" w:space="0" w:color="auto"/>
        <w:left w:val="none" w:sz="0" w:space="0" w:color="auto"/>
        <w:bottom w:val="none" w:sz="0" w:space="0" w:color="auto"/>
        <w:right w:val="none" w:sz="0" w:space="0" w:color="auto"/>
      </w:divBdr>
    </w:div>
    <w:div w:id="184369371">
      <w:bodyDiv w:val="1"/>
      <w:marLeft w:val="0"/>
      <w:marRight w:val="0"/>
      <w:marTop w:val="0"/>
      <w:marBottom w:val="0"/>
      <w:divBdr>
        <w:top w:val="none" w:sz="0" w:space="0" w:color="auto"/>
        <w:left w:val="none" w:sz="0" w:space="0" w:color="auto"/>
        <w:bottom w:val="none" w:sz="0" w:space="0" w:color="auto"/>
        <w:right w:val="none" w:sz="0" w:space="0" w:color="auto"/>
      </w:divBdr>
    </w:div>
    <w:div w:id="211157027">
      <w:bodyDiv w:val="1"/>
      <w:marLeft w:val="0"/>
      <w:marRight w:val="0"/>
      <w:marTop w:val="0"/>
      <w:marBottom w:val="0"/>
      <w:divBdr>
        <w:top w:val="none" w:sz="0" w:space="0" w:color="auto"/>
        <w:left w:val="none" w:sz="0" w:space="0" w:color="auto"/>
        <w:bottom w:val="none" w:sz="0" w:space="0" w:color="auto"/>
        <w:right w:val="none" w:sz="0" w:space="0" w:color="auto"/>
      </w:divBdr>
      <w:divsChild>
        <w:div w:id="2100908798">
          <w:marLeft w:val="0"/>
          <w:marRight w:val="0"/>
          <w:marTop w:val="0"/>
          <w:marBottom w:val="0"/>
          <w:divBdr>
            <w:top w:val="none" w:sz="0" w:space="0" w:color="auto"/>
            <w:left w:val="none" w:sz="0" w:space="0" w:color="auto"/>
            <w:bottom w:val="none" w:sz="0" w:space="0" w:color="auto"/>
            <w:right w:val="none" w:sz="0" w:space="0" w:color="auto"/>
          </w:divBdr>
          <w:divsChild>
            <w:div w:id="913472998">
              <w:marLeft w:val="0"/>
              <w:marRight w:val="0"/>
              <w:marTop w:val="0"/>
              <w:marBottom w:val="0"/>
              <w:divBdr>
                <w:top w:val="none" w:sz="0" w:space="0" w:color="auto"/>
                <w:left w:val="none" w:sz="0" w:space="0" w:color="auto"/>
                <w:bottom w:val="none" w:sz="0" w:space="0" w:color="auto"/>
                <w:right w:val="none" w:sz="0" w:space="0" w:color="auto"/>
              </w:divBdr>
              <w:divsChild>
                <w:div w:id="98882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72206">
      <w:bodyDiv w:val="1"/>
      <w:marLeft w:val="0"/>
      <w:marRight w:val="0"/>
      <w:marTop w:val="0"/>
      <w:marBottom w:val="0"/>
      <w:divBdr>
        <w:top w:val="none" w:sz="0" w:space="0" w:color="auto"/>
        <w:left w:val="none" w:sz="0" w:space="0" w:color="auto"/>
        <w:bottom w:val="none" w:sz="0" w:space="0" w:color="auto"/>
        <w:right w:val="none" w:sz="0" w:space="0" w:color="auto"/>
      </w:divBdr>
    </w:div>
    <w:div w:id="303464020">
      <w:bodyDiv w:val="1"/>
      <w:marLeft w:val="0"/>
      <w:marRight w:val="0"/>
      <w:marTop w:val="0"/>
      <w:marBottom w:val="0"/>
      <w:divBdr>
        <w:top w:val="none" w:sz="0" w:space="0" w:color="auto"/>
        <w:left w:val="none" w:sz="0" w:space="0" w:color="auto"/>
        <w:bottom w:val="none" w:sz="0" w:space="0" w:color="auto"/>
        <w:right w:val="none" w:sz="0" w:space="0" w:color="auto"/>
      </w:divBdr>
    </w:div>
    <w:div w:id="337848235">
      <w:bodyDiv w:val="1"/>
      <w:marLeft w:val="0"/>
      <w:marRight w:val="0"/>
      <w:marTop w:val="0"/>
      <w:marBottom w:val="0"/>
      <w:divBdr>
        <w:top w:val="none" w:sz="0" w:space="0" w:color="auto"/>
        <w:left w:val="none" w:sz="0" w:space="0" w:color="auto"/>
        <w:bottom w:val="none" w:sz="0" w:space="0" w:color="auto"/>
        <w:right w:val="none" w:sz="0" w:space="0" w:color="auto"/>
      </w:divBdr>
      <w:divsChild>
        <w:div w:id="333001175">
          <w:marLeft w:val="0"/>
          <w:marRight w:val="0"/>
          <w:marTop w:val="0"/>
          <w:marBottom w:val="0"/>
          <w:divBdr>
            <w:top w:val="none" w:sz="0" w:space="0" w:color="auto"/>
            <w:left w:val="none" w:sz="0" w:space="0" w:color="auto"/>
            <w:bottom w:val="none" w:sz="0" w:space="0" w:color="auto"/>
            <w:right w:val="none" w:sz="0" w:space="0" w:color="auto"/>
          </w:divBdr>
          <w:divsChild>
            <w:div w:id="2055542242">
              <w:marLeft w:val="0"/>
              <w:marRight w:val="0"/>
              <w:marTop w:val="0"/>
              <w:marBottom w:val="0"/>
              <w:divBdr>
                <w:top w:val="none" w:sz="0" w:space="0" w:color="auto"/>
                <w:left w:val="none" w:sz="0" w:space="0" w:color="auto"/>
                <w:bottom w:val="none" w:sz="0" w:space="0" w:color="auto"/>
                <w:right w:val="none" w:sz="0" w:space="0" w:color="auto"/>
              </w:divBdr>
              <w:divsChild>
                <w:div w:id="976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659677">
      <w:bodyDiv w:val="1"/>
      <w:marLeft w:val="0"/>
      <w:marRight w:val="0"/>
      <w:marTop w:val="0"/>
      <w:marBottom w:val="0"/>
      <w:divBdr>
        <w:top w:val="none" w:sz="0" w:space="0" w:color="auto"/>
        <w:left w:val="none" w:sz="0" w:space="0" w:color="auto"/>
        <w:bottom w:val="none" w:sz="0" w:space="0" w:color="auto"/>
        <w:right w:val="none" w:sz="0" w:space="0" w:color="auto"/>
      </w:divBdr>
    </w:div>
    <w:div w:id="414477908">
      <w:bodyDiv w:val="1"/>
      <w:marLeft w:val="0"/>
      <w:marRight w:val="0"/>
      <w:marTop w:val="0"/>
      <w:marBottom w:val="0"/>
      <w:divBdr>
        <w:top w:val="none" w:sz="0" w:space="0" w:color="auto"/>
        <w:left w:val="none" w:sz="0" w:space="0" w:color="auto"/>
        <w:bottom w:val="none" w:sz="0" w:space="0" w:color="auto"/>
        <w:right w:val="none" w:sz="0" w:space="0" w:color="auto"/>
      </w:divBdr>
    </w:div>
    <w:div w:id="430390970">
      <w:bodyDiv w:val="1"/>
      <w:marLeft w:val="0"/>
      <w:marRight w:val="0"/>
      <w:marTop w:val="0"/>
      <w:marBottom w:val="0"/>
      <w:divBdr>
        <w:top w:val="none" w:sz="0" w:space="0" w:color="auto"/>
        <w:left w:val="none" w:sz="0" w:space="0" w:color="auto"/>
        <w:bottom w:val="none" w:sz="0" w:space="0" w:color="auto"/>
        <w:right w:val="none" w:sz="0" w:space="0" w:color="auto"/>
      </w:divBdr>
    </w:div>
    <w:div w:id="443580287">
      <w:bodyDiv w:val="1"/>
      <w:marLeft w:val="0"/>
      <w:marRight w:val="0"/>
      <w:marTop w:val="0"/>
      <w:marBottom w:val="0"/>
      <w:divBdr>
        <w:top w:val="none" w:sz="0" w:space="0" w:color="auto"/>
        <w:left w:val="none" w:sz="0" w:space="0" w:color="auto"/>
        <w:bottom w:val="none" w:sz="0" w:space="0" w:color="auto"/>
        <w:right w:val="none" w:sz="0" w:space="0" w:color="auto"/>
      </w:divBdr>
    </w:div>
    <w:div w:id="540291250">
      <w:bodyDiv w:val="1"/>
      <w:marLeft w:val="0"/>
      <w:marRight w:val="0"/>
      <w:marTop w:val="0"/>
      <w:marBottom w:val="0"/>
      <w:divBdr>
        <w:top w:val="none" w:sz="0" w:space="0" w:color="auto"/>
        <w:left w:val="none" w:sz="0" w:space="0" w:color="auto"/>
        <w:bottom w:val="none" w:sz="0" w:space="0" w:color="auto"/>
        <w:right w:val="none" w:sz="0" w:space="0" w:color="auto"/>
      </w:divBdr>
    </w:div>
    <w:div w:id="569391617">
      <w:bodyDiv w:val="1"/>
      <w:marLeft w:val="0"/>
      <w:marRight w:val="0"/>
      <w:marTop w:val="0"/>
      <w:marBottom w:val="0"/>
      <w:divBdr>
        <w:top w:val="none" w:sz="0" w:space="0" w:color="auto"/>
        <w:left w:val="none" w:sz="0" w:space="0" w:color="auto"/>
        <w:bottom w:val="none" w:sz="0" w:space="0" w:color="auto"/>
        <w:right w:val="none" w:sz="0" w:space="0" w:color="auto"/>
      </w:divBdr>
    </w:div>
    <w:div w:id="598106351">
      <w:bodyDiv w:val="1"/>
      <w:marLeft w:val="0"/>
      <w:marRight w:val="0"/>
      <w:marTop w:val="0"/>
      <w:marBottom w:val="0"/>
      <w:divBdr>
        <w:top w:val="none" w:sz="0" w:space="0" w:color="auto"/>
        <w:left w:val="none" w:sz="0" w:space="0" w:color="auto"/>
        <w:bottom w:val="none" w:sz="0" w:space="0" w:color="auto"/>
        <w:right w:val="none" w:sz="0" w:space="0" w:color="auto"/>
      </w:divBdr>
    </w:div>
    <w:div w:id="760830170">
      <w:bodyDiv w:val="1"/>
      <w:marLeft w:val="0"/>
      <w:marRight w:val="0"/>
      <w:marTop w:val="0"/>
      <w:marBottom w:val="0"/>
      <w:divBdr>
        <w:top w:val="none" w:sz="0" w:space="0" w:color="auto"/>
        <w:left w:val="none" w:sz="0" w:space="0" w:color="auto"/>
        <w:bottom w:val="none" w:sz="0" w:space="0" w:color="auto"/>
        <w:right w:val="none" w:sz="0" w:space="0" w:color="auto"/>
      </w:divBdr>
      <w:divsChild>
        <w:div w:id="610211765">
          <w:marLeft w:val="0"/>
          <w:marRight w:val="0"/>
          <w:marTop w:val="0"/>
          <w:marBottom w:val="0"/>
          <w:divBdr>
            <w:top w:val="none" w:sz="0" w:space="0" w:color="auto"/>
            <w:left w:val="none" w:sz="0" w:space="0" w:color="auto"/>
            <w:bottom w:val="none" w:sz="0" w:space="0" w:color="auto"/>
            <w:right w:val="none" w:sz="0" w:space="0" w:color="auto"/>
          </w:divBdr>
          <w:divsChild>
            <w:div w:id="476453443">
              <w:marLeft w:val="0"/>
              <w:marRight w:val="0"/>
              <w:marTop w:val="0"/>
              <w:marBottom w:val="0"/>
              <w:divBdr>
                <w:top w:val="none" w:sz="0" w:space="0" w:color="auto"/>
                <w:left w:val="none" w:sz="0" w:space="0" w:color="auto"/>
                <w:bottom w:val="none" w:sz="0" w:space="0" w:color="auto"/>
                <w:right w:val="none" w:sz="0" w:space="0" w:color="auto"/>
              </w:divBdr>
              <w:divsChild>
                <w:div w:id="1801806405">
                  <w:marLeft w:val="0"/>
                  <w:marRight w:val="0"/>
                  <w:marTop w:val="0"/>
                  <w:marBottom w:val="0"/>
                  <w:divBdr>
                    <w:top w:val="none" w:sz="0" w:space="0" w:color="auto"/>
                    <w:left w:val="none" w:sz="0" w:space="0" w:color="auto"/>
                    <w:bottom w:val="none" w:sz="0" w:space="0" w:color="auto"/>
                    <w:right w:val="none" w:sz="0" w:space="0" w:color="auto"/>
                  </w:divBdr>
                  <w:divsChild>
                    <w:div w:id="1884949224">
                      <w:marLeft w:val="0"/>
                      <w:marRight w:val="0"/>
                      <w:marTop w:val="0"/>
                      <w:marBottom w:val="0"/>
                      <w:divBdr>
                        <w:top w:val="none" w:sz="0" w:space="0" w:color="auto"/>
                        <w:left w:val="none" w:sz="0" w:space="0" w:color="auto"/>
                        <w:bottom w:val="none" w:sz="0" w:space="0" w:color="auto"/>
                        <w:right w:val="none" w:sz="0" w:space="0" w:color="auto"/>
                      </w:divBdr>
                      <w:divsChild>
                        <w:div w:id="1634411348">
                          <w:marLeft w:val="0"/>
                          <w:marRight w:val="0"/>
                          <w:marTop w:val="0"/>
                          <w:marBottom w:val="0"/>
                          <w:divBdr>
                            <w:top w:val="none" w:sz="0" w:space="0" w:color="auto"/>
                            <w:left w:val="none" w:sz="0" w:space="0" w:color="auto"/>
                            <w:bottom w:val="none" w:sz="0" w:space="0" w:color="auto"/>
                            <w:right w:val="none" w:sz="0" w:space="0" w:color="auto"/>
                          </w:divBdr>
                          <w:divsChild>
                            <w:div w:id="936714011">
                              <w:marLeft w:val="0"/>
                              <w:marRight w:val="0"/>
                              <w:marTop w:val="0"/>
                              <w:marBottom w:val="0"/>
                              <w:divBdr>
                                <w:top w:val="none" w:sz="0" w:space="0" w:color="auto"/>
                                <w:left w:val="none" w:sz="0" w:space="0" w:color="auto"/>
                                <w:bottom w:val="none" w:sz="0" w:space="0" w:color="auto"/>
                                <w:right w:val="none" w:sz="0" w:space="0" w:color="auto"/>
                              </w:divBdr>
                              <w:divsChild>
                                <w:div w:id="19872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2631">
                          <w:marLeft w:val="0"/>
                          <w:marRight w:val="0"/>
                          <w:marTop w:val="0"/>
                          <w:marBottom w:val="0"/>
                          <w:divBdr>
                            <w:top w:val="none" w:sz="0" w:space="0" w:color="auto"/>
                            <w:left w:val="none" w:sz="0" w:space="0" w:color="auto"/>
                            <w:bottom w:val="none" w:sz="0" w:space="0" w:color="auto"/>
                            <w:right w:val="none" w:sz="0" w:space="0" w:color="auto"/>
                          </w:divBdr>
                          <w:divsChild>
                            <w:div w:id="72630235">
                              <w:marLeft w:val="0"/>
                              <w:marRight w:val="0"/>
                              <w:marTop w:val="0"/>
                              <w:marBottom w:val="0"/>
                              <w:divBdr>
                                <w:top w:val="none" w:sz="0" w:space="0" w:color="auto"/>
                                <w:left w:val="none" w:sz="0" w:space="0" w:color="auto"/>
                                <w:bottom w:val="none" w:sz="0" w:space="0" w:color="auto"/>
                                <w:right w:val="none" w:sz="0" w:space="0" w:color="auto"/>
                              </w:divBdr>
                              <w:divsChild>
                                <w:div w:id="1313026105">
                                  <w:marLeft w:val="0"/>
                                  <w:marRight w:val="0"/>
                                  <w:marTop w:val="0"/>
                                  <w:marBottom w:val="0"/>
                                  <w:divBdr>
                                    <w:top w:val="none" w:sz="0" w:space="0" w:color="auto"/>
                                    <w:left w:val="none" w:sz="0" w:space="0" w:color="auto"/>
                                    <w:bottom w:val="none" w:sz="0" w:space="0" w:color="auto"/>
                                    <w:right w:val="none" w:sz="0" w:space="0" w:color="auto"/>
                                  </w:divBdr>
                                  <w:divsChild>
                                    <w:div w:id="15941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467880">
              <w:marLeft w:val="0"/>
              <w:marRight w:val="0"/>
              <w:marTop w:val="0"/>
              <w:marBottom w:val="0"/>
              <w:divBdr>
                <w:top w:val="none" w:sz="0" w:space="0" w:color="auto"/>
                <w:left w:val="none" w:sz="0" w:space="0" w:color="auto"/>
                <w:bottom w:val="none" w:sz="0" w:space="0" w:color="auto"/>
                <w:right w:val="none" w:sz="0" w:space="0" w:color="auto"/>
              </w:divBdr>
              <w:divsChild>
                <w:div w:id="2007054465">
                  <w:marLeft w:val="0"/>
                  <w:marRight w:val="0"/>
                  <w:marTop w:val="0"/>
                  <w:marBottom w:val="0"/>
                  <w:divBdr>
                    <w:top w:val="none" w:sz="0" w:space="0" w:color="auto"/>
                    <w:left w:val="none" w:sz="0" w:space="0" w:color="auto"/>
                    <w:bottom w:val="none" w:sz="0" w:space="0" w:color="auto"/>
                    <w:right w:val="none" w:sz="0" w:space="0" w:color="auto"/>
                  </w:divBdr>
                  <w:divsChild>
                    <w:div w:id="20414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768758">
          <w:marLeft w:val="0"/>
          <w:marRight w:val="0"/>
          <w:marTop w:val="0"/>
          <w:marBottom w:val="0"/>
          <w:divBdr>
            <w:top w:val="none" w:sz="0" w:space="0" w:color="auto"/>
            <w:left w:val="none" w:sz="0" w:space="0" w:color="auto"/>
            <w:bottom w:val="none" w:sz="0" w:space="0" w:color="auto"/>
            <w:right w:val="none" w:sz="0" w:space="0" w:color="auto"/>
          </w:divBdr>
          <w:divsChild>
            <w:div w:id="74280536">
              <w:marLeft w:val="0"/>
              <w:marRight w:val="0"/>
              <w:marTop w:val="0"/>
              <w:marBottom w:val="0"/>
              <w:divBdr>
                <w:top w:val="none" w:sz="0" w:space="0" w:color="auto"/>
                <w:left w:val="none" w:sz="0" w:space="0" w:color="auto"/>
                <w:bottom w:val="none" w:sz="0" w:space="0" w:color="auto"/>
                <w:right w:val="none" w:sz="0" w:space="0" w:color="auto"/>
              </w:divBdr>
              <w:divsChild>
                <w:div w:id="916406483">
                  <w:marLeft w:val="0"/>
                  <w:marRight w:val="0"/>
                  <w:marTop w:val="0"/>
                  <w:marBottom w:val="0"/>
                  <w:divBdr>
                    <w:top w:val="none" w:sz="0" w:space="0" w:color="auto"/>
                    <w:left w:val="none" w:sz="0" w:space="0" w:color="auto"/>
                    <w:bottom w:val="none" w:sz="0" w:space="0" w:color="auto"/>
                    <w:right w:val="none" w:sz="0" w:space="0" w:color="auto"/>
                  </w:divBdr>
                  <w:divsChild>
                    <w:div w:id="345445711">
                      <w:marLeft w:val="0"/>
                      <w:marRight w:val="0"/>
                      <w:marTop w:val="0"/>
                      <w:marBottom w:val="0"/>
                      <w:divBdr>
                        <w:top w:val="none" w:sz="0" w:space="0" w:color="auto"/>
                        <w:left w:val="none" w:sz="0" w:space="0" w:color="auto"/>
                        <w:bottom w:val="none" w:sz="0" w:space="0" w:color="auto"/>
                        <w:right w:val="none" w:sz="0" w:space="0" w:color="auto"/>
                      </w:divBdr>
                      <w:divsChild>
                        <w:div w:id="1159617323">
                          <w:marLeft w:val="0"/>
                          <w:marRight w:val="0"/>
                          <w:marTop w:val="0"/>
                          <w:marBottom w:val="0"/>
                          <w:divBdr>
                            <w:top w:val="none" w:sz="0" w:space="0" w:color="auto"/>
                            <w:left w:val="none" w:sz="0" w:space="0" w:color="auto"/>
                            <w:bottom w:val="none" w:sz="0" w:space="0" w:color="auto"/>
                            <w:right w:val="none" w:sz="0" w:space="0" w:color="auto"/>
                          </w:divBdr>
                          <w:divsChild>
                            <w:div w:id="2333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82">
                      <w:marLeft w:val="0"/>
                      <w:marRight w:val="0"/>
                      <w:marTop w:val="0"/>
                      <w:marBottom w:val="0"/>
                      <w:divBdr>
                        <w:top w:val="none" w:sz="0" w:space="0" w:color="auto"/>
                        <w:left w:val="none" w:sz="0" w:space="0" w:color="auto"/>
                        <w:bottom w:val="none" w:sz="0" w:space="0" w:color="auto"/>
                        <w:right w:val="none" w:sz="0" w:space="0" w:color="auto"/>
                      </w:divBdr>
                      <w:divsChild>
                        <w:div w:id="989750323">
                          <w:marLeft w:val="0"/>
                          <w:marRight w:val="0"/>
                          <w:marTop w:val="0"/>
                          <w:marBottom w:val="0"/>
                          <w:divBdr>
                            <w:top w:val="none" w:sz="0" w:space="0" w:color="auto"/>
                            <w:left w:val="none" w:sz="0" w:space="0" w:color="auto"/>
                            <w:bottom w:val="none" w:sz="0" w:space="0" w:color="auto"/>
                            <w:right w:val="none" w:sz="0" w:space="0" w:color="auto"/>
                          </w:divBdr>
                          <w:divsChild>
                            <w:div w:id="649746266">
                              <w:marLeft w:val="0"/>
                              <w:marRight w:val="0"/>
                              <w:marTop w:val="0"/>
                              <w:marBottom w:val="0"/>
                              <w:divBdr>
                                <w:top w:val="none" w:sz="0" w:space="0" w:color="auto"/>
                                <w:left w:val="none" w:sz="0" w:space="0" w:color="auto"/>
                                <w:bottom w:val="none" w:sz="0" w:space="0" w:color="auto"/>
                                <w:right w:val="none" w:sz="0" w:space="0" w:color="auto"/>
                              </w:divBdr>
                              <w:divsChild>
                                <w:div w:id="315955102">
                                  <w:marLeft w:val="0"/>
                                  <w:marRight w:val="0"/>
                                  <w:marTop w:val="0"/>
                                  <w:marBottom w:val="0"/>
                                  <w:divBdr>
                                    <w:top w:val="none" w:sz="0" w:space="0" w:color="auto"/>
                                    <w:left w:val="none" w:sz="0" w:space="0" w:color="auto"/>
                                    <w:bottom w:val="none" w:sz="0" w:space="0" w:color="auto"/>
                                    <w:right w:val="none" w:sz="0" w:space="0" w:color="auto"/>
                                  </w:divBdr>
                                  <w:divsChild>
                                    <w:div w:id="31739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504595">
      <w:bodyDiv w:val="1"/>
      <w:marLeft w:val="0"/>
      <w:marRight w:val="0"/>
      <w:marTop w:val="0"/>
      <w:marBottom w:val="0"/>
      <w:divBdr>
        <w:top w:val="none" w:sz="0" w:space="0" w:color="auto"/>
        <w:left w:val="none" w:sz="0" w:space="0" w:color="auto"/>
        <w:bottom w:val="none" w:sz="0" w:space="0" w:color="auto"/>
        <w:right w:val="none" w:sz="0" w:space="0" w:color="auto"/>
      </w:divBdr>
    </w:div>
    <w:div w:id="795951601">
      <w:bodyDiv w:val="1"/>
      <w:marLeft w:val="0"/>
      <w:marRight w:val="0"/>
      <w:marTop w:val="0"/>
      <w:marBottom w:val="0"/>
      <w:divBdr>
        <w:top w:val="none" w:sz="0" w:space="0" w:color="auto"/>
        <w:left w:val="none" w:sz="0" w:space="0" w:color="auto"/>
        <w:bottom w:val="none" w:sz="0" w:space="0" w:color="auto"/>
        <w:right w:val="none" w:sz="0" w:space="0" w:color="auto"/>
      </w:divBdr>
    </w:div>
    <w:div w:id="914171841">
      <w:bodyDiv w:val="1"/>
      <w:marLeft w:val="0"/>
      <w:marRight w:val="0"/>
      <w:marTop w:val="0"/>
      <w:marBottom w:val="0"/>
      <w:divBdr>
        <w:top w:val="none" w:sz="0" w:space="0" w:color="auto"/>
        <w:left w:val="none" w:sz="0" w:space="0" w:color="auto"/>
        <w:bottom w:val="none" w:sz="0" w:space="0" w:color="auto"/>
        <w:right w:val="none" w:sz="0" w:space="0" w:color="auto"/>
      </w:divBdr>
    </w:div>
    <w:div w:id="960502328">
      <w:bodyDiv w:val="1"/>
      <w:marLeft w:val="0"/>
      <w:marRight w:val="0"/>
      <w:marTop w:val="0"/>
      <w:marBottom w:val="0"/>
      <w:divBdr>
        <w:top w:val="none" w:sz="0" w:space="0" w:color="auto"/>
        <w:left w:val="none" w:sz="0" w:space="0" w:color="auto"/>
        <w:bottom w:val="none" w:sz="0" w:space="0" w:color="auto"/>
        <w:right w:val="none" w:sz="0" w:space="0" w:color="auto"/>
      </w:divBdr>
    </w:div>
    <w:div w:id="1001348967">
      <w:bodyDiv w:val="1"/>
      <w:marLeft w:val="0"/>
      <w:marRight w:val="0"/>
      <w:marTop w:val="0"/>
      <w:marBottom w:val="0"/>
      <w:divBdr>
        <w:top w:val="none" w:sz="0" w:space="0" w:color="auto"/>
        <w:left w:val="none" w:sz="0" w:space="0" w:color="auto"/>
        <w:bottom w:val="none" w:sz="0" w:space="0" w:color="auto"/>
        <w:right w:val="none" w:sz="0" w:space="0" w:color="auto"/>
      </w:divBdr>
    </w:div>
    <w:div w:id="1019745624">
      <w:bodyDiv w:val="1"/>
      <w:marLeft w:val="0"/>
      <w:marRight w:val="0"/>
      <w:marTop w:val="0"/>
      <w:marBottom w:val="0"/>
      <w:divBdr>
        <w:top w:val="none" w:sz="0" w:space="0" w:color="auto"/>
        <w:left w:val="none" w:sz="0" w:space="0" w:color="auto"/>
        <w:bottom w:val="none" w:sz="0" w:space="0" w:color="auto"/>
        <w:right w:val="none" w:sz="0" w:space="0" w:color="auto"/>
      </w:divBdr>
    </w:div>
    <w:div w:id="1068304335">
      <w:bodyDiv w:val="1"/>
      <w:marLeft w:val="0"/>
      <w:marRight w:val="0"/>
      <w:marTop w:val="0"/>
      <w:marBottom w:val="0"/>
      <w:divBdr>
        <w:top w:val="none" w:sz="0" w:space="0" w:color="auto"/>
        <w:left w:val="none" w:sz="0" w:space="0" w:color="auto"/>
        <w:bottom w:val="none" w:sz="0" w:space="0" w:color="auto"/>
        <w:right w:val="none" w:sz="0" w:space="0" w:color="auto"/>
      </w:divBdr>
    </w:div>
    <w:div w:id="1106314418">
      <w:bodyDiv w:val="1"/>
      <w:marLeft w:val="0"/>
      <w:marRight w:val="0"/>
      <w:marTop w:val="0"/>
      <w:marBottom w:val="0"/>
      <w:divBdr>
        <w:top w:val="none" w:sz="0" w:space="0" w:color="auto"/>
        <w:left w:val="none" w:sz="0" w:space="0" w:color="auto"/>
        <w:bottom w:val="none" w:sz="0" w:space="0" w:color="auto"/>
        <w:right w:val="none" w:sz="0" w:space="0" w:color="auto"/>
      </w:divBdr>
    </w:div>
    <w:div w:id="1115447670">
      <w:bodyDiv w:val="1"/>
      <w:marLeft w:val="0"/>
      <w:marRight w:val="0"/>
      <w:marTop w:val="0"/>
      <w:marBottom w:val="0"/>
      <w:divBdr>
        <w:top w:val="none" w:sz="0" w:space="0" w:color="auto"/>
        <w:left w:val="none" w:sz="0" w:space="0" w:color="auto"/>
        <w:bottom w:val="none" w:sz="0" w:space="0" w:color="auto"/>
        <w:right w:val="none" w:sz="0" w:space="0" w:color="auto"/>
      </w:divBdr>
    </w:div>
    <w:div w:id="1122073046">
      <w:bodyDiv w:val="1"/>
      <w:marLeft w:val="0"/>
      <w:marRight w:val="0"/>
      <w:marTop w:val="0"/>
      <w:marBottom w:val="0"/>
      <w:divBdr>
        <w:top w:val="none" w:sz="0" w:space="0" w:color="auto"/>
        <w:left w:val="none" w:sz="0" w:space="0" w:color="auto"/>
        <w:bottom w:val="none" w:sz="0" w:space="0" w:color="auto"/>
        <w:right w:val="none" w:sz="0" w:space="0" w:color="auto"/>
      </w:divBdr>
    </w:div>
    <w:div w:id="1125388859">
      <w:bodyDiv w:val="1"/>
      <w:marLeft w:val="0"/>
      <w:marRight w:val="0"/>
      <w:marTop w:val="0"/>
      <w:marBottom w:val="0"/>
      <w:divBdr>
        <w:top w:val="none" w:sz="0" w:space="0" w:color="auto"/>
        <w:left w:val="none" w:sz="0" w:space="0" w:color="auto"/>
        <w:bottom w:val="none" w:sz="0" w:space="0" w:color="auto"/>
        <w:right w:val="none" w:sz="0" w:space="0" w:color="auto"/>
      </w:divBdr>
    </w:div>
    <w:div w:id="1140880385">
      <w:bodyDiv w:val="1"/>
      <w:marLeft w:val="0"/>
      <w:marRight w:val="0"/>
      <w:marTop w:val="0"/>
      <w:marBottom w:val="0"/>
      <w:divBdr>
        <w:top w:val="none" w:sz="0" w:space="0" w:color="auto"/>
        <w:left w:val="none" w:sz="0" w:space="0" w:color="auto"/>
        <w:bottom w:val="none" w:sz="0" w:space="0" w:color="auto"/>
        <w:right w:val="none" w:sz="0" w:space="0" w:color="auto"/>
      </w:divBdr>
    </w:div>
    <w:div w:id="1225142011">
      <w:bodyDiv w:val="1"/>
      <w:marLeft w:val="0"/>
      <w:marRight w:val="0"/>
      <w:marTop w:val="0"/>
      <w:marBottom w:val="0"/>
      <w:divBdr>
        <w:top w:val="none" w:sz="0" w:space="0" w:color="auto"/>
        <w:left w:val="none" w:sz="0" w:space="0" w:color="auto"/>
        <w:bottom w:val="none" w:sz="0" w:space="0" w:color="auto"/>
        <w:right w:val="none" w:sz="0" w:space="0" w:color="auto"/>
      </w:divBdr>
    </w:div>
    <w:div w:id="1255086768">
      <w:bodyDiv w:val="1"/>
      <w:marLeft w:val="0"/>
      <w:marRight w:val="0"/>
      <w:marTop w:val="0"/>
      <w:marBottom w:val="0"/>
      <w:divBdr>
        <w:top w:val="none" w:sz="0" w:space="0" w:color="auto"/>
        <w:left w:val="none" w:sz="0" w:space="0" w:color="auto"/>
        <w:bottom w:val="none" w:sz="0" w:space="0" w:color="auto"/>
        <w:right w:val="none" w:sz="0" w:space="0" w:color="auto"/>
      </w:divBdr>
    </w:div>
    <w:div w:id="1352605576">
      <w:bodyDiv w:val="1"/>
      <w:marLeft w:val="0"/>
      <w:marRight w:val="0"/>
      <w:marTop w:val="0"/>
      <w:marBottom w:val="0"/>
      <w:divBdr>
        <w:top w:val="none" w:sz="0" w:space="0" w:color="auto"/>
        <w:left w:val="none" w:sz="0" w:space="0" w:color="auto"/>
        <w:bottom w:val="none" w:sz="0" w:space="0" w:color="auto"/>
        <w:right w:val="none" w:sz="0" w:space="0" w:color="auto"/>
      </w:divBdr>
    </w:div>
    <w:div w:id="1511216889">
      <w:bodyDiv w:val="1"/>
      <w:marLeft w:val="0"/>
      <w:marRight w:val="0"/>
      <w:marTop w:val="0"/>
      <w:marBottom w:val="0"/>
      <w:divBdr>
        <w:top w:val="none" w:sz="0" w:space="0" w:color="auto"/>
        <w:left w:val="none" w:sz="0" w:space="0" w:color="auto"/>
        <w:bottom w:val="none" w:sz="0" w:space="0" w:color="auto"/>
        <w:right w:val="none" w:sz="0" w:space="0" w:color="auto"/>
      </w:divBdr>
    </w:div>
    <w:div w:id="1786805128">
      <w:bodyDiv w:val="1"/>
      <w:marLeft w:val="0"/>
      <w:marRight w:val="0"/>
      <w:marTop w:val="0"/>
      <w:marBottom w:val="0"/>
      <w:divBdr>
        <w:top w:val="none" w:sz="0" w:space="0" w:color="auto"/>
        <w:left w:val="none" w:sz="0" w:space="0" w:color="auto"/>
        <w:bottom w:val="none" w:sz="0" w:space="0" w:color="auto"/>
        <w:right w:val="none" w:sz="0" w:space="0" w:color="auto"/>
      </w:divBdr>
    </w:div>
    <w:div w:id="1820926789">
      <w:bodyDiv w:val="1"/>
      <w:marLeft w:val="0"/>
      <w:marRight w:val="0"/>
      <w:marTop w:val="0"/>
      <w:marBottom w:val="0"/>
      <w:divBdr>
        <w:top w:val="none" w:sz="0" w:space="0" w:color="auto"/>
        <w:left w:val="none" w:sz="0" w:space="0" w:color="auto"/>
        <w:bottom w:val="none" w:sz="0" w:space="0" w:color="auto"/>
        <w:right w:val="none" w:sz="0" w:space="0" w:color="auto"/>
      </w:divBdr>
    </w:div>
    <w:div w:id="1831285932">
      <w:bodyDiv w:val="1"/>
      <w:marLeft w:val="0"/>
      <w:marRight w:val="0"/>
      <w:marTop w:val="0"/>
      <w:marBottom w:val="0"/>
      <w:divBdr>
        <w:top w:val="none" w:sz="0" w:space="0" w:color="auto"/>
        <w:left w:val="none" w:sz="0" w:space="0" w:color="auto"/>
        <w:bottom w:val="none" w:sz="0" w:space="0" w:color="auto"/>
        <w:right w:val="none" w:sz="0" w:space="0" w:color="auto"/>
      </w:divBdr>
    </w:div>
    <w:div w:id="1838878839">
      <w:bodyDiv w:val="1"/>
      <w:marLeft w:val="0"/>
      <w:marRight w:val="0"/>
      <w:marTop w:val="0"/>
      <w:marBottom w:val="0"/>
      <w:divBdr>
        <w:top w:val="none" w:sz="0" w:space="0" w:color="auto"/>
        <w:left w:val="none" w:sz="0" w:space="0" w:color="auto"/>
        <w:bottom w:val="none" w:sz="0" w:space="0" w:color="auto"/>
        <w:right w:val="none" w:sz="0" w:space="0" w:color="auto"/>
      </w:divBdr>
    </w:div>
    <w:div w:id="1850365332">
      <w:bodyDiv w:val="1"/>
      <w:marLeft w:val="0"/>
      <w:marRight w:val="0"/>
      <w:marTop w:val="0"/>
      <w:marBottom w:val="0"/>
      <w:divBdr>
        <w:top w:val="none" w:sz="0" w:space="0" w:color="auto"/>
        <w:left w:val="none" w:sz="0" w:space="0" w:color="auto"/>
        <w:bottom w:val="none" w:sz="0" w:space="0" w:color="auto"/>
        <w:right w:val="none" w:sz="0" w:space="0" w:color="auto"/>
      </w:divBdr>
    </w:div>
    <w:div w:id="1887835612">
      <w:bodyDiv w:val="1"/>
      <w:marLeft w:val="0"/>
      <w:marRight w:val="0"/>
      <w:marTop w:val="0"/>
      <w:marBottom w:val="0"/>
      <w:divBdr>
        <w:top w:val="none" w:sz="0" w:space="0" w:color="auto"/>
        <w:left w:val="none" w:sz="0" w:space="0" w:color="auto"/>
        <w:bottom w:val="none" w:sz="0" w:space="0" w:color="auto"/>
        <w:right w:val="none" w:sz="0" w:space="0" w:color="auto"/>
      </w:divBdr>
    </w:div>
    <w:div w:id="1916625734">
      <w:bodyDiv w:val="1"/>
      <w:marLeft w:val="0"/>
      <w:marRight w:val="0"/>
      <w:marTop w:val="0"/>
      <w:marBottom w:val="0"/>
      <w:divBdr>
        <w:top w:val="none" w:sz="0" w:space="0" w:color="auto"/>
        <w:left w:val="none" w:sz="0" w:space="0" w:color="auto"/>
        <w:bottom w:val="none" w:sz="0" w:space="0" w:color="auto"/>
        <w:right w:val="none" w:sz="0" w:space="0" w:color="auto"/>
      </w:divBdr>
    </w:div>
    <w:div w:id="1936090992">
      <w:bodyDiv w:val="1"/>
      <w:marLeft w:val="0"/>
      <w:marRight w:val="0"/>
      <w:marTop w:val="0"/>
      <w:marBottom w:val="0"/>
      <w:divBdr>
        <w:top w:val="none" w:sz="0" w:space="0" w:color="auto"/>
        <w:left w:val="none" w:sz="0" w:space="0" w:color="auto"/>
        <w:bottom w:val="none" w:sz="0" w:space="0" w:color="auto"/>
        <w:right w:val="none" w:sz="0" w:space="0" w:color="auto"/>
      </w:divBdr>
    </w:div>
    <w:div w:id="1961644959">
      <w:bodyDiv w:val="1"/>
      <w:marLeft w:val="0"/>
      <w:marRight w:val="0"/>
      <w:marTop w:val="0"/>
      <w:marBottom w:val="0"/>
      <w:divBdr>
        <w:top w:val="none" w:sz="0" w:space="0" w:color="auto"/>
        <w:left w:val="none" w:sz="0" w:space="0" w:color="auto"/>
        <w:bottom w:val="none" w:sz="0" w:space="0" w:color="auto"/>
        <w:right w:val="none" w:sz="0" w:space="0" w:color="auto"/>
      </w:divBdr>
    </w:div>
    <w:div w:id="1963415909">
      <w:bodyDiv w:val="1"/>
      <w:marLeft w:val="0"/>
      <w:marRight w:val="0"/>
      <w:marTop w:val="0"/>
      <w:marBottom w:val="0"/>
      <w:divBdr>
        <w:top w:val="none" w:sz="0" w:space="0" w:color="auto"/>
        <w:left w:val="none" w:sz="0" w:space="0" w:color="auto"/>
        <w:bottom w:val="none" w:sz="0" w:space="0" w:color="auto"/>
        <w:right w:val="none" w:sz="0" w:space="0" w:color="auto"/>
      </w:divBdr>
    </w:div>
    <w:div w:id="2021857999">
      <w:bodyDiv w:val="1"/>
      <w:marLeft w:val="0"/>
      <w:marRight w:val="0"/>
      <w:marTop w:val="0"/>
      <w:marBottom w:val="0"/>
      <w:divBdr>
        <w:top w:val="none" w:sz="0" w:space="0" w:color="auto"/>
        <w:left w:val="none" w:sz="0" w:space="0" w:color="auto"/>
        <w:bottom w:val="none" w:sz="0" w:space="0" w:color="auto"/>
        <w:right w:val="none" w:sz="0" w:space="0" w:color="auto"/>
      </w:divBdr>
    </w:div>
    <w:div w:id="2035499516">
      <w:bodyDiv w:val="1"/>
      <w:marLeft w:val="0"/>
      <w:marRight w:val="0"/>
      <w:marTop w:val="0"/>
      <w:marBottom w:val="0"/>
      <w:divBdr>
        <w:top w:val="none" w:sz="0" w:space="0" w:color="auto"/>
        <w:left w:val="none" w:sz="0" w:space="0" w:color="auto"/>
        <w:bottom w:val="none" w:sz="0" w:space="0" w:color="auto"/>
        <w:right w:val="none" w:sz="0" w:space="0" w:color="auto"/>
      </w:divBdr>
    </w:div>
    <w:div w:id="2037849894">
      <w:bodyDiv w:val="1"/>
      <w:marLeft w:val="0"/>
      <w:marRight w:val="0"/>
      <w:marTop w:val="0"/>
      <w:marBottom w:val="0"/>
      <w:divBdr>
        <w:top w:val="none" w:sz="0" w:space="0" w:color="auto"/>
        <w:left w:val="none" w:sz="0" w:space="0" w:color="auto"/>
        <w:bottom w:val="none" w:sz="0" w:space="0" w:color="auto"/>
        <w:right w:val="none" w:sz="0" w:space="0" w:color="auto"/>
      </w:divBdr>
    </w:div>
    <w:div w:id="2041856396">
      <w:bodyDiv w:val="1"/>
      <w:marLeft w:val="0"/>
      <w:marRight w:val="0"/>
      <w:marTop w:val="0"/>
      <w:marBottom w:val="0"/>
      <w:divBdr>
        <w:top w:val="none" w:sz="0" w:space="0" w:color="auto"/>
        <w:left w:val="none" w:sz="0" w:space="0" w:color="auto"/>
        <w:bottom w:val="none" w:sz="0" w:space="0" w:color="auto"/>
        <w:right w:val="none" w:sz="0" w:space="0" w:color="auto"/>
      </w:divBdr>
    </w:div>
    <w:div w:id="2133399747">
      <w:bodyDiv w:val="1"/>
      <w:marLeft w:val="0"/>
      <w:marRight w:val="0"/>
      <w:marTop w:val="0"/>
      <w:marBottom w:val="0"/>
      <w:divBdr>
        <w:top w:val="none" w:sz="0" w:space="0" w:color="auto"/>
        <w:left w:val="none" w:sz="0" w:space="0" w:color="auto"/>
        <w:bottom w:val="none" w:sz="0" w:space="0" w:color="auto"/>
        <w:right w:val="none" w:sz="0" w:space="0" w:color="auto"/>
      </w:divBdr>
    </w:div>
    <w:div w:id="213490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7/45/section/1" TargetMode="External"/><Relationship Id="rId13" Type="http://schemas.openxmlformats.org/officeDocument/2006/relationships/hyperlink" Target="https://www.gov.uk/government/publications/pace-code-b-2013/pace-code-b-accessible" TargetMode="External"/><Relationship Id="rId18" Type="http://schemas.openxmlformats.org/officeDocument/2006/relationships/hyperlink" Target="https://news.npcc.police.uk/releases/county-lines-are-changing-to-become-more-localised-reveals-new-county-lines-strategic-threat-risk-assess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ps.gov.uk/legal-guidance/disclosure-manual-chapter-15-defence-disclosure" TargetMode="External"/><Relationship Id="rId7" Type="http://schemas.openxmlformats.org/officeDocument/2006/relationships/hyperlink" Target="https://www.police-foundation.org.uk/wp-content/uploads/2017/10/oc_in_local_communities_final.pdf" TargetMode="External"/><Relationship Id="rId12" Type="http://schemas.openxmlformats.org/officeDocument/2006/relationships/hyperlink" Target="https://www.gov.uk/guidance/mutual-legal-assistance-mla-requests" TargetMode="External"/><Relationship Id="rId17" Type="http://schemas.openxmlformats.org/officeDocument/2006/relationships/hyperlink" Target="https://news.npcc.police.uk/releases/unprecedented-police-operation-against-organised-crime-leads-to-1-000-arrests-and-gbp-130-million-of-cannabis-seize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15/30/section/2" TargetMode="External"/><Relationship Id="rId20" Type="http://schemas.openxmlformats.org/officeDocument/2006/relationships/hyperlink" Target="https://www.thesun.co.uk/news/6254719/the-brutal-rise-of-albanian-mafia-controlling-the-cocaine-trade-in-the-uk-and-the-the-secret-besa-code-they-live-by/" TargetMode="External"/><Relationship Id="rId1" Type="http://schemas.openxmlformats.org/officeDocument/2006/relationships/customXml" Target="../customXml/item1.xml"/><Relationship Id="rId6" Type="http://schemas.openxmlformats.org/officeDocument/2006/relationships/hyperlink" Target="http://www.cps.gov.uk" TargetMode="External"/><Relationship Id="rId11" Type="http://schemas.openxmlformats.org/officeDocument/2006/relationships/hyperlink" Target="https://hmicfrs.justiceinspectorates.gov.uk/publication-html/activism-and-impartiality-in-policing/" TargetMode="External"/><Relationship Id="rId24" Type="http://schemas.openxmlformats.org/officeDocument/2006/relationships/hyperlink" Target="https://www.gov.uk/government/publications/achieving-best-evidence-in-criminal-proceedings" TargetMode="External"/><Relationship Id="rId5" Type="http://schemas.openxmlformats.org/officeDocument/2006/relationships/webSettings" Target="webSettings.xml"/><Relationship Id="rId15" Type="http://schemas.openxmlformats.org/officeDocument/2006/relationships/hyperlink" Target="https://e-migration.ro/jims/Vol7_No1_2013/JIMS_Vol7_No1_2013.pdf" TargetMode="External"/><Relationship Id="rId23" Type="http://schemas.openxmlformats.org/officeDocument/2006/relationships/hyperlink" Target="https://e-migration.ro/jims/Vol7_No1_2013/JIMS_Vol7_No1_2013.pdf" TargetMode="External"/><Relationship Id="rId10" Type="http://schemas.openxmlformats.org/officeDocument/2006/relationships/hyperlink" Target="https://www.bbc.co.uk/news/articles/c2x0x6ypgneo" TargetMode="External"/><Relationship Id="rId19" Type="http://schemas.openxmlformats.org/officeDocument/2006/relationships/hyperlink" Target="https://www.intermediaries-for-justice.org/sites/default/files/people_not_just_books-_an_investigation_into_the_knowledge_and_understanding_of_trauma_informed_practice_in_the_justice_system.pdf" TargetMode="External"/><Relationship Id="rId4" Type="http://schemas.openxmlformats.org/officeDocument/2006/relationships/settings" Target="settings.xml"/><Relationship Id="rId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14" Type="http://schemas.openxmlformats.org/officeDocument/2006/relationships/hyperlink" Target="https://www.gov.uk/government/publications/regulation-of-investigatory-powers-act-2000-ripa/regulation-of-investigatory-powers-act-2000-ripa" TargetMode="External"/><Relationship Id="rId22" Type="http://schemas.openxmlformats.org/officeDocument/2006/relationships/hyperlink" Target="https://www.cps.gov.uk/legal-guidance/special-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957A1-E8C3-4AF4-8B9D-34FE67720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4526</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Staunton (2222122)</dc:creator>
  <cp:keywords/>
  <dc:description/>
  <cp:lastModifiedBy>Wayne Staunton (2222122)</cp:lastModifiedBy>
  <cp:revision>2</cp:revision>
  <dcterms:created xsi:type="dcterms:W3CDTF">2025-04-30T09:17:00Z</dcterms:created>
  <dcterms:modified xsi:type="dcterms:W3CDTF">2025-04-30T09:17:00Z</dcterms:modified>
</cp:coreProperties>
</file>