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7817A" w14:textId="77777777" w:rsidR="00A562E8" w:rsidRDefault="00A562E8" w:rsidP="008E2B60">
      <w:pPr>
        <w:spacing w:line="259" w:lineRule="auto"/>
        <w:jc w:val="center"/>
        <w:rPr>
          <w:b/>
          <w:bCs/>
          <w:sz w:val="48"/>
          <w:szCs w:val="44"/>
        </w:rPr>
      </w:pPr>
    </w:p>
    <w:p w14:paraId="573CBFD9" w14:textId="77777777" w:rsidR="00A562E8" w:rsidRDefault="00A562E8" w:rsidP="008E2B60">
      <w:pPr>
        <w:spacing w:line="259" w:lineRule="auto"/>
        <w:jc w:val="center"/>
        <w:rPr>
          <w:b/>
          <w:bCs/>
          <w:sz w:val="48"/>
          <w:szCs w:val="44"/>
        </w:rPr>
      </w:pPr>
    </w:p>
    <w:p w14:paraId="0E0E8363" w14:textId="77777777" w:rsidR="00A562E8" w:rsidRDefault="00A562E8" w:rsidP="008E2B60">
      <w:pPr>
        <w:spacing w:line="259" w:lineRule="auto"/>
        <w:jc w:val="center"/>
        <w:rPr>
          <w:b/>
          <w:bCs/>
          <w:sz w:val="48"/>
          <w:szCs w:val="44"/>
        </w:rPr>
      </w:pPr>
    </w:p>
    <w:p w14:paraId="5162AAAA" w14:textId="13113917" w:rsidR="00A562E8" w:rsidRDefault="00A562E8" w:rsidP="008E2B60">
      <w:pPr>
        <w:spacing w:line="259" w:lineRule="auto"/>
        <w:jc w:val="center"/>
        <w:rPr>
          <w:b/>
          <w:bCs/>
          <w:sz w:val="36"/>
          <w:szCs w:val="36"/>
        </w:rPr>
      </w:pPr>
      <w:r w:rsidRPr="00A562E8">
        <w:rPr>
          <w:b/>
          <w:bCs/>
          <w:sz w:val="40"/>
          <w:szCs w:val="40"/>
        </w:rPr>
        <w:t>Module Name:</w:t>
      </w:r>
      <w:r>
        <w:rPr>
          <w:b/>
          <w:bCs/>
          <w:sz w:val="48"/>
          <w:szCs w:val="44"/>
        </w:rPr>
        <w:t xml:space="preserve"> </w:t>
      </w:r>
      <w:r w:rsidR="008E2B60" w:rsidRPr="00A562E8">
        <w:rPr>
          <w:b/>
          <w:bCs/>
          <w:sz w:val="36"/>
          <w:szCs w:val="36"/>
        </w:rPr>
        <w:t>International Financial Management</w:t>
      </w:r>
    </w:p>
    <w:p w14:paraId="301FB680" w14:textId="56ECAD2A" w:rsidR="00A562E8" w:rsidRDefault="00A562E8" w:rsidP="008E2B60">
      <w:pPr>
        <w:spacing w:line="259" w:lineRule="auto"/>
        <w:jc w:val="center"/>
        <w:rPr>
          <w:b/>
          <w:bCs/>
          <w:sz w:val="36"/>
          <w:szCs w:val="36"/>
        </w:rPr>
      </w:pPr>
      <w:r w:rsidRPr="00A562E8">
        <w:rPr>
          <w:b/>
          <w:bCs/>
          <w:sz w:val="40"/>
          <w:szCs w:val="40"/>
        </w:rPr>
        <w:t>Student ID:</w:t>
      </w:r>
      <w:r>
        <w:rPr>
          <w:b/>
          <w:bCs/>
          <w:sz w:val="36"/>
          <w:szCs w:val="36"/>
        </w:rPr>
        <w:t xml:space="preserve"> 2013038</w:t>
      </w:r>
    </w:p>
    <w:p w14:paraId="5A687037" w14:textId="21ED4703" w:rsidR="00A562E8" w:rsidRDefault="00A562E8" w:rsidP="008E2B60">
      <w:pPr>
        <w:spacing w:line="259" w:lineRule="auto"/>
        <w:jc w:val="center"/>
        <w:rPr>
          <w:b/>
          <w:bCs/>
          <w:sz w:val="48"/>
          <w:szCs w:val="44"/>
        </w:rPr>
      </w:pPr>
      <w:r w:rsidRPr="00A562E8">
        <w:rPr>
          <w:b/>
          <w:bCs/>
          <w:sz w:val="40"/>
          <w:szCs w:val="40"/>
        </w:rPr>
        <w:t>Student Name:</w:t>
      </w:r>
      <w:r>
        <w:rPr>
          <w:b/>
          <w:bCs/>
          <w:sz w:val="36"/>
          <w:szCs w:val="36"/>
        </w:rPr>
        <w:t xml:space="preserve"> </w:t>
      </w:r>
      <w:proofErr w:type="spellStart"/>
      <w:r>
        <w:rPr>
          <w:b/>
          <w:bCs/>
          <w:sz w:val="36"/>
          <w:szCs w:val="36"/>
        </w:rPr>
        <w:t>Beatricia</w:t>
      </w:r>
      <w:proofErr w:type="spellEnd"/>
      <w:r>
        <w:rPr>
          <w:b/>
          <w:bCs/>
          <w:sz w:val="36"/>
          <w:szCs w:val="36"/>
        </w:rPr>
        <w:t xml:space="preserve"> </w:t>
      </w:r>
      <w:proofErr w:type="spellStart"/>
      <w:r>
        <w:rPr>
          <w:b/>
          <w:bCs/>
          <w:sz w:val="36"/>
          <w:szCs w:val="36"/>
        </w:rPr>
        <w:t>Corsan</w:t>
      </w:r>
      <w:proofErr w:type="spellEnd"/>
    </w:p>
    <w:p w14:paraId="0670EDA9" w14:textId="77777777" w:rsidR="00A562E8" w:rsidRDefault="00A562E8" w:rsidP="008E2B60">
      <w:pPr>
        <w:spacing w:line="259" w:lineRule="auto"/>
        <w:jc w:val="center"/>
        <w:rPr>
          <w:b/>
          <w:bCs/>
          <w:sz w:val="48"/>
          <w:szCs w:val="44"/>
        </w:rPr>
      </w:pPr>
    </w:p>
    <w:p w14:paraId="2C1BD280" w14:textId="31B394DD" w:rsidR="008E2B60" w:rsidRPr="008E2B60" w:rsidRDefault="008E2B60" w:rsidP="008E2B60">
      <w:pPr>
        <w:spacing w:line="259" w:lineRule="auto"/>
        <w:jc w:val="center"/>
        <w:rPr>
          <w:b/>
          <w:bCs/>
          <w:sz w:val="48"/>
          <w:szCs w:val="44"/>
        </w:rPr>
      </w:pPr>
      <w:r w:rsidRPr="008E2B60">
        <w:rPr>
          <w:b/>
          <w:bCs/>
          <w:sz w:val="48"/>
          <w:szCs w:val="44"/>
        </w:rPr>
        <w:br w:type="page"/>
      </w:r>
    </w:p>
    <w:p w14:paraId="5F84883A" w14:textId="71D5A4AF" w:rsidR="00646FDC" w:rsidRDefault="00646FDC" w:rsidP="00646FDC">
      <w:pPr>
        <w:spacing w:line="259" w:lineRule="auto"/>
        <w:jc w:val="center"/>
        <w:rPr>
          <w:b/>
          <w:bCs/>
        </w:rPr>
      </w:pPr>
      <w:r w:rsidRPr="00646FDC">
        <w:rPr>
          <w:b/>
          <w:bCs/>
        </w:rPr>
        <w:lastRenderedPageBreak/>
        <w:t>Executive Summary</w:t>
      </w:r>
    </w:p>
    <w:p w14:paraId="4C33DD4D" w14:textId="27A42373" w:rsidR="008E2B60" w:rsidRDefault="00C85740" w:rsidP="00C85740">
      <w:r w:rsidRPr="00C85740">
        <w:t>The present individual report has offered an outline almost the key concepts of outside trade hazard administration, and centre on its key capacities within the worldwide financial markets. The show person report has focussed on HSBC Bank, a well-recognised universal company, in arrange to get it the challenges included with outside trade dangers. In expansion to this, the report has too advertised the methodologies used by the bank to bargain with these issues.</w:t>
      </w:r>
      <w:r w:rsidR="008E2B60">
        <w:br w:type="page"/>
      </w:r>
    </w:p>
    <w:sdt>
      <w:sdtPr>
        <w:rPr>
          <w:rFonts w:ascii="Times New Roman" w:eastAsiaTheme="minorHAnsi" w:hAnsi="Times New Roman" w:cstheme="minorBidi"/>
          <w:color w:val="auto"/>
          <w:sz w:val="24"/>
          <w:szCs w:val="22"/>
          <w:lang w:val="en-IN"/>
        </w:rPr>
        <w:id w:val="-1468583116"/>
        <w:docPartObj>
          <w:docPartGallery w:val="Table of Contents"/>
          <w:docPartUnique/>
        </w:docPartObj>
      </w:sdtPr>
      <w:sdtEndPr>
        <w:rPr>
          <w:b/>
          <w:bCs/>
          <w:noProof/>
        </w:rPr>
      </w:sdtEndPr>
      <w:sdtContent>
        <w:p w14:paraId="7AA2ED5C" w14:textId="67F8F0D4" w:rsidR="008E2B60" w:rsidRDefault="008E2B60">
          <w:pPr>
            <w:pStyle w:val="TOCHeading"/>
          </w:pPr>
          <w:r>
            <w:t>Table of Contents</w:t>
          </w:r>
        </w:p>
        <w:p w14:paraId="76513521" w14:textId="236BC890" w:rsidR="008E2B60" w:rsidRDefault="008E2B60">
          <w:pPr>
            <w:pStyle w:val="TOC1"/>
            <w:tabs>
              <w:tab w:val="right" w:leader="dot" w:pos="9016"/>
            </w:tabs>
            <w:rPr>
              <w:noProof/>
            </w:rPr>
          </w:pPr>
          <w:r>
            <w:fldChar w:fldCharType="begin"/>
          </w:r>
          <w:r>
            <w:instrText xml:space="preserve"> TOC \o "1-3" \h \z \u </w:instrText>
          </w:r>
          <w:r>
            <w:fldChar w:fldCharType="separate"/>
          </w:r>
          <w:hyperlink w:anchor="_Toc154584671" w:history="1">
            <w:r w:rsidRPr="00394D1C">
              <w:rPr>
                <w:rStyle w:val="Hyperlink"/>
                <w:noProof/>
              </w:rPr>
              <w:t>Introduction</w:t>
            </w:r>
            <w:r>
              <w:rPr>
                <w:noProof/>
                <w:webHidden/>
              </w:rPr>
              <w:tab/>
            </w:r>
            <w:r>
              <w:rPr>
                <w:noProof/>
                <w:webHidden/>
              </w:rPr>
              <w:fldChar w:fldCharType="begin"/>
            </w:r>
            <w:r>
              <w:rPr>
                <w:noProof/>
                <w:webHidden/>
              </w:rPr>
              <w:instrText xml:space="preserve"> PAGEREF _Toc154584671 \h </w:instrText>
            </w:r>
            <w:r>
              <w:rPr>
                <w:noProof/>
                <w:webHidden/>
              </w:rPr>
            </w:r>
            <w:r>
              <w:rPr>
                <w:noProof/>
                <w:webHidden/>
              </w:rPr>
              <w:fldChar w:fldCharType="separate"/>
            </w:r>
            <w:r>
              <w:rPr>
                <w:noProof/>
                <w:webHidden/>
              </w:rPr>
              <w:t>4</w:t>
            </w:r>
            <w:r>
              <w:rPr>
                <w:noProof/>
                <w:webHidden/>
              </w:rPr>
              <w:fldChar w:fldCharType="end"/>
            </w:r>
          </w:hyperlink>
        </w:p>
        <w:p w14:paraId="24701A04" w14:textId="50D9C71B" w:rsidR="008E2B60" w:rsidRDefault="00000000">
          <w:pPr>
            <w:pStyle w:val="TOC1"/>
            <w:tabs>
              <w:tab w:val="right" w:leader="dot" w:pos="9016"/>
            </w:tabs>
            <w:rPr>
              <w:noProof/>
            </w:rPr>
          </w:pPr>
          <w:hyperlink w:anchor="_Toc154584672" w:history="1">
            <w:r w:rsidR="008E2B60" w:rsidRPr="00394D1C">
              <w:rPr>
                <w:rStyle w:val="Hyperlink"/>
                <w:noProof/>
              </w:rPr>
              <w:t>HSBC’s Exposure to Foreign Exchange Risks</w:t>
            </w:r>
            <w:r w:rsidR="008E2B60">
              <w:rPr>
                <w:noProof/>
                <w:webHidden/>
              </w:rPr>
              <w:tab/>
            </w:r>
            <w:r w:rsidR="008E2B60">
              <w:rPr>
                <w:noProof/>
                <w:webHidden/>
              </w:rPr>
              <w:fldChar w:fldCharType="begin"/>
            </w:r>
            <w:r w:rsidR="008E2B60">
              <w:rPr>
                <w:noProof/>
                <w:webHidden/>
              </w:rPr>
              <w:instrText xml:space="preserve"> PAGEREF _Toc154584672 \h </w:instrText>
            </w:r>
            <w:r w:rsidR="008E2B60">
              <w:rPr>
                <w:noProof/>
                <w:webHidden/>
              </w:rPr>
            </w:r>
            <w:r w:rsidR="008E2B60">
              <w:rPr>
                <w:noProof/>
                <w:webHidden/>
              </w:rPr>
              <w:fldChar w:fldCharType="separate"/>
            </w:r>
            <w:r w:rsidR="008E2B60">
              <w:rPr>
                <w:noProof/>
                <w:webHidden/>
              </w:rPr>
              <w:t>5</w:t>
            </w:r>
            <w:r w:rsidR="008E2B60">
              <w:rPr>
                <w:noProof/>
                <w:webHidden/>
              </w:rPr>
              <w:fldChar w:fldCharType="end"/>
            </w:r>
          </w:hyperlink>
        </w:p>
        <w:p w14:paraId="7BA2DBFF" w14:textId="2DB334BC" w:rsidR="008E2B60" w:rsidRDefault="00000000">
          <w:pPr>
            <w:pStyle w:val="TOC2"/>
            <w:tabs>
              <w:tab w:val="right" w:leader="dot" w:pos="9016"/>
            </w:tabs>
            <w:rPr>
              <w:noProof/>
            </w:rPr>
          </w:pPr>
          <w:hyperlink w:anchor="_Toc154584673" w:history="1">
            <w:r w:rsidR="008E2B60" w:rsidRPr="00394D1C">
              <w:rPr>
                <w:rStyle w:val="Hyperlink"/>
                <w:noProof/>
              </w:rPr>
              <w:t>Global Presence and Geographical Diversification</w:t>
            </w:r>
            <w:r w:rsidR="008E2B60">
              <w:rPr>
                <w:noProof/>
                <w:webHidden/>
              </w:rPr>
              <w:tab/>
            </w:r>
            <w:r w:rsidR="008E2B60">
              <w:rPr>
                <w:noProof/>
                <w:webHidden/>
              </w:rPr>
              <w:fldChar w:fldCharType="begin"/>
            </w:r>
            <w:r w:rsidR="008E2B60">
              <w:rPr>
                <w:noProof/>
                <w:webHidden/>
              </w:rPr>
              <w:instrText xml:space="preserve"> PAGEREF _Toc154584673 \h </w:instrText>
            </w:r>
            <w:r w:rsidR="008E2B60">
              <w:rPr>
                <w:noProof/>
                <w:webHidden/>
              </w:rPr>
            </w:r>
            <w:r w:rsidR="008E2B60">
              <w:rPr>
                <w:noProof/>
                <w:webHidden/>
              </w:rPr>
              <w:fldChar w:fldCharType="separate"/>
            </w:r>
            <w:r w:rsidR="008E2B60">
              <w:rPr>
                <w:noProof/>
                <w:webHidden/>
              </w:rPr>
              <w:t>5</w:t>
            </w:r>
            <w:r w:rsidR="008E2B60">
              <w:rPr>
                <w:noProof/>
                <w:webHidden/>
              </w:rPr>
              <w:fldChar w:fldCharType="end"/>
            </w:r>
          </w:hyperlink>
        </w:p>
        <w:p w14:paraId="31DECFF5" w14:textId="16F111E0" w:rsidR="008E2B60" w:rsidRDefault="00000000">
          <w:pPr>
            <w:pStyle w:val="TOC2"/>
            <w:tabs>
              <w:tab w:val="right" w:leader="dot" w:pos="9016"/>
            </w:tabs>
            <w:rPr>
              <w:noProof/>
            </w:rPr>
          </w:pPr>
          <w:hyperlink w:anchor="_Toc154584674" w:history="1">
            <w:r w:rsidR="008E2B60" w:rsidRPr="00394D1C">
              <w:rPr>
                <w:rStyle w:val="Hyperlink"/>
                <w:noProof/>
              </w:rPr>
              <w:t>Analysis of HSBC’s Exposure to Currency Risk</w:t>
            </w:r>
            <w:r w:rsidR="008E2B60">
              <w:rPr>
                <w:noProof/>
                <w:webHidden/>
              </w:rPr>
              <w:tab/>
            </w:r>
            <w:r w:rsidR="008E2B60">
              <w:rPr>
                <w:noProof/>
                <w:webHidden/>
              </w:rPr>
              <w:fldChar w:fldCharType="begin"/>
            </w:r>
            <w:r w:rsidR="008E2B60">
              <w:rPr>
                <w:noProof/>
                <w:webHidden/>
              </w:rPr>
              <w:instrText xml:space="preserve"> PAGEREF _Toc154584674 \h </w:instrText>
            </w:r>
            <w:r w:rsidR="008E2B60">
              <w:rPr>
                <w:noProof/>
                <w:webHidden/>
              </w:rPr>
            </w:r>
            <w:r w:rsidR="008E2B60">
              <w:rPr>
                <w:noProof/>
                <w:webHidden/>
              </w:rPr>
              <w:fldChar w:fldCharType="separate"/>
            </w:r>
            <w:r w:rsidR="008E2B60">
              <w:rPr>
                <w:noProof/>
                <w:webHidden/>
              </w:rPr>
              <w:t>5</w:t>
            </w:r>
            <w:r w:rsidR="008E2B60">
              <w:rPr>
                <w:noProof/>
                <w:webHidden/>
              </w:rPr>
              <w:fldChar w:fldCharType="end"/>
            </w:r>
          </w:hyperlink>
        </w:p>
        <w:p w14:paraId="4BDCA978" w14:textId="50F720A8" w:rsidR="008E2B60" w:rsidRDefault="00000000">
          <w:pPr>
            <w:pStyle w:val="TOC1"/>
            <w:tabs>
              <w:tab w:val="right" w:leader="dot" w:pos="9016"/>
            </w:tabs>
            <w:rPr>
              <w:noProof/>
            </w:rPr>
          </w:pPr>
          <w:hyperlink w:anchor="_Toc154584675" w:history="1">
            <w:r w:rsidR="008E2B60" w:rsidRPr="00394D1C">
              <w:rPr>
                <w:rStyle w:val="Hyperlink"/>
                <w:noProof/>
              </w:rPr>
              <w:t>Strategies for Foreign Exchange Risk Management</w:t>
            </w:r>
            <w:r w:rsidR="008E2B60">
              <w:rPr>
                <w:noProof/>
                <w:webHidden/>
              </w:rPr>
              <w:tab/>
            </w:r>
            <w:r w:rsidR="008E2B60">
              <w:rPr>
                <w:noProof/>
                <w:webHidden/>
              </w:rPr>
              <w:fldChar w:fldCharType="begin"/>
            </w:r>
            <w:r w:rsidR="008E2B60">
              <w:rPr>
                <w:noProof/>
                <w:webHidden/>
              </w:rPr>
              <w:instrText xml:space="preserve"> PAGEREF _Toc154584675 \h </w:instrText>
            </w:r>
            <w:r w:rsidR="008E2B60">
              <w:rPr>
                <w:noProof/>
                <w:webHidden/>
              </w:rPr>
            </w:r>
            <w:r w:rsidR="008E2B60">
              <w:rPr>
                <w:noProof/>
                <w:webHidden/>
              </w:rPr>
              <w:fldChar w:fldCharType="separate"/>
            </w:r>
            <w:r w:rsidR="008E2B60">
              <w:rPr>
                <w:noProof/>
                <w:webHidden/>
              </w:rPr>
              <w:t>6</w:t>
            </w:r>
            <w:r w:rsidR="008E2B60">
              <w:rPr>
                <w:noProof/>
                <w:webHidden/>
              </w:rPr>
              <w:fldChar w:fldCharType="end"/>
            </w:r>
          </w:hyperlink>
        </w:p>
        <w:p w14:paraId="6B5E34A9" w14:textId="295CBBF7" w:rsidR="008E2B60" w:rsidRDefault="00000000">
          <w:pPr>
            <w:pStyle w:val="TOC1"/>
            <w:tabs>
              <w:tab w:val="right" w:leader="dot" w:pos="9016"/>
            </w:tabs>
            <w:rPr>
              <w:noProof/>
            </w:rPr>
          </w:pPr>
          <w:hyperlink w:anchor="_Toc154584676" w:history="1">
            <w:r w:rsidR="008E2B60" w:rsidRPr="00394D1C">
              <w:rPr>
                <w:rStyle w:val="Hyperlink"/>
                <w:noProof/>
              </w:rPr>
              <w:t>HSBC’s Adoption of Foreign Exchange Risk Management Strategies</w:t>
            </w:r>
            <w:r w:rsidR="008E2B60">
              <w:rPr>
                <w:noProof/>
                <w:webHidden/>
              </w:rPr>
              <w:tab/>
            </w:r>
            <w:r w:rsidR="008E2B60">
              <w:rPr>
                <w:noProof/>
                <w:webHidden/>
              </w:rPr>
              <w:fldChar w:fldCharType="begin"/>
            </w:r>
            <w:r w:rsidR="008E2B60">
              <w:rPr>
                <w:noProof/>
                <w:webHidden/>
              </w:rPr>
              <w:instrText xml:space="preserve"> PAGEREF _Toc154584676 \h </w:instrText>
            </w:r>
            <w:r w:rsidR="008E2B60">
              <w:rPr>
                <w:noProof/>
                <w:webHidden/>
              </w:rPr>
            </w:r>
            <w:r w:rsidR="008E2B60">
              <w:rPr>
                <w:noProof/>
                <w:webHidden/>
              </w:rPr>
              <w:fldChar w:fldCharType="separate"/>
            </w:r>
            <w:r w:rsidR="008E2B60">
              <w:rPr>
                <w:noProof/>
                <w:webHidden/>
              </w:rPr>
              <w:t>8</w:t>
            </w:r>
            <w:r w:rsidR="008E2B60">
              <w:rPr>
                <w:noProof/>
                <w:webHidden/>
              </w:rPr>
              <w:fldChar w:fldCharType="end"/>
            </w:r>
          </w:hyperlink>
        </w:p>
        <w:p w14:paraId="18172FF5" w14:textId="7178B7A0" w:rsidR="008E2B60" w:rsidRDefault="00000000">
          <w:pPr>
            <w:pStyle w:val="TOC1"/>
            <w:tabs>
              <w:tab w:val="right" w:leader="dot" w:pos="9016"/>
            </w:tabs>
            <w:rPr>
              <w:noProof/>
            </w:rPr>
          </w:pPr>
          <w:hyperlink w:anchor="_Toc154584677" w:history="1">
            <w:r w:rsidR="008E2B60" w:rsidRPr="00394D1C">
              <w:rPr>
                <w:rStyle w:val="Hyperlink"/>
                <w:noProof/>
              </w:rPr>
              <w:t>Challenges and Future Considerations in Foreign Exchange Risk Management</w:t>
            </w:r>
            <w:r w:rsidR="008E2B60">
              <w:rPr>
                <w:noProof/>
                <w:webHidden/>
              </w:rPr>
              <w:tab/>
            </w:r>
            <w:r w:rsidR="008E2B60">
              <w:rPr>
                <w:noProof/>
                <w:webHidden/>
              </w:rPr>
              <w:fldChar w:fldCharType="begin"/>
            </w:r>
            <w:r w:rsidR="008E2B60">
              <w:rPr>
                <w:noProof/>
                <w:webHidden/>
              </w:rPr>
              <w:instrText xml:space="preserve"> PAGEREF _Toc154584677 \h </w:instrText>
            </w:r>
            <w:r w:rsidR="008E2B60">
              <w:rPr>
                <w:noProof/>
                <w:webHidden/>
              </w:rPr>
            </w:r>
            <w:r w:rsidR="008E2B60">
              <w:rPr>
                <w:noProof/>
                <w:webHidden/>
              </w:rPr>
              <w:fldChar w:fldCharType="separate"/>
            </w:r>
            <w:r w:rsidR="008E2B60">
              <w:rPr>
                <w:noProof/>
                <w:webHidden/>
              </w:rPr>
              <w:t>10</w:t>
            </w:r>
            <w:r w:rsidR="008E2B60">
              <w:rPr>
                <w:noProof/>
                <w:webHidden/>
              </w:rPr>
              <w:fldChar w:fldCharType="end"/>
            </w:r>
          </w:hyperlink>
        </w:p>
        <w:p w14:paraId="4C978785" w14:textId="42D396B9" w:rsidR="008E2B60" w:rsidRDefault="00000000">
          <w:pPr>
            <w:pStyle w:val="TOC1"/>
            <w:tabs>
              <w:tab w:val="right" w:leader="dot" w:pos="9016"/>
            </w:tabs>
            <w:rPr>
              <w:noProof/>
            </w:rPr>
          </w:pPr>
          <w:hyperlink w:anchor="_Toc154584678" w:history="1">
            <w:r w:rsidR="008E2B60" w:rsidRPr="00394D1C">
              <w:rPr>
                <w:rStyle w:val="Hyperlink"/>
                <w:noProof/>
              </w:rPr>
              <w:t>Conclusion</w:t>
            </w:r>
            <w:r w:rsidR="008E2B60">
              <w:rPr>
                <w:noProof/>
                <w:webHidden/>
              </w:rPr>
              <w:tab/>
            </w:r>
            <w:r w:rsidR="008E2B60">
              <w:rPr>
                <w:noProof/>
                <w:webHidden/>
              </w:rPr>
              <w:fldChar w:fldCharType="begin"/>
            </w:r>
            <w:r w:rsidR="008E2B60">
              <w:rPr>
                <w:noProof/>
                <w:webHidden/>
              </w:rPr>
              <w:instrText xml:space="preserve"> PAGEREF _Toc154584678 \h </w:instrText>
            </w:r>
            <w:r w:rsidR="008E2B60">
              <w:rPr>
                <w:noProof/>
                <w:webHidden/>
              </w:rPr>
            </w:r>
            <w:r w:rsidR="008E2B60">
              <w:rPr>
                <w:noProof/>
                <w:webHidden/>
              </w:rPr>
              <w:fldChar w:fldCharType="separate"/>
            </w:r>
            <w:r w:rsidR="008E2B60">
              <w:rPr>
                <w:noProof/>
                <w:webHidden/>
              </w:rPr>
              <w:t>11</w:t>
            </w:r>
            <w:r w:rsidR="008E2B60">
              <w:rPr>
                <w:noProof/>
                <w:webHidden/>
              </w:rPr>
              <w:fldChar w:fldCharType="end"/>
            </w:r>
          </w:hyperlink>
        </w:p>
        <w:p w14:paraId="6C36D806" w14:textId="2D1EA16C" w:rsidR="008E2B60" w:rsidRDefault="00000000">
          <w:pPr>
            <w:pStyle w:val="TOC1"/>
            <w:tabs>
              <w:tab w:val="right" w:leader="dot" w:pos="9016"/>
            </w:tabs>
            <w:rPr>
              <w:noProof/>
            </w:rPr>
          </w:pPr>
          <w:hyperlink w:anchor="_Toc154584679" w:history="1">
            <w:r w:rsidR="008E2B60" w:rsidRPr="00394D1C">
              <w:rPr>
                <w:rStyle w:val="Hyperlink"/>
                <w:noProof/>
              </w:rPr>
              <w:t>References</w:t>
            </w:r>
            <w:r w:rsidR="008E2B60">
              <w:rPr>
                <w:noProof/>
                <w:webHidden/>
              </w:rPr>
              <w:tab/>
            </w:r>
            <w:r w:rsidR="008E2B60">
              <w:rPr>
                <w:noProof/>
                <w:webHidden/>
              </w:rPr>
              <w:fldChar w:fldCharType="begin"/>
            </w:r>
            <w:r w:rsidR="008E2B60">
              <w:rPr>
                <w:noProof/>
                <w:webHidden/>
              </w:rPr>
              <w:instrText xml:space="preserve"> PAGEREF _Toc154584679 \h </w:instrText>
            </w:r>
            <w:r w:rsidR="008E2B60">
              <w:rPr>
                <w:noProof/>
                <w:webHidden/>
              </w:rPr>
            </w:r>
            <w:r w:rsidR="008E2B60">
              <w:rPr>
                <w:noProof/>
                <w:webHidden/>
              </w:rPr>
              <w:fldChar w:fldCharType="separate"/>
            </w:r>
            <w:r w:rsidR="008E2B60">
              <w:rPr>
                <w:noProof/>
                <w:webHidden/>
              </w:rPr>
              <w:t>12</w:t>
            </w:r>
            <w:r w:rsidR="008E2B60">
              <w:rPr>
                <w:noProof/>
                <w:webHidden/>
              </w:rPr>
              <w:fldChar w:fldCharType="end"/>
            </w:r>
          </w:hyperlink>
        </w:p>
        <w:p w14:paraId="5778E40C" w14:textId="0B23657C" w:rsidR="008E2B60" w:rsidRDefault="008E2B60">
          <w:r>
            <w:rPr>
              <w:b/>
              <w:bCs/>
              <w:noProof/>
            </w:rPr>
            <w:fldChar w:fldCharType="end"/>
          </w:r>
        </w:p>
      </w:sdtContent>
    </w:sdt>
    <w:p w14:paraId="2E25E6B9" w14:textId="77777777" w:rsidR="00646FDC" w:rsidRDefault="00646FDC" w:rsidP="00646FDC"/>
    <w:p w14:paraId="22A86DD8" w14:textId="475B681B" w:rsidR="00646FDC" w:rsidRPr="00646FDC" w:rsidRDefault="00646FDC" w:rsidP="00646FDC">
      <w:pPr>
        <w:rPr>
          <w:rFonts w:eastAsiaTheme="majorEastAsia" w:cstheme="majorBidi"/>
          <w:sz w:val="28"/>
          <w:szCs w:val="32"/>
        </w:rPr>
      </w:pPr>
      <w:r w:rsidRPr="00646FDC">
        <w:br w:type="page"/>
      </w:r>
    </w:p>
    <w:p w14:paraId="29B1C9F2" w14:textId="6F441A0E" w:rsidR="00005942" w:rsidRDefault="00F72442" w:rsidP="00F72442">
      <w:pPr>
        <w:pStyle w:val="Heading1"/>
      </w:pPr>
      <w:bookmarkStart w:id="0" w:name="_Toc154584671"/>
      <w:r>
        <w:lastRenderedPageBreak/>
        <w:t>Introduction</w:t>
      </w:r>
      <w:bookmarkEnd w:id="0"/>
    </w:p>
    <w:p w14:paraId="3FDCB31B" w14:textId="50EB7F7B" w:rsidR="00F72442" w:rsidRDefault="00C85740" w:rsidP="00F72442">
      <w:r>
        <w:t xml:space="preserve">Multinational Organisations are confronted with the challenges forced as a result of outside trade hazard, within the changing environment of universal trade. The display person report will offer an outline almost the key concepts of remote trade chance administration, and centre on its key capacities within the worldwide monetary markets. </w:t>
      </w:r>
      <w:r w:rsidR="00F72442">
        <w:t xml:space="preserve">The foreign exchange risks mainly include exchange rate volatility, which brings about various challenges to multinational businesses, and impact their fiscal performance through economic, translation, and transaction risk. The present individual report will focus on HSBC Bank, a well-recognised international company, in order to understand the challenges involved with foreign exchange risks. </w:t>
      </w:r>
      <w:r w:rsidR="00497B04">
        <w:t>In addition to this, the report will offer the strategies utilised by the bank to deal with these issues.</w:t>
      </w:r>
    </w:p>
    <w:p w14:paraId="152D72A8" w14:textId="77777777" w:rsidR="008E2B60" w:rsidRDefault="008E2B60">
      <w:pPr>
        <w:spacing w:line="259" w:lineRule="auto"/>
        <w:jc w:val="left"/>
        <w:rPr>
          <w:rFonts w:eastAsiaTheme="majorEastAsia" w:cstheme="majorBidi"/>
          <w:b/>
          <w:sz w:val="28"/>
          <w:szCs w:val="32"/>
        </w:rPr>
      </w:pPr>
      <w:r>
        <w:br w:type="page"/>
      </w:r>
    </w:p>
    <w:p w14:paraId="0C4D35A5" w14:textId="154863E8" w:rsidR="00497B04" w:rsidRDefault="00497B04" w:rsidP="00497B04">
      <w:pPr>
        <w:pStyle w:val="Heading1"/>
      </w:pPr>
      <w:bookmarkStart w:id="1" w:name="_Toc154584672"/>
      <w:r>
        <w:lastRenderedPageBreak/>
        <w:t>HSBC’s Exposure to Foreign Exchange Risks</w:t>
      </w:r>
      <w:bookmarkEnd w:id="1"/>
    </w:p>
    <w:p w14:paraId="417E927A" w14:textId="3F87384D" w:rsidR="00497B04" w:rsidRDefault="00497B04" w:rsidP="00497B04">
      <w:pPr>
        <w:pStyle w:val="Heading2"/>
      </w:pPr>
      <w:bookmarkStart w:id="2" w:name="_Toc154584673"/>
      <w:r>
        <w:t>Global Presence and Geographical Diversification</w:t>
      </w:r>
      <w:bookmarkEnd w:id="2"/>
    </w:p>
    <w:p w14:paraId="44747B98" w14:textId="7E0E9A81" w:rsidR="00497B04" w:rsidRDefault="00497B04" w:rsidP="00497B04">
      <w:r>
        <w:rPr>
          <w:b/>
          <w:bCs/>
          <w:i/>
          <w:iCs/>
        </w:rPr>
        <w:t xml:space="preserve">Scope of Operations: </w:t>
      </w:r>
      <w:r>
        <w:t>The global presence of HSBC can be observed by a huge network of affiliates, subsidiaries, and branches, spread across the continents of Asia, North America, Europe, South America, and more. The bank has effectively positioned itself in the key fiscal locations, and has undertaken various other business activities</w:t>
      </w:r>
      <w:r w:rsidR="00646FDC">
        <w:t xml:space="preserve"> </w:t>
      </w:r>
      <w:sdt>
        <w:sdtPr>
          <w:id w:val="-1305543402"/>
          <w:citation/>
        </w:sdtPr>
        <w:sdtContent>
          <w:r w:rsidR="00646FDC">
            <w:fldChar w:fldCharType="begin"/>
          </w:r>
          <w:r w:rsidR="00646FDC">
            <w:instrText xml:space="preserve"> CITATION hsb23 \l 16393 </w:instrText>
          </w:r>
          <w:r w:rsidR="00646FDC">
            <w:fldChar w:fldCharType="separate"/>
          </w:r>
          <w:r w:rsidR="00646FDC" w:rsidRPr="00646FDC">
            <w:rPr>
              <w:noProof/>
            </w:rPr>
            <w:t>(hsbc, 2023)</w:t>
          </w:r>
          <w:r w:rsidR="00646FDC">
            <w:fldChar w:fldCharType="end"/>
          </w:r>
        </w:sdtContent>
      </w:sdt>
      <w:r>
        <w:t>.</w:t>
      </w:r>
    </w:p>
    <w:p w14:paraId="5A80FBE1" w14:textId="625998D9" w:rsidR="00C85740" w:rsidRDefault="00497B04" w:rsidP="00C85740">
      <w:r w:rsidRPr="00497B04">
        <w:rPr>
          <w:b/>
          <w:bCs/>
          <w:i/>
          <w:iCs/>
        </w:rPr>
        <w:t>Varied Operations</w:t>
      </w:r>
      <w:r>
        <w:t>: Due to the varied operations of HSBC bank, geographical diversification can also be seen</w:t>
      </w:r>
      <w:r w:rsidR="00A13B53">
        <w:t xml:space="preserve"> </w:t>
      </w:r>
      <w:r w:rsidR="00A13B53" w:rsidRPr="00C85740">
        <w:t>(</w:t>
      </w:r>
      <w:proofErr w:type="spellStart"/>
      <w:r w:rsidR="00A13B53" w:rsidRPr="00C85740">
        <w:t>Uña</w:t>
      </w:r>
      <w:proofErr w:type="spellEnd"/>
      <w:r w:rsidR="00A13B53" w:rsidRPr="00C85740">
        <w:t> </w:t>
      </w:r>
      <w:r w:rsidR="00A13B53" w:rsidRPr="00C85740">
        <w:rPr>
          <w:i/>
          <w:iCs/>
        </w:rPr>
        <w:t>et al.,</w:t>
      </w:r>
      <w:r w:rsidR="00A13B53" w:rsidRPr="00C85740">
        <w:t> 2019)</w:t>
      </w:r>
      <w:r>
        <w:t xml:space="preserve">. The company is involved in offering services such as investment banking, retail banking, and commercial banking. </w:t>
      </w:r>
      <w:r w:rsidR="00C85740" w:rsidRPr="00C85740">
        <w:t>In expansion to this, each geological fragment brings approximately modern financial situations, cash markets, and administrative scenes, hence highlighting the challenges of outside trade chance administration (Shapiro </w:t>
      </w:r>
      <w:r w:rsidR="00C85740" w:rsidRPr="00C85740">
        <w:rPr>
          <w:i/>
          <w:iCs/>
        </w:rPr>
        <w:t>et al.,</w:t>
      </w:r>
      <w:r w:rsidR="00C85740" w:rsidRPr="00C85740">
        <w:t> 2019).</w:t>
      </w:r>
    </w:p>
    <w:p w14:paraId="74C2A16E" w14:textId="77777777" w:rsidR="00C85740" w:rsidRDefault="00C85740" w:rsidP="00C85740">
      <w:r w:rsidRPr="00C85740">
        <w:rPr>
          <w:b/>
          <w:bCs/>
          <w:i/>
          <w:iCs/>
        </w:rPr>
        <w:t>Threats and Opportunities Over Regions</w:t>
      </w:r>
      <w:r w:rsidRPr="00C85740">
        <w:t>: Due to the topographical expansion of the company, it is uncovered to numerous degrees of financial, political, and financial dangers, over different areas. Within the same way, this broadening makes a difference the bank recognize openings to enter developing and undiscovered markets, and take advantage of different sources of income (</w:t>
      </w:r>
      <w:proofErr w:type="spellStart"/>
      <w:r w:rsidRPr="00C85740">
        <w:t>Uña</w:t>
      </w:r>
      <w:proofErr w:type="spellEnd"/>
      <w:r w:rsidRPr="00C85740">
        <w:t> </w:t>
      </w:r>
      <w:r w:rsidRPr="00C85740">
        <w:rPr>
          <w:i/>
          <w:iCs/>
        </w:rPr>
        <w:t>et al.,</w:t>
      </w:r>
      <w:r w:rsidRPr="00C85740">
        <w:t> 2019).</w:t>
      </w:r>
    </w:p>
    <w:p w14:paraId="1F59A92B" w14:textId="7F98D2BD" w:rsidR="005D1594" w:rsidRPr="009B7293" w:rsidRDefault="00C85740" w:rsidP="00C85740">
      <w:r w:rsidRPr="00C85740">
        <w:rPr>
          <w:b/>
          <w:bCs/>
          <w:i/>
          <w:iCs/>
        </w:rPr>
        <w:t>Impact on Currency Exposure</w:t>
      </w:r>
      <w:r w:rsidRPr="00C85740">
        <w:t>: The changed nature of the operations of the bank has uncovered it to a run of monetary standards, and each cash includes in an unexpected way to the hazard profile of the bank. In expansion to this, the money introduction is additionally affected by the interpretation of the key monetary articulations, which assist includes modern challenges to the administration of remote trade chance</w:t>
      </w:r>
      <w:r w:rsidR="00A13B53">
        <w:t xml:space="preserve"> </w:t>
      </w:r>
      <w:r w:rsidR="00A13B53" w:rsidRPr="00C85740">
        <w:t>(</w:t>
      </w:r>
      <w:proofErr w:type="spellStart"/>
      <w:r w:rsidR="00A13B53" w:rsidRPr="00C85740">
        <w:t>Uña</w:t>
      </w:r>
      <w:proofErr w:type="spellEnd"/>
      <w:r w:rsidR="00A13B53" w:rsidRPr="00C85740">
        <w:t> </w:t>
      </w:r>
      <w:r w:rsidR="00A13B53" w:rsidRPr="00C85740">
        <w:rPr>
          <w:i/>
          <w:iCs/>
        </w:rPr>
        <w:t>et al.,</w:t>
      </w:r>
      <w:r w:rsidR="00A13B53" w:rsidRPr="00C85740">
        <w:t> 2019)</w:t>
      </w:r>
      <w:r w:rsidR="009B7293">
        <w:t xml:space="preserve">. </w:t>
      </w:r>
    </w:p>
    <w:p w14:paraId="0D098596" w14:textId="4A5A27F4" w:rsidR="00497B04" w:rsidRDefault="00497B04" w:rsidP="00497B04">
      <w:pPr>
        <w:pStyle w:val="Heading2"/>
      </w:pPr>
      <w:bookmarkStart w:id="3" w:name="_Toc154584674"/>
      <w:r>
        <w:lastRenderedPageBreak/>
        <w:t>Analysis of HSBC’s Exposure to Currency Risk</w:t>
      </w:r>
      <w:bookmarkEnd w:id="3"/>
    </w:p>
    <w:p w14:paraId="7ACCFC43" w14:textId="7BEF25E9" w:rsidR="009B7293" w:rsidRDefault="00433590" w:rsidP="009B7293">
      <w:r>
        <w:rPr>
          <w:b/>
          <w:bCs/>
          <w:i/>
          <w:iCs/>
        </w:rPr>
        <w:t xml:space="preserve">Quantifying Exposure: </w:t>
      </w:r>
      <w:r w:rsidR="00A13B53">
        <w:t xml:space="preserve">Translation </w:t>
      </w:r>
      <w:r>
        <w:t>risks are faced when fiscal statements are converted from other currencies to the main or reporting currency.</w:t>
      </w:r>
    </w:p>
    <w:p w14:paraId="29645730" w14:textId="2B65C320" w:rsidR="00433590" w:rsidRDefault="00433590" w:rsidP="009B7293">
      <w:r>
        <w:rPr>
          <w:b/>
          <w:bCs/>
          <w:i/>
          <w:iCs/>
        </w:rPr>
        <w:t xml:space="preserve">Key Fiscal Metrics Impact: </w:t>
      </w:r>
      <w:r w:rsidR="004B36EE">
        <w:t>Fluctuations in currency affect the key fiscal metrics such as profitability, revenue, and expenses. In addition to this, changes in exchange rate also impact the competitiveness of the products and services of HSBC bank in competitive business environments</w:t>
      </w:r>
      <w:r w:rsidR="008E2B60">
        <w:t xml:space="preserve"> </w:t>
      </w:r>
      <w:r w:rsidR="008E2B60">
        <w:rPr>
          <w:shd w:val="clear" w:color="auto" w:fill="FFFFFF"/>
        </w:rPr>
        <w:t>(</w:t>
      </w:r>
      <w:r w:rsidR="008E2B60" w:rsidRPr="00646FDC">
        <w:rPr>
          <w:shd w:val="clear" w:color="auto" w:fill="FFFFFF"/>
        </w:rPr>
        <w:t>Eun</w:t>
      </w:r>
      <w:r w:rsidR="008E2B60">
        <w:rPr>
          <w:shd w:val="clear" w:color="auto" w:fill="FFFFFF"/>
        </w:rPr>
        <w:t xml:space="preserve"> </w:t>
      </w:r>
      <w:r w:rsidR="008E2B60">
        <w:rPr>
          <w:i/>
          <w:iCs/>
          <w:shd w:val="clear" w:color="auto" w:fill="FFFFFF"/>
        </w:rPr>
        <w:t xml:space="preserve">et al., </w:t>
      </w:r>
      <w:r w:rsidR="008E2B60">
        <w:rPr>
          <w:shd w:val="clear" w:color="auto" w:fill="FFFFFF"/>
        </w:rPr>
        <w:t>2021)</w:t>
      </w:r>
      <w:r w:rsidR="004B36EE">
        <w:t>.</w:t>
      </w:r>
    </w:p>
    <w:p w14:paraId="1C04D77C" w14:textId="1A28C3D9" w:rsidR="004B36EE" w:rsidRDefault="004B36EE" w:rsidP="004B36EE">
      <w:r>
        <w:rPr>
          <w:b/>
          <w:bCs/>
          <w:i/>
          <w:iCs/>
        </w:rPr>
        <w:t xml:space="preserve">Combination with the Framework of Risk Management: </w:t>
      </w:r>
      <w:r>
        <w:t>The multinational bank</w:t>
      </w:r>
      <w:r w:rsidR="00A321C7">
        <w:t xml:space="preserve"> combines</w:t>
      </w:r>
      <w:r>
        <w:t xml:space="preserve"> currency risk into its effective framework of risk management</w:t>
      </w:r>
      <w:r w:rsidR="00A13B53">
        <w:t xml:space="preserve"> </w:t>
      </w:r>
      <w:r w:rsidR="00A13B53">
        <w:rPr>
          <w:shd w:val="clear" w:color="auto" w:fill="FFFFFF"/>
        </w:rPr>
        <w:t>(</w:t>
      </w:r>
      <w:r w:rsidR="00A13B53" w:rsidRPr="00646FDC">
        <w:rPr>
          <w:shd w:val="clear" w:color="auto" w:fill="FFFFFF"/>
        </w:rPr>
        <w:t>Eun</w:t>
      </w:r>
      <w:r w:rsidR="00A13B53">
        <w:rPr>
          <w:shd w:val="clear" w:color="auto" w:fill="FFFFFF"/>
        </w:rPr>
        <w:t xml:space="preserve"> </w:t>
      </w:r>
      <w:r w:rsidR="00A13B53">
        <w:rPr>
          <w:i/>
          <w:iCs/>
          <w:shd w:val="clear" w:color="auto" w:fill="FFFFFF"/>
        </w:rPr>
        <w:t xml:space="preserve">et al., </w:t>
      </w:r>
      <w:r w:rsidR="00A13B53">
        <w:rPr>
          <w:shd w:val="clear" w:color="auto" w:fill="FFFFFF"/>
        </w:rPr>
        <w:t>2021)</w:t>
      </w:r>
      <w:r>
        <w:t>. In addition to this, the bank links its appetite for risks with the volatility in currency exchange taking into consideration, the link between several risks</w:t>
      </w:r>
      <w:r w:rsidR="00A13B53">
        <w:t xml:space="preserve"> </w:t>
      </w:r>
      <w:r w:rsidR="00A13B53">
        <w:rPr>
          <w:shd w:val="clear" w:color="auto" w:fill="FFFFFF"/>
        </w:rPr>
        <w:t>(</w:t>
      </w:r>
      <w:r w:rsidR="00A13B53" w:rsidRPr="00646FDC">
        <w:rPr>
          <w:shd w:val="clear" w:color="auto" w:fill="FFFFFF"/>
        </w:rPr>
        <w:t>Eun</w:t>
      </w:r>
      <w:r w:rsidR="00A13B53">
        <w:rPr>
          <w:shd w:val="clear" w:color="auto" w:fill="FFFFFF"/>
        </w:rPr>
        <w:t xml:space="preserve"> </w:t>
      </w:r>
      <w:r w:rsidR="00A13B53">
        <w:rPr>
          <w:i/>
          <w:iCs/>
          <w:shd w:val="clear" w:color="auto" w:fill="FFFFFF"/>
        </w:rPr>
        <w:t xml:space="preserve">et al., </w:t>
      </w:r>
      <w:r w:rsidR="00A13B53">
        <w:rPr>
          <w:shd w:val="clear" w:color="auto" w:fill="FFFFFF"/>
        </w:rPr>
        <w:t>2021)</w:t>
      </w:r>
      <w:r>
        <w:t>.</w:t>
      </w:r>
    </w:p>
    <w:p w14:paraId="6C2F287E" w14:textId="2326685F" w:rsidR="001979E2" w:rsidRDefault="001979E2" w:rsidP="001979E2">
      <w:pPr>
        <w:pStyle w:val="Heading1"/>
      </w:pPr>
      <w:bookmarkStart w:id="4" w:name="_Toc154584675"/>
      <w:r w:rsidRPr="001979E2">
        <w:t>Strategies for Foreign Exchange Risk</w:t>
      </w:r>
      <w:r>
        <w:t xml:space="preserve"> Management</w:t>
      </w:r>
      <w:bookmarkEnd w:id="4"/>
    </w:p>
    <w:p w14:paraId="6C5294BE" w14:textId="0B48BE9C" w:rsidR="001979E2" w:rsidRDefault="001979E2" w:rsidP="001979E2">
      <w:r>
        <w:t>Multinational businesses like HSBC bank make use of various strategies and techniques in order to effectively manage the exposure of the business to foreign exchange risks. These techniques are outlined in IFM (International Financial Management)</w:t>
      </w:r>
      <w:r w:rsidR="00494E05">
        <w:t xml:space="preserve"> theories have an important contribution in protecting the monetary interests, when faced with fluctuations related to currency</w:t>
      </w:r>
      <w:r w:rsidR="00A13B53">
        <w:t xml:space="preserve"> </w:t>
      </w:r>
      <w:r w:rsidR="00A13B53">
        <w:rPr>
          <w:shd w:val="clear" w:color="auto" w:fill="FFFFFF"/>
        </w:rPr>
        <w:t>(</w:t>
      </w:r>
      <w:r w:rsidR="00A13B53" w:rsidRPr="00646FDC">
        <w:rPr>
          <w:shd w:val="clear" w:color="auto" w:fill="FFFFFF"/>
        </w:rPr>
        <w:t>Lukač</w:t>
      </w:r>
      <w:r w:rsidR="00A13B53">
        <w:rPr>
          <w:i/>
          <w:iCs/>
          <w:shd w:val="clear" w:color="auto" w:fill="FFFFFF"/>
        </w:rPr>
        <w:t xml:space="preserve"> et al., </w:t>
      </w:r>
      <w:r w:rsidR="00A13B53">
        <w:rPr>
          <w:shd w:val="clear" w:color="auto" w:fill="FFFFFF"/>
        </w:rPr>
        <w:t>2019)</w:t>
      </w:r>
      <w:r w:rsidR="00494E05">
        <w:t xml:space="preserve">. Below discussed are some of the strategies utilised: </w:t>
      </w:r>
    </w:p>
    <w:p w14:paraId="26FEF181" w14:textId="2894AFA4" w:rsidR="00494E05" w:rsidRDefault="00494E05" w:rsidP="001979E2">
      <w:r w:rsidRPr="00494E05">
        <w:rPr>
          <w:b/>
          <w:bCs/>
          <w:i/>
          <w:iCs/>
        </w:rPr>
        <w:t>Forward Contracts</w:t>
      </w:r>
      <w:r>
        <w:t>: The bank frequently implements forward contracts in order to hedge against the possible movements in currency</w:t>
      </w:r>
      <w:r w:rsidR="00A13B53">
        <w:t xml:space="preserve"> </w:t>
      </w:r>
      <w:r w:rsidR="00A13B53">
        <w:rPr>
          <w:shd w:val="clear" w:color="auto" w:fill="FFFFFF"/>
        </w:rPr>
        <w:t>(</w:t>
      </w:r>
      <w:r w:rsidR="00A13B53" w:rsidRPr="00646FDC">
        <w:rPr>
          <w:shd w:val="clear" w:color="auto" w:fill="FFFFFF"/>
        </w:rPr>
        <w:t>Block</w:t>
      </w:r>
      <w:r w:rsidR="00A13B53">
        <w:rPr>
          <w:i/>
          <w:iCs/>
          <w:shd w:val="clear" w:color="auto" w:fill="FFFFFF"/>
        </w:rPr>
        <w:t xml:space="preserve"> et al., </w:t>
      </w:r>
      <w:r w:rsidR="00A13B53">
        <w:rPr>
          <w:shd w:val="clear" w:color="auto" w:fill="FFFFFF"/>
        </w:rPr>
        <w:t>2019)</w:t>
      </w:r>
      <w:r>
        <w:t>. In addition to this, the back can lock in a particular exchange rate at a certain date in the future, as a result of these contracts, which acts as a protection against the fluctuations</w:t>
      </w:r>
      <w:r w:rsidR="008E2B60">
        <w:t xml:space="preserve"> </w:t>
      </w:r>
      <w:r w:rsidR="008E2B60">
        <w:rPr>
          <w:shd w:val="clear" w:color="auto" w:fill="FFFFFF"/>
        </w:rPr>
        <w:t>(</w:t>
      </w:r>
      <w:r w:rsidR="008E2B60" w:rsidRPr="00646FDC">
        <w:rPr>
          <w:shd w:val="clear" w:color="auto" w:fill="FFFFFF"/>
        </w:rPr>
        <w:t>Block</w:t>
      </w:r>
      <w:r w:rsidR="008E2B60">
        <w:rPr>
          <w:i/>
          <w:iCs/>
          <w:shd w:val="clear" w:color="auto" w:fill="FFFFFF"/>
        </w:rPr>
        <w:t xml:space="preserve"> et al., </w:t>
      </w:r>
      <w:r w:rsidR="008E2B60">
        <w:rPr>
          <w:shd w:val="clear" w:color="auto" w:fill="FFFFFF"/>
        </w:rPr>
        <w:t>2019)</w:t>
      </w:r>
      <w:r>
        <w:t>.</w:t>
      </w:r>
    </w:p>
    <w:p w14:paraId="711F6912" w14:textId="119AFA68" w:rsidR="00494E05" w:rsidRDefault="00494E05" w:rsidP="001979E2">
      <w:r w:rsidRPr="00494E05">
        <w:rPr>
          <w:b/>
          <w:bCs/>
          <w:i/>
          <w:iCs/>
        </w:rPr>
        <w:t>Future Contracts</w:t>
      </w:r>
      <w:r>
        <w:t>: The bank also implements futures contracts, in order to reduce the risks associated with currency fluctuations</w:t>
      </w:r>
      <w:r w:rsidR="00A13B53">
        <w:t xml:space="preserve"> </w:t>
      </w:r>
      <w:r w:rsidR="00A13B53">
        <w:rPr>
          <w:shd w:val="clear" w:color="auto" w:fill="FFFFFF"/>
        </w:rPr>
        <w:t>(</w:t>
      </w:r>
      <w:r w:rsidR="00A13B53" w:rsidRPr="00646FDC">
        <w:rPr>
          <w:shd w:val="clear" w:color="auto" w:fill="FFFFFF"/>
        </w:rPr>
        <w:t>Lukač</w:t>
      </w:r>
      <w:r w:rsidR="00A13B53">
        <w:rPr>
          <w:i/>
          <w:iCs/>
          <w:shd w:val="clear" w:color="auto" w:fill="FFFFFF"/>
        </w:rPr>
        <w:t xml:space="preserve"> et al., </w:t>
      </w:r>
      <w:r w:rsidR="00A13B53">
        <w:rPr>
          <w:shd w:val="clear" w:color="auto" w:fill="FFFFFF"/>
        </w:rPr>
        <w:t>2019)</w:t>
      </w:r>
      <w:r>
        <w:t xml:space="preserve">. The futures contracts are traded on </w:t>
      </w:r>
      <w:r>
        <w:lastRenderedPageBreak/>
        <w:t>future exchange rates, and provide the bank a pre-estimated exchange rate for a particular date in the future, and also offers certainty to some degree in unpredictable foreign exchange market</w:t>
      </w:r>
      <w:r w:rsidR="00A13B53">
        <w:t xml:space="preserve"> </w:t>
      </w:r>
      <w:r w:rsidR="00A13B53">
        <w:rPr>
          <w:shd w:val="clear" w:color="auto" w:fill="FFFFFF"/>
        </w:rPr>
        <w:t>(</w:t>
      </w:r>
      <w:r w:rsidR="00A13B53" w:rsidRPr="00646FDC">
        <w:rPr>
          <w:shd w:val="clear" w:color="auto" w:fill="FFFFFF"/>
        </w:rPr>
        <w:t>Borio</w:t>
      </w:r>
      <w:r w:rsidR="00A13B53">
        <w:rPr>
          <w:i/>
          <w:iCs/>
          <w:shd w:val="clear" w:color="auto" w:fill="FFFFFF"/>
        </w:rPr>
        <w:t xml:space="preserve"> et al., </w:t>
      </w:r>
      <w:r w:rsidR="00A13B53">
        <w:rPr>
          <w:shd w:val="clear" w:color="auto" w:fill="FFFFFF"/>
        </w:rPr>
        <w:t>2020)</w:t>
      </w:r>
      <w:r>
        <w:t>.</w:t>
      </w:r>
    </w:p>
    <w:p w14:paraId="19F15B4F" w14:textId="37D8354A" w:rsidR="00DB1F6F" w:rsidRDefault="00DB1F6F" w:rsidP="001979E2">
      <w:r>
        <w:rPr>
          <w:b/>
          <w:bCs/>
          <w:i/>
          <w:iCs/>
        </w:rPr>
        <w:t xml:space="preserve">Currency Swaps: </w:t>
      </w:r>
      <w:r>
        <w:t>The banks participate in currency swaps, and exchanges cash flows in various currencies with a counterparty. This allows the company to manage their exposure by linking currency restrictions with the streams of revenue, particularly in the case of markets in which the bank has operations on a large scale</w:t>
      </w:r>
      <w:r w:rsidR="008E2B60">
        <w:t xml:space="preserve"> </w:t>
      </w:r>
      <w:r w:rsidR="008E2B60">
        <w:rPr>
          <w:shd w:val="clear" w:color="auto" w:fill="FFFFFF"/>
        </w:rPr>
        <w:t>(</w:t>
      </w:r>
      <w:r w:rsidR="008E2B60" w:rsidRPr="00646FDC">
        <w:rPr>
          <w:shd w:val="clear" w:color="auto" w:fill="FFFFFF"/>
        </w:rPr>
        <w:t>Meier</w:t>
      </w:r>
      <w:r w:rsidR="008E2B60">
        <w:rPr>
          <w:i/>
          <w:iCs/>
          <w:shd w:val="clear" w:color="auto" w:fill="FFFFFF"/>
        </w:rPr>
        <w:t xml:space="preserve"> et al., </w:t>
      </w:r>
      <w:r w:rsidR="008E2B60">
        <w:rPr>
          <w:shd w:val="clear" w:color="auto" w:fill="FFFFFF"/>
        </w:rPr>
        <w:t>2021)</w:t>
      </w:r>
      <w:r>
        <w:t>.</w:t>
      </w:r>
    </w:p>
    <w:p w14:paraId="17F74589" w14:textId="3572A179" w:rsidR="002A3FD2" w:rsidRDefault="00DB1F6F" w:rsidP="001979E2">
      <w:r>
        <w:rPr>
          <w:b/>
          <w:bCs/>
          <w:i/>
          <w:iCs/>
        </w:rPr>
        <w:t xml:space="preserve">Natural Hedging: </w:t>
      </w:r>
      <w:r>
        <w:t>The bank takes advantage of natural hedging by effectively linking the currency liabilities with currency assets in the same currency</w:t>
      </w:r>
      <w:r w:rsidR="00A13B53">
        <w:t xml:space="preserve"> </w:t>
      </w:r>
      <w:r w:rsidR="00A13B53">
        <w:rPr>
          <w:shd w:val="clear" w:color="auto" w:fill="FFFFFF"/>
        </w:rPr>
        <w:t>(</w:t>
      </w:r>
      <w:r w:rsidR="00A13B53" w:rsidRPr="00646FDC">
        <w:rPr>
          <w:shd w:val="clear" w:color="auto" w:fill="FFFFFF"/>
        </w:rPr>
        <w:t>Block</w:t>
      </w:r>
      <w:r w:rsidR="00A13B53">
        <w:rPr>
          <w:i/>
          <w:iCs/>
          <w:shd w:val="clear" w:color="auto" w:fill="FFFFFF"/>
        </w:rPr>
        <w:t xml:space="preserve"> et al., </w:t>
      </w:r>
      <w:r w:rsidR="00A13B53">
        <w:rPr>
          <w:shd w:val="clear" w:color="auto" w:fill="FFFFFF"/>
        </w:rPr>
        <w:t>2019)</w:t>
      </w:r>
      <w:r>
        <w:t>. As a</w:t>
      </w:r>
      <w:r w:rsidR="002A3FD2">
        <w:t xml:space="preserve"> result, this helps the bank to take advantage of its varied operations to link earnings and costs which further diminishes the impact of volatility in currency</w:t>
      </w:r>
      <w:r w:rsidR="00A13B53">
        <w:t xml:space="preserve"> </w:t>
      </w:r>
      <w:r w:rsidR="00A13B53">
        <w:rPr>
          <w:shd w:val="clear" w:color="auto" w:fill="FFFFFF"/>
        </w:rPr>
        <w:t>(</w:t>
      </w:r>
      <w:r w:rsidR="00A13B53" w:rsidRPr="00646FDC">
        <w:rPr>
          <w:shd w:val="clear" w:color="auto" w:fill="FFFFFF"/>
        </w:rPr>
        <w:t>Borio</w:t>
      </w:r>
      <w:r w:rsidR="00A13B53">
        <w:rPr>
          <w:i/>
          <w:iCs/>
          <w:shd w:val="clear" w:color="auto" w:fill="FFFFFF"/>
        </w:rPr>
        <w:t xml:space="preserve"> et al., </w:t>
      </w:r>
      <w:r w:rsidR="00A13B53">
        <w:rPr>
          <w:shd w:val="clear" w:color="auto" w:fill="FFFFFF"/>
        </w:rPr>
        <w:t>2020)</w:t>
      </w:r>
      <w:r w:rsidR="002A3FD2">
        <w:t>.</w:t>
      </w:r>
    </w:p>
    <w:p w14:paraId="0C91CD2E" w14:textId="2D933CE6" w:rsidR="00DB1F6F" w:rsidRDefault="002A3FD2" w:rsidP="001979E2">
      <w:r>
        <w:rPr>
          <w:b/>
          <w:bCs/>
          <w:i/>
          <w:iCs/>
        </w:rPr>
        <w:t>Use of Derivatives</w:t>
      </w:r>
      <w:r>
        <w:t>: The bank utilises various fiscal instruments like currency derivatives to improve their approach to risk management</w:t>
      </w:r>
      <w:r w:rsidR="00A13B53">
        <w:t xml:space="preserve"> </w:t>
      </w:r>
      <w:r w:rsidR="00A13B53">
        <w:rPr>
          <w:shd w:val="clear" w:color="auto" w:fill="FFFFFF"/>
        </w:rPr>
        <w:t>(</w:t>
      </w:r>
      <w:r w:rsidR="00A13B53" w:rsidRPr="00646FDC">
        <w:rPr>
          <w:shd w:val="clear" w:color="auto" w:fill="FFFFFF"/>
        </w:rPr>
        <w:t>Borio</w:t>
      </w:r>
      <w:r w:rsidR="00A13B53">
        <w:rPr>
          <w:i/>
          <w:iCs/>
          <w:shd w:val="clear" w:color="auto" w:fill="FFFFFF"/>
        </w:rPr>
        <w:t xml:space="preserve"> et al., </w:t>
      </w:r>
      <w:r w:rsidR="00A13B53">
        <w:rPr>
          <w:shd w:val="clear" w:color="auto" w:fill="FFFFFF"/>
        </w:rPr>
        <w:t>2020)</w:t>
      </w:r>
      <w:r>
        <w:t>. These fiscal instruments provide a better strategy, that allows the bank to personalise solutions based on the conditions of market and particular risk profiles</w:t>
      </w:r>
      <w:r w:rsidR="008E2B60">
        <w:t xml:space="preserve"> </w:t>
      </w:r>
      <w:r w:rsidR="008E2B60">
        <w:rPr>
          <w:shd w:val="clear" w:color="auto" w:fill="FFFFFF"/>
        </w:rPr>
        <w:t>(</w:t>
      </w:r>
      <w:r w:rsidR="008E2B60" w:rsidRPr="00646FDC">
        <w:rPr>
          <w:shd w:val="clear" w:color="auto" w:fill="FFFFFF"/>
        </w:rPr>
        <w:t>Lukač</w:t>
      </w:r>
      <w:r w:rsidR="008E2B60">
        <w:rPr>
          <w:i/>
          <w:iCs/>
          <w:shd w:val="clear" w:color="auto" w:fill="FFFFFF"/>
        </w:rPr>
        <w:t xml:space="preserve"> et al., </w:t>
      </w:r>
      <w:r w:rsidR="008E2B60">
        <w:rPr>
          <w:shd w:val="clear" w:color="auto" w:fill="FFFFFF"/>
        </w:rPr>
        <w:t>2019)</w:t>
      </w:r>
      <w:r>
        <w:t>.</w:t>
      </w:r>
    </w:p>
    <w:p w14:paraId="54513F82" w14:textId="77777777" w:rsidR="008E2B60" w:rsidRDefault="008E2B60">
      <w:pPr>
        <w:spacing w:line="259" w:lineRule="auto"/>
        <w:jc w:val="left"/>
        <w:rPr>
          <w:rFonts w:eastAsiaTheme="majorEastAsia" w:cstheme="majorBidi"/>
          <w:b/>
          <w:sz w:val="28"/>
          <w:szCs w:val="32"/>
        </w:rPr>
      </w:pPr>
      <w:r>
        <w:br w:type="page"/>
      </w:r>
    </w:p>
    <w:p w14:paraId="7AAA403B" w14:textId="0B94536D" w:rsidR="002A3FD2" w:rsidRDefault="002A3FD2" w:rsidP="00197E5D">
      <w:pPr>
        <w:pStyle w:val="Heading1"/>
      </w:pPr>
      <w:bookmarkStart w:id="5" w:name="_Toc154584676"/>
      <w:r>
        <w:lastRenderedPageBreak/>
        <w:t>HSBC’s Adoption of Foreign Exchange Risk Management Strategies</w:t>
      </w:r>
      <w:bookmarkEnd w:id="5"/>
    </w:p>
    <w:p w14:paraId="2C90CEB6" w14:textId="23C54510" w:rsidR="002A3FD2" w:rsidRPr="00197E5D" w:rsidRDefault="002A3FD2" w:rsidP="001979E2">
      <w:r>
        <w:rPr>
          <w:b/>
          <w:bCs/>
          <w:i/>
          <w:iCs/>
        </w:rPr>
        <w:t xml:space="preserve">Implementation of Hedging Tools: </w:t>
      </w:r>
      <w:r w:rsidR="00197E5D">
        <w:t>In order to mitigate its vulnerability to foreign currency risks, HSBC strategically uses a range of hedging tools</w:t>
      </w:r>
      <w:r w:rsidR="00A13B53">
        <w:t xml:space="preserve"> </w:t>
      </w:r>
      <w:r w:rsidR="00A13B53">
        <w:rPr>
          <w:shd w:val="clear" w:color="auto" w:fill="FFFFFF"/>
        </w:rPr>
        <w:t>(</w:t>
      </w:r>
      <w:r w:rsidR="00A13B53" w:rsidRPr="00646FDC">
        <w:rPr>
          <w:shd w:val="clear" w:color="auto" w:fill="FFFFFF"/>
        </w:rPr>
        <w:t>Block</w:t>
      </w:r>
      <w:r w:rsidR="00A13B53">
        <w:rPr>
          <w:i/>
          <w:iCs/>
          <w:shd w:val="clear" w:color="auto" w:fill="FFFFFF"/>
        </w:rPr>
        <w:t xml:space="preserve"> et al., </w:t>
      </w:r>
      <w:r w:rsidR="00A13B53">
        <w:rPr>
          <w:shd w:val="clear" w:color="auto" w:fill="FFFFFF"/>
        </w:rPr>
        <w:t>2019)</w:t>
      </w:r>
      <w:r w:rsidR="00197E5D">
        <w:t>. The aforementioned instrument, such as futures, options, and forward contracts, offer the bank with the ability to take control of and hedge against the fluctuations in values of the currency rates</w:t>
      </w:r>
      <w:r w:rsidR="00A13B53">
        <w:t xml:space="preserve"> (</w:t>
      </w:r>
      <w:r w:rsidR="00A13B53">
        <w:rPr>
          <w:shd w:val="clear" w:color="auto" w:fill="FFFFFF"/>
        </w:rPr>
        <w:t>Robinson, 2020</w:t>
      </w:r>
      <w:r w:rsidR="00A13B53">
        <w:t>)</w:t>
      </w:r>
      <w:r w:rsidR="00197E5D">
        <w:t>.</w:t>
      </w:r>
    </w:p>
    <w:p w14:paraId="33586D08" w14:textId="202EF069" w:rsidR="00197E5D" w:rsidRDefault="00197E5D" w:rsidP="001979E2">
      <w:r w:rsidRPr="00197E5D">
        <w:rPr>
          <w:b/>
          <w:bCs/>
          <w:i/>
          <w:iCs/>
        </w:rPr>
        <w:t>Spreading Out Currency</w:t>
      </w:r>
      <w:r>
        <w:t xml:space="preserve"> </w:t>
      </w:r>
      <w:r w:rsidRPr="00197E5D">
        <w:rPr>
          <w:b/>
          <w:bCs/>
          <w:i/>
          <w:iCs/>
        </w:rPr>
        <w:t>Risk</w:t>
      </w:r>
      <w:r>
        <w:t>: HSBC takes a diversified strategy because it understands the dangers that come with significant reliance on a single currency</w:t>
      </w:r>
      <w:r w:rsidR="00A13B53">
        <w:t xml:space="preserve"> </w:t>
      </w:r>
      <w:r w:rsidR="00A13B53">
        <w:rPr>
          <w:shd w:val="clear" w:color="auto" w:fill="FFFFFF"/>
        </w:rPr>
        <w:t>(</w:t>
      </w:r>
      <w:r w:rsidR="00A13B53" w:rsidRPr="00646FDC">
        <w:rPr>
          <w:shd w:val="clear" w:color="auto" w:fill="FFFFFF"/>
        </w:rPr>
        <w:t>Block</w:t>
      </w:r>
      <w:r w:rsidR="00A13B53">
        <w:rPr>
          <w:i/>
          <w:iCs/>
          <w:shd w:val="clear" w:color="auto" w:fill="FFFFFF"/>
        </w:rPr>
        <w:t xml:space="preserve"> et al., </w:t>
      </w:r>
      <w:r w:rsidR="00A13B53">
        <w:rPr>
          <w:shd w:val="clear" w:color="auto" w:fill="FFFFFF"/>
        </w:rPr>
        <w:t>2019)</w:t>
      </w:r>
      <w:r>
        <w:t>. In order to monitor and reduce risk, the bank systematically increase the foreign exchange exposure across a variety of regions and currencies by take use of its strong global presence</w:t>
      </w:r>
      <w:r w:rsidR="008E2B60">
        <w:t xml:space="preserve"> </w:t>
      </w:r>
      <w:r w:rsidR="008E2B60">
        <w:rPr>
          <w:shd w:val="clear" w:color="auto" w:fill="FFFFFF"/>
        </w:rPr>
        <w:t>(</w:t>
      </w:r>
      <w:r w:rsidR="008E2B60" w:rsidRPr="00646FDC">
        <w:rPr>
          <w:shd w:val="clear" w:color="auto" w:fill="FFFFFF"/>
        </w:rPr>
        <w:t>Borio</w:t>
      </w:r>
      <w:r w:rsidR="008E2B60">
        <w:rPr>
          <w:i/>
          <w:iCs/>
          <w:shd w:val="clear" w:color="auto" w:fill="FFFFFF"/>
        </w:rPr>
        <w:t xml:space="preserve"> et al., </w:t>
      </w:r>
      <w:r w:rsidR="008E2B60">
        <w:rPr>
          <w:shd w:val="clear" w:color="auto" w:fill="FFFFFF"/>
        </w:rPr>
        <w:t>2020)</w:t>
      </w:r>
      <w:r>
        <w:t>.</w:t>
      </w:r>
    </w:p>
    <w:p w14:paraId="50DD874F" w14:textId="77777777" w:rsidR="00C465EB" w:rsidRDefault="00C465EB" w:rsidP="00C465EB">
      <w:pPr>
        <w:pStyle w:val="NormalWeb"/>
        <w:spacing w:before="0" w:beforeAutospacing="0" w:after="160" w:afterAutospacing="0" w:line="480" w:lineRule="auto"/>
        <w:jc w:val="both"/>
      </w:pPr>
      <w:bookmarkStart w:id="6" w:name="_Toc154584677"/>
      <w:r w:rsidRPr="00C465EB">
        <w:rPr>
          <w:b/>
          <w:bCs/>
          <w:i/>
          <w:iCs/>
        </w:rPr>
        <w:t>Strategies for Key Common Hedging</w:t>
      </w:r>
      <w:r>
        <w:t>: Common ways to hedge are utilized by HSBC into its system for hazard administration. In arrange to adjust income and costs and decrease the antagonistic impacts of cash instability, this involves adjusting money commitments with comparable speculations in an indistinguishable money and deliberately abusing its wide around the world exercises (Robinson, 2020).</w:t>
      </w:r>
    </w:p>
    <w:p w14:paraId="5D9CCBA5" w14:textId="77777777" w:rsidR="00C465EB" w:rsidRDefault="00C465EB" w:rsidP="00C465EB">
      <w:pPr>
        <w:pStyle w:val="NormalWeb"/>
        <w:spacing w:before="0" w:beforeAutospacing="0" w:after="160" w:afterAutospacing="0" w:line="480" w:lineRule="auto"/>
        <w:jc w:val="both"/>
      </w:pPr>
      <w:r w:rsidRPr="00C465EB">
        <w:rPr>
          <w:b/>
          <w:bCs/>
          <w:i/>
          <w:iCs/>
        </w:rPr>
        <w:t>Adaptive Utilization of Subsidiaries</w:t>
      </w:r>
      <w:r>
        <w:t xml:space="preserve">: Utilizing inventive financial disobedient and subsidiaries are disobedient HSBC powerfully navigates the complexity of outside money hazard (Eng </w:t>
      </w:r>
      <w:r>
        <w:rPr>
          <w:rStyle w:val="Emphasis"/>
        </w:rPr>
        <w:t>et al.,</w:t>
      </w:r>
      <w:r>
        <w:t xml:space="preserve"> 2019). Given these tools' flexibility and adjustment, the bank may alter its chance administration plans to suit certain hazard profiles, administrative systems, and showcase circumstances (Eng </w:t>
      </w:r>
      <w:r>
        <w:rPr>
          <w:rStyle w:val="Emphasis"/>
        </w:rPr>
        <w:t xml:space="preserve">et al., </w:t>
      </w:r>
      <w:r>
        <w:t>2019).</w:t>
      </w:r>
    </w:p>
    <w:p w14:paraId="04636E65" w14:textId="77777777" w:rsidR="00A13B53" w:rsidRDefault="00A13B53">
      <w:pPr>
        <w:spacing w:line="259" w:lineRule="auto"/>
        <w:jc w:val="left"/>
        <w:rPr>
          <w:rFonts w:eastAsiaTheme="majorEastAsia" w:cstheme="majorBidi"/>
          <w:b/>
          <w:sz w:val="28"/>
          <w:szCs w:val="32"/>
        </w:rPr>
      </w:pPr>
      <w:r>
        <w:br w:type="page"/>
      </w:r>
    </w:p>
    <w:p w14:paraId="22F3D25E" w14:textId="0FDF4B96" w:rsidR="007A0DF5" w:rsidRDefault="007A0DF5" w:rsidP="007A0DF5">
      <w:pPr>
        <w:pStyle w:val="Heading1"/>
      </w:pPr>
      <w:r>
        <w:lastRenderedPageBreak/>
        <w:t>Challenges and Future Considerations in Foreign Exchange Risk Management</w:t>
      </w:r>
      <w:bookmarkEnd w:id="6"/>
    </w:p>
    <w:p w14:paraId="6D071AD1" w14:textId="77777777" w:rsidR="00C465EB" w:rsidRDefault="00C465EB" w:rsidP="007A0DF5">
      <w:r w:rsidRPr="00C465EB">
        <w:rPr>
          <w:b/>
          <w:bCs/>
          <w:i/>
          <w:iCs/>
        </w:rPr>
        <w:t>Foreign Market Instability</w:t>
      </w:r>
      <w:r w:rsidRPr="00C465EB">
        <w:t>: HSBC is uncovered to different dangers since to the inalienable instability of money markets. Unexpected and noteworthy changes in remote trade rates can have an impact on the bank's money related comes about as well as the viability of current chance administration plans, subsequently progressing consideration to detail and adaptability are required (Robinson, 2020).</w:t>
      </w:r>
    </w:p>
    <w:p w14:paraId="421888A8" w14:textId="449CC0FB" w:rsidR="007A0DF5" w:rsidRDefault="00C465EB" w:rsidP="007A0DF5">
      <w:r w:rsidRPr="00C465EB">
        <w:rPr>
          <w:b/>
          <w:bCs/>
          <w:i/>
          <w:iCs/>
        </w:rPr>
        <w:t>Worldwide Monetary Challenges</w:t>
      </w:r>
      <w:r w:rsidRPr="00C465EB">
        <w:t xml:space="preserve">: Financial debate, territorial clashes, and unexpected advancements are fair a couple of the issues that HSBC faces as a result of worldwide financial instabilities (Eng </w:t>
      </w:r>
      <w:r w:rsidRPr="00C465EB">
        <w:rPr>
          <w:i/>
          <w:iCs/>
        </w:rPr>
        <w:t>et al.,</w:t>
      </w:r>
      <w:r w:rsidRPr="00C465EB">
        <w:t xml:space="preserve"> 2019).</w:t>
      </w:r>
      <w:r>
        <w:t xml:space="preserve"> </w:t>
      </w:r>
      <w:r w:rsidR="007A0DF5">
        <w:t>The volatility of these factors can make it more difficult to forecast currency fluctuations with accuracy and it is a barrier to effectively management the foreign exchange risk</w:t>
      </w:r>
      <w:r w:rsidR="008E2B60">
        <w:t xml:space="preserve"> </w:t>
      </w:r>
      <w:r w:rsidR="008E2B60">
        <w:rPr>
          <w:shd w:val="clear" w:color="auto" w:fill="FFFFFF"/>
        </w:rPr>
        <w:t>(Robinson, 2020)</w:t>
      </w:r>
      <w:r w:rsidR="007A0DF5">
        <w:t>.</w:t>
      </w:r>
    </w:p>
    <w:p w14:paraId="65FCA6EB" w14:textId="6781F3BB" w:rsidR="00D745F5" w:rsidRDefault="00D745F5" w:rsidP="007A0DF5">
      <w:r w:rsidRPr="00D745F5">
        <w:rPr>
          <w:b/>
          <w:bCs/>
          <w:i/>
          <w:iCs/>
        </w:rPr>
        <w:t>Regulatory Shifts and Compliance</w:t>
      </w:r>
      <w:r>
        <w:t>: Managing foreign exchange risk becoming more difficult as a result of the globe's changing regulatory environments</w:t>
      </w:r>
      <w:r w:rsidR="00A13B53">
        <w:t xml:space="preserve"> </w:t>
      </w:r>
      <w:r w:rsidR="00A13B53">
        <w:rPr>
          <w:shd w:val="clear" w:color="auto" w:fill="FFFFFF"/>
        </w:rPr>
        <w:t>(Eng</w:t>
      </w:r>
      <w:r w:rsidR="00A13B53">
        <w:rPr>
          <w:i/>
          <w:iCs/>
          <w:shd w:val="clear" w:color="auto" w:fill="FFFFFF"/>
        </w:rPr>
        <w:t xml:space="preserve"> et al., </w:t>
      </w:r>
      <w:r w:rsidR="00A13B53">
        <w:rPr>
          <w:shd w:val="clear" w:color="auto" w:fill="FFFFFF"/>
        </w:rPr>
        <w:t>2019)</w:t>
      </w:r>
      <w:r>
        <w:t>. Procedures for risk management must be continuously adjusted in order to guarantee that they meet international standards and regulatory demands. HSBC needs to keep up with legislative developments in order to make sure that its plans fit changing compliance frameworks</w:t>
      </w:r>
      <w:r w:rsidR="00A13B53">
        <w:t xml:space="preserve"> </w:t>
      </w:r>
      <w:r w:rsidR="00A13B53">
        <w:rPr>
          <w:shd w:val="clear" w:color="auto" w:fill="FFFFFF"/>
        </w:rPr>
        <w:t>(Salah and Abdel-Salam, 2019)</w:t>
      </w:r>
      <w:r w:rsidR="00A13B53">
        <w:t>.</w:t>
      </w:r>
    </w:p>
    <w:p w14:paraId="65D8428A" w14:textId="405A692F" w:rsidR="00D745F5" w:rsidRDefault="00D745F5" w:rsidP="007A0DF5">
      <w:r w:rsidRPr="00D745F5">
        <w:rPr>
          <w:b/>
          <w:bCs/>
          <w:i/>
          <w:iCs/>
        </w:rPr>
        <w:t>Emerging Market Dynamics</w:t>
      </w:r>
      <w:r>
        <w:t>: HSBC has difficulties as a result of its involvement with economies that are emerging. Risk management is always faced with the challenge of anticipating and negotiating the complex nature of developing market dynamics</w:t>
      </w:r>
      <w:r w:rsidR="00A13B53">
        <w:t xml:space="preserve"> </w:t>
      </w:r>
      <w:r w:rsidR="00A13B53">
        <w:rPr>
          <w:shd w:val="clear" w:color="auto" w:fill="FFFFFF"/>
        </w:rPr>
        <w:t>(Salah and Abdel-Salam, 2019)</w:t>
      </w:r>
      <w:r w:rsidR="00A13B53">
        <w:t>.</w:t>
      </w:r>
    </w:p>
    <w:p w14:paraId="4A41815F" w14:textId="4E0D0110" w:rsidR="008E2B60" w:rsidRPr="008E2B60" w:rsidRDefault="00D745F5" w:rsidP="008E2B60">
      <w:r w:rsidRPr="00D745F5">
        <w:rPr>
          <w:b/>
          <w:bCs/>
          <w:i/>
          <w:iCs/>
        </w:rPr>
        <w:t>Incorporation of Sustainable Practices</w:t>
      </w:r>
      <w:r>
        <w:t xml:space="preserve">: Using sustainable practices in foreign currency risk management is a future concern. In order to maintain tolerance against reputational risks related </w:t>
      </w:r>
      <w:r>
        <w:lastRenderedPageBreak/>
        <w:t>to ESG (environmental, social, and governance) concerns, HSBC might have to link its risk management techniques with sustainable practices as ESG issues gain traction</w:t>
      </w:r>
      <w:r w:rsidR="008E2B60">
        <w:t xml:space="preserve"> </w:t>
      </w:r>
      <w:r w:rsidR="008E2B60">
        <w:rPr>
          <w:shd w:val="clear" w:color="auto" w:fill="FFFFFF"/>
        </w:rPr>
        <w:t>(Salah and Abdel-Salam, 2019)</w:t>
      </w:r>
      <w:r>
        <w:t>.</w:t>
      </w:r>
      <w:r w:rsidR="008E2B60">
        <w:br w:type="page"/>
      </w:r>
    </w:p>
    <w:p w14:paraId="62634E55" w14:textId="14638DBE" w:rsidR="00646FDC" w:rsidRDefault="00646FDC" w:rsidP="00646FDC">
      <w:pPr>
        <w:pStyle w:val="Heading1"/>
      </w:pPr>
      <w:bookmarkStart w:id="7" w:name="_Toc154584678"/>
      <w:r>
        <w:lastRenderedPageBreak/>
        <w:t>Conclusion</w:t>
      </w:r>
      <w:bookmarkEnd w:id="7"/>
    </w:p>
    <w:p w14:paraId="59E69657" w14:textId="5EAE5236" w:rsidR="00646FDC" w:rsidRDefault="00646FDC" w:rsidP="00646FDC">
      <w:r>
        <w:t>An intensive evaluation of HSBC's remote trade chance dealing with uncovers an fundamental association between the money related institution's universal reach and the ever-changing issues displayed by trade rate changes. The bank illustrates a commitment to dealing with the hurdles of fiscal markets by taking a new methodology to its geographical operations and implement a range of risk administration strategies, including standard and cutting-edge procedures. The problems of financial vulnerability, innovation changes, and maintainability issues are important to address, as the monetary environment changes. The capacity of HSBC to resist difficulties and move definitively will be basic to keeping up effective foreign cash risk administration and strengthening the bank's standing within the dynamic worldwide monetary scene.</w:t>
      </w:r>
    </w:p>
    <w:p w14:paraId="2147A177" w14:textId="77777777" w:rsidR="008E2B60" w:rsidRDefault="008E2B60">
      <w:pPr>
        <w:spacing w:line="259" w:lineRule="auto"/>
        <w:jc w:val="left"/>
        <w:rPr>
          <w:rFonts w:eastAsiaTheme="majorEastAsia" w:cstheme="majorBidi"/>
          <w:b/>
          <w:sz w:val="28"/>
          <w:szCs w:val="32"/>
        </w:rPr>
      </w:pPr>
      <w:r>
        <w:br w:type="page"/>
      </w:r>
    </w:p>
    <w:p w14:paraId="124BB6F4" w14:textId="5424C287" w:rsidR="008E2B60" w:rsidRPr="008E2B60" w:rsidRDefault="00646FDC" w:rsidP="008E2B60">
      <w:pPr>
        <w:pStyle w:val="Heading1"/>
      </w:pPr>
      <w:bookmarkStart w:id="8" w:name="_Toc154584679"/>
      <w:r>
        <w:lastRenderedPageBreak/>
        <w:t>References</w:t>
      </w:r>
      <w:bookmarkEnd w:id="8"/>
    </w:p>
    <w:p w14:paraId="6A24870B" w14:textId="77777777" w:rsidR="008E2B60" w:rsidRPr="00646FDC" w:rsidRDefault="008E2B60" w:rsidP="00646FDC">
      <w:r>
        <w:rPr>
          <w:shd w:val="clear" w:color="auto" w:fill="FFFFFF"/>
        </w:rPr>
        <w:t xml:space="preserve">Aziz, H.M., </w:t>
      </w:r>
      <w:proofErr w:type="spellStart"/>
      <w:r>
        <w:rPr>
          <w:shd w:val="clear" w:color="auto" w:fill="FFFFFF"/>
        </w:rPr>
        <w:t>Sorguli</w:t>
      </w:r>
      <w:proofErr w:type="spellEnd"/>
      <w:r>
        <w:rPr>
          <w:shd w:val="clear" w:color="auto" w:fill="FFFFFF"/>
        </w:rPr>
        <w:t>, S., Hamza, P.A., Sabir, B.Y., Qader, K.S., Ismeal, B.A., Anwar, G. and Gardi, B., (2021). Factors affecting international finance corporation. </w:t>
      </w:r>
      <w:r>
        <w:rPr>
          <w:i/>
          <w:iCs/>
          <w:shd w:val="clear" w:color="auto" w:fill="FFFFFF"/>
        </w:rPr>
        <w:t>International Journal of Humanities and Education Development (IJHED)</w:t>
      </w:r>
      <w:r>
        <w:rPr>
          <w:shd w:val="clear" w:color="auto" w:fill="FFFFFF"/>
        </w:rPr>
        <w:t>, </w:t>
      </w:r>
      <w:r>
        <w:rPr>
          <w:i/>
          <w:iCs/>
          <w:shd w:val="clear" w:color="auto" w:fill="FFFFFF"/>
        </w:rPr>
        <w:t>3</w:t>
      </w:r>
      <w:r>
        <w:rPr>
          <w:shd w:val="clear" w:color="auto" w:fill="FFFFFF"/>
        </w:rPr>
        <w:t>(3), pp.148-157.</w:t>
      </w:r>
    </w:p>
    <w:p w14:paraId="165DA92F" w14:textId="77777777" w:rsidR="008E2B60" w:rsidRPr="00646FDC" w:rsidRDefault="008E2B60" w:rsidP="00646FDC">
      <w:pPr>
        <w:rPr>
          <w:shd w:val="clear" w:color="auto" w:fill="FFFFFF"/>
        </w:rPr>
      </w:pPr>
      <w:r w:rsidRPr="00646FDC">
        <w:rPr>
          <w:shd w:val="clear" w:color="auto" w:fill="FFFFFF"/>
        </w:rPr>
        <w:t xml:space="preserve">Block, S.B., Hirt, G.A. and Danielsen, B.R., </w:t>
      </w:r>
      <w:r>
        <w:rPr>
          <w:shd w:val="clear" w:color="auto" w:fill="FFFFFF"/>
        </w:rPr>
        <w:t>(</w:t>
      </w:r>
      <w:r w:rsidRPr="00646FDC">
        <w:rPr>
          <w:shd w:val="clear" w:color="auto" w:fill="FFFFFF"/>
        </w:rPr>
        <w:t>2019</w:t>
      </w:r>
      <w:r>
        <w:rPr>
          <w:shd w:val="clear" w:color="auto" w:fill="FFFFFF"/>
        </w:rPr>
        <w:t>)</w:t>
      </w:r>
      <w:r w:rsidRPr="00646FDC">
        <w:rPr>
          <w:shd w:val="clear" w:color="auto" w:fill="FFFFFF"/>
        </w:rPr>
        <w:t>. </w:t>
      </w:r>
      <w:r w:rsidRPr="00646FDC">
        <w:rPr>
          <w:i/>
          <w:iCs/>
          <w:shd w:val="clear" w:color="auto" w:fill="FFFFFF"/>
        </w:rPr>
        <w:t>Foundations of financial management</w:t>
      </w:r>
      <w:r w:rsidRPr="00646FDC">
        <w:rPr>
          <w:shd w:val="clear" w:color="auto" w:fill="FFFFFF"/>
        </w:rPr>
        <w:t>. McGraw-Hill.</w:t>
      </w:r>
    </w:p>
    <w:p w14:paraId="2230310A" w14:textId="77777777" w:rsidR="008E2B60" w:rsidRPr="00646FDC" w:rsidRDefault="008E2B60" w:rsidP="00646FDC">
      <w:pPr>
        <w:rPr>
          <w:shd w:val="clear" w:color="auto" w:fill="FFFFFF"/>
        </w:rPr>
      </w:pPr>
      <w:r w:rsidRPr="00646FDC">
        <w:rPr>
          <w:shd w:val="clear" w:color="auto" w:fill="FFFFFF"/>
        </w:rPr>
        <w:t xml:space="preserve">Borio, C.E., Farag, M. and </w:t>
      </w:r>
      <w:proofErr w:type="spellStart"/>
      <w:r w:rsidRPr="00646FDC">
        <w:rPr>
          <w:shd w:val="clear" w:color="auto" w:fill="FFFFFF"/>
        </w:rPr>
        <w:t>Tarashev</w:t>
      </w:r>
      <w:proofErr w:type="spellEnd"/>
      <w:r w:rsidRPr="00646FDC">
        <w:rPr>
          <w:shd w:val="clear" w:color="auto" w:fill="FFFFFF"/>
        </w:rPr>
        <w:t xml:space="preserve">, N.A., </w:t>
      </w:r>
      <w:r>
        <w:rPr>
          <w:shd w:val="clear" w:color="auto" w:fill="FFFFFF"/>
        </w:rPr>
        <w:t>(</w:t>
      </w:r>
      <w:r w:rsidRPr="00646FDC">
        <w:rPr>
          <w:shd w:val="clear" w:color="auto" w:fill="FFFFFF"/>
        </w:rPr>
        <w:t>2020</w:t>
      </w:r>
      <w:r>
        <w:rPr>
          <w:shd w:val="clear" w:color="auto" w:fill="FFFFFF"/>
        </w:rPr>
        <w:t>)</w:t>
      </w:r>
      <w:r w:rsidRPr="00646FDC">
        <w:rPr>
          <w:shd w:val="clear" w:color="auto" w:fill="FFFFFF"/>
        </w:rPr>
        <w:t>. Post-crisis international financial regulatory reforms: a primer.</w:t>
      </w:r>
    </w:p>
    <w:p w14:paraId="2DD6129E" w14:textId="77777777" w:rsidR="008E2B60" w:rsidRPr="00646FDC" w:rsidRDefault="008E2B60" w:rsidP="00646FDC">
      <w:r>
        <w:rPr>
          <w:shd w:val="clear" w:color="auto" w:fill="FFFFFF"/>
        </w:rPr>
        <w:t>Eng, L.L., Lin, J. and Neiva de Figueiredo, J., (2019). International Financial Reporting Standards adoption and information quality: evidence from Brazil. </w:t>
      </w:r>
      <w:r>
        <w:rPr>
          <w:i/>
          <w:iCs/>
          <w:shd w:val="clear" w:color="auto" w:fill="FFFFFF"/>
        </w:rPr>
        <w:t>Journal of International Financial Management &amp; Accounting</w:t>
      </w:r>
      <w:r>
        <w:rPr>
          <w:shd w:val="clear" w:color="auto" w:fill="FFFFFF"/>
        </w:rPr>
        <w:t>, </w:t>
      </w:r>
      <w:r>
        <w:rPr>
          <w:i/>
          <w:iCs/>
          <w:shd w:val="clear" w:color="auto" w:fill="FFFFFF"/>
        </w:rPr>
        <w:t>30</w:t>
      </w:r>
      <w:r>
        <w:rPr>
          <w:shd w:val="clear" w:color="auto" w:fill="FFFFFF"/>
        </w:rPr>
        <w:t>(1), pp.5-29.</w:t>
      </w:r>
    </w:p>
    <w:p w14:paraId="089503E7" w14:textId="77777777" w:rsidR="008E2B60" w:rsidRPr="00646FDC" w:rsidRDefault="008E2B60" w:rsidP="00646FDC">
      <w:pPr>
        <w:rPr>
          <w:shd w:val="clear" w:color="auto" w:fill="FFFFFF"/>
        </w:rPr>
      </w:pPr>
      <w:r w:rsidRPr="00646FDC">
        <w:rPr>
          <w:shd w:val="clear" w:color="auto" w:fill="FFFFFF"/>
        </w:rPr>
        <w:t xml:space="preserve">Eun, C.S., Resnick, B.G. and Chuluun, T., </w:t>
      </w:r>
      <w:r>
        <w:rPr>
          <w:shd w:val="clear" w:color="auto" w:fill="FFFFFF"/>
        </w:rPr>
        <w:t>(</w:t>
      </w:r>
      <w:r w:rsidRPr="00646FDC">
        <w:rPr>
          <w:shd w:val="clear" w:color="auto" w:fill="FFFFFF"/>
        </w:rPr>
        <w:t>2021</w:t>
      </w:r>
      <w:r>
        <w:rPr>
          <w:shd w:val="clear" w:color="auto" w:fill="FFFFFF"/>
        </w:rPr>
        <w:t>)</w:t>
      </w:r>
      <w:r w:rsidRPr="00646FDC">
        <w:rPr>
          <w:shd w:val="clear" w:color="auto" w:fill="FFFFFF"/>
        </w:rPr>
        <w:t>. </w:t>
      </w:r>
      <w:r w:rsidRPr="00646FDC">
        <w:rPr>
          <w:i/>
          <w:iCs/>
          <w:shd w:val="clear" w:color="auto" w:fill="FFFFFF"/>
        </w:rPr>
        <w:t>International financial management</w:t>
      </w:r>
      <w:r w:rsidRPr="00646FDC">
        <w:rPr>
          <w:shd w:val="clear" w:color="auto" w:fill="FFFFFF"/>
        </w:rPr>
        <w:t>. McGraw-Hill.</w:t>
      </w:r>
    </w:p>
    <w:p w14:paraId="57C379DA" w14:textId="77777777" w:rsidR="008E2B60" w:rsidRDefault="008E2B60" w:rsidP="008E2B60">
      <w:proofErr w:type="spellStart"/>
      <w:r>
        <w:t>hsbc</w:t>
      </w:r>
      <w:proofErr w:type="spellEnd"/>
      <w:r>
        <w:t xml:space="preserve">, (2023). About US. [Online] Available at: </w:t>
      </w:r>
      <w:r w:rsidRPr="008E2B60">
        <w:t>https://www.about.hsbc.co.uk/</w:t>
      </w:r>
      <w:r>
        <w:t xml:space="preserve"> [Accessed 26 December 2023].</w:t>
      </w:r>
    </w:p>
    <w:p w14:paraId="01267E3C" w14:textId="77777777" w:rsidR="008E2B60" w:rsidRPr="00646FDC" w:rsidRDefault="008E2B60" w:rsidP="00646FDC">
      <w:pPr>
        <w:rPr>
          <w:shd w:val="clear" w:color="auto" w:fill="FFFFFF"/>
        </w:rPr>
      </w:pPr>
      <w:r w:rsidRPr="00646FDC">
        <w:rPr>
          <w:shd w:val="clear" w:color="auto" w:fill="FFFFFF"/>
        </w:rPr>
        <w:t xml:space="preserve">Lukač, J., </w:t>
      </w:r>
      <w:proofErr w:type="spellStart"/>
      <w:r w:rsidRPr="00646FDC">
        <w:rPr>
          <w:shd w:val="clear" w:color="auto" w:fill="FFFFFF"/>
        </w:rPr>
        <w:t>Freňaková</w:t>
      </w:r>
      <w:proofErr w:type="spellEnd"/>
      <w:r w:rsidRPr="00646FDC">
        <w:rPr>
          <w:shd w:val="clear" w:color="auto" w:fill="FFFFFF"/>
        </w:rPr>
        <w:t xml:space="preserve">, M., </w:t>
      </w:r>
      <w:proofErr w:type="spellStart"/>
      <w:r w:rsidRPr="00646FDC">
        <w:rPr>
          <w:shd w:val="clear" w:color="auto" w:fill="FFFFFF"/>
        </w:rPr>
        <w:t>Manová</w:t>
      </w:r>
      <w:proofErr w:type="spellEnd"/>
      <w:r w:rsidRPr="00646FDC">
        <w:rPr>
          <w:shd w:val="clear" w:color="auto" w:fill="FFFFFF"/>
        </w:rPr>
        <w:t xml:space="preserve">, E., Simonidesová, J. and </w:t>
      </w:r>
      <w:proofErr w:type="spellStart"/>
      <w:r w:rsidRPr="00646FDC">
        <w:rPr>
          <w:shd w:val="clear" w:color="auto" w:fill="FFFFFF"/>
        </w:rPr>
        <w:t>Daneshjo</w:t>
      </w:r>
      <w:proofErr w:type="spellEnd"/>
      <w:r w:rsidRPr="00646FDC">
        <w:rPr>
          <w:shd w:val="clear" w:color="auto" w:fill="FFFFFF"/>
        </w:rPr>
        <w:t xml:space="preserve">, N., </w:t>
      </w:r>
      <w:r>
        <w:rPr>
          <w:shd w:val="clear" w:color="auto" w:fill="FFFFFF"/>
        </w:rPr>
        <w:t>(</w:t>
      </w:r>
      <w:r w:rsidRPr="00646FDC">
        <w:rPr>
          <w:shd w:val="clear" w:color="auto" w:fill="FFFFFF"/>
        </w:rPr>
        <w:t>2019</w:t>
      </w:r>
      <w:r>
        <w:rPr>
          <w:shd w:val="clear" w:color="auto" w:fill="FFFFFF"/>
        </w:rPr>
        <w:t>)</w:t>
      </w:r>
      <w:r w:rsidRPr="00646FDC">
        <w:rPr>
          <w:shd w:val="clear" w:color="auto" w:fill="FFFFFF"/>
        </w:rPr>
        <w:t>. Use of Statistical Methods as an Educational Tool in the Financial Management of Enterprises in the Implementation of International Financial Reporting Standards. </w:t>
      </w:r>
      <w:r w:rsidRPr="00646FDC">
        <w:rPr>
          <w:i/>
          <w:iCs/>
          <w:shd w:val="clear" w:color="auto" w:fill="FFFFFF"/>
        </w:rPr>
        <w:t>TEM Journal</w:t>
      </w:r>
      <w:r w:rsidRPr="00646FDC">
        <w:rPr>
          <w:shd w:val="clear" w:color="auto" w:fill="FFFFFF"/>
        </w:rPr>
        <w:t>, </w:t>
      </w:r>
      <w:r w:rsidRPr="00646FDC">
        <w:rPr>
          <w:i/>
          <w:iCs/>
          <w:shd w:val="clear" w:color="auto" w:fill="FFFFFF"/>
        </w:rPr>
        <w:t>8</w:t>
      </w:r>
      <w:r w:rsidRPr="00646FDC">
        <w:rPr>
          <w:shd w:val="clear" w:color="auto" w:fill="FFFFFF"/>
        </w:rPr>
        <w:t>(3), p.819.</w:t>
      </w:r>
    </w:p>
    <w:p w14:paraId="3CC575B3" w14:textId="77777777" w:rsidR="008E2B60" w:rsidRPr="00646FDC" w:rsidRDefault="008E2B60" w:rsidP="00646FDC">
      <w:r w:rsidRPr="00646FDC">
        <w:rPr>
          <w:shd w:val="clear" w:color="auto" w:fill="FFFFFF"/>
        </w:rPr>
        <w:t xml:space="preserve">Meier, S., Gonzalez, M.R. and Kunze, F., </w:t>
      </w:r>
      <w:r>
        <w:rPr>
          <w:shd w:val="clear" w:color="auto" w:fill="FFFFFF"/>
        </w:rPr>
        <w:t>(</w:t>
      </w:r>
      <w:r w:rsidRPr="00646FDC">
        <w:rPr>
          <w:shd w:val="clear" w:color="auto" w:fill="FFFFFF"/>
        </w:rPr>
        <w:t>2021</w:t>
      </w:r>
      <w:r>
        <w:rPr>
          <w:shd w:val="clear" w:color="auto" w:fill="FFFFFF"/>
        </w:rPr>
        <w:t>)</w:t>
      </w:r>
      <w:r w:rsidRPr="00646FDC">
        <w:rPr>
          <w:shd w:val="clear" w:color="auto" w:fill="FFFFFF"/>
        </w:rPr>
        <w:t>. The global financial crisis, the EMU sovereign debt crisis and international financial regulation: lessons from a systematic literature review. </w:t>
      </w:r>
      <w:r w:rsidRPr="00646FDC">
        <w:rPr>
          <w:i/>
          <w:iCs/>
          <w:shd w:val="clear" w:color="auto" w:fill="FFFFFF"/>
        </w:rPr>
        <w:t>International Review of Law and Economics</w:t>
      </w:r>
      <w:r w:rsidRPr="00646FDC">
        <w:rPr>
          <w:shd w:val="clear" w:color="auto" w:fill="FFFFFF"/>
        </w:rPr>
        <w:t>, </w:t>
      </w:r>
      <w:r w:rsidRPr="00646FDC">
        <w:rPr>
          <w:i/>
          <w:iCs/>
          <w:shd w:val="clear" w:color="auto" w:fill="FFFFFF"/>
        </w:rPr>
        <w:t>65</w:t>
      </w:r>
      <w:r w:rsidRPr="00646FDC">
        <w:rPr>
          <w:shd w:val="clear" w:color="auto" w:fill="FFFFFF"/>
        </w:rPr>
        <w:t>, p.105945.</w:t>
      </w:r>
    </w:p>
    <w:p w14:paraId="7E412CD1" w14:textId="77777777" w:rsidR="008E2B60" w:rsidRPr="00646FDC" w:rsidRDefault="008E2B60" w:rsidP="00646FDC">
      <w:r>
        <w:rPr>
          <w:shd w:val="clear" w:color="auto" w:fill="FFFFFF"/>
        </w:rPr>
        <w:t>Robinson, T.R., (2020). </w:t>
      </w:r>
      <w:r>
        <w:rPr>
          <w:i/>
          <w:iCs/>
          <w:shd w:val="clear" w:color="auto" w:fill="FFFFFF"/>
        </w:rPr>
        <w:t>International financial statement analysis</w:t>
      </w:r>
      <w:r>
        <w:rPr>
          <w:shd w:val="clear" w:color="auto" w:fill="FFFFFF"/>
        </w:rPr>
        <w:t>. John Wiley &amp; Sons.</w:t>
      </w:r>
    </w:p>
    <w:p w14:paraId="25613C99" w14:textId="77777777" w:rsidR="008E2B60" w:rsidRDefault="008E2B60" w:rsidP="00646FDC">
      <w:pPr>
        <w:rPr>
          <w:shd w:val="clear" w:color="auto" w:fill="FFFFFF"/>
        </w:rPr>
      </w:pPr>
      <w:r>
        <w:rPr>
          <w:shd w:val="clear" w:color="auto" w:fill="FFFFFF"/>
        </w:rPr>
        <w:lastRenderedPageBreak/>
        <w:t>Salah, W. and Abdel-Salam, A., (2019). The effects of international financial reporting standards on financial reporting quality. </w:t>
      </w:r>
      <w:r>
        <w:rPr>
          <w:i/>
          <w:iCs/>
          <w:shd w:val="clear" w:color="auto" w:fill="FFFFFF"/>
        </w:rPr>
        <w:t>Athens Journal of Business &amp; Economics</w:t>
      </w:r>
      <w:r>
        <w:rPr>
          <w:shd w:val="clear" w:color="auto" w:fill="FFFFFF"/>
        </w:rPr>
        <w:t>, </w:t>
      </w:r>
      <w:r>
        <w:rPr>
          <w:i/>
          <w:iCs/>
          <w:shd w:val="clear" w:color="auto" w:fill="FFFFFF"/>
        </w:rPr>
        <w:t>5</w:t>
      </w:r>
      <w:r>
        <w:rPr>
          <w:shd w:val="clear" w:color="auto" w:fill="FFFFFF"/>
        </w:rPr>
        <w:t>(3), pp.221-242.</w:t>
      </w:r>
    </w:p>
    <w:p w14:paraId="1E5E7800" w14:textId="77777777" w:rsidR="008E2B60" w:rsidRPr="00646FDC" w:rsidRDefault="008E2B60" w:rsidP="00646FDC">
      <w:pPr>
        <w:rPr>
          <w:shd w:val="clear" w:color="auto" w:fill="FFFFFF"/>
        </w:rPr>
      </w:pPr>
      <w:r w:rsidRPr="00646FDC">
        <w:rPr>
          <w:shd w:val="clear" w:color="auto" w:fill="FFFFFF"/>
        </w:rPr>
        <w:t xml:space="preserve">Shapiro, A.C. and </w:t>
      </w:r>
      <w:proofErr w:type="spellStart"/>
      <w:r w:rsidRPr="00646FDC">
        <w:rPr>
          <w:shd w:val="clear" w:color="auto" w:fill="FFFFFF"/>
        </w:rPr>
        <w:t>Hanouna</w:t>
      </w:r>
      <w:proofErr w:type="spellEnd"/>
      <w:r w:rsidRPr="00646FDC">
        <w:rPr>
          <w:shd w:val="clear" w:color="auto" w:fill="FFFFFF"/>
        </w:rPr>
        <w:t xml:space="preserve">, P., </w:t>
      </w:r>
      <w:r>
        <w:rPr>
          <w:shd w:val="clear" w:color="auto" w:fill="FFFFFF"/>
        </w:rPr>
        <w:t>(</w:t>
      </w:r>
      <w:r w:rsidRPr="00646FDC">
        <w:rPr>
          <w:shd w:val="clear" w:color="auto" w:fill="FFFFFF"/>
        </w:rPr>
        <w:t>2019</w:t>
      </w:r>
      <w:r>
        <w:rPr>
          <w:shd w:val="clear" w:color="auto" w:fill="FFFFFF"/>
        </w:rPr>
        <w:t>)</w:t>
      </w:r>
      <w:r w:rsidRPr="00646FDC">
        <w:rPr>
          <w:shd w:val="clear" w:color="auto" w:fill="FFFFFF"/>
        </w:rPr>
        <w:t>. </w:t>
      </w:r>
      <w:r w:rsidRPr="00646FDC">
        <w:rPr>
          <w:i/>
          <w:iCs/>
          <w:shd w:val="clear" w:color="auto" w:fill="FFFFFF"/>
        </w:rPr>
        <w:t>Multinational financial management</w:t>
      </w:r>
      <w:r w:rsidRPr="00646FDC">
        <w:rPr>
          <w:shd w:val="clear" w:color="auto" w:fill="FFFFFF"/>
        </w:rPr>
        <w:t>. John Wiley &amp; Sons.</w:t>
      </w:r>
    </w:p>
    <w:p w14:paraId="292E573E" w14:textId="77777777" w:rsidR="008E2B60" w:rsidRPr="00646FDC" w:rsidRDefault="008E2B60" w:rsidP="00646FDC">
      <w:pPr>
        <w:rPr>
          <w:shd w:val="clear" w:color="auto" w:fill="FFFFFF"/>
        </w:rPr>
      </w:pPr>
      <w:proofErr w:type="spellStart"/>
      <w:r w:rsidRPr="00646FDC">
        <w:rPr>
          <w:shd w:val="clear" w:color="auto" w:fill="FFFFFF"/>
        </w:rPr>
        <w:t>Uña</w:t>
      </w:r>
      <w:proofErr w:type="spellEnd"/>
      <w:r w:rsidRPr="00646FDC">
        <w:rPr>
          <w:shd w:val="clear" w:color="auto" w:fill="FFFFFF"/>
        </w:rPr>
        <w:t xml:space="preserve">, G., Allen, M.R.I., Allen, R. and Botton, N.M., </w:t>
      </w:r>
      <w:r>
        <w:rPr>
          <w:shd w:val="clear" w:color="auto" w:fill="FFFFFF"/>
        </w:rPr>
        <w:t>(</w:t>
      </w:r>
      <w:r w:rsidRPr="00646FDC">
        <w:rPr>
          <w:shd w:val="clear" w:color="auto" w:fill="FFFFFF"/>
        </w:rPr>
        <w:t>2019</w:t>
      </w:r>
      <w:r>
        <w:rPr>
          <w:shd w:val="clear" w:color="auto" w:fill="FFFFFF"/>
        </w:rPr>
        <w:t>)</w:t>
      </w:r>
      <w:r w:rsidRPr="00646FDC">
        <w:rPr>
          <w:shd w:val="clear" w:color="auto" w:fill="FFFFFF"/>
        </w:rPr>
        <w:t>. </w:t>
      </w:r>
      <w:r w:rsidRPr="00646FDC">
        <w:rPr>
          <w:i/>
          <w:iCs/>
          <w:shd w:val="clear" w:color="auto" w:fill="FFFFFF"/>
        </w:rPr>
        <w:t>How to design a financial management information system: a modular approach</w:t>
      </w:r>
      <w:r w:rsidRPr="00646FDC">
        <w:rPr>
          <w:shd w:val="clear" w:color="auto" w:fill="FFFFFF"/>
        </w:rPr>
        <w:t>. International Monetary Fund.</w:t>
      </w:r>
    </w:p>
    <w:p w14:paraId="3308267D" w14:textId="6774296D" w:rsidR="008E2B60" w:rsidRDefault="008E2B60" w:rsidP="008E2B60"/>
    <w:p w14:paraId="24552B35" w14:textId="77777777" w:rsidR="008E2B60" w:rsidRPr="00646FDC" w:rsidRDefault="008E2B60" w:rsidP="00646FDC"/>
    <w:sectPr w:rsidR="008E2B60" w:rsidRPr="00646FDC" w:rsidSect="008E2B60">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C22F5" w14:textId="77777777" w:rsidR="004B1D66" w:rsidRDefault="004B1D66" w:rsidP="00646FDC">
      <w:pPr>
        <w:spacing w:after="0" w:line="240" w:lineRule="auto"/>
      </w:pPr>
      <w:r>
        <w:separator/>
      </w:r>
    </w:p>
  </w:endnote>
  <w:endnote w:type="continuationSeparator" w:id="0">
    <w:p w14:paraId="05EAA739" w14:textId="77777777" w:rsidR="004B1D66" w:rsidRDefault="004B1D66" w:rsidP="00646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184525"/>
      <w:docPartObj>
        <w:docPartGallery w:val="Page Numbers (Bottom of Page)"/>
        <w:docPartUnique/>
      </w:docPartObj>
    </w:sdtPr>
    <w:sdtContent>
      <w:sdt>
        <w:sdtPr>
          <w:id w:val="-1769616900"/>
          <w:docPartObj>
            <w:docPartGallery w:val="Page Numbers (Top of Page)"/>
            <w:docPartUnique/>
          </w:docPartObj>
        </w:sdtPr>
        <w:sdtContent>
          <w:p w14:paraId="34DF0F61" w14:textId="614CA60B" w:rsidR="008E2B60" w:rsidRDefault="008E2B6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6CC8CEB" w14:textId="77777777" w:rsidR="008E2B60" w:rsidRDefault="008E2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E07D7" w14:textId="77777777" w:rsidR="004B1D66" w:rsidRDefault="004B1D66" w:rsidP="00646FDC">
      <w:pPr>
        <w:spacing w:after="0" w:line="240" w:lineRule="auto"/>
      </w:pPr>
      <w:r>
        <w:separator/>
      </w:r>
    </w:p>
  </w:footnote>
  <w:footnote w:type="continuationSeparator" w:id="0">
    <w:p w14:paraId="6C0CEF4B" w14:textId="77777777" w:rsidR="004B1D66" w:rsidRDefault="004B1D66" w:rsidP="00646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B6BA5" w14:textId="7F40F8FF" w:rsidR="008E2B60" w:rsidRPr="008E2B60" w:rsidRDefault="008E2B60" w:rsidP="008E2B60">
    <w:pPr>
      <w:jc w:val="right"/>
    </w:pPr>
    <w:r w:rsidRPr="008E2B60">
      <w:t>International 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E543BE"/>
    <w:multiLevelType w:val="hybridMultilevel"/>
    <w:tmpl w:val="31E0B3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72509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42"/>
    <w:rsid w:val="00005942"/>
    <w:rsid w:val="000F1052"/>
    <w:rsid w:val="0010622E"/>
    <w:rsid w:val="001979E2"/>
    <w:rsid w:val="00197E5D"/>
    <w:rsid w:val="002A3FD2"/>
    <w:rsid w:val="00330CA4"/>
    <w:rsid w:val="00433590"/>
    <w:rsid w:val="00494E05"/>
    <w:rsid w:val="00497B04"/>
    <w:rsid w:val="004B1D66"/>
    <w:rsid w:val="004B36EE"/>
    <w:rsid w:val="004E2D2E"/>
    <w:rsid w:val="005D1594"/>
    <w:rsid w:val="00631BDC"/>
    <w:rsid w:val="00646FDC"/>
    <w:rsid w:val="00697CB9"/>
    <w:rsid w:val="007A0DF5"/>
    <w:rsid w:val="008E2B60"/>
    <w:rsid w:val="00975841"/>
    <w:rsid w:val="009B7293"/>
    <w:rsid w:val="00A13B53"/>
    <w:rsid w:val="00A321C7"/>
    <w:rsid w:val="00A562E8"/>
    <w:rsid w:val="00B249C5"/>
    <w:rsid w:val="00B95DE3"/>
    <w:rsid w:val="00C465EB"/>
    <w:rsid w:val="00C85740"/>
    <w:rsid w:val="00CA437F"/>
    <w:rsid w:val="00D745F5"/>
    <w:rsid w:val="00DB1F6F"/>
    <w:rsid w:val="00EA4456"/>
    <w:rsid w:val="00F724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16E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FD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30CA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A4456"/>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CA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A4456"/>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646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FDC"/>
    <w:rPr>
      <w:rFonts w:ascii="Times New Roman" w:hAnsi="Times New Roman"/>
      <w:sz w:val="24"/>
    </w:rPr>
  </w:style>
  <w:style w:type="paragraph" w:styleId="Footer">
    <w:name w:val="footer"/>
    <w:basedOn w:val="Normal"/>
    <w:link w:val="FooterChar"/>
    <w:uiPriority w:val="99"/>
    <w:unhideWhenUsed/>
    <w:rsid w:val="00646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FDC"/>
    <w:rPr>
      <w:rFonts w:ascii="Times New Roman" w:hAnsi="Times New Roman"/>
      <w:sz w:val="24"/>
    </w:rPr>
  </w:style>
  <w:style w:type="paragraph" w:styleId="ListParagraph">
    <w:name w:val="List Paragraph"/>
    <w:basedOn w:val="Normal"/>
    <w:uiPriority w:val="34"/>
    <w:qFormat/>
    <w:rsid w:val="00646FDC"/>
    <w:pPr>
      <w:ind w:left="720"/>
      <w:contextualSpacing/>
    </w:pPr>
  </w:style>
  <w:style w:type="paragraph" w:styleId="Bibliography">
    <w:name w:val="Bibliography"/>
    <w:basedOn w:val="Normal"/>
    <w:next w:val="Normal"/>
    <w:uiPriority w:val="37"/>
    <w:unhideWhenUsed/>
    <w:rsid w:val="008E2B60"/>
  </w:style>
  <w:style w:type="character" w:styleId="Hyperlink">
    <w:name w:val="Hyperlink"/>
    <w:basedOn w:val="DefaultParagraphFont"/>
    <w:uiPriority w:val="99"/>
    <w:unhideWhenUsed/>
    <w:rsid w:val="008E2B60"/>
    <w:rPr>
      <w:color w:val="0563C1" w:themeColor="hyperlink"/>
      <w:u w:val="single"/>
    </w:rPr>
  </w:style>
  <w:style w:type="character" w:styleId="UnresolvedMention">
    <w:name w:val="Unresolved Mention"/>
    <w:basedOn w:val="DefaultParagraphFont"/>
    <w:uiPriority w:val="99"/>
    <w:semiHidden/>
    <w:unhideWhenUsed/>
    <w:rsid w:val="008E2B60"/>
    <w:rPr>
      <w:color w:val="605E5C"/>
      <w:shd w:val="clear" w:color="auto" w:fill="E1DFDD"/>
    </w:rPr>
  </w:style>
  <w:style w:type="paragraph" w:styleId="TOCHeading">
    <w:name w:val="TOC Heading"/>
    <w:basedOn w:val="Heading1"/>
    <w:next w:val="Normal"/>
    <w:uiPriority w:val="39"/>
    <w:unhideWhenUsed/>
    <w:qFormat/>
    <w:rsid w:val="008E2B6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E2B60"/>
    <w:pPr>
      <w:spacing w:after="100"/>
    </w:pPr>
  </w:style>
  <w:style w:type="paragraph" w:styleId="TOC2">
    <w:name w:val="toc 2"/>
    <w:basedOn w:val="Normal"/>
    <w:next w:val="Normal"/>
    <w:autoRedefine/>
    <w:uiPriority w:val="39"/>
    <w:unhideWhenUsed/>
    <w:rsid w:val="008E2B60"/>
    <w:pPr>
      <w:spacing w:after="100"/>
      <w:ind w:left="240"/>
    </w:pPr>
  </w:style>
  <w:style w:type="paragraph" w:styleId="NormalWeb">
    <w:name w:val="Normal (Web)"/>
    <w:basedOn w:val="Normal"/>
    <w:uiPriority w:val="99"/>
    <w:semiHidden/>
    <w:unhideWhenUsed/>
    <w:rsid w:val="00C465EB"/>
    <w:pPr>
      <w:spacing w:before="100" w:beforeAutospacing="1" w:after="100" w:afterAutospacing="1" w:line="240" w:lineRule="auto"/>
      <w:jc w:val="left"/>
    </w:pPr>
    <w:rPr>
      <w:rFonts w:eastAsia="Times New Roman" w:cs="Times New Roman"/>
      <w:szCs w:val="24"/>
      <w:lang w:eastAsia="en-IN"/>
    </w:rPr>
  </w:style>
  <w:style w:type="character" w:styleId="Emphasis">
    <w:name w:val="Emphasis"/>
    <w:basedOn w:val="DefaultParagraphFont"/>
    <w:uiPriority w:val="20"/>
    <w:qFormat/>
    <w:rsid w:val="00C465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0806">
      <w:bodyDiv w:val="1"/>
      <w:marLeft w:val="0"/>
      <w:marRight w:val="0"/>
      <w:marTop w:val="0"/>
      <w:marBottom w:val="0"/>
      <w:divBdr>
        <w:top w:val="none" w:sz="0" w:space="0" w:color="auto"/>
        <w:left w:val="none" w:sz="0" w:space="0" w:color="auto"/>
        <w:bottom w:val="none" w:sz="0" w:space="0" w:color="auto"/>
        <w:right w:val="none" w:sz="0" w:space="0" w:color="auto"/>
      </w:divBdr>
    </w:div>
    <w:div w:id="284502189">
      <w:bodyDiv w:val="1"/>
      <w:marLeft w:val="0"/>
      <w:marRight w:val="0"/>
      <w:marTop w:val="0"/>
      <w:marBottom w:val="0"/>
      <w:divBdr>
        <w:top w:val="none" w:sz="0" w:space="0" w:color="auto"/>
        <w:left w:val="none" w:sz="0" w:space="0" w:color="auto"/>
        <w:bottom w:val="none" w:sz="0" w:space="0" w:color="auto"/>
        <w:right w:val="none" w:sz="0" w:space="0" w:color="auto"/>
      </w:divBdr>
    </w:div>
    <w:div w:id="854416131">
      <w:bodyDiv w:val="1"/>
      <w:marLeft w:val="0"/>
      <w:marRight w:val="0"/>
      <w:marTop w:val="0"/>
      <w:marBottom w:val="0"/>
      <w:divBdr>
        <w:top w:val="none" w:sz="0" w:space="0" w:color="auto"/>
        <w:left w:val="none" w:sz="0" w:space="0" w:color="auto"/>
        <w:bottom w:val="none" w:sz="0" w:space="0" w:color="auto"/>
        <w:right w:val="none" w:sz="0" w:space="0" w:color="auto"/>
      </w:divBdr>
    </w:div>
    <w:div w:id="151657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hsb23</b:Tag>
    <b:SourceType>InternetSite</b:SourceType>
    <b:Guid>{F0D70461-73F6-4E3F-B4B3-B673A8B5B026}</b:Guid>
    <b:Author>
      <b:Author>
        <b:Corporate>hsbc</b:Corporate>
      </b:Author>
    </b:Author>
    <b:Title>About US</b:Title>
    <b:Year>2023</b:Year>
    <b:YearAccessed>2023</b:YearAccessed>
    <b:MonthAccessed>December</b:MonthAccessed>
    <b:DayAccessed>26</b:DayAccessed>
    <b:URL>https://www.about.hsbc.co.uk/</b:URL>
    <b:RefOrder>1</b:RefOrder>
  </b:Source>
</b:Sources>
</file>

<file path=customXml/itemProps1.xml><?xml version="1.0" encoding="utf-8"?>
<ds:datastoreItem xmlns:ds="http://schemas.openxmlformats.org/officeDocument/2006/customXml" ds:itemID="{68C27B63-B603-44A6-B2BF-189C6E3B0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2024-01-01T18:40:00Z</dcterms:created>
  <dcterms:modified xsi:type="dcterms:W3CDTF">2024-01-01T18:42:00Z</dcterms:modified>
</cp:coreProperties>
</file>