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9533DA" w14:textId="35938350" w:rsidR="00E94A6B" w:rsidRDefault="00204FDE">
      <w:r>
        <w:rPr>
          <w:noProof/>
        </w:rPr>
        <w:drawing>
          <wp:inline distT="0" distB="0" distL="0" distR="0" wp14:anchorId="77216E0C" wp14:editId="5887C854">
            <wp:extent cx="3639820" cy="1816735"/>
            <wp:effectExtent l="0" t="0" r="0" b="0"/>
            <wp:docPr id="12299093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909378"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39820" cy="1816735"/>
                    </a:xfrm>
                    <a:prstGeom prst="rect">
                      <a:avLst/>
                    </a:prstGeom>
                    <a:noFill/>
                  </pic:spPr>
                </pic:pic>
              </a:graphicData>
            </a:graphic>
          </wp:inline>
        </w:drawing>
      </w:r>
    </w:p>
    <w:p w14:paraId="7FD0749A" w14:textId="77777777" w:rsidR="00204FDE" w:rsidRDefault="00204FDE"/>
    <w:p w14:paraId="2063454F" w14:textId="77777777" w:rsidR="00204FDE" w:rsidRDefault="00204FDE"/>
    <w:p w14:paraId="4E5B30FB" w14:textId="77777777" w:rsidR="00204FDE" w:rsidRDefault="00204FDE"/>
    <w:p w14:paraId="0354E3C2" w14:textId="77777777" w:rsidR="00204FDE" w:rsidRPr="0058185B" w:rsidRDefault="00204FDE" w:rsidP="00E72779">
      <w:pPr>
        <w:rPr>
          <w:rFonts w:ascii="Times New Roman" w:hAnsi="Times New Roman" w:cs="Times New Roman"/>
          <w:sz w:val="56"/>
          <w:szCs w:val="56"/>
        </w:rPr>
      </w:pPr>
      <w:r w:rsidRPr="0058185B">
        <w:rPr>
          <w:rFonts w:ascii="Times New Roman" w:hAnsi="Times New Roman" w:cs="Times New Roman"/>
          <w:sz w:val="56"/>
          <w:szCs w:val="56"/>
        </w:rPr>
        <w:t>Assessment 2</w:t>
      </w:r>
    </w:p>
    <w:p w14:paraId="708A43B8" w14:textId="77777777" w:rsidR="00204FDE" w:rsidRDefault="00204FDE"/>
    <w:p w14:paraId="59794394" w14:textId="77777777" w:rsidR="00204FDE" w:rsidRDefault="00204FDE"/>
    <w:p w14:paraId="6DAB30F2" w14:textId="77777777" w:rsidR="00204FDE" w:rsidRDefault="00204FDE"/>
    <w:p w14:paraId="4A5D8310" w14:textId="77777777" w:rsidR="00204FDE" w:rsidRPr="0058185B" w:rsidRDefault="00204FDE" w:rsidP="00204FDE">
      <w:pPr>
        <w:rPr>
          <w:rFonts w:ascii="Times New Roman" w:hAnsi="Times New Roman" w:cs="Times New Roman"/>
          <w:sz w:val="32"/>
          <w:szCs w:val="32"/>
        </w:rPr>
      </w:pPr>
      <w:r w:rsidRPr="0058185B">
        <w:rPr>
          <w:rFonts w:ascii="Times New Roman" w:hAnsi="Times New Roman" w:cs="Times New Roman"/>
          <w:sz w:val="32"/>
          <w:szCs w:val="32"/>
        </w:rPr>
        <w:t>Name: Sorin Daniel Dascalu</w:t>
      </w:r>
    </w:p>
    <w:p w14:paraId="0079DFA6" w14:textId="77777777" w:rsidR="00204FDE" w:rsidRPr="0058185B" w:rsidRDefault="00204FDE" w:rsidP="00204FDE">
      <w:pPr>
        <w:rPr>
          <w:rFonts w:ascii="Times New Roman" w:hAnsi="Times New Roman" w:cs="Times New Roman"/>
          <w:sz w:val="32"/>
          <w:szCs w:val="32"/>
        </w:rPr>
      </w:pPr>
      <w:r w:rsidRPr="0058185B">
        <w:rPr>
          <w:rFonts w:ascii="Times New Roman" w:hAnsi="Times New Roman" w:cs="Times New Roman"/>
          <w:sz w:val="32"/>
          <w:szCs w:val="32"/>
        </w:rPr>
        <w:t>Student ID: 2237755</w:t>
      </w:r>
    </w:p>
    <w:p w14:paraId="5E8586D2" w14:textId="114CD080" w:rsidR="00204FDE" w:rsidRDefault="00204FDE" w:rsidP="00204FDE">
      <w:pPr>
        <w:rPr>
          <w:rFonts w:ascii="Times New Roman" w:hAnsi="Times New Roman" w:cs="Times New Roman"/>
          <w:sz w:val="32"/>
          <w:szCs w:val="32"/>
        </w:rPr>
      </w:pPr>
      <w:r w:rsidRPr="0058185B">
        <w:rPr>
          <w:rFonts w:ascii="Times New Roman" w:hAnsi="Times New Roman" w:cs="Times New Roman"/>
          <w:sz w:val="32"/>
          <w:szCs w:val="32"/>
        </w:rPr>
        <w:t>Module code: LCBB60</w:t>
      </w:r>
      <w:r>
        <w:rPr>
          <w:rFonts w:ascii="Times New Roman" w:hAnsi="Times New Roman" w:cs="Times New Roman"/>
          <w:sz w:val="32"/>
          <w:szCs w:val="32"/>
        </w:rPr>
        <w:t>23</w:t>
      </w:r>
    </w:p>
    <w:p w14:paraId="62F7EBC3" w14:textId="3A87F777" w:rsidR="00E72779" w:rsidRPr="0058185B" w:rsidRDefault="00E72779" w:rsidP="00E72779">
      <w:pPr>
        <w:rPr>
          <w:rFonts w:ascii="Times New Roman" w:hAnsi="Times New Roman" w:cs="Times New Roman"/>
          <w:sz w:val="32"/>
          <w:szCs w:val="32"/>
        </w:rPr>
      </w:pPr>
      <w:r w:rsidRPr="0058185B">
        <w:rPr>
          <w:rFonts w:ascii="Times New Roman" w:hAnsi="Times New Roman" w:cs="Times New Roman"/>
          <w:sz w:val="32"/>
          <w:szCs w:val="32"/>
        </w:rPr>
        <w:t xml:space="preserve">Module Name: </w:t>
      </w:r>
      <w:r>
        <w:rPr>
          <w:rFonts w:ascii="Times New Roman" w:hAnsi="Times New Roman" w:cs="Times New Roman"/>
          <w:sz w:val="32"/>
          <w:szCs w:val="32"/>
        </w:rPr>
        <w:t>International Business Management</w:t>
      </w:r>
    </w:p>
    <w:p w14:paraId="5C1C81B6" w14:textId="7B833401" w:rsidR="00E72779" w:rsidRDefault="00E72779" w:rsidP="00E72779">
      <w:pPr>
        <w:rPr>
          <w:rFonts w:ascii="Times New Roman" w:hAnsi="Times New Roman" w:cs="Times New Roman"/>
          <w:sz w:val="32"/>
          <w:szCs w:val="32"/>
        </w:rPr>
      </w:pPr>
      <w:r w:rsidRPr="0058185B">
        <w:rPr>
          <w:rFonts w:ascii="Times New Roman" w:hAnsi="Times New Roman" w:cs="Times New Roman"/>
          <w:sz w:val="32"/>
          <w:szCs w:val="32"/>
        </w:rPr>
        <w:t>Lecturer:  </w:t>
      </w:r>
      <w:r>
        <w:rPr>
          <w:rFonts w:ascii="Times New Roman" w:hAnsi="Times New Roman" w:cs="Times New Roman"/>
          <w:sz w:val="32"/>
          <w:szCs w:val="32"/>
        </w:rPr>
        <w:t>Mr Afzal Munna</w:t>
      </w:r>
    </w:p>
    <w:p w14:paraId="2C7E28B8" w14:textId="77777777" w:rsidR="00E72779" w:rsidRDefault="00E72779" w:rsidP="00E72779">
      <w:pPr>
        <w:rPr>
          <w:rFonts w:ascii="Times New Roman" w:hAnsi="Times New Roman" w:cs="Times New Roman"/>
          <w:sz w:val="32"/>
          <w:szCs w:val="32"/>
        </w:rPr>
      </w:pPr>
    </w:p>
    <w:p w14:paraId="61B90329" w14:textId="77777777" w:rsidR="00E72779" w:rsidRDefault="00E72779" w:rsidP="00E72779">
      <w:pPr>
        <w:rPr>
          <w:rFonts w:ascii="Times New Roman" w:hAnsi="Times New Roman" w:cs="Times New Roman"/>
          <w:sz w:val="32"/>
          <w:szCs w:val="32"/>
        </w:rPr>
      </w:pPr>
    </w:p>
    <w:p w14:paraId="14727C10" w14:textId="77777777" w:rsidR="008318F9" w:rsidRDefault="008318F9" w:rsidP="00E72779">
      <w:pPr>
        <w:rPr>
          <w:rFonts w:ascii="Times New Roman" w:hAnsi="Times New Roman" w:cs="Times New Roman"/>
          <w:sz w:val="32"/>
          <w:szCs w:val="32"/>
        </w:rPr>
      </w:pPr>
    </w:p>
    <w:p w14:paraId="47B5F727" w14:textId="77777777" w:rsidR="008318F9" w:rsidRDefault="008318F9" w:rsidP="00E72779">
      <w:pPr>
        <w:rPr>
          <w:rFonts w:ascii="Times New Roman" w:hAnsi="Times New Roman" w:cs="Times New Roman"/>
          <w:sz w:val="32"/>
          <w:szCs w:val="32"/>
        </w:rPr>
      </w:pPr>
    </w:p>
    <w:p w14:paraId="27DF1BFC" w14:textId="77777777" w:rsidR="008318F9" w:rsidRDefault="008318F9" w:rsidP="00E72779">
      <w:pPr>
        <w:rPr>
          <w:rFonts w:ascii="Times New Roman" w:hAnsi="Times New Roman" w:cs="Times New Roman"/>
          <w:sz w:val="32"/>
          <w:szCs w:val="32"/>
        </w:rPr>
      </w:pPr>
    </w:p>
    <w:p w14:paraId="256457A1" w14:textId="77777777" w:rsidR="008318F9" w:rsidRDefault="008318F9" w:rsidP="00E72779">
      <w:pPr>
        <w:rPr>
          <w:rFonts w:ascii="Times New Roman" w:hAnsi="Times New Roman" w:cs="Times New Roman"/>
          <w:sz w:val="32"/>
          <w:szCs w:val="32"/>
        </w:rPr>
      </w:pPr>
    </w:p>
    <w:p w14:paraId="48E4C005" w14:textId="77777777" w:rsidR="008318F9" w:rsidRDefault="008318F9" w:rsidP="00E72779">
      <w:pPr>
        <w:rPr>
          <w:rFonts w:ascii="Times New Roman" w:hAnsi="Times New Roman" w:cs="Times New Roman"/>
          <w:sz w:val="32"/>
          <w:szCs w:val="32"/>
        </w:rPr>
      </w:pPr>
    </w:p>
    <w:sdt>
      <w:sdtPr>
        <w:id w:val="-78757563"/>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rPr>
      </w:sdtEndPr>
      <w:sdtContent>
        <w:p w14:paraId="69D0181F" w14:textId="71E1C74C" w:rsidR="008318F9" w:rsidRPr="008318F9" w:rsidRDefault="008318F9" w:rsidP="008318F9">
          <w:pPr>
            <w:pStyle w:val="TOCHeading"/>
            <w:spacing w:line="360" w:lineRule="auto"/>
            <w:jc w:val="both"/>
            <w:rPr>
              <w:rFonts w:ascii="Arial" w:hAnsi="Arial" w:cs="Arial"/>
            </w:rPr>
          </w:pPr>
          <w:r w:rsidRPr="008318F9">
            <w:rPr>
              <w:rFonts w:ascii="Arial" w:hAnsi="Arial" w:cs="Arial"/>
            </w:rPr>
            <w:t>Contents</w:t>
          </w:r>
        </w:p>
        <w:p w14:paraId="506D4CE6" w14:textId="6D92582E" w:rsidR="008318F9" w:rsidRPr="008318F9" w:rsidRDefault="008318F9" w:rsidP="008318F9">
          <w:pPr>
            <w:pStyle w:val="TOC1"/>
            <w:tabs>
              <w:tab w:val="right" w:leader="dot" w:pos="9016"/>
            </w:tabs>
            <w:spacing w:line="360" w:lineRule="auto"/>
            <w:jc w:val="both"/>
            <w:rPr>
              <w:rFonts w:ascii="Arial" w:hAnsi="Arial" w:cs="Arial"/>
              <w:noProof/>
            </w:rPr>
          </w:pPr>
          <w:r w:rsidRPr="008318F9">
            <w:rPr>
              <w:rFonts w:ascii="Arial" w:hAnsi="Arial" w:cs="Arial"/>
            </w:rPr>
            <w:fldChar w:fldCharType="begin"/>
          </w:r>
          <w:r w:rsidRPr="008318F9">
            <w:rPr>
              <w:rFonts w:ascii="Arial" w:hAnsi="Arial" w:cs="Arial"/>
            </w:rPr>
            <w:instrText xml:space="preserve"> TOC \o "1-3" \h \z \u </w:instrText>
          </w:r>
          <w:r w:rsidRPr="008318F9">
            <w:rPr>
              <w:rFonts w:ascii="Arial" w:hAnsi="Arial" w:cs="Arial"/>
            </w:rPr>
            <w:fldChar w:fldCharType="separate"/>
          </w:r>
          <w:hyperlink w:anchor="_Toc228436661" w:history="1">
            <w:r w:rsidRPr="008318F9">
              <w:rPr>
                <w:rStyle w:val="Hyperlink"/>
                <w:rFonts w:ascii="Arial" w:hAnsi="Arial" w:cs="Arial"/>
                <w:noProof/>
              </w:rPr>
              <w:t>1.Introduction</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_Toc228436661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2</w:t>
            </w:r>
            <w:r w:rsidRPr="008318F9">
              <w:rPr>
                <w:rFonts w:ascii="Arial" w:hAnsi="Arial" w:cs="Arial"/>
                <w:noProof/>
                <w:webHidden/>
              </w:rPr>
              <w:fldChar w:fldCharType="end"/>
            </w:r>
          </w:hyperlink>
        </w:p>
        <w:p w14:paraId="0C2C04A0" w14:textId="1E4963F7" w:rsidR="008318F9" w:rsidRPr="008318F9" w:rsidRDefault="008318F9" w:rsidP="008318F9">
          <w:pPr>
            <w:pStyle w:val="TOC1"/>
            <w:tabs>
              <w:tab w:val="right" w:leader="dot" w:pos="9016"/>
            </w:tabs>
            <w:spacing w:line="360" w:lineRule="auto"/>
            <w:jc w:val="both"/>
            <w:rPr>
              <w:rFonts w:ascii="Arial" w:hAnsi="Arial" w:cs="Arial"/>
              <w:noProof/>
            </w:rPr>
          </w:pPr>
          <w:hyperlink w:anchor="_Toc228436662" w:history="1">
            <w:r w:rsidRPr="008318F9">
              <w:rPr>
                <w:rStyle w:val="Hyperlink"/>
                <w:rFonts w:ascii="Arial" w:hAnsi="Arial" w:cs="Arial"/>
                <w:noProof/>
              </w:rPr>
              <w:t>2.UK and Japanese Business Culture</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_Toc228436662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3</w:t>
            </w:r>
            <w:r w:rsidRPr="008318F9">
              <w:rPr>
                <w:rFonts w:ascii="Arial" w:hAnsi="Arial" w:cs="Arial"/>
                <w:noProof/>
                <w:webHidden/>
              </w:rPr>
              <w:fldChar w:fldCharType="end"/>
            </w:r>
          </w:hyperlink>
        </w:p>
        <w:p w14:paraId="0FBA2547" w14:textId="348A64CF" w:rsidR="008318F9" w:rsidRPr="008318F9" w:rsidRDefault="008318F9" w:rsidP="008318F9">
          <w:pPr>
            <w:pStyle w:val="TOC1"/>
            <w:tabs>
              <w:tab w:val="right" w:leader="dot" w:pos="9016"/>
            </w:tabs>
            <w:spacing w:line="360" w:lineRule="auto"/>
            <w:jc w:val="both"/>
            <w:rPr>
              <w:rFonts w:ascii="Arial" w:hAnsi="Arial" w:cs="Arial"/>
              <w:noProof/>
            </w:rPr>
          </w:pPr>
          <w:hyperlink w:anchor="_Toc228436663" w:history="1">
            <w:r w:rsidRPr="008318F9">
              <w:rPr>
                <w:rStyle w:val="Hyperlink"/>
                <w:rFonts w:ascii="Arial" w:hAnsi="Arial" w:cs="Arial"/>
                <w:noProof/>
              </w:rPr>
              <w:t>3.Hofstede’s Cultural Dimensions and Their Impact on Communication</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_Toc228436663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4</w:t>
            </w:r>
            <w:r w:rsidRPr="008318F9">
              <w:rPr>
                <w:rFonts w:ascii="Arial" w:hAnsi="Arial" w:cs="Arial"/>
                <w:noProof/>
                <w:webHidden/>
              </w:rPr>
              <w:fldChar w:fldCharType="end"/>
            </w:r>
          </w:hyperlink>
        </w:p>
        <w:p w14:paraId="7334BC47" w14:textId="03D757DB" w:rsidR="008318F9" w:rsidRPr="008318F9" w:rsidRDefault="008318F9" w:rsidP="008318F9">
          <w:pPr>
            <w:pStyle w:val="TOC1"/>
            <w:tabs>
              <w:tab w:val="right" w:leader="dot" w:pos="9016"/>
            </w:tabs>
            <w:spacing w:line="360" w:lineRule="auto"/>
            <w:jc w:val="both"/>
            <w:rPr>
              <w:rFonts w:ascii="Arial" w:hAnsi="Arial" w:cs="Arial"/>
              <w:noProof/>
            </w:rPr>
          </w:pPr>
          <w:hyperlink w:anchor="_Toc228436664" w:history="1">
            <w:r w:rsidRPr="008318F9">
              <w:rPr>
                <w:rStyle w:val="Hyperlink"/>
                <w:rFonts w:ascii="Arial" w:hAnsi="Arial" w:cs="Arial"/>
                <w:noProof/>
              </w:rPr>
              <w:t>4.High-Context vs Low-Context Communication</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_Toc228436664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5</w:t>
            </w:r>
            <w:r w:rsidRPr="008318F9">
              <w:rPr>
                <w:rFonts w:ascii="Arial" w:hAnsi="Arial" w:cs="Arial"/>
                <w:noProof/>
                <w:webHidden/>
              </w:rPr>
              <w:fldChar w:fldCharType="end"/>
            </w:r>
          </w:hyperlink>
        </w:p>
        <w:p w14:paraId="4927E56E" w14:textId="24C36985" w:rsidR="008318F9" w:rsidRPr="008318F9" w:rsidRDefault="008318F9" w:rsidP="008318F9">
          <w:pPr>
            <w:pStyle w:val="TOC1"/>
            <w:tabs>
              <w:tab w:val="right" w:leader="dot" w:pos="9016"/>
            </w:tabs>
            <w:spacing w:line="360" w:lineRule="auto"/>
            <w:jc w:val="both"/>
            <w:rPr>
              <w:rFonts w:ascii="Arial" w:hAnsi="Arial" w:cs="Arial"/>
              <w:noProof/>
            </w:rPr>
          </w:pPr>
          <w:hyperlink w:anchor="_Toc228436665" w:history="1">
            <w:r w:rsidRPr="008318F9">
              <w:rPr>
                <w:rStyle w:val="Hyperlink"/>
                <w:rFonts w:ascii="Arial" w:hAnsi="Arial" w:cs="Arial"/>
                <w:noProof/>
              </w:rPr>
              <w:t>5.Real-World Communication Challenges in UK–Japan Collaboration</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_Toc228436665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6</w:t>
            </w:r>
            <w:r w:rsidRPr="008318F9">
              <w:rPr>
                <w:rFonts w:ascii="Arial" w:hAnsi="Arial" w:cs="Arial"/>
                <w:noProof/>
                <w:webHidden/>
              </w:rPr>
              <w:fldChar w:fldCharType="end"/>
            </w:r>
          </w:hyperlink>
        </w:p>
        <w:p w14:paraId="1A998DB2" w14:textId="4B8435E0" w:rsidR="008318F9" w:rsidRPr="008318F9" w:rsidRDefault="008318F9" w:rsidP="008318F9">
          <w:pPr>
            <w:pStyle w:val="TOC1"/>
            <w:tabs>
              <w:tab w:val="right" w:leader="dot" w:pos="9016"/>
            </w:tabs>
            <w:spacing w:line="360" w:lineRule="auto"/>
            <w:jc w:val="both"/>
            <w:rPr>
              <w:rFonts w:ascii="Arial" w:hAnsi="Arial" w:cs="Arial"/>
              <w:noProof/>
            </w:rPr>
          </w:pPr>
          <w:hyperlink w:anchor="_Toc228436666" w:history="1">
            <w:r w:rsidRPr="008318F9">
              <w:rPr>
                <w:rStyle w:val="Hyperlink"/>
                <w:rFonts w:ascii="Arial" w:hAnsi="Arial" w:cs="Arial"/>
                <w:noProof/>
              </w:rPr>
              <w:t>6.Strategies to Overcome Communication Barriers</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_Toc228436666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7</w:t>
            </w:r>
            <w:r w:rsidRPr="008318F9">
              <w:rPr>
                <w:rFonts w:ascii="Arial" w:hAnsi="Arial" w:cs="Arial"/>
                <w:noProof/>
                <w:webHidden/>
              </w:rPr>
              <w:fldChar w:fldCharType="end"/>
            </w:r>
          </w:hyperlink>
        </w:p>
        <w:p w14:paraId="0FDDAC40" w14:textId="52B96982" w:rsidR="008318F9" w:rsidRPr="008318F9" w:rsidRDefault="008318F9" w:rsidP="008318F9">
          <w:pPr>
            <w:pStyle w:val="TOC1"/>
            <w:tabs>
              <w:tab w:val="right" w:leader="dot" w:pos="9016"/>
            </w:tabs>
            <w:spacing w:line="360" w:lineRule="auto"/>
            <w:jc w:val="both"/>
            <w:rPr>
              <w:rFonts w:ascii="Arial" w:hAnsi="Arial" w:cs="Arial"/>
              <w:noProof/>
            </w:rPr>
          </w:pPr>
          <w:hyperlink w:anchor="_Toc228436667" w:history="1">
            <w:r w:rsidRPr="008318F9">
              <w:rPr>
                <w:rStyle w:val="Hyperlink"/>
                <w:rFonts w:ascii="Arial" w:hAnsi="Arial" w:cs="Arial"/>
                <w:noProof/>
              </w:rPr>
              <w:t>7.Conclusion</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_Toc228436667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8</w:t>
            </w:r>
            <w:r w:rsidRPr="008318F9">
              <w:rPr>
                <w:rFonts w:ascii="Arial" w:hAnsi="Arial" w:cs="Arial"/>
                <w:noProof/>
                <w:webHidden/>
              </w:rPr>
              <w:fldChar w:fldCharType="end"/>
            </w:r>
          </w:hyperlink>
        </w:p>
        <w:p w14:paraId="4625CAC6" w14:textId="73224634" w:rsidR="008318F9" w:rsidRPr="008318F9" w:rsidRDefault="008318F9" w:rsidP="008318F9">
          <w:pPr>
            <w:pStyle w:val="TOC1"/>
            <w:tabs>
              <w:tab w:val="right" w:leader="dot" w:pos="9016"/>
            </w:tabs>
            <w:spacing w:line="360" w:lineRule="auto"/>
            <w:jc w:val="both"/>
            <w:rPr>
              <w:rFonts w:ascii="Arial" w:hAnsi="Arial" w:cs="Arial"/>
              <w:noProof/>
            </w:rPr>
          </w:pPr>
          <w:hyperlink w:anchor="_Toc228436668" w:history="1">
            <w:r w:rsidRPr="008318F9">
              <w:rPr>
                <w:rStyle w:val="Hyperlink"/>
                <w:rFonts w:ascii="Arial" w:hAnsi="Arial" w:cs="Arial"/>
                <w:noProof/>
              </w:rPr>
              <w:t>8.References</w:t>
            </w:r>
            <w:r w:rsidRPr="008318F9">
              <w:rPr>
                <w:rFonts w:ascii="Arial" w:hAnsi="Arial" w:cs="Arial"/>
                <w:noProof/>
                <w:webHidden/>
              </w:rPr>
              <w:tab/>
            </w:r>
            <w:r w:rsidRPr="008318F9">
              <w:rPr>
                <w:rFonts w:ascii="Arial" w:hAnsi="Arial" w:cs="Arial"/>
                <w:noProof/>
                <w:webHidden/>
              </w:rPr>
              <w:fldChar w:fldCharType="begin"/>
            </w:r>
            <w:r w:rsidRPr="008318F9">
              <w:rPr>
                <w:rFonts w:ascii="Arial" w:hAnsi="Arial" w:cs="Arial"/>
                <w:noProof/>
                <w:webHidden/>
              </w:rPr>
              <w:instrText xml:space="preserve"> PAGEREF _Toc228436668 \h </w:instrText>
            </w:r>
            <w:r w:rsidRPr="008318F9">
              <w:rPr>
                <w:rFonts w:ascii="Arial" w:hAnsi="Arial" w:cs="Arial"/>
                <w:noProof/>
                <w:webHidden/>
              </w:rPr>
            </w:r>
            <w:r w:rsidRPr="008318F9">
              <w:rPr>
                <w:rFonts w:ascii="Arial" w:hAnsi="Arial" w:cs="Arial"/>
                <w:noProof/>
                <w:webHidden/>
              </w:rPr>
              <w:fldChar w:fldCharType="separate"/>
            </w:r>
            <w:r w:rsidRPr="008318F9">
              <w:rPr>
                <w:rFonts w:ascii="Arial" w:hAnsi="Arial" w:cs="Arial"/>
                <w:noProof/>
                <w:webHidden/>
              </w:rPr>
              <w:t>10</w:t>
            </w:r>
            <w:r w:rsidRPr="008318F9">
              <w:rPr>
                <w:rFonts w:ascii="Arial" w:hAnsi="Arial" w:cs="Arial"/>
                <w:noProof/>
                <w:webHidden/>
              </w:rPr>
              <w:fldChar w:fldCharType="end"/>
            </w:r>
          </w:hyperlink>
        </w:p>
        <w:p w14:paraId="6F3A549F" w14:textId="04EC2205" w:rsidR="008318F9" w:rsidRDefault="008318F9" w:rsidP="008318F9">
          <w:pPr>
            <w:spacing w:line="360" w:lineRule="auto"/>
            <w:jc w:val="both"/>
          </w:pPr>
          <w:r w:rsidRPr="008318F9">
            <w:rPr>
              <w:rFonts w:ascii="Arial" w:hAnsi="Arial" w:cs="Arial"/>
              <w:b/>
              <w:bCs/>
              <w:noProof/>
            </w:rPr>
            <w:fldChar w:fldCharType="end"/>
          </w:r>
        </w:p>
      </w:sdtContent>
    </w:sdt>
    <w:p w14:paraId="5BCB0086" w14:textId="1A4F2877" w:rsidR="008318F9" w:rsidRDefault="008318F9" w:rsidP="008318F9">
      <w:pPr>
        <w:pStyle w:val="TOCHeading"/>
      </w:pPr>
    </w:p>
    <w:p w14:paraId="19F43A9B" w14:textId="77777777" w:rsidR="00E72779" w:rsidRDefault="00E72779" w:rsidP="00E72779">
      <w:pPr>
        <w:rPr>
          <w:rFonts w:ascii="Times New Roman" w:hAnsi="Times New Roman" w:cs="Times New Roman"/>
          <w:sz w:val="32"/>
          <w:szCs w:val="32"/>
        </w:rPr>
      </w:pPr>
    </w:p>
    <w:p w14:paraId="44A5B4E9" w14:textId="77777777" w:rsidR="00E72779" w:rsidRDefault="00E72779" w:rsidP="00E72779">
      <w:pPr>
        <w:rPr>
          <w:rFonts w:ascii="Times New Roman" w:hAnsi="Times New Roman" w:cs="Times New Roman"/>
          <w:sz w:val="32"/>
          <w:szCs w:val="32"/>
        </w:rPr>
      </w:pPr>
    </w:p>
    <w:p w14:paraId="1CFCD2C9" w14:textId="77777777" w:rsidR="00E72779" w:rsidRPr="0058185B" w:rsidRDefault="00E72779" w:rsidP="00E72779">
      <w:pPr>
        <w:rPr>
          <w:rFonts w:ascii="Times New Roman" w:hAnsi="Times New Roman" w:cs="Times New Roman"/>
          <w:sz w:val="32"/>
          <w:szCs w:val="32"/>
        </w:rPr>
      </w:pPr>
    </w:p>
    <w:p w14:paraId="4AE78934" w14:textId="4CA91635" w:rsidR="00204FDE" w:rsidRDefault="00204FDE">
      <w:pPr>
        <w:rPr>
          <w:rFonts w:ascii="Times New Roman" w:hAnsi="Times New Roman" w:cs="Times New Roman"/>
          <w:sz w:val="32"/>
          <w:szCs w:val="32"/>
        </w:rPr>
      </w:pPr>
    </w:p>
    <w:p w14:paraId="543AF044" w14:textId="77777777" w:rsidR="008318F9" w:rsidRDefault="008318F9">
      <w:pPr>
        <w:rPr>
          <w:rFonts w:ascii="Times New Roman" w:hAnsi="Times New Roman" w:cs="Times New Roman"/>
          <w:sz w:val="32"/>
          <w:szCs w:val="32"/>
        </w:rPr>
      </w:pPr>
    </w:p>
    <w:p w14:paraId="16A31371" w14:textId="77777777" w:rsidR="008318F9" w:rsidRDefault="008318F9">
      <w:pPr>
        <w:rPr>
          <w:rFonts w:ascii="Times New Roman" w:hAnsi="Times New Roman" w:cs="Times New Roman"/>
          <w:sz w:val="32"/>
          <w:szCs w:val="32"/>
        </w:rPr>
      </w:pPr>
    </w:p>
    <w:p w14:paraId="3015ED2C" w14:textId="77777777" w:rsidR="008318F9" w:rsidRDefault="008318F9">
      <w:pPr>
        <w:rPr>
          <w:rFonts w:ascii="Times New Roman" w:hAnsi="Times New Roman" w:cs="Times New Roman"/>
          <w:sz w:val="32"/>
          <w:szCs w:val="32"/>
        </w:rPr>
      </w:pPr>
    </w:p>
    <w:p w14:paraId="6B36165E" w14:textId="77777777" w:rsidR="008318F9" w:rsidRDefault="008318F9">
      <w:pPr>
        <w:rPr>
          <w:rFonts w:ascii="Times New Roman" w:hAnsi="Times New Roman" w:cs="Times New Roman"/>
          <w:sz w:val="32"/>
          <w:szCs w:val="32"/>
        </w:rPr>
      </w:pPr>
    </w:p>
    <w:p w14:paraId="0641DE8B" w14:textId="77777777" w:rsidR="008318F9" w:rsidRDefault="008318F9">
      <w:pPr>
        <w:rPr>
          <w:rFonts w:ascii="Times New Roman" w:hAnsi="Times New Roman" w:cs="Times New Roman"/>
          <w:sz w:val="32"/>
          <w:szCs w:val="32"/>
        </w:rPr>
      </w:pPr>
    </w:p>
    <w:p w14:paraId="42AEF6C3" w14:textId="77777777" w:rsidR="008318F9" w:rsidRDefault="008318F9">
      <w:pPr>
        <w:rPr>
          <w:rFonts w:ascii="Times New Roman" w:hAnsi="Times New Roman" w:cs="Times New Roman"/>
          <w:sz w:val="32"/>
          <w:szCs w:val="32"/>
        </w:rPr>
      </w:pPr>
    </w:p>
    <w:p w14:paraId="4CA05EE8" w14:textId="77777777" w:rsidR="008318F9" w:rsidRDefault="008318F9">
      <w:pPr>
        <w:rPr>
          <w:rFonts w:ascii="Times New Roman" w:hAnsi="Times New Roman" w:cs="Times New Roman"/>
          <w:sz w:val="32"/>
          <w:szCs w:val="32"/>
        </w:rPr>
      </w:pPr>
    </w:p>
    <w:p w14:paraId="45AC7D8F" w14:textId="77777777" w:rsidR="008318F9" w:rsidRDefault="008318F9">
      <w:pPr>
        <w:rPr>
          <w:rFonts w:ascii="Times New Roman" w:hAnsi="Times New Roman" w:cs="Times New Roman"/>
          <w:sz w:val="32"/>
          <w:szCs w:val="32"/>
        </w:rPr>
      </w:pPr>
    </w:p>
    <w:p w14:paraId="7000606E" w14:textId="77777777" w:rsidR="008318F9" w:rsidRDefault="008318F9">
      <w:pPr>
        <w:rPr>
          <w:rFonts w:ascii="Times New Roman" w:hAnsi="Times New Roman" w:cs="Times New Roman"/>
          <w:sz w:val="32"/>
          <w:szCs w:val="32"/>
        </w:rPr>
      </w:pPr>
    </w:p>
    <w:p w14:paraId="52850A63" w14:textId="77777777" w:rsidR="008318F9" w:rsidRDefault="008318F9">
      <w:pPr>
        <w:rPr>
          <w:rFonts w:ascii="Times New Roman" w:hAnsi="Times New Roman" w:cs="Times New Roman"/>
          <w:sz w:val="32"/>
          <w:szCs w:val="32"/>
        </w:rPr>
      </w:pPr>
    </w:p>
    <w:p w14:paraId="66B6199C" w14:textId="77777777" w:rsidR="008318F9" w:rsidRDefault="008318F9">
      <w:pPr>
        <w:rPr>
          <w:rFonts w:ascii="Times New Roman" w:hAnsi="Times New Roman" w:cs="Times New Roman"/>
          <w:sz w:val="32"/>
          <w:szCs w:val="32"/>
        </w:rPr>
      </w:pPr>
    </w:p>
    <w:p w14:paraId="5E0C5E97" w14:textId="77777777" w:rsidR="008318F9" w:rsidRDefault="008318F9">
      <w:pPr>
        <w:rPr>
          <w:rFonts w:ascii="Times New Roman" w:hAnsi="Times New Roman" w:cs="Times New Roman"/>
          <w:sz w:val="32"/>
          <w:szCs w:val="32"/>
        </w:rPr>
      </w:pPr>
    </w:p>
    <w:p w14:paraId="2912ECED" w14:textId="2E1C6A4A" w:rsidR="00204FDE" w:rsidRPr="00204FDE" w:rsidRDefault="008318F9" w:rsidP="008318F9">
      <w:pPr>
        <w:pStyle w:val="Heading1"/>
      </w:pPr>
      <w:bookmarkStart w:id="0" w:name="_Toc228436661"/>
      <w:r>
        <w:t>1.</w:t>
      </w:r>
      <w:r w:rsidR="00204FDE" w:rsidRPr="00204FDE">
        <w:t>Introduction</w:t>
      </w:r>
      <w:bookmarkEnd w:id="0"/>
    </w:p>
    <w:p w14:paraId="4B830B0F"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In an increasingly globalised business environment, multinationals are expanding their operations across borders to access new markets, resources, and strategic partnerships. Asia, particularly Japan, stands out as a key region for UK-based organisations seeking innovation and long-term growth opportunities. However, while international expansion offers considerable advantages, it also introduces complex challenges related to cross-cultural communication. Variations in communication styles, cultural values, and business practices can lead to misunderstandings, reduced efficiency, and even project failures if not managed effectively (Hofstede, 2001).</w:t>
      </w:r>
    </w:p>
    <w:p w14:paraId="7D4C1F07"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This essay focuses on a strategic collaboration between Jaguar Land Rover (JLR), a UK-based multinational automotive manufacturer, and Toyota Motor Corporation, one of Japan’s leading automotive companies. As country director responsible for managing a multicultural team comprised of UK and Japanese employees, the ability to understand and navigate these communication differences is essential for ensuring successful project implementation and the sustainability of long-term partnerships.</w:t>
      </w:r>
    </w:p>
    <w:p w14:paraId="6C4F54EA" w14:textId="503CF6F0"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The aim of this essay is to critically evaluate the differences in communication styles between UK and Japanese teams and examine how these differences may lead to miscommunication within a business context. The analysis will be underpinned by key cultural theories, including Geert Hofstede’s cultural dimensions (Hofstede, 2001) and Edward T.</w:t>
      </w:r>
      <w:r>
        <w:rPr>
          <w:rFonts w:ascii="Arial" w:hAnsi="Arial" w:cs="Arial"/>
          <w:sz w:val="24"/>
          <w:szCs w:val="24"/>
        </w:rPr>
        <w:t xml:space="preserve"> </w:t>
      </w:r>
      <w:r w:rsidRPr="00E72779">
        <w:rPr>
          <w:rFonts w:ascii="Arial" w:hAnsi="Arial" w:cs="Arial"/>
          <w:sz w:val="24"/>
          <w:szCs w:val="24"/>
        </w:rPr>
        <w:t>Hall’s high-context and low-context communication theory (Hall, 1976). Rather than merely describing these theories, the essay will apply them to real-world business scenarios, highlighting their practical implications for international collaboration. Furthermore, the discussion will explore how organisations can mitigate communication barriers through culturally informed management strategies (Trompenaars and Hampden-Turner, 2012).</w:t>
      </w:r>
    </w:p>
    <w:p w14:paraId="3A797B23"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 xml:space="preserve">Ultimately, the essay argues that effective cross-cultural communication is not solely about awareness of differences; it requires actively adapting communication styles and management approaches to bridge cultural gaps. This is particularly critical in UK–Japan partnerships, where contrasting communication norms can significantly </w:t>
      </w:r>
      <w:r w:rsidRPr="00E72779">
        <w:rPr>
          <w:rFonts w:ascii="Arial" w:hAnsi="Arial" w:cs="Arial"/>
          <w:sz w:val="24"/>
          <w:szCs w:val="24"/>
        </w:rPr>
        <w:lastRenderedPageBreak/>
        <w:t>influence decision-making, teamwork, and overall business performance, potentially leading to misunderstandings and reduced collaboration if not properly addressed.</w:t>
      </w:r>
    </w:p>
    <w:p w14:paraId="02F890D4" w14:textId="77777777" w:rsidR="00E72779" w:rsidRDefault="00E72779" w:rsidP="00204FDE">
      <w:pPr>
        <w:rPr>
          <w:rFonts w:ascii="Times New Roman" w:hAnsi="Times New Roman" w:cs="Times New Roman"/>
          <w:sz w:val="32"/>
          <w:szCs w:val="32"/>
        </w:rPr>
      </w:pPr>
    </w:p>
    <w:p w14:paraId="2F16D842" w14:textId="43822699" w:rsidR="00204FDE" w:rsidRDefault="008318F9" w:rsidP="008318F9">
      <w:pPr>
        <w:pStyle w:val="Heading1"/>
      </w:pPr>
      <w:bookmarkStart w:id="1" w:name="_Toc228436662"/>
      <w:r>
        <w:t>2.</w:t>
      </w:r>
      <w:r w:rsidR="00204FDE" w:rsidRPr="00E72779">
        <w:t>UK and Japanese Business Culture</w:t>
      </w:r>
      <w:bookmarkEnd w:id="1"/>
    </w:p>
    <w:p w14:paraId="044E3835"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Understanding the broader cultural and business context is essential for analysing communication differences between the UK and Japanese teams. Culture shapes not only how individuals communicate but also how they perceive authority, manage relationships, and approach decision-making in a professional environment (Hofstede, 2001).</w:t>
      </w:r>
    </w:p>
    <w:p w14:paraId="47CEFCF4"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The United Kingdom is generally characterised by a relatively low-context communication style, where messages are conveyed explicitly and directly (Hall, 1976). In business settings, UK professionals tend to value clarity, efficiency, and transparency. Communication is often task-orientated, focusing on achieving results within defined timelines. Hierarchies exist but are less rigid compared to many Asian cultures, allowing for more open dialogue across different organisational levels. Employees are typically encouraged to express opinions, challenge ideas, and engage in constructive debate, which is perceived as a sign of professionalism rather than conflict (Meyer, 2014).</w:t>
      </w:r>
    </w:p>
    <w:p w14:paraId="6ACB0337"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In contrast, Japan represents a high-context culture, where communication relies heavily on implicit messages, non-verbal cues, and shared understanding (Hall, 1976). Social harmony, respect, and group cohesion significantly influence business interactions. In Japanese organisations, such as Toyota Motor Corporation, maintaining positive relationships and avoiding direct confrontations are key priorities. Consequently, communication tends to be indirect, and individuals may avoid saying “no” explicitly to preserve harmony. This can create ambiguity for UK professionals accustomed to more direct communication styles (Meyer, 2014).</w:t>
      </w:r>
    </w:p>
    <w:p w14:paraId="09474860"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 xml:space="preserve">Another important aspect of Japanese business culture is the emphasis on consensus-based decision-making. Processes such as </w:t>
      </w:r>
      <w:proofErr w:type="spellStart"/>
      <w:r w:rsidRPr="00E72779">
        <w:rPr>
          <w:rFonts w:ascii="Arial" w:hAnsi="Arial" w:cs="Arial"/>
          <w:sz w:val="24"/>
          <w:szCs w:val="24"/>
        </w:rPr>
        <w:t>ringi</w:t>
      </w:r>
      <w:proofErr w:type="spellEnd"/>
      <w:r w:rsidRPr="00E72779">
        <w:rPr>
          <w:rFonts w:ascii="Arial" w:hAnsi="Arial" w:cs="Arial"/>
          <w:sz w:val="24"/>
          <w:szCs w:val="24"/>
        </w:rPr>
        <w:t xml:space="preserve"> require input and agreement from multiple stakeholders before a final decision is reached. UK teams may perceive this approach as slow or inefficient, despite its potential to yield well-considered and widely supported outcomes. In contrast, UK organisations like Jaguar </w:t>
      </w:r>
      <w:r w:rsidRPr="00E72779">
        <w:rPr>
          <w:rFonts w:ascii="Arial" w:hAnsi="Arial" w:cs="Arial"/>
          <w:sz w:val="24"/>
          <w:szCs w:val="24"/>
        </w:rPr>
        <w:lastRenderedPageBreak/>
        <w:t>Land Rover often prioritise faster decision-making, driven by managerial authority and individual accountability (Trompenaars and Hampden-Turner, 2012).</w:t>
      </w:r>
    </w:p>
    <w:p w14:paraId="0EB033DD"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Furthermore, the concept of hierarchy and respect plays a more significant role in Japan. Employees are expected to demonstrate deference to senior colleagues, and communication often reflects formal structures. In the UK, while respect for authority exists, interactions tend to be more informal, with first-name communication being common even in professional settings. This difference can lead to misunderstandings, particularly when UK employees unintentionally appear too informal or when Japanese employees seem overly reserved (Hofstede, 2001).</w:t>
      </w:r>
    </w:p>
    <w:p w14:paraId="18C2667A" w14:textId="77777777" w:rsidR="00E72779" w:rsidRPr="00E72779" w:rsidRDefault="00E72779" w:rsidP="00E72779">
      <w:pPr>
        <w:spacing w:line="360" w:lineRule="auto"/>
        <w:jc w:val="both"/>
        <w:rPr>
          <w:rFonts w:ascii="Arial" w:hAnsi="Arial" w:cs="Arial"/>
          <w:sz w:val="24"/>
          <w:szCs w:val="24"/>
        </w:rPr>
      </w:pPr>
      <w:r w:rsidRPr="00E72779">
        <w:rPr>
          <w:rFonts w:ascii="Arial" w:hAnsi="Arial" w:cs="Arial"/>
          <w:sz w:val="24"/>
          <w:szCs w:val="24"/>
        </w:rPr>
        <w:t>These contrasting cultural characteristics highlight the potential for miscommunication in UK–Japan collaborations. Differences in directness, decision-making processes, and attitudes towards hierarchy can create challenges in everyday interactions, from meetings and negotiations to email communication and project coordination. Therefore, applying cultural theories to analyse these differences is essential for developing effective strategies to manage cross-cultural teams.</w:t>
      </w:r>
    </w:p>
    <w:p w14:paraId="46311261" w14:textId="3632156F" w:rsidR="00E72779" w:rsidRDefault="008318F9" w:rsidP="008318F9">
      <w:pPr>
        <w:pStyle w:val="Heading1"/>
      </w:pPr>
      <w:bookmarkStart w:id="2" w:name="_Toc228436663"/>
      <w:r>
        <w:t>3.</w:t>
      </w:r>
      <w:r w:rsidR="00F12FFF" w:rsidRPr="00F12FFF">
        <w:t>Hofstede’s Cultural Dimensions and Their Impact on Communication</w:t>
      </w:r>
      <w:bookmarkEnd w:id="2"/>
    </w:p>
    <w:p w14:paraId="788ECE95"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Geert Hofstede developed one of the most widely used frameworks for understanding cross-cultural differences. His cultural dimensions provide valuable insights into how national cultures influence workplace behaviour and communication styles (Hofstede, 2001). In the context of collaboration between Jaguar Land Rover and Toyota Motor Corporation, several dimensions are particularly relevant.</w:t>
      </w:r>
    </w:p>
    <w:p w14:paraId="19982A55"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 xml:space="preserve">Firstly, the dimension of individualism versus collectivism highlights a fundamental difference between the UK and Japan. The UK, a highly individualistic society, encourages employees to express personal opinions and take individual responsibility. In contrast, Japan is more collectivist, prioritising group harmony and consensus (Hofstede, 2001). This difference significantly affects communication dynamics. For instance, during meetings, UK team members may openly challenge ideas or propose alternatives, expecting constructive debate. However, Japanese employees may avoid direct disagreement to maintain harmony, which can lead UK colleagues to </w:t>
      </w:r>
      <w:r w:rsidRPr="00F12FFF">
        <w:rPr>
          <w:rFonts w:ascii="Arial" w:hAnsi="Arial" w:cs="Arial"/>
          <w:sz w:val="24"/>
          <w:szCs w:val="24"/>
        </w:rPr>
        <w:lastRenderedPageBreak/>
        <w:t>misinterpret silence or indirect responses as agreement. This can result in flawed decision-making when underlying concerns go unexpressed.</w:t>
      </w:r>
    </w:p>
    <w:p w14:paraId="7D9CD09F"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Secondly, uncertainty avoidance is notably higher in Japan compared to the UK. Japanese organisations tend to favour structured processes, detailed planning, and risk minimisation (Hofstede, 2001). Consequently, Japanese teams may need more time to analyse information and reach consensus before making decisions. In contrast, UK teams often adopt a more flexible approach, accepting a degree of uncertainty and making quicker decisions. This difference can foster frustration on both sides: UK managers may perceive their Japanese colleagues as slow or indecisive, while Japanese employees might view their UK counterparts as rushed or lacking thoroughness.</w:t>
      </w:r>
    </w:p>
    <w:p w14:paraId="03FC6A7D"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Another crucial dimension is power distance, which refers to how societies manage inequalities in authority. While both the UK and Japan exhibit moderate levels of power distance, hierarchical structures are more pronounced in Japanese organisations (Hofstede, 2001). Communication in Japan typically reflects respect for seniority, with junior employees less likely to speak openly in front of superiors. In contrast, UK workplaces generally encourage more informal and open communication across hierarchical levels. This disparity can lead to misinterpretations, particularly in meetings where UK managers anticipate active participation, while Japanese team members remain reserved.</w:t>
      </w:r>
    </w:p>
    <w:p w14:paraId="058DE14E" w14:textId="77777777" w:rsidR="00F12FFF" w:rsidRPr="00F12FFF" w:rsidRDefault="00F12FFF" w:rsidP="00F12FFF">
      <w:pPr>
        <w:spacing w:line="360" w:lineRule="auto"/>
        <w:jc w:val="both"/>
        <w:rPr>
          <w:rFonts w:ascii="Arial" w:hAnsi="Arial" w:cs="Arial"/>
          <w:b/>
          <w:bCs/>
          <w:sz w:val="32"/>
          <w:szCs w:val="32"/>
        </w:rPr>
      </w:pPr>
      <w:r w:rsidRPr="00F12FFF">
        <w:rPr>
          <w:rFonts w:ascii="Arial" w:hAnsi="Arial" w:cs="Arial"/>
          <w:sz w:val="24"/>
          <w:szCs w:val="24"/>
        </w:rPr>
        <w:t>Overall, Hofstede’s framework illustrates that communication challenges are not merely linguistic but deeply rooted in cultural values. Without an awareness of these differences, even well-intentioned communication can result in misunderstandings and inefficiencies.</w:t>
      </w:r>
    </w:p>
    <w:p w14:paraId="0F59CBEE" w14:textId="083B17F7" w:rsidR="00F12FFF" w:rsidRPr="00F12FFF" w:rsidRDefault="008318F9" w:rsidP="008318F9">
      <w:pPr>
        <w:pStyle w:val="Heading1"/>
      </w:pPr>
      <w:bookmarkStart w:id="3" w:name="_Toc228436664"/>
      <w:r>
        <w:t>4.</w:t>
      </w:r>
      <w:r w:rsidR="00F12FFF" w:rsidRPr="00F12FFF">
        <w:t>High-Context vs Low-Context Communication</w:t>
      </w:r>
      <w:bookmarkEnd w:id="3"/>
    </w:p>
    <w:p w14:paraId="6B30BEEF"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Another important framework is Edward T. Hall’s theory of high-context and low-context communication (Hall, 1976). This theory is particularly useful in elucidating the misunderstandings that may arise between teams from the UK and Japan.</w:t>
      </w:r>
    </w:p>
    <w:p w14:paraId="4819C86A"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 xml:space="preserve">The UK is characterised as a low-context culture, where communication is explicit and direct, heavily reliant on verbal expression. Messages are expected to be clear and unambiguous. In contrast, Japan is considered a high-context culture, where </w:t>
      </w:r>
      <w:r w:rsidRPr="00F12FFF">
        <w:rPr>
          <w:rFonts w:ascii="Arial" w:hAnsi="Arial" w:cs="Arial"/>
          <w:sz w:val="24"/>
          <w:szCs w:val="24"/>
        </w:rPr>
        <w:lastRenderedPageBreak/>
        <w:t>communication tends to be more indirect and depends on non-verbal cues, tone, and shared understanding (Hall, 1976).</w:t>
      </w:r>
    </w:p>
    <w:p w14:paraId="202A7270"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This cultural divergence can lead to significant challenges in business interactions. For instance, a UK manager from Jaguar Land Rover might ask a question about meeting a deadline during a project meeting. A Japanese colleague from Toyota Motor Corporation may respond with phrases like "We will try our best" or "It may be difficult." In a UK context, such responses might be interpreted as a tentative agreement or commitment. However, within Japanese communication, these phrases often imply a polite refusal. Consequently, this misinterpretation can result in missed deadlines and frustration.</w:t>
      </w:r>
    </w:p>
    <w:p w14:paraId="1774E3B2"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Email communication further illustrates these differences. UK professionals generally favour concise and direct emails with clearly defined action points. In contrast, Japanese communication may incorporate more context, politeness, and indirect language. As a result, UK employees might perceive Japanese emails as vague, while Japanese employees may view UK emails as overly blunt or even disrespectful (Meyer, 2014).</w:t>
      </w:r>
    </w:p>
    <w:p w14:paraId="7A4FCF32" w14:textId="77777777" w:rsidR="00F12FFF" w:rsidRDefault="00F12FFF" w:rsidP="00F12FFF">
      <w:pPr>
        <w:spacing w:line="360" w:lineRule="auto"/>
        <w:jc w:val="both"/>
        <w:rPr>
          <w:rFonts w:ascii="Arial" w:hAnsi="Arial" w:cs="Arial"/>
          <w:sz w:val="24"/>
          <w:szCs w:val="24"/>
        </w:rPr>
      </w:pPr>
      <w:r w:rsidRPr="00F12FFF">
        <w:rPr>
          <w:rFonts w:ascii="Arial" w:hAnsi="Arial" w:cs="Arial"/>
          <w:sz w:val="24"/>
          <w:szCs w:val="24"/>
        </w:rPr>
        <w:t>Importantly, this mismatch in communication styles can erode trust and collaboration if not appropriately managed. UK employees may feel that their Japanese counterparts lack transparency, while Japanese employees may perceive UK communication as lacking sensitivity. Therefore, an understanding of context-based communication is crucial for fostering effective cross-cultural teamwork.</w:t>
      </w:r>
    </w:p>
    <w:p w14:paraId="483A392C" w14:textId="1EE77352" w:rsidR="00F12FFF" w:rsidRDefault="008318F9" w:rsidP="008318F9">
      <w:pPr>
        <w:pStyle w:val="Heading1"/>
      </w:pPr>
      <w:bookmarkStart w:id="4" w:name="_Toc228436665"/>
      <w:r>
        <w:t>5.</w:t>
      </w:r>
      <w:r w:rsidR="00F12FFF" w:rsidRPr="00F12FFF">
        <w:t>Real-World Communication Challenges in UK–Japan Collaboration</w:t>
      </w:r>
      <w:bookmarkEnd w:id="4"/>
    </w:p>
    <w:p w14:paraId="3D1A24DC"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The theoretical differences discussed above translate into practical challenges in everyday business operations. One key issue is decision-making speed. UK teams often prioritise efficiency and rapid execution, whereas Japanese teams emphasise thorough analysis and consensus building. In a joint project, such differences can lead to delays, as decisions require multiple rounds of consultation within the Japanese team. From a UK perspective, this behaviour might be viewed as inefficiency, whereas from a Japanese standpoint, it represents careful and responsible management.</w:t>
      </w:r>
    </w:p>
    <w:p w14:paraId="2F04DCC5"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lastRenderedPageBreak/>
        <w:t>Another challenge is conflict management. In UK business culture, constructive disagreement is generally accepted and even encouraged. Japan typically avoids open conflict. This cultural inclination implies that individuals may refrain from openly discussing problems, resulting in unresolved issues that may surface later in the project. For instance, a Japanese engineer might disagree with a design decision but choose not to voice their opinion directly during a meeting. Consequently, the issue may only become apparent in later stages of implementation, leading to delays and additional costs.</w:t>
      </w:r>
    </w:p>
    <w:p w14:paraId="68964B07"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A further issue lies in the interpretation of feedback. UK managers often provide direct feedback, including criticism, as a means to enhance performance. However, Japanese culture may perceive such directness as harsh or disrespectful. Conversely, feedback from Japanese colleagues may be so indirect that UK employees fail to recognise it as criticism at all. This mismatch can hinder performance improvements and create tension within the team.</w:t>
      </w:r>
    </w:p>
    <w:p w14:paraId="68C94719"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These examples illustrate that communication barriers are not merely theoretical but have tangible consequences for project outcomes. Without effective management, these differences can diminish productivity, damage relationships, and ultimately impact business success.</w:t>
      </w:r>
    </w:p>
    <w:p w14:paraId="5F9FF4CA" w14:textId="1D7B06C9" w:rsidR="00F12FFF" w:rsidRPr="00F12FFF" w:rsidRDefault="008318F9" w:rsidP="008318F9">
      <w:pPr>
        <w:pStyle w:val="Heading1"/>
      </w:pPr>
      <w:bookmarkStart w:id="5" w:name="_Toc228436666"/>
      <w:r>
        <w:t>6.</w:t>
      </w:r>
      <w:r w:rsidR="00F12FFF" w:rsidRPr="00F12FFF">
        <w:t>Strategies to Overcome Communication Barriers</w:t>
      </w:r>
      <w:bookmarkEnd w:id="5"/>
    </w:p>
    <w:p w14:paraId="39194ADF"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To ensure effective collaboration, organisations must actively address cultural differences. Merely being aware of these differences is insufficient; practical strategies are essential.</w:t>
      </w:r>
    </w:p>
    <w:p w14:paraId="0D1BC731" w14:textId="77B59494"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One key approach is cross-cultural training, which assists employees in understanding diverse communication styles and expectations. Such training programs can provide practical examples and equip employees with the necessary skills to adapt their communications (Meyer, 2014).</w:t>
      </w:r>
      <w:r>
        <w:rPr>
          <w:rFonts w:ascii="Arial" w:hAnsi="Arial" w:cs="Arial"/>
          <w:sz w:val="24"/>
          <w:szCs w:val="24"/>
        </w:rPr>
        <w:t xml:space="preserve"> </w:t>
      </w:r>
      <w:r w:rsidRPr="00F12FFF">
        <w:rPr>
          <w:rFonts w:ascii="Arial" w:hAnsi="Arial" w:cs="Arial"/>
          <w:sz w:val="24"/>
          <w:szCs w:val="24"/>
        </w:rPr>
        <w:t xml:space="preserve">Another significant strategy involves developing hybrid communication approaches. For instance, UK managers might adopt a more indirect style when collaborating with Japanese teams, while </w:t>
      </w:r>
      <w:r w:rsidRPr="00F12FFF">
        <w:rPr>
          <w:rFonts w:ascii="Arial" w:hAnsi="Arial" w:cs="Arial"/>
          <w:sz w:val="24"/>
          <w:szCs w:val="24"/>
        </w:rPr>
        <w:lastRenderedPageBreak/>
        <w:t>also encouraging clearer confirmation of agreements. Techniques, such as summarising key decisions at the conclusion of meetings, can help ensure mutual understanding.</w:t>
      </w:r>
    </w:p>
    <w:p w14:paraId="33AFB174" w14:textId="5292B0E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Furthermore, organisations can implement structured communication processes, including clear agendas, written follow-ups, and defined decision-making frameworks. These tools minimise ambiguity and ensure alignment among all team members.</w:t>
      </w:r>
      <w:r>
        <w:rPr>
          <w:rFonts w:ascii="Arial" w:hAnsi="Arial" w:cs="Arial"/>
          <w:sz w:val="24"/>
          <w:szCs w:val="24"/>
        </w:rPr>
        <w:t xml:space="preserve"> </w:t>
      </w:r>
      <w:r w:rsidRPr="00F12FFF">
        <w:rPr>
          <w:rFonts w:ascii="Arial" w:hAnsi="Arial" w:cs="Arial"/>
          <w:sz w:val="24"/>
          <w:szCs w:val="24"/>
        </w:rPr>
        <w:t>Using cultural mediators or local managers can also play a vital role in bridging communication gaps. Individuals with experience in both cultures can interpret communications more effectively and prevent misunderstandings from escalating.</w:t>
      </w:r>
    </w:p>
    <w:p w14:paraId="76377EF0" w14:textId="77777777" w:rsidR="00F12FFF" w:rsidRPr="00F12FFF" w:rsidRDefault="00F12FFF" w:rsidP="00F12FFF">
      <w:pPr>
        <w:spacing w:line="360" w:lineRule="auto"/>
        <w:jc w:val="both"/>
        <w:rPr>
          <w:rFonts w:ascii="Arial" w:hAnsi="Arial" w:cs="Arial"/>
          <w:sz w:val="24"/>
          <w:szCs w:val="24"/>
        </w:rPr>
      </w:pPr>
      <w:r w:rsidRPr="00F12FFF">
        <w:rPr>
          <w:rFonts w:ascii="Arial" w:hAnsi="Arial" w:cs="Arial"/>
          <w:sz w:val="24"/>
          <w:szCs w:val="24"/>
        </w:rPr>
        <w:t>Importantly, these strategies require flexibility and a willingness to adapt to the specific cultural contexts and needs of the individuals engaged in the communication process. Effective cross-cultural communication is a dynamic process that evolves rather than a one-time adjustment.</w:t>
      </w:r>
    </w:p>
    <w:p w14:paraId="32736DEC" w14:textId="4A807B8C" w:rsidR="00204FDE" w:rsidRDefault="008318F9" w:rsidP="008318F9">
      <w:pPr>
        <w:pStyle w:val="Heading1"/>
      </w:pPr>
      <w:bookmarkStart w:id="6" w:name="_Toc228436667"/>
      <w:r>
        <w:t>7.</w:t>
      </w:r>
      <w:r w:rsidR="00F12FFF" w:rsidRPr="00F12FFF">
        <w:t>Conclusion</w:t>
      </w:r>
      <w:bookmarkEnd w:id="6"/>
    </w:p>
    <w:p w14:paraId="6030F716"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In conclusion, this essay has critically evaluated the communication differences between UK and Japanese teams within the context of a strategic collaboration between Jaguar Land Rover and Toyota Motor Corporation. The analysis revealed that communication challenges stem from deeply rooted cultural values, rather than mere differences in language or individual behaviour.</w:t>
      </w:r>
    </w:p>
    <w:p w14:paraId="5183F4B0"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By applying the cultural frameworks of Geert Hofstede and Edward T. Hall, it becomes evident that dimensions such as individualism versus collectivism, uncertainty avoidance, and high-context versus low-context communication significantly influence how information is shared, interpreted, and acted upon. UK professionals tend to favour direct, explicit, and efficient communication, while Japanese professionals prioritise indirect, harmonious, and consensus-driven communication. These differences can lead to misunderstandings in critical areas such as decision-making, feedback, and conflict resolution.</w:t>
      </w:r>
    </w:p>
    <w:p w14:paraId="4E4EDAC7"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Importantly, the essay has demonstrated that these differences can be beneficial when identified and managed effectively; however, they become problematic when ignored or poorly managed. If left unaddressed, misinterpretations of indirect </w:t>
      </w:r>
      <w:r w:rsidRPr="008318F9">
        <w:rPr>
          <w:rFonts w:ascii="Arial" w:hAnsi="Arial" w:cs="Arial"/>
          <w:sz w:val="24"/>
          <w:szCs w:val="24"/>
        </w:rPr>
        <w:lastRenderedPageBreak/>
        <w:t>responses, differing expectations regarding decision-making speed, and contrasting attitudes towards hierarchy can adversely affect collaboration and project outcomes.</w:t>
      </w:r>
    </w:p>
    <w:p w14:paraId="422BF223"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Moreover, the evaluation underscores the successful mitigation of these challenges through the implementation of appropriate strategies. Cross-cultural training, adaptive communication styles, structured communication processes, and the use of cultural intermediaries all contribute to enhancing mutual understanding and team effectiveness. Organisations that invest in these approaches are better positioned to leverage cultural diversity as a strategic advantage rather than view it as a barrier.</w:t>
      </w:r>
    </w:p>
    <w:p w14:paraId="2AF50D7F"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Ultimately, successful international collaboration requires more than theoretical knowledge of cultural differences; it demands practical adaptation, cultural sensitivity, and continuous learning. In the case of UK–Japan partnerships, the ability to bridge communication gaps is essential not only for project success but also for fostering long-term, sustainable business relationships in a globalised economy.</w:t>
      </w:r>
    </w:p>
    <w:p w14:paraId="33685CBF" w14:textId="77777777" w:rsidR="008318F9" w:rsidRDefault="008318F9" w:rsidP="00204FDE">
      <w:pPr>
        <w:rPr>
          <w:rFonts w:ascii="Times New Roman" w:hAnsi="Times New Roman" w:cs="Times New Roman"/>
          <w:sz w:val="32"/>
          <w:szCs w:val="32"/>
        </w:rPr>
      </w:pPr>
    </w:p>
    <w:p w14:paraId="1928BE57" w14:textId="77777777" w:rsidR="00204FDE" w:rsidRDefault="00204FDE">
      <w:pPr>
        <w:rPr>
          <w:rFonts w:ascii="Times New Roman" w:hAnsi="Times New Roman" w:cs="Times New Roman"/>
          <w:sz w:val="32"/>
          <w:szCs w:val="32"/>
        </w:rPr>
      </w:pPr>
      <w:r>
        <w:rPr>
          <w:rFonts w:ascii="Times New Roman" w:hAnsi="Times New Roman" w:cs="Times New Roman"/>
          <w:sz w:val="32"/>
          <w:szCs w:val="32"/>
        </w:rPr>
        <w:br w:type="page"/>
      </w:r>
    </w:p>
    <w:p w14:paraId="2AFCA3DE" w14:textId="19BEC588" w:rsidR="008318F9" w:rsidRPr="008318F9" w:rsidRDefault="008318F9" w:rsidP="008318F9">
      <w:pPr>
        <w:pStyle w:val="Heading1"/>
      </w:pPr>
      <w:bookmarkStart w:id="7" w:name="_Toc228436668"/>
      <w:r>
        <w:lastRenderedPageBreak/>
        <w:t>8.</w:t>
      </w:r>
      <w:r w:rsidRPr="008318F9">
        <w:t>References</w:t>
      </w:r>
      <w:bookmarkEnd w:id="7"/>
    </w:p>
    <w:p w14:paraId="78FD457C" w14:textId="0669FC31"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Hall, E.T. (1976) </w:t>
      </w:r>
      <w:r w:rsidRPr="008318F9">
        <w:rPr>
          <w:rFonts w:ascii="Arial" w:hAnsi="Arial" w:cs="Arial"/>
          <w:i/>
          <w:iCs/>
          <w:sz w:val="24"/>
          <w:szCs w:val="24"/>
        </w:rPr>
        <w:t>Beyond Culture</w:t>
      </w:r>
      <w:r w:rsidRPr="008318F9">
        <w:rPr>
          <w:rFonts w:ascii="Arial" w:hAnsi="Arial" w:cs="Arial"/>
          <w:sz w:val="24"/>
          <w:szCs w:val="24"/>
        </w:rPr>
        <w:t>. New York: Anchor Books.</w:t>
      </w:r>
    </w:p>
    <w:p w14:paraId="275F9CBC" w14:textId="54D4A0BE"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Hofstede, G. (2001) </w:t>
      </w:r>
      <w:r w:rsidRPr="008318F9">
        <w:rPr>
          <w:rFonts w:ascii="Arial" w:hAnsi="Arial" w:cs="Arial"/>
          <w:i/>
          <w:iCs/>
          <w:sz w:val="24"/>
          <w:szCs w:val="24"/>
        </w:rPr>
        <w:t xml:space="preserve">Culture’s Consequences: Comparing Values, </w:t>
      </w:r>
      <w:proofErr w:type="spellStart"/>
      <w:r w:rsidRPr="008318F9">
        <w:rPr>
          <w:rFonts w:ascii="Arial" w:hAnsi="Arial" w:cs="Arial"/>
          <w:i/>
          <w:iCs/>
          <w:sz w:val="24"/>
          <w:szCs w:val="24"/>
        </w:rPr>
        <w:t>Behaviors</w:t>
      </w:r>
      <w:proofErr w:type="spellEnd"/>
      <w:r w:rsidRPr="008318F9">
        <w:rPr>
          <w:rFonts w:ascii="Arial" w:hAnsi="Arial" w:cs="Arial"/>
          <w:i/>
          <w:iCs/>
          <w:sz w:val="24"/>
          <w:szCs w:val="24"/>
        </w:rPr>
        <w:t>, Institutions and Organizations Across Nations</w:t>
      </w:r>
      <w:r w:rsidRPr="008318F9">
        <w:rPr>
          <w:rFonts w:ascii="Arial" w:hAnsi="Arial" w:cs="Arial"/>
          <w:sz w:val="24"/>
          <w:szCs w:val="24"/>
        </w:rPr>
        <w:t>. 2nd ed. Thousand Oaks: Sage.</w:t>
      </w:r>
    </w:p>
    <w:p w14:paraId="1A0CA759" w14:textId="7C278092"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Hofstede, G., Hofstede, G.J. and Minkov, M. (2010) </w:t>
      </w:r>
      <w:r w:rsidRPr="008318F9">
        <w:rPr>
          <w:rFonts w:ascii="Arial" w:hAnsi="Arial" w:cs="Arial"/>
          <w:i/>
          <w:iCs/>
          <w:sz w:val="24"/>
          <w:szCs w:val="24"/>
        </w:rPr>
        <w:t>Cultures and Organizations: Software of the Mind</w:t>
      </w:r>
      <w:r w:rsidRPr="008318F9">
        <w:rPr>
          <w:rFonts w:ascii="Arial" w:hAnsi="Arial" w:cs="Arial"/>
          <w:sz w:val="24"/>
          <w:szCs w:val="24"/>
        </w:rPr>
        <w:t>. 3rd ed. New York: McGraw-Hill.</w:t>
      </w:r>
    </w:p>
    <w:p w14:paraId="727CCD02"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Meyer, E. (2014) </w:t>
      </w:r>
      <w:r w:rsidRPr="008318F9">
        <w:rPr>
          <w:rFonts w:ascii="Arial" w:hAnsi="Arial" w:cs="Arial"/>
          <w:i/>
          <w:iCs/>
          <w:sz w:val="24"/>
          <w:szCs w:val="24"/>
        </w:rPr>
        <w:t>The Culture Map: Breaking Through the Invisible Boundaries of Global Business</w:t>
      </w:r>
      <w:r w:rsidRPr="008318F9">
        <w:rPr>
          <w:rFonts w:ascii="Arial" w:hAnsi="Arial" w:cs="Arial"/>
          <w:sz w:val="24"/>
          <w:szCs w:val="24"/>
        </w:rPr>
        <w:t>. New York: PublicAffairs.</w:t>
      </w:r>
    </w:p>
    <w:p w14:paraId="38D1B119" w14:textId="127C624B"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Trompenaars, F. and Hampden-Turner, C. (2012) </w:t>
      </w:r>
      <w:r w:rsidRPr="008318F9">
        <w:rPr>
          <w:rFonts w:ascii="Arial" w:hAnsi="Arial" w:cs="Arial"/>
          <w:i/>
          <w:iCs/>
          <w:sz w:val="24"/>
          <w:szCs w:val="24"/>
        </w:rPr>
        <w:t>Riding the Waves of Culture: Understanding Diversity in Global Business</w:t>
      </w:r>
      <w:r w:rsidRPr="008318F9">
        <w:rPr>
          <w:rFonts w:ascii="Arial" w:hAnsi="Arial" w:cs="Arial"/>
          <w:sz w:val="24"/>
          <w:szCs w:val="24"/>
        </w:rPr>
        <w:t>. 3rd ed. London: Nicholas Brealey.</w:t>
      </w:r>
    </w:p>
    <w:p w14:paraId="5F83F129" w14:textId="48D39776"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Deresky, H. (2017) </w:t>
      </w:r>
      <w:r w:rsidRPr="008318F9">
        <w:rPr>
          <w:rFonts w:ascii="Arial" w:hAnsi="Arial" w:cs="Arial"/>
          <w:i/>
          <w:iCs/>
          <w:sz w:val="24"/>
          <w:szCs w:val="24"/>
        </w:rPr>
        <w:t>International Management: Managing Across Borders and Cultures</w:t>
      </w:r>
      <w:r w:rsidRPr="008318F9">
        <w:rPr>
          <w:rFonts w:ascii="Arial" w:hAnsi="Arial" w:cs="Arial"/>
          <w:sz w:val="24"/>
          <w:szCs w:val="24"/>
        </w:rPr>
        <w:t>. 9th ed. Harlow: Pearson.</w:t>
      </w:r>
    </w:p>
    <w:p w14:paraId="63C78D01" w14:textId="786656E4" w:rsidR="008318F9" w:rsidRPr="008318F9" w:rsidRDefault="008318F9" w:rsidP="008318F9">
      <w:pPr>
        <w:spacing w:line="360" w:lineRule="auto"/>
        <w:jc w:val="both"/>
        <w:rPr>
          <w:rFonts w:ascii="Arial" w:hAnsi="Arial" w:cs="Arial"/>
          <w:sz w:val="24"/>
          <w:szCs w:val="24"/>
        </w:rPr>
      </w:pPr>
      <w:proofErr w:type="spellStart"/>
      <w:r w:rsidRPr="008318F9">
        <w:rPr>
          <w:rFonts w:ascii="Arial" w:hAnsi="Arial" w:cs="Arial"/>
          <w:sz w:val="24"/>
          <w:szCs w:val="24"/>
        </w:rPr>
        <w:t>Browaeys</w:t>
      </w:r>
      <w:proofErr w:type="spellEnd"/>
      <w:r w:rsidRPr="008318F9">
        <w:rPr>
          <w:rFonts w:ascii="Arial" w:hAnsi="Arial" w:cs="Arial"/>
          <w:sz w:val="24"/>
          <w:szCs w:val="24"/>
        </w:rPr>
        <w:t xml:space="preserve">, M.-J. and Price, R. (2015) </w:t>
      </w:r>
      <w:r w:rsidRPr="008318F9">
        <w:rPr>
          <w:rFonts w:ascii="Arial" w:hAnsi="Arial" w:cs="Arial"/>
          <w:i/>
          <w:iCs/>
          <w:sz w:val="24"/>
          <w:szCs w:val="24"/>
        </w:rPr>
        <w:t>Understanding Cross-Cultural Management</w:t>
      </w:r>
      <w:r w:rsidRPr="008318F9">
        <w:rPr>
          <w:rFonts w:ascii="Arial" w:hAnsi="Arial" w:cs="Arial"/>
          <w:sz w:val="24"/>
          <w:szCs w:val="24"/>
        </w:rPr>
        <w:t>. 3rd ed. Harlow: Pearson.</w:t>
      </w:r>
    </w:p>
    <w:p w14:paraId="79795AC4" w14:textId="09205E8B"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Lewis, R.D. (2006) </w:t>
      </w:r>
      <w:r w:rsidRPr="008318F9">
        <w:rPr>
          <w:rFonts w:ascii="Arial" w:hAnsi="Arial" w:cs="Arial"/>
          <w:i/>
          <w:iCs/>
          <w:sz w:val="24"/>
          <w:szCs w:val="24"/>
        </w:rPr>
        <w:t>When Cultures Collide: Leading Across Cultures</w:t>
      </w:r>
      <w:r w:rsidRPr="008318F9">
        <w:rPr>
          <w:rFonts w:ascii="Arial" w:hAnsi="Arial" w:cs="Arial"/>
          <w:sz w:val="24"/>
          <w:szCs w:val="24"/>
        </w:rPr>
        <w:t>. 3rd ed. London: Nicholas Brealey.</w:t>
      </w:r>
    </w:p>
    <w:p w14:paraId="3F9C17A0" w14:textId="77777777"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House, R.J. et al. (2004) </w:t>
      </w:r>
      <w:r w:rsidRPr="008318F9">
        <w:rPr>
          <w:rFonts w:ascii="Arial" w:hAnsi="Arial" w:cs="Arial"/>
          <w:i/>
          <w:iCs/>
          <w:sz w:val="24"/>
          <w:szCs w:val="24"/>
        </w:rPr>
        <w:t>Culture, Leadership, and Organizations: The GLOBE Study of 62 Societies</w:t>
      </w:r>
      <w:r w:rsidRPr="008318F9">
        <w:rPr>
          <w:rFonts w:ascii="Arial" w:hAnsi="Arial" w:cs="Arial"/>
          <w:sz w:val="24"/>
          <w:szCs w:val="24"/>
        </w:rPr>
        <w:t>. Thousand Oaks: Sage.</w:t>
      </w:r>
    </w:p>
    <w:p w14:paraId="624329DE" w14:textId="39D7BBC2" w:rsidR="008318F9" w:rsidRPr="008318F9" w:rsidRDefault="008318F9" w:rsidP="008318F9">
      <w:pPr>
        <w:spacing w:line="360" w:lineRule="auto"/>
        <w:jc w:val="both"/>
        <w:rPr>
          <w:rFonts w:ascii="Arial" w:hAnsi="Arial" w:cs="Arial"/>
          <w:sz w:val="24"/>
          <w:szCs w:val="24"/>
        </w:rPr>
      </w:pPr>
      <w:r w:rsidRPr="008318F9">
        <w:rPr>
          <w:rFonts w:ascii="Arial" w:hAnsi="Arial" w:cs="Arial"/>
          <w:sz w:val="24"/>
          <w:szCs w:val="24"/>
        </w:rPr>
        <w:t xml:space="preserve">Beamer, L. and Varner, I. (2012) </w:t>
      </w:r>
      <w:r w:rsidRPr="008318F9">
        <w:rPr>
          <w:rFonts w:ascii="Arial" w:hAnsi="Arial" w:cs="Arial"/>
          <w:i/>
          <w:iCs/>
          <w:sz w:val="24"/>
          <w:szCs w:val="24"/>
        </w:rPr>
        <w:t>Intercultural Communication in the Global Workplace</w:t>
      </w:r>
      <w:r w:rsidRPr="008318F9">
        <w:rPr>
          <w:rFonts w:ascii="Arial" w:hAnsi="Arial" w:cs="Arial"/>
          <w:sz w:val="24"/>
          <w:szCs w:val="24"/>
        </w:rPr>
        <w:t>. 5th ed. New York: McGraw-Hill.</w:t>
      </w:r>
    </w:p>
    <w:p w14:paraId="797CD644" w14:textId="77777777" w:rsidR="00204FDE" w:rsidRPr="008318F9" w:rsidRDefault="00204FDE" w:rsidP="008318F9">
      <w:pPr>
        <w:spacing w:line="360" w:lineRule="auto"/>
        <w:jc w:val="both"/>
        <w:rPr>
          <w:rFonts w:ascii="Arial" w:hAnsi="Arial" w:cs="Arial"/>
          <w:sz w:val="24"/>
          <w:szCs w:val="24"/>
        </w:rPr>
      </w:pPr>
    </w:p>
    <w:p w14:paraId="14E5AE54" w14:textId="77777777" w:rsidR="00204FDE" w:rsidRDefault="00204FDE"/>
    <w:sectPr w:rsidR="00204FD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8E112" w14:textId="77777777" w:rsidR="006A35E3" w:rsidRDefault="006A35E3" w:rsidP="00EB2293">
      <w:pPr>
        <w:spacing w:after="0" w:line="240" w:lineRule="auto"/>
      </w:pPr>
      <w:r>
        <w:separator/>
      </w:r>
    </w:p>
  </w:endnote>
  <w:endnote w:type="continuationSeparator" w:id="0">
    <w:p w14:paraId="3CDBD047" w14:textId="77777777" w:rsidR="006A35E3" w:rsidRDefault="006A35E3" w:rsidP="00EB2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2426984"/>
      <w:docPartObj>
        <w:docPartGallery w:val="Page Numbers (Bottom of Page)"/>
        <w:docPartUnique/>
      </w:docPartObj>
    </w:sdtPr>
    <w:sdtEndPr>
      <w:rPr>
        <w:noProof/>
      </w:rPr>
    </w:sdtEndPr>
    <w:sdtContent>
      <w:p w14:paraId="1277E141" w14:textId="25E1098C" w:rsidR="00EB2293" w:rsidRDefault="00EB22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635718" w14:textId="77777777" w:rsidR="00EB2293" w:rsidRDefault="00EB2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CD80E" w14:textId="77777777" w:rsidR="006A35E3" w:rsidRDefault="006A35E3" w:rsidP="00EB2293">
      <w:pPr>
        <w:spacing w:after="0" w:line="240" w:lineRule="auto"/>
      </w:pPr>
      <w:r>
        <w:separator/>
      </w:r>
    </w:p>
  </w:footnote>
  <w:footnote w:type="continuationSeparator" w:id="0">
    <w:p w14:paraId="59505205" w14:textId="77777777" w:rsidR="006A35E3" w:rsidRDefault="006A35E3" w:rsidP="00EB22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FDE"/>
    <w:rsid w:val="00204FDE"/>
    <w:rsid w:val="002138DF"/>
    <w:rsid w:val="006A35E3"/>
    <w:rsid w:val="008318F9"/>
    <w:rsid w:val="00C85E11"/>
    <w:rsid w:val="00E72779"/>
    <w:rsid w:val="00E94A6B"/>
    <w:rsid w:val="00EB2293"/>
    <w:rsid w:val="00F12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D41B6"/>
  <w15:chartTrackingRefBased/>
  <w15:docId w15:val="{AB3768C3-5224-490B-A20E-8B85FF24B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4F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4F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4F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4F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4F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4F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F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F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F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F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4F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4F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4F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4F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4F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F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F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FDE"/>
    <w:rPr>
      <w:rFonts w:eastAsiaTheme="majorEastAsia" w:cstheme="majorBidi"/>
      <w:color w:val="272727" w:themeColor="text1" w:themeTint="D8"/>
    </w:rPr>
  </w:style>
  <w:style w:type="paragraph" w:styleId="Title">
    <w:name w:val="Title"/>
    <w:basedOn w:val="Normal"/>
    <w:next w:val="Normal"/>
    <w:link w:val="TitleChar"/>
    <w:uiPriority w:val="10"/>
    <w:qFormat/>
    <w:rsid w:val="00204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F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F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F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FDE"/>
    <w:pPr>
      <w:spacing w:before="160"/>
      <w:jc w:val="center"/>
    </w:pPr>
    <w:rPr>
      <w:i/>
      <w:iCs/>
      <w:color w:val="404040" w:themeColor="text1" w:themeTint="BF"/>
    </w:rPr>
  </w:style>
  <w:style w:type="character" w:customStyle="1" w:styleId="QuoteChar">
    <w:name w:val="Quote Char"/>
    <w:basedOn w:val="DefaultParagraphFont"/>
    <w:link w:val="Quote"/>
    <w:uiPriority w:val="29"/>
    <w:rsid w:val="00204FDE"/>
    <w:rPr>
      <w:i/>
      <w:iCs/>
      <w:color w:val="404040" w:themeColor="text1" w:themeTint="BF"/>
    </w:rPr>
  </w:style>
  <w:style w:type="paragraph" w:styleId="ListParagraph">
    <w:name w:val="List Paragraph"/>
    <w:basedOn w:val="Normal"/>
    <w:uiPriority w:val="34"/>
    <w:qFormat/>
    <w:rsid w:val="00204FDE"/>
    <w:pPr>
      <w:ind w:left="720"/>
      <w:contextualSpacing/>
    </w:pPr>
  </w:style>
  <w:style w:type="character" w:styleId="IntenseEmphasis">
    <w:name w:val="Intense Emphasis"/>
    <w:basedOn w:val="DefaultParagraphFont"/>
    <w:uiPriority w:val="21"/>
    <w:qFormat/>
    <w:rsid w:val="00204FDE"/>
    <w:rPr>
      <w:i/>
      <w:iCs/>
      <w:color w:val="2F5496" w:themeColor="accent1" w:themeShade="BF"/>
    </w:rPr>
  </w:style>
  <w:style w:type="paragraph" w:styleId="IntenseQuote">
    <w:name w:val="Intense Quote"/>
    <w:basedOn w:val="Normal"/>
    <w:next w:val="Normal"/>
    <w:link w:val="IntenseQuoteChar"/>
    <w:uiPriority w:val="30"/>
    <w:qFormat/>
    <w:rsid w:val="00204F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4FDE"/>
    <w:rPr>
      <w:i/>
      <w:iCs/>
      <w:color w:val="2F5496" w:themeColor="accent1" w:themeShade="BF"/>
    </w:rPr>
  </w:style>
  <w:style w:type="character" w:styleId="IntenseReference">
    <w:name w:val="Intense Reference"/>
    <w:basedOn w:val="DefaultParagraphFont"/>
    <w:uiPriority w:val="32"/>
    <w:qFormat/>
    <w:rsid w:val="00204FDE"/>
    <w:rPr>
      <w:b/>
      <w:bCs/>
      <w:smallCaps/>
      <w:color w:val="2F5496" w:themeColor="accent1" w:themeShade="BF"/>
      <w:spacing w:val="5"/>
    </w:rPr>
  </w:style>
  <w:style w:type="paragraph" w:styleId="TOCHeading">
    <w:name w:val="TOC Heading"/>
    <w:basedOn w:val="Heading1"/>
    <w:next w:val="Normal"/>
    <w:uiPriority w:val="39"/>
    <w:unhideWhenUsed/>
    <w:qFormat/>
    <w:rsid w:val="008318F9"/>
    <w:pPr>
      <w:spacing w:before="240" w:after="0"/>
      <w:outlineLvl w:val="9"/>
    </w:pPr>
    <w:rPr>
      <w:kern w:val="0"/>
      <w:sz w:val="32"/>
      <w:szCs w:val="32"/>
      <w:lang w:val="en-US"/>
    </w:rPr>
  </w:style>
  <w:style w:type="paragraph" w:styleId="TOC1">
    <w:name w:val="toc 1"/>
    <w:basedOn w:val="Normal"/>
    <w:next w:val="Normal"/>
    <w:autoRedefine/>
    <w:uiPriority w:val="39"/>
    <w:unhideWhenUsed/>
    <w:rsid w:val="008318F9"/>
    <w:pPr>
      <w:spacing w:after="100"/>
    </w:pPr>
  </w:style>
  <w:style w:type="character" w:styleId="Hyperlink">
    <w:name w:val="Hyperlink"/>
    <w:basedOn w:val="DefaultParagraphFont"/>
    <w:uiPriority w:val="99"/>
    <w:unhideWhenUsed/>
    <w:rsid w:val="008318F9"/>
    <w:rPr>
      <w:color w:val="0563C1" w:themeColor="hyperlink"/>
      <w:u w:val="single"/>
    </w:rPr>
  </w:style>
  <w:style w:type="paragraph" w:styleId="Header">
    <w:name w:val="header"/>
    <w:basedOn w:val="Normal"/>
    <w:link w:val="HeaderChar"/>
    <w:uiPriority w:val="99"/>
    <w:unhideWhenUsed/>
    <w:rsid w:val="00EB2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293"/>
  </w:style>
  <w:style w:type="paragraph" w:styleId="Footer">
    <w:name w:val="footer"/>
    <w:basedOn w:val="Normal"/>
    <w:link w:val="FooterChar"/>
    <w:uiPriority w:val="99"/>
    <w:unhideWhenUsed/>
    <w:rsid w:val="00EB2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2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7D92BB-BBC7-4E2F-B81E-32D7D94E9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2802</Words>
  <Characters>15977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Dascalu</dc:creator>
  <cp:keywords/>
  <dc:description/>
  <cp:lastModifiedBy>Sorin Dascalu</cp:lastModifiedBy>
  <cp:revision>2</cp:revision>
  <dcterms:created xsi:type="dcterms:W3CDTF">2026-04-30T09:21:00Z</dcterms:created>
  <dcterms:modified xsi:type="dcterms:W3CDTF">2026-04-30T09:21:00Z</dcterms:modified>
</cp:coreProperties>
</file>