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rPr>
          <w:rFonts w:ascii="Arial" w:eastAsiaTheme="minorHAnsi" w:hAnsi="Arial" w:cstheme="majorBidi"/>
          <w:b/>
          <w:color w:val="5B9BD5" w:themeColor="accent1"/>
          <w:sz w:val="32"/>
          <w:szCs w:val="32"/>
          <w:lang w:val="en-GB"/>
        </w:rPr>
        <w:id w:val="-1522475554"/>
        <w:docPartObj>
          <w:docPartGallery w:val="Cover Pages"/>
          <w:docPartUnique/>
        </w:docPartObj>
      </w:sdtPr>
      <w:sdtEndPr>
        <w:rPr>
          <w:rFonts w:eastAsiaTheme="majorEastAsia" w:cs="Arial"/>
          <w:color w:val="000000" w:themeColor="text1"/>
        </w:rPr>
      </w:sdtEndPr>
      <w:sdtContent>
        <w:p w14:paraId="5384490A" w14:textId="77777777" w:rsidR="007D1947" w:rsidRDefault="007D1947" w:rsidP="00983EF9">
          <w:pPr>
            <w:pStyle w:val="NoSpacing"/>
            <w:spacing w:before="1540" w:after="240"/>
            <w:jc w:val="center"/>
            <w:rPr>
              <w:color w:val="5B9BD5" w:themeColor="accent1"/>
            </w:rPr>
          </w:pPr>
          <w:r>
            <w:rPr>
              <w:noProof/>
              <w:color w:val="5B9BD5" w:themeColor="accent1"/>
            </w:rPr>
            <w:drawing>
              <wp:inline distT="0" distB="0" distL="0" distR="0" wp14:anchorId="47A2EE95" wp14:editId="50A7A491">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p w14:paraId="1ADC1124" w14:textId="76F71C7E" w:rsidR="007D1947" w:rsidRPr="0023137F" w:rsidRDefault="0023137F" w:rsidP="0023137F">
          <w:pPr>
            <w:pStyle w:val="NoSpacing"/>
            <w:pBdr>
              <w:top w:val="single" w:sz="6" w:space="6" w:color="5B9BD5" w:themeColor="accent1"/>
              <w:bottom w:val="single" w:sz="6" w:space="6" w:color="5B9BD5" w:themeColor="accent1"/>
            </w:pBdr>
            <w:spacing w:after="240"/>
            <w:jc w:val="center"/>
            <w:rPr>
              <w:rFonts w:asciiTheme="majorHAnsi" w:eastAsiaTheme="majorEastAsia" w:hAnsiTheme="majorHAnsi" w:cstheme="majorBidi"/>
              <w:caps/>
              <w:color w:val="5B9BD5" w:themeColor="accent1"/>
              <w:sz w:val="72"/>
              <w:szCs w:val="72"/>
            </w:rPr>
          </w:pPr>
          <w:r w:rsidRPr="0023137F">
            <w:rPr>
              <w:rFonts w:asciiTheme="majorHAnsi" w:eastAsiaTheme="majorEastAsia" w:hAnsiTheme="majorHAnsi" w:cstheme="majorBidi"/>
              <w:caps/>
              <w:color w:val="5B9BD5" w:themeColor="accent1"/>
              <w:sz w:val="72"/>
              <w:szCs w:val="72"/>
            </w:rPr>
            <w:t xml:space="preserve">AI </w:t>
          </w:r>
          <w:r>
            <w:rPr>
              <w:rFonts w:asciiTheme="majorHAnsi" w:eastAsiaTheme="majorEastAsia" w:hAnsiTheme="majorHAnsi" w:cstheme="majorBidi"/>
              <w:caps/>
              <w:color w:val="5B9BD5" w:themeColor="accent1"/>
              <w:sz w:val="72"/>
              <w:szCs w:val="72"/>
            </w:rPr>
            <w:t xml:space="preserve">based </w:t>
          </w:r>
          <w:r w:rsidRPr="0023137F">
            <w:rPr>
              <w:rFonts w:asciiTheme="majorHAnsi" w:eastAsiaTheme="majorEastAsia" w:hAnsiTheme="majorHAnsi" w:cstheme="majorBidi"/>
              <w:caps/>
              <w:color w:val="5B9BD5" w:themeColor="accent1"/>
              <w:sz w:val="72"/>
              <w:szCs w:val="72"/>
            </w:rPr>
            <w:t>Risk Management Strategy for Accentur</w:t>
          </w:r>
          <w:r w:rsidR="007D1947">
            <w:rPr>
              <w:noProof/>
              <w:color w:val="5B9BD5" w:themeColor="accent1"/>
            </w:rPr>
            <mc:AlternateContent>
              <mc:Choice Requires="wps">
                <w:drawing>
                  <wp:anchor distT="0" distB="0" distL="114300" distR="114300" simplePos="0" relativeHeight="251657216" behindDoc="0" locked="0" layoutInCell="1" allowOverlap="1" wp14:anchorId="4A6131BB" wp14:editId="0DBDB1B9">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5731510" cy="589915"/>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5731510" cy="58991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2BAF8D9" w14:textId="6A4546BC" w:rsidR="009E3627" w:rsidRDefault="009E3627">
                                <w:pPr>
                                  <w:pStyle w:val="NoSpacing"/>
                                  <w:spacing w:after="40"/>
                                  <w:jc w:val="center"/>
                                  <w:rPr>
                                    <w:caps/>
                                    <w:color w:val="5B9BD5" w:themeColor="accent1"/>
                                    <w:sz w:val="28"/>
                                    <w:szCs w:val="28"/>
                                  </w:rPr>
                                </w:pPr>
                              </w:p>
                              <w:p w14:paraId="69E98CB3" w14:textId="54DAD5B4" w:rsidR="009E3627" w:rsidRDefault="009E3627">
                                <w:pPr>
                                  <w:pStyle w:val="NoSpacing"/>
                                  <w:jc w:val="center"/>
                                  <w:rPr>
                                    <w:color w:val="5B9BD5" w:themeColor="accent1"/>
                                  </w:rPr>
                                </w:pPr>
                                <w:r>
                                  <w:rPr>
                                    <w:caps/>
                                    <w:color w:val="5B9BD5" w:themeColor="accent1"/>
                                    <w:lang w:val="en-GB"/>
                                  </w:rPr>
                                  <w:t>University of Wales Trinity Saint David</w:t>
                                </w:r>
                              </w:p>
                              <w:p w14:paraId="3FC79022" w14:textId="7EB78D29" w:rsidR="009E3627" w:rsidRDefault="009E3627">
                                <w:pPr>
                                  <w:pStyle w:val="NoSpacing"/>
                                  <w:jc w:val="center"/>
                                  <w:rPr>
                                    <w:color w:val="5B9BD5" w:themeColor="accent1"/>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4A6131BB" id="_x0000_t202" coordsize="21600,21600" o:spt="202" path="m,l,21600r21600,l21600,xe">
                    <v:stroke joinstyle="miter"/>
                    <v:path gradientshapeok="t" o:connecttype="rect"/>
                  </v:shapetype>
                  <v:shape id="Text Box 142" o:spid="_x0000_s1026" type="#_x0000_t202" style="position:absolute;left:0;text-align:left;margin-left:0;margin-top:0;width:451.3pt;height:46.45pt;z-index:251657216;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" filled="f" stroked="f" strokeweight=".5pt">
                    <v:textbox style="mso-fit-shape-to-text:t" inset="0,0,0,0">
                      <w:txbxContent>
                        <w:p w14:paraId="52BAF8D9" w14:textId="6A4546BC" w:rsidR="009E3627" w:rsidRDefault="009E3627">
                          <w:pPr>
                            <w:pStyle w:val="NoSpacing"/>
                            <w:spacing w:after="40"/>
                            <w:jc w:val="center"/>
                            <w:rPr>
                              <w:caps/>
                              <w:color w:val="5B9BD5" w:themeColor="accent1"/>
                              <w:sz w:val="28"/>
                              <w:szCs w:val="28"/>
                            </w:rPr>
                          </w:pPr>
                        </w:p>
                        <w:p w14:paraId="69E98CB3" w14:textId="54DAD5B4" w:rsidR="009E3627" w:rsidRDefault="009E3627">
                          <w:pPr>
                            <w:pStyle w:val="NoSpacing"/>
                            <w:jc w:val="center"/>
                            <w:rPr>
                              <w:color w:val="5B9BD5" w:themeColor="accent1"/>
                            </w:rPr>
                          </w:pPr>
                          <w:r>
                            <w:rPr>
                              <w:caps/>
                              <w:color w:val="5B9BD5" w:themeColor="accent1"/>
                              <w:lang w:val="en-GB"/>
                            </w:rPr>
                            <w:t>University of Wales Trinity Saint David</w:t>
                          </w:r>
                        </w:p>
                        <w:p w14:paraId="3FC79022" w14:textId="7EB78D29" w:rsidR="009E3627" w:rsidRDefault="009E3627">
                          <w:pPr>
                            <w:pStyle w:val="NoSpacing"/>
                            <w:jc w:val="center"/>
                            <w:rPr>
                              <w:color w:val="5B9BD5" w:themeColor="accent1"/>
                            </w:rPr>
                          </w:pPr>
                        </w:p>
                      </w:txbxContent>
                    </v:textbox>
                    <w10:wrap anchorx="margin" anchory="page"/>
                  </v:shape>
                </w:pict>
              </mc:Fallback>
            </mc:AlternateContent>
          </w:r>
        </w:p>
        <w:p w14:paraId="3EB950E5" w14:textId="77777777" w:rsidR="007D5E8B" w:rsidRPr="007D5E8B" w:rsidRDefault="007D5E8B" w:rsidP="007D5E8B">
          <w:pPr>
            <w:rPr>
              <w:b/>
              <w:sz w:val="28"/>
            </w:rPr>
          </w:pPr>
        </w:p>
        <w:p w14:paraId="2EF784DA" w14:textId="35B0E5BA" w:rsidR="007D5E8B" w:rsidRPr="007D5E8B" w:rsidRDefault="007D5E8B" w:rsidP="007D5E8B">
          <w:pPr>
            <w:jc w:val="center"/>
            <w:rPr>
              <w:b/>
              <w:sz w:val="28"/>
            </w:rPr>
          </w:pPr>
          <w:r>
            <w:rPr>
              <w:b/>
              <w:sz w:val="28"/>
            </w:rPr>
            <w:t xml:space="preserve">Programme: </w:t>
          </w:r>
          <w:r w:rsidRPr="007D5E8B">
            <w:rPr>
              <w:b/>
              <w:sz w:val="28"/>
            </w:rPr>
            <w:t>MBA</w:t>
          </w:r>
        </w:p>
        <w:p w14:paraId="68B05A16" w14:textId="75292B23" w:rsidR="007D5E8B" w:rsidRPr="007D5E8B" w:rsidRDefault="007D5E8B" w:rsidP="007D5E8B">
          <w:pPr>
            <w:jc w:val="center"/>
            <w:rPr>
              <w:b/>
              <w:sz w:val="28"/>
            </w:rPr>
          </w:pPr>
          <w:r>
            <w:rPr>
              <w:b/>
              <w:sz w:val="28"/>
            </w:rPr>
            <w:t xml:space="preserve">Module: </w:t>
          </w:r>
          <w:r w:rsidRPr="007D5E8B">
            <w:rPr>
              <w:b/>
              <w:sz w:val="28"/>
            </w:rPr>
            <w:t>Global Business Challenges</w:t>
          </w:r>
        </w:p>
        <w:p w14:paraId="49B33FD6" w14:textId="77777777" w:rsidR="007D5E8B" w:rsidRDefault="007D5E8B" w:rsidP="007D5E8B">
          <w:pPr>
            <w:jc w:val="center"/>
            <w:rPr>
              <w:b/>
              <w:sz w:val="28"/>
            </w:rPr>
          </w:pPr>
          <w:r>
            <w:rPr>
              <w:b/>
              <w:sz w:val="28"/>
            </w:rPr>
            <w:t xml:space="preserve">Module code: </w:t>
          </w:r>
          <w:r w:rsidRPr="007D5E8B">
            <w:rPr>
              <w:b/>
              <w:sz w:val="28"/>
            </w:rPr>
            <w:t>BMMB7006</w:t>
          </w:r>
        </w:p>
        <w:p w14:paraId="16EB6A0B" w14:textId="77777777" w:rsidR="007D5E8B" w:rsidRDefault="007D5E8B" w:rsidP="007D5E8B">
          <w:pPr>
            <w:jc w:val="center"/>
            <w:rPr>
              <w:b/>
              <w:sz w:val="28"/>
            </w:rPr>
          </w:pPr>
        </w:p>
        <w:p w14:paraId="3E4C45C7" w14:textId="77777777" w:rsidR="007D5E8B" w:rsidRDefault="007D5E8B" w:rsidP="007D5E8B">
          <w:pPr>
            <w:jc w:val="center"/>
            <w:rPr>
              <w:b/>
              <w:sz w:val="28"/>
            </w:rPr>
          </w:pPr>
        </w:p>
        <w:p w14:paraId="62C7BBD3" w14:textId="77777777" w:rsidR="007D5E8B" w:rsidRPr="007D5E8B" w:rsidRDefault="007D5E8B" w:rsidP="007D5E8B">
          <w:pPr>
            <w:jc w:val="center"/>
            <w:rPr>
              <w:b/>
            </w:rPr>
          </w:pPr>
          <w:r w:rsidRPr="007D5E8B">
            <w:rPr>
              <w:b/>
            </w:rPr>
            <w:t>Student name: Mahedi Hasan</w:t>
          </w:r>
        </w:p>
        <w:p w14:paraId="527C7CAA" w14:textId="237D8B62" w:rsidR="00983EF9" w:rsidRDefault="007D5E8B" w:rsidP="007D5E8B">
          <w:pPr>
            <w:jc w:val="center"/>
            <w:sectPr w:rsidR="00983EF9" w:rsidSect="007D1947">
              <w:footerReference w:type="default" r:id="rId9"/>
              <w:pgSz w:w="11906" w:h="16838"/>
              <w:pgMar w:top="1440" w:right="1440" w:bottom="1440" w:left="1440" w:header="708" w:footer="708" w:gutter="0"/>
              <w:pgNumType w:start="0"/>
              <w:cols w:space="708"/>
              <w:titlePg/>
              <w:docGrid w:linePitch="360"/>
            </w:sectPr>
          </w:pPr>
          <w:r w:rsidRPr="007D5E8B">
            <w:rPr>
              <w:b/>
            </w:rPr>
            <w:t>Student ID number: 2506430</w:t>
          </w:r>
          <w:r w:rsidR="007D1947">
            <w:br w:type="page"/>
          </w:r>
        </w:p>
        <w:p w14:paraId="6846CF66" w14:textId="327BCD37" w:rsidR="007D1947" w:rsidRPr="00983EF9" w:rsidRDefault="007D1947" w:rsidP="00983EF9">
          <w:pPr>
            <w:pStyle w:val="Heading1"/>
          </w:pPr>
          <w:bookmarkStart w:id="0" w:name="_Toc227531812"/>
          <w:r w:rsidRPr="00983EF9">
            <w:lastRenderedPageBreak/>
            <w:t>Executive</w:t>
          </w:r>
          <w:r>
            <w:t xml:space="preserve"> Summary</w:t>
          </w:r>
          <w:bookmarkEnd w:id="0"/>
        </w:p>
        <w:p w14:paraId="3E204757" w14:textId="495CE790" w:rsidR="007D1947" w:rsidRPr="00DE4433" w:rsidRDefault="002C1F69" w:rsidP="00DE4433">
          <w:pPr>
            <w:rPr>
              <w:lang w:val="en-US"/>
            </w:rPr>
          </w:pPr>
          <w:r w:rsidRPr="002C1F69">
            <w:rPr>
              <w:lang w:val="en-US"/>
            </w:rPr>
            <w:t>In this research, the entire risk management strategy of Accenture is described, focusing on regulatory, data, ethical AI, customer trust, and the macroeconomic context in which the company operates. Accenture has intensified the barriers to implementing AI solutions with international customers, such as legal issues, privacy of data, ethical use of AI, and expectations of stakeholders. The study draws a parallel between AI legislation principles-based AI legislation in the UK and the EU AI Act, highlighting the distinctions in flexibility and compliance requirements. It further addresses the importance of data governance that is concerned with data quality, lineage, openness, and privacy and how Accenture can enhance them. Fairness, accountability, and explainability are all key ethical AI principles to maintain consumer trust, particularly following actual misuses of real-world experiences, including the Amazon AI recruiting application and the HireVue AI-based video interviewing. The study also includes the stakeholder theory by Freeman that says that the AI at Accenture should align with the expectations of society so that it can establish and sustain trust with its stakeholders. The macroeconomic environment of inflation, geopolitical threats, and ESG constraints is examined, along with advice for Accenture to capitalize on possibilities in AI investments like energy-efficient designs and open-source frameworks. The plan of implementation outlines an organized plan through which Accenture will enhance AI governance by establishing committees, rules, transparency, and external auditing to demonstrate adherence, ethical responsibility, and stakeholder trust.</w:t>
          </w:r>
        </w:p>
        <w:p w14:paraId="775DA3A7" w14:textId="77777777" w:rsidR="007D1947" w:rsidRDefault="007D1947" w:rsidP="00983EF9"/>
        <w:p w14:paraId="5E5C2FB5" w14:textId="77777777" w:rsidR="007D1947" w:rsidRDefault="007D1947" w:rsidP="00983EF9"/>
        <w:p w14:paraId="119F1E47" w14:textId="77777777" w:rsidR="007D1947" w:rsidRDefault="007D1947" w:rsidP="00983EF9"/>
        <w:p w14:paraId="2059565F" w14:textId="77777777" w:rsidR="007D1947" w:rsidRDefault="007D1947" w:rsidP="00983EF9"/>
        <w:p w14:paraId="72007EBA" w14:textId="77777777" w:rsidR="00DE4433" w:rsidRDefault="00DE4433" w:rsidP="00983EF9"/>
        <w:p w14:paraId="587FDA57" w14:textId="77777777" w:rsidR="00DE4433" w:rsidRDefault="00DE4433" w:rsidP="00983EF9"/>
        <w:p w14:paraId="1E53466B" w14:textId="77777777" w:rsidR="007D1947" w:rsidRDefault="007D1947" w:rsidP="00983EF9"/>
        <w:p w14:paraId="7BC12A6B" w14:textId="77777777" w:rsidR="007D1947" w:rsidRDefault="007D1947" w:rsidP="00983EF9"/>
        <w:p w14:paraId="0EAD00A7" w14:textId="77777777" w:rsidR="007D1947" w:rsidRDefault="007D1947" w:rsidP="00983EF9"/>
        <w:sdt>
          <w:sdtPr>
            <w:rPr>
              <w:rFonts w:asciiTheme="minorHAnsi" w:eastAsiaTheme="minorHAnsi" w:hAnsiTheme="minorHAnsi" w:cstheme="minorBidi"/>
              <w:b w:val="0"/>
              <w:color w:val="auto"/>
              <w:sz w:val="22"/>
              <w:szCs w:val="22"/>
              <w:lang w:val="en-GB"/>
            </w:rPr>
            <w:id w:val="-1297214018"/>
            <w:docPartObj>
              <w:docPartGallery w:val="Table of Contents"/>
              <w:docPartUnique/>
            </w:docPartObj>
          </w:sdtPr>
          <w:sdtEndPr>
            <w:rPr>
              <w:rFonts w:ascii="Arial" w:hAnsi="Arial"/>
              <w:bCs/>
              <w:noProof/>
            </w:rPr>
          </w:sdtEndPr>
          <w:sdtContent>
            <w:p w14:paraId="1DFECD67" w14:textId="77777777" w:rsidR="007D1947" w:rsidRDefault="007D1947" w:rsidP="00983EF9">
              <w:pPr>
                <w:pStyle w:val="TOCHeading"/>
              </w:pPr>
              <w:r>
                <w:t>Table of Contents</w:t>
              </w:r>
            </w:p>
            <w:p w14:paraId="48CAA6FD" w14:textId="77777777" w:rsidR="002C1F69" w:rsidRDefault="007D1947">
              <w:pPr>
                <w:pStyle w:val="TOC1"/>
                <w:tabs>
                  <w:tab w:val="right" w:leader="dot" w:pos="9016"/>
                </w:tabs>
                <w:rPr>
                  <w:rFonts w:asciiTheme="minorHAnsi" w:eastAsiaTheme="minorEastAsia" w:hAnsiTheme="minorHAnsi"/>
                  <w:noProof/>
                  <w:lang w:val="en-US"/>
                </w:rPr>
              </w:pPr>
              <w:r>
                <w:fldChar w:fldCharType="begin"/>
              </w:r>
              <w:r>
                <w:instrText xml:space="preserve"> TOC \o "1-3" \h \z \u </w:instrText>
              </w:r>
              <w:r>
                <w:fldChar w:fldCharType="separate"/>
              </w:r>
              <w:hyperlink w:anchor="_Toc227531812" w:history="1">
                <w:r w:rsidR="002C1F69" w:rsidRPr="00497F49">
                  <w:rPr>
                    <w:rStyle w:val="Hyperlink"/>
                    <w:noProof/>
                  </w:rPr>
                  <w:t>Executive Summary</w:t>
                </w:r>
                <w:r w:rsidR="002C1F69">
                  <w:rPr>
                    <w:noProof/>
                    <w:webHidden/>
                  </w:rPr>
                  <w:tab/>
                </w:r>
                <w:r w:rsidR="002C1F69">
                  <w:rPr>
                    <w:noProof/>
                    <w:webHidden/>
                  </w:rPr>
                  <w:fldChar w:fldCharType="begin"/>
                </w:r>
                <w:r w:rsidR="002C1F69">
                  <w:rPr>
                    <w:noProof/>
                    <w:webHidden/>
                  </w:rPr>
                  <w:instrText xml:space="preserve"> PAGEREF _Toc227531812 \h </w:instrText>
                </w:r>
                <w:r w:rsidR="002C1F69">
                  <w:rPr>
                    <w:noProof/>
                    <w:webHidden/>
                  </w:rPr>
                </w:r>
                <w:r w:rsidR="002C1F69">
                  <w:rPr>
                    <w:noProof/>
                    <w:webHidden/>
                  </w:rPr>
                  <w:fldChar w:fldCharType="separate"/>
                </w:r>
                <w:r w:rsidR="002C1F69">
                  <w:rPr>
                    <w:noProof/>
                    <w:webHidden/>
                  </w:rPr>
                  <w:t>i</w:t>
                </w:r>
                <w:r w:rsidR="002C1F69">
                  <w:rPr>
                    <w:noProof/>
                    <w:webHidden/>
                  </w:rPr>
                  <w:fldChar w:fldCharType="end"/>
                </w:r>
              </w:hyperlink>
            </w:p>
            <w:p w14:paraId="2175163F" w14:textId="77777777" w:rsidR="002C1F69" w:rsidRDefault="00C97455">
              <w:pPr>
                <w:pStyle w:val="TOC1"/>
                <w:tabs>
                  <w:tab w:val="right" w:leader="dot" w:pos="9016"/>
                </w:tabs>
                <w:rPr>
                  <w:rFonts w:asciiTheme="minorHAnsi" w:eastAsiaTheme="minorEastAsia" w:hAnsiTheme="minorHAnsi"/>
                  <w:noProof/>
                  <w:lang w:val="en-US"/>
                </w:rPr>
              </w:pPr>
              <w:hyperlink w:anchor="_Toc227531813" w:history="1">
                <w:r w:rsidR="002C1F69" w:rsidRPr="00497F49">
                  <w:rPr>
                    <w:rStyle w:val="Hyperlink"/>
                    <w:noProof/>
                    <w:lang w:val="en-US"/>
                  </w:rPr>
                  <w:t>1.0 Introduction</w:t>
                </w:r>
                <w:r w:rsidR="002C1F69">
                  <w:rPr>
                    <w:noProof/>
                    <w:webHidden/>
                  </w:rPr>
                  <w:tab/>
                </w:r>
                <w:r w:rsidR="002C1F69">
                  <w:rPr>
                    <w:noProof/>
                    <w:webHidden/>
                  </w:rPr>
                  <w:fldChar w:fldCharType="begin"/>
                </w:r>
                <w:r w:rsidR="002C1F69">
                  <w:rPr>
                    <w:noProof/>
                    <w:webHidden/>
                  </w:rPr>
                  <w:instrText xml:space="preserve"> PAGEREF _Toc227531813 \h </w:instrText>
                </w:r>
                <w:r w:rsidR="002C1F69">
                  <w:rPr>
                    <w:noProof/>
                    <w:webHidden/>
                  </w:rPr>
                </w:r>
                <w:r w:rsidR="002C1F69">
                  <w:rPr>
                    <w:noProof/>
                    <w:webHidden/>
                  </w:rPr>
                  <w:fldChar w:fldCharType="separate"/>
                </w:r>
                <w:r w:rsidR="002C1F69">
                  <w:rPr>
                    <w:noProof/>
                    <w:webHidden/>
                  </w:rPr>
                  <w:t>1</w:t>
                </w:r>
                <w:r w:rsidR="002C1F69">
                  <w:rPr>
                    <w:noProof/>
                    <w:webHidden/>
                  </w:rPr>
                  <w:fldChar w:fldCharType="end"/>
                </w:r>
              </w:hyperlink>
            </w:p>
            <w:p w14:paraId="23E33CAA" w14:textId="77777777" w:rsidR="002C1F69" w:rsidRDefault="00C97455">
              <w:pPr>
                <w:pStyle w:val="TOC1"/>
                <w:tabs>
                  <w:tab w:val="right" w:leader="dot" w:pos="9016"/>
                </w:tabs>
                <w:rPr>
                  <w:rFonts w:asciiTheme="minorHAnsi" w:eastAsiaTheme="minorEastAsia" w:hAnsiTheme="minorHAnsi"/>
                  <w:noProof/>
                  <w:lang w:val="en-US"/>
                </w:rPr>
              </w:pPr>
              <w:hyperlink w:anchor="_Toc227531814" w:history="1">
                <w:r w:rsidR="002C1F69" w:rsidRPr="00497F49">
                  <w:rPr>
                    <w:rStyle w:val="Hyperlink"/>
                    <w:noProof/>
                    <w:lang w:val="en-US"/>
                  </w:rPr>
                  <w:t>2.0 International Business Environment and Macro Context</w:t>
                </w:r>
                <w:r w:rsidR="002C1F69">
                  <w:rPr>
                    <w:noProof/>
                    <w:webHidden/>
                  </w:rPr>
                  <w:tab/>
                </w:r>
                <w:r w:rsidR="002C1F69">
                  <w:rPr>
                    <w:noProof/>
                    <w:webHidden/>
                  </w:rPr>
                  <w:fldChar w:fldCharType="begin"/>
                </w:r>
                <w:r w:rsidR="002C1F69">
                  <w:rPr>
                    <w:noProof/>
                    <w:webHidden/>
                  </w:rPr>
                  <w:instrText xml:space="preserve"> PAGEREF _Toc227531814 \h </w:instrText>
                </w:r>
                <w:r w:rsidR="002C1F69">
                  <w:rPr>
                    <w:noProof/>
                    <w:webHidden/>
                  </w:rPr>
                </w:r>
                <w:r w:rsidR="002C1F69">
                  <w:rPr>
                    <w:noProof/>
                    <w:webHidden/>
                  </w:rPr>
                  <w:fldChar w:fldCharType="separate"/>
                </w:r>
                <w:r w:rsidR="002C1F69">
                  <w:rPr>
                    <w:noProof/>
                    <w:webHidden/>
                  </w:rPr>
                  <w:t>2</w:t>
                </w:r>
                <w:r w:rsidR="002C1F69">
                  <w:rPr>
                    <w:noProof/>
                    <w:webHidden/>
                  </w:rPr>
                  <w:fldChar w:fldCharType="end"/>
                </w:r>
              </w:hyperlink>
            </w:p>
            <w:p w14:paraId="5F9B0E10" w14:textId="77777777" w:rsidR="002C1F69" w:rsidRDefault="00C97455">
              <w:pPr>
                <w:pStyle w:val="TOC2"/>
                <w:tabs>
                  <w:tab w:val="right" w:leader="dot" w:pos="9016"/>
                </w:tabs>
                <w:rPr>
                  <w:rFonts w:asciiTheme="minorHAnsi" w:eastAsiaTheme="minorEastAsia" w:hAnsiTheme="minorHAnsi"/>
                  <w:noProof/>
                  <w:lang w:val="en-US"/>
                </w:rPr>
              </w:pPr>
              <w:hyperlink w:anchor="_Toc227531815" w:history="1">
                <w:r w:rsidR="002C1F69" w:rsidRPr="00497F49">
                  <w:rPr>
                    <w:rStyle w:val="Hyperlink"/>
                    <w:noProof/>
                    <w:lang w:val="en-US"/>
                  </w:rPr>
                  <w:t>2.1 Political and Regulatory Landscape</w:t>
                </w:r>
                <w:r w:rsidR="002C1F69">
                  <w:rPr>
                    <w:noProof/>
                    <w:webHidden/>
                  </w:rPr>
                  <w:tab/>
                </w:r>
                <w:r w:rsidR="002C1F69">
                  <w:rPr>
                    <w:noProof/>
                    <w:webHidden/>
                  </w:rPr>
                  <w:fldChar w:fldCharType="begin"/>
                </w:r>
                <w:r w:rsidR="002C1F69">
                  <w:rPr>
                    <w:noProof/>
                    <w:webHidden/>
                  </w:rPr>
                  <w:instrText xml:space="preserve"> PAGEREF _Toc227531815 \h </w:instrText>
                </w:r>
                <w:r w:rsidR="002C1F69">
                  <w:rPr>
                    <w:noProof/>
                    <w:webHidden/>
                  </w:rPr>
                </w:r>
                <w:r w:rsidR="002C1F69">
                  <w:rPr>
                    <w:noProof/>
                    <w:webHidden/>
                  </w:rPr>
                  <w:fldChar w:fldCharType="separate"/>
                </w:r>
                <w:r w:rsidR="002C1F69">
                  <w:rPr>
                    <w:noProof/>
                    <w:webHidden/>
                  </w:rPr>
                  <w:t>2</w:t>
                </w:r>
                <w:r w:rsidR="002C1F69">
                  <w:rPr>
                    <w:noProof/>
                    <w:webHidden/>
                  </w:rPr>
                  <w:fldChar w:fldCharType="end"/>
                </w:r>
              </w:hyperlink>
            </w:p>
            <w:p w14:paraId="5A776084" w14:textId="77777777" w:rsidR="002C1F69" w:rsidRDefault="00C97455">
              <w:pPr>
                <w:pStyle w:val="TOC2"/>
                <w:tabs>
                  <w:tab w:val="right" w:leader="dot" w:pos="9016"/>
                </w:tabs>
                <w:rPr>
                  <w:rFonts w:asciiTheme="minorHAnsi" w:eastAsiaTheme="minorEastAsia" w:hAnsiTheme="minorHAnsi"/>
                  <w:noProof/>
                  <w:lang w:val="en-US"/>
                </w:rPr>
              </w:pPr>
              <w:hyperlink w:anchor="_Toc227531816" w:history="1">
                <w:r w:rsidR="002C1F69" w:rsidRPr="00497F49">
                  <w:rPr>
                    <w:rStyle w:val="Hyperlink"/>
                    <w:noProof/>
                    <w:lang w:val="en-US"/>
                  </w:rPr>
                  <w:t>2.2 Economic Factors Influencing AI</w:t>
                </w:r>
                <w:r w:rsidR="002C1F69">
                  <w:rPr>
                    <w:noProof/>
                    <w:webHidden/>
                  </w:rPr>
                  <w:tab/>
                </w:r>
                <w:r w:rsidR="002C1F69">
                  <w:rPr>
                    <w:noProof/>
                    <w:webHidden/>
                  </w:rPr>
                  <w:fldChar w:fldCharType="begin"/>
                </w:r>
                <w:r w:rsidR="002C1F69">
                  <w:rPr>
                    <w:noProof/>
                    <w:webHidden/>
                  </w:rPr>
                  <w:instrText xml:space="preserve"> PAGEREF _Toc227531816 \h </w:instrText>
                </w:r>
                <w:r w:rsidR="002C1F69">
                  <w:rPr>
                    <w:noProof/>
                    <w:webHidden/>
                  </w:rPr>
                </w:r>
                <w:r w:rsidR="002C1F69">
                  <w:rPr>
                    <w:noProof/>
                    <w:webHidden/>
                  </w:rPr>
                  <w:fldChar w:fldCharType="separate"/>
                </w:r>
                <w:r w:rsidR="002C1F69">
                  <w:rPr>
                    <w:noProof/>
                    <w:webHidden/>
                  </w:rPr>
                  <w:t>2</w:t>
                </w:r>
                <w:r w:rsidR="002C1F69">
                  <w:rPr>
                    <w:noProof/>
                    <w:webHidden/>
                  </w:rPr>
                  <w:fldChar w:fldCharType="end"/>
                </w:r>
              </w:hyperlink>
            </w:p>
            <w:p w14:paraId="30BE8697" w14:textId="77777777" w:rsidR="002C1F69" w:rsidRDefault="00C97455">
              <w:pPr>
                <w:pStyle w:val="TOC2"/>
                <w:tabs>
                  <w:tab w:val="right" w:leader="dot" w:pos="9016"/>
                </w:tabs>
                <w:rPr>
                  <w:rFonts w:asciiTheme="minorHAnsi" w:eastAsiaTheme="minorEastAsia" w:hAnsiTheme="minorHAnsi"/>
                  <w:noProof/>
                  <w:lang w:val="en-US"/>
                </w:rPr>
              </w:pPr>
              <w:hyperlink w:anchor="_Toc227531817" w:history="1">
                <w:r w:rsidR="002C1F69" w:rsidRPr="00497F49">
                  <w:rPr>
                    <w:rStyle w:val="Hyperlink"/>
                    <w:noProof/>
                    <w:lang w:val="en-US"/>
                  </w:rPr>
                  <w:t>2.3 Technological Developments</w:t>
                </w:r>
                <w:r w:rsidR="002C1F69">
                  <w:rPr>
                    <w:noProof/>
                    <w:webHidden/>
                  </w:rPr>
                  <w:tab/>
                </w:r>
                <w:r w:rsidR="002C1F69">
                  <w:rPr>
                    <w:noProof/>
                    <w:webHidden/>
                  </w:rPr>
                  <w:fldChar w:fldCharType="begin"/>
                </w:r>
                <w:r w:rsidR="002C1F69">
                  <w:rPr>
                    <w:noProof/>
                    <w:webHidden/>
                  </w:rPr>
                  <w:instrText xml:space="preserve"> PAGEREF _Toc227531817 \h </w:instrText>
                </w:r>
                <w:r w:rsidR="002C1F69">
                  <w:rPr>
                    <w:noProof/>
                    <w:webHidden/>
                  </w:rPr>
                </w:r>
                <w:r w:rsidR="002C1F69">
                  <w:rPr>
                    <w:noProof/>
                    <w:webHidden/>
                  </w:rPr>
                  <w:fldChar w:fldCharType="separate"/>
                </w:r>
                <w:r w:rsidR="002C1F69">
                  <w:rPr>
                    <w:noProof/>
                    <w:webHidden/>
                  </w:rPr>
                  <w:t>4</w:t>
                </w:r>
                <w:r w:rsidR="002C1F69">
                  <w:rPr>
                    <w:noProof/>
                    <w:webHidden/>
                  </w:rPr>
                  <w:fldChar w:fldCharType="end"/>
                </w:r>
              </w:hyperlink>
            </w:p>
            <w:p w14:paraId="183E1225" w14:textId="77777777" w:rsidR="002C1F69" w:rsidRDefault="00C97455">
              <w:pPr>
                <w:pStyle w:val="TOC2"/>
                <w:tabs>
                  <w:tab w:val="right" w:leader="dot" w:pos="9016"/>
                </w:tabs>
                <w:rPr>
                  <w:rFonts w:asciiTheme="minorHAnsi" w:eastAsiaTheme="minorEastAsia" w:hAnsiTheme="minorHAnsi"/>
                  <w:noProof/>
                  <w:lang w:val="en-US"/>
                </w:rPr>
              </w:pPr>
              <w:hyperlink w:anchor="_Toc227531818" w:history="1">
                <w:r w:rsidR="002C1F69" w:rsidRPr="00497F49">
                  <w:rPr>
                    <w:rStyle w:val="Hyperlink"/>
                    <w:noProof/>
                    <w:lang w:val="en-US"/>
                  </w:rPr>
                  <w:t>2.4 Legal Considerations and Risk Exposure</w:t>
                </w:r>
                <w:r w:rsidR="002C1F69">
                  <w:rPr>
                    <w:noProof/>
                    <w:webHidden/>
                  </w:rPr>
                  <w:tab/>
                </w:r>
                <w:r w:rsidR="002C1F69">
                  <w:rPr>
                    <w:noProof/>
                    <w:webHidden/>
                  </w:rPr>
                  <w:fldChar w:fldCharType="begin"/>
                </w:r>
                <w:r w:rsidR="002C1F69">
                  <w:rPr>
                    <w:noProof/>
                    <w:webHidden/>
                  </w:rPr>
                  <w:instrText xml:space="preserve"> PAGEREF _Toc227531818 \h </w:instrText>
                </w:r>
                <w:r w:rsidR="002C1F69">
                  <w:rPr>
                    <w:noProof/>
                    <w:webHidden/>
                  </w:rPr>
                </w:r>
                <w:r w:rsidR="002C1F69">
                  <w:rPr>
                    <w:noProof/>
                    <w:webHidden/>
                  </w:rPr>
                  <w:fldChar w:fldCharType="separate"/>
                </w:r>
                <w:r w:rsidR="002C1F69">
                  <w:rPr>
                    <w:noProof/>
                    <w:webHidden/>
                  </w:rPr>
                  <w:t>5</w:t>
                </w:r>
                <w:r w:rsidR="002C1F69">
                  <w:rPr>
                    <w:noProof/>
                    <w:webHidden/>
                  </w:rPr>
                  <w:fldChar w:fldCharType="end"/>
                </w:r>
              </w:hyperlink>
            </w:p>
            <w:p w14:paraId="204ACD44" w14:textId="77777777" w:rsidR="002C1F69" w:rsidRDefault="00C97455">
              <w:pPr>
                <w:pStyle w:val="TOC2"/>
                <w:tabs>
                  <w:tab w:val="right" w:leader="dot" w:pos="9016"/>
                </w:tabs>
                <w:rPr>
                  <w:rFonts w:asciiTheme="minorHAnsi" w:eastAsiaTheme="minorEastAsia" w:hAnsiTheme="minorHAnsi"/>
                  <w:noProof/>
                  <w:lang w:val="en-US"/>
                </w:rPr>
              </w:pPr>
              <w:hyperlink w:anchor="_Toc227531819" w:history="1">
                <w:r w:rsidR="002C1F69" w:rsidRPr="00497F49">
                  <w:rPr>
                    <w:rStyle w:val="Hyperlink"/>
                    <w:noProof/>
                    <w:lang w:val="en-US"/>
                  </w:rPr>
                  <w:t>2.5 Social and Environmental Aspects</w:t>
                </w:r>
                <w:r w:rsidR="002C1F69">
                  <w:rPr>
                    <w:noProof/>
                    <w:webHidden/>
                  </w:rPr>
                  <w:tab/>
                </w:r>
                <w:r w:rsidR="002C1F69">
                  <w:rPr>
                    <w:noProof/>
                    <w:webHidden/>
                  </w:rPr>
                  <w:fldChar w:fldCharType="begin"/>
                </w:r>
                <w:r w:rsidR="002C1F69">
                  <w:rPr>
                    <w:noProof/>
                    <w:webHidden/>
                  </w:rPr>
                  <w:instrText xml:space="preserve"> PAGEREF _Toc227531819 \h </w:instrText>
                </w:r>
                <w:r w:rsidR="002C1F69">
                  <w:rPr>
                    <w:noProof/>
                    <w:webHidden/>
                  </w:rPr>
                </w:r>
                <w:r w:rsidR="002C1F69">
                  <w:rPr>
                    <w:noProof/>
                    <w:webHidden/>
                  </w:rPr>
                  <w:fldChar w:fldCharType="separate"/>
                </w:r>
                <w:r w:rsidR="002C1F69">
                  <w:rPr>
                    <w:noProof/>
                    <w:webHidden/>
                  </w:rPr>
                  <w:t>5</w:t>
                </w:r>
                <w:r w:rsidR="002C1F69">
                  <w:rPr>
                    <w:noProof/>
                    <w:webHidden/>
                  </w:rPr>
                  <w:fldChar w:fldCharType="end"/>
                </w:r>
              </w:hyperlink>
            </w:p>
            <w:p w14:paraId="70B1698A" w14:textId="77777777" w:rsidR="002C1F69" w:rsidRDefault="00C97455">
              <w:pPr>
                <w:pStyle w:val="TOC1"/>
                <w:tabs>
                  <w:tab w:val="right" w:leader="dot" w:pos="9016"/>
                </w:tabs>
                <w:rPr>
                  <w:rFonts w:asciiTheme="minorHAnsi" w:eastAsiaTheme="minorEastAsia" w:hAnsiTheme="minorHAnsi"/>
                  <w:noProof/>
                  <w:lang w:val="en-US"/>
                </w:rPr>
              </w:pPr>
              <w:hyperlink w:anchor="_Toc227531820" w:history="1">
                <w:r w:rsidR="002C1F69" w:rsidRPr="00497F49">
                  <w:rPr>
                    <w:rStyle w:val="Hyperlink"/>
                    <w:noProof/>
                    <w:lang w:val="en-US"/>
                  </w:rPr>
                  <w:t>3.0 Regulatory, Ethical, and Economic Considerations</w:t>
                </w:r>
                <w:r w:rsidR="002C1F69">
                  <w:rPr>
                    <w:noProof/>
                    <w:webHidden/>
                  </w:rPr>
                  <w:tab/>
                </w:r>
                <w:r w:rsidR="002C1F69">
                  <w:rPr>
                    <w:noProof/>
                    <w:webHidden/>
                  </w:rPr>
                  <w:fldChar w:fldCharType="begin"/>
                </w:r>
                <w:r w:rsidR="002C1F69">
                  <w:rPr>
                    <w:noProof/>
                    <w:webHidden/>
                  </w:rPr>
                  <w:instrText xml:space="preserve"> PAGEREF _Toc227531820 \h </w:instrText>
                </w:r>
                <w:r w:rsidR="002C1F69">
                  <w:rPr>
                    <w:noProof/>
                    <w:webHidden/>
                  </w:rPr>
                </w:r>
                <w:r w:rsidR="002C1F69">
                  <w:rPr>
                    <w:noProof/>
                    <w:webHidden/>
                  </w:rPr>
                  <w:fldChar w:fldCharType="separate"/>
                </w:r>
                <w:r w:rsidR="002C1F69">
                  <w:rPr>
                    <w:noProof/>
                    <w:webHidden/>
                  </w:rPr>
                  <w:t>7</w:t>
                </w:r>
                <w:r w:rsidR="002C1F69">
                  <w:rPr>
                    <w:noProof/>
                    <w:webHidden/>
                  </w:rPr>
                  <w:fldChar w:fldCharType="end"/>
                </w:r>
              </w:hyperlink>
            </w:p>
            <w:p w14:paraId="612ACA0B" w14:textId="77777777" w:rsidR="002C1F69" w:rsidRDefault="00C97455">
              <w:pPr>
                <w:pStyle w:val="TOC2"/>
                <w:tabs>
                  <w:tab w:val="right" w:leader="dot" w:pos="9016"/>
                </w:tabs>
                <w:rPr>
                  <w:rFonts w:asciiTheme="minorHAnsi" w:eastAsiaTheme="minorEastAsia" w:hAnsiTheme="minorHAnsi"/>
                  <w:noProof/>
                  <w:lang w:val="en-US"/>
                </w:rPr>
              </w:pPr>
              <w:hyperlink w:anchor="_Toc227531821" w:history="1">
                <w:r w:rsidR="002C1F69" w:rsidRPr="00497F49">
                  <w:rPr>
                    <w:rStyle w:val="Hyperlink"/>
                    <w:noProof/>
                    <w:lang w:val="en-US"/>
                  </w:rPr>
                  <w:t>3.1 Data Governance</w:t>
                </w:r>
                <w:r w:rsidR="002C1F69">
                  <w:rPr>
                    <w:noProof/>
                    <w:webHidden/>
                  </w:rPr>
                  <w:tab/>
                </w:r>
                <w:r w:rsidR="002C1F69">
                  <w:rPr>
                    <w:noProof/>
                    <w:webHidden/>
                  </w:rPr>
                  <w:fldChar w:fldCharType="begin"/>
                </w:r>
                <w:r w:rsidR="002C1F69">
                  <w:rPr>
                    <w:noProof/>
                    <w:webHidden/>
                  </w:rPr>
                  <w:instrText xml:space="preserve"> PAGEREF _Toc227531821 \h </w:instrText>
                </w:r>
                <w:r w:rsidR="002C1F69">
                  <w:rPr>
                    <w:noProof/>
                    <w:webHidden/>
                  </w:rPr>
                </w:r>
                <w:r w:rsidR="002C1F69">
                  <w:rPr>
                    <w:noProof/>
                    <w:webHidden/>
                  </w:rPr>
                  <w:fldChar w:fldCharType="separate"/>
                </w:r>
                <w:r w:rsidR="002C1F69">
                  <w:rPr>
                    <w:noProof/>
                    <w:webHidden/>
                  </w:rPr>
                  <w:t>7</w:t>
                </w:r>
                <w:r w:rsidR="002C1F69">
                  <w:rPr>
                    <w:noProof/>
                    <w:webHidden/>
                  </w:rPr>
                  <w:fldChar w:fldCharType="end"/>
                </w:r>
              </w:hyperlink>
            </w:p>
            <w:p w14:paraId="4195EC07" w14:textId="77777777" w:rsidR="002C1F69" w:rsidRDefault="00C97455">
              <w:pPr>
                <w:pStyle w:val="TOC2"/>
                <w:tabs>
                  <w:tab w:val="right" w:leader="dot" w:pos="9016"/>
                </w:tabs>
                <w:rPr>
                  <w:rFonts w:asciiTheme="minorHAnsi" w:eastAsiaTheme="minorEastAsia" w:hAnsiTheme="minorHAnsi"/>
                  <w:noProof/>
                  <w:lang w:val="en-US"/>
                </w:rPr>
              </w:pPr>
              <w:hyperlink w:anchor="_Toc227531822" w:history="1">
                <w:r w:rsidR="002C1F69" w:rsidRPr="00497F49">
                  <w:rPr>
                    <w:rStyle w:val="Hyperlink"/>
                    <w:noProof/>
                    <w:lang w:val="en-US"/>
                  </w:rPr>
                  <w:t>3.2 Ethical AI</w:t>
                </w:r>
                <w:r w:rsidR="002C1F69">
                  <w:rPr>
                    <w:noProof/>
                    <w:webHidden/>
                  </w:rPr>
                  <w:tab/>
                </w:r>
                <w:r w:rsidR="002C1F69">
                  <w:rPr>
                    <w:noProof/>
                    <w:webHidden/>
                  </w:rPr>
                  <w:fldChar w:fldCharType="begin"/>
                </w:r>
                <w:r w:rsidR="002C1F69">
                  <w:rPr>
                    <w:noProof/>
                    <w:webHidden/>
                  </w:rPr>
                  <w:instrText xml:space="preserve"> PAGEREF _Toc227531822 \h </w:instrText>
                </w:r>
                <w:r w:rsidR="002C1F69">
                  <w:rPr>
                    <w:noProof/>
                    <w:webHidden/>
                  </w:rPr>
                </w:r>
                <w:r w:rsidR="002C1F69">
                  <w:rPr>
                    <w:noProof/>
                    <w:webHidden/>
                  </w:rPr>
                  <w:fldChar w:fldCharType="separate"/>
                </w:r>
                <w:r w:rsidR="002C1F69">
                  <w:rPr>
                    <w:noProof/>
                    <w:webHidden/>
                  </w:rPr>
                  <w:t>9</w:t>
                </w:r>
                <w:r w:rsidR="002C1F69">
                  <w:rPr>
                    <w:noProof/>
                    <w:webHidden/>
                  </w:rPr>
                  <w:fldChar w:fldCharType="end"/>
                </w:r>
              </w:hyperlink>
            </w:p>
            <w:p w14:paraId="2F8C8ED4" w14:textId="77777777" w:rsidR="002C1F69" w:rsidRDefault="00C97455">
              <w:pPr>
                <w:pStyle w:val="TOC2"/>
                <w:tabs>
                  <w:tab w:val="right" w:leader="dot" w:pos="9016"/>
                </w:tabs>
                <w:rPr>
                  <w:rFonts w:asciiTheme="minorHAnsi" w:eastAsiaTheme="minorEastAsia" w:hAnsiTheme="minorHAnsi"/>
                  <w:noProof/>
                  <w:lang w:val="en-US"/>
                </w:rPr>
              </w:pPr>
              <w:hyperlink w:anchor="_Toc227531823" w:history="1">
                <w:r w:rsidR="002C1F69" w:rsidRPr="00497F49">
                  <w:rPr>
                    <w:rStyle w:val="Hyperlink"/>
                    <w:noProof/>
                    <w:lang w:val="en-US"/>
                  </w:rPr>
                  <w:t>3.3 Regulatory Compliance: UK vs EU</w:t>
                </w:r>
                <w:r w:rsidR="002C1F69">
                  <w:rPr>
                    <w:noProof/>
                    <w:webHidden/>
                  </w:rPr>
                  <w:tab/>
                </w:r>
                <w:r w:rsidR="002C1F69">
                  <w:rPr>
                    <w:noProof/>
                    <w:webHidden/>
                  </w:rPr>
                  <w:fldChar w:fldCharType="begin"/>
                </w:r>
                <w:r w:rsidR="002C1F69">
                  <w:rPr>
                    <w:noProof/>
                    <w:webHidden/>
                  </w:rPr>
                  <w:instrText xml:space="preserve"> PAGEREF _Toc227531823 \h </w:instrText>
                </w:r>
                <w:r w:rsidR="002C1F69">
                  <w:rPr>
                    <w:noProof/>
                    <w:webHidden/>
                  </w:rPr>
                </w:r>
                <w:r w:rsidR="002C1F69">
                  <w:rPr>
                    <w:noProof/>
                    <w:webHidden/>
                  </w:rPr>
                  <w:fldChar w:fldCharType="separate"/>
                </w:r>
                <w:r w:rsidR="002C1F69">
                  <w:rPr>
                    <w:noProof/>
                    <w:webHidden/>
                  </w:rPr>
                  <w:t>10</w:t>
                </w:r>
                <w:r w:rsidR="002C1F69">
                  <w:rPr>
                    <w:noProof/>
                    <w:webHidden/>
                  </w:rPr>
                  <w:fldChar w:fldCharType="end"/>
                </w:r>
              </w:hyperlink>
            </w:p>
            <w:p w14:paraId="3E501D07" w14:textId="77777777" w:rsidR="002C1F69" w:rsidRDefault="00C97455">
              <w:pPr>
                <w:pStyle w:val="TOC2"/>
                <w:tabs>
                  <w:tab w:val="right" w:leader="dot" w:pos="9016"/>
                </w:tabs>
                <w:rPr>
                  <w:rFonts w:asciiTheme="minorHAnsi" w:eastAsiaTheme="minorEastAsia" w:hAnsiTheme="minorHAnsi"/>
                  <w:noProof/>
                  <w:lang w:val="en-US"/>
                </w:rPr>
              </w:pPr>
              <w:hyperlink w:anchor="_Toc227531824" w:history="1">
                <w:r w:rsidR="002C1F69" w:rsidRPr="00497F49">
                  <w:rPr>
                    <w:rStyle w:val="Hyperlink"/>
                    <w:noProof/>
                    <w:lang w:val="en-US"/>
                  </w:rPr>
                  <w:t>3.4 Customer Trust</w:t>
                </w:r>
                <w:r w:rsidR="002C1F69">
                  <w:rPr>
                    <w:noProof/>
                    <w:webHidden/>
                  </w:rPr>
                  <w:tab/>
                </w:r>
                <w:r w:rsidR="002C1F69">
                  <w:rPr>
                    <w:noProof/>
                    <w:webHidden/>
                  </w:rPr>
                  <w:fldChar w:fldCharType="begin"/>
                </w:r>
                <w:r w:rsidR="002C1F69">
                  <w:rPr>
                    <w:noProof/>
                    <w:webHidden/>
                  </w:rPr>
                  <w:instrText xml:space="preserve"> PAGEREF _Toc227531824 \h </w:instrText>
                </w:r>
                <w:r w:rsidR="002C1F69">
                  <w:rPr>
                    <w:noProof/>
                    <w:webHidden/>
                  </w:rPr>
                </w:r>
                <w:r w:rsidR="002C1F69">
                  <w:rPr>
                    <w:noProof/>
                    <w:webHidden/>
                  </w:rPr>
                  <w:fldChar w:fldCharType="separate"/>
                </w:r>
                <w:r w:rsidR="002C1F69">
                  <w:rPr>
                    <w:noProof/>
                    <w:webHidden/>
                  </w:rPr>
                  <w:t>12</w:t>
                </w:r>
                <w:r w:rsidR="002C1F69">
                  <w:rPr>
                    <w:noProof/>
                    <w:webHidden/>
                  </w:rPr>
                  <w:fldChar w:fldCharType="end"/>
                </w:r>
              </w:hyperlink>
            </w:p>
            <w:p w14:paraId="2276705C" w14:textId="77777777" w:rsidR="002C1F69" w:rsidRDefault="00C97455">
              <w:pPr>
                <w:pStyle w:val="TOC2"/>
                <w:tabs>
                  <w:tab w:val="right" w:leader="dot" w:pos="9016"/>
                </w:tabs>
                <w:rPr>
                  <w:rFonts w:asciiTheme="minorHAnsi" w:eastAsiaTheme="minorEastAsia" w:hAnsiTheme="minorHAnsi"/>
                  <w:noProof/>
                  <w:lang w:val="en-US"/>
                </w:rPr>
              </w:pPr>
              <w:hyperlink w:anchor="_Toc227531825" w:history="1">
                <w:r w:rsidR="002C1F69" w:rsidRPr="00497F49">
                  <w:rPr>
                    <w:rStyle w:val="Hyperlink"/>
                    <w:noProof/>
                    <w:lang w:val="en-US"/>
                  </w:rPr>
                  <w:t>3.5 Macroeconomic Context</w:t>
                </w:r>
                <w:r w:rsidR="002C1F69">
                  <w:rPr>
                    <w:noProof/>
                    <w:webHidden/>
                  </w:rPr>
                  <w:tab/>
                </w:r>
                <w:r w:rsidR="002C1F69">
                  <w:rPr>
                    <w:noProof/>
                    <w:webHidden/>
                  </w:rPr>
                  <w:fldChar w:fldCharType="begin"/>
                </w:r>
                <w:r w:rsidR="002C1F69">
                  <w:rPr>
                    <w:noProof/>
                    <w:webHidden/>
                  </w:rPr>
                  <w:instrText xml:space="preserve"> PAGEREF _Toc227531825 \h </w:instrText>
                </w:r>
                <w:r w:rsidR="002C1F69">
                  <w:rPr>
                    <w:noProof/>
                    <w:webHidden/>
                  </w:rPr>
                </w:r>
                <w:r w:rsidR="002C1F69">
                  <w:rPr>
                    <w:noProof/>
                    <w:webHidden/>
                  </w:rPr>
                  <w:fldChar w:fldCharType="separate"/>
                </w:r>
                <w:r w:rsidR="002C1F69">
                  <w:rPr>
                    <w:noProof/>
                    <w:webHidden/>
                  </w:rPr>
                  <w:t>14</w:t>
                </w:r>
                <w:r w:rsidR="002C1F69">
                  <w:rPr>
                    <w:noProof/>
                    <w:webHidden/>
                  </w:rPr>
                  <w:fldChar w:fldCharType="end"/>
                </w:r>
              </w:hyperlink>
            </w:p>
            <w:p w14:paraId="34C13298" w14:textId="77777777" w:rsidR="002C1F69" w:rsidRDefault="00C97455">
              <w:pPr>
                <w:pStyle w:val="TOC1"/>
                <w:tabs>
                  <w:tab w:val="right" w:leader="dot" w:pos="9016"/>
                </w:tabs>
                <w:rPr>
                  <w:rFonts w:asciiTheme="minorHAnsi" w:eastAsiaTheme="minorEastAsia" w:hAnsiTheme="minorHAnsi"/>
                  <w:noProof/>
                  <w:lang w:val="en-US"/>
                </w:rPr>
              </w:pPr>
              <w:hyperlink w:anchor="_Toc227531826" w:history="1">
                <w:r w:rsidR="002C1F69" w:rsidRPr="00497F49">
                  <w:rPr>
                    <w:rStyle w:val="Hyperlink"/>
                    <w:noProof/>
                  </w:rPr>
                  <w:t>4.0 Implementation Plan: Actionable Recommendations</w:t>
                </w:r>
                <w:r w:rsidR="002C1F69">
                  <w:rPr>
                    <w:noProof/>
                    <w:webHidden/>
                  </w:rPr>
                  <w:tab/>
                </w:r>
                <w:r w:rsidR="002C1F69">
                  <w:rPr>
                    <w:noProof/>
                    <w:webHidden/>
                  </w:rPr>
                  <w:fldChar w:fldCharType="begin"/>
                </w:r>
                <w:r w:rsidR="002C1F69">
                  <w:rPr>
                    <w:noProof/>
                    <w:webHidden/>
                  </w:rPr>
                  <w:instrText xml:space="preserve"> PAGEREF _Toc227531826 \h </w:instrText>
                </w:r>
                <w:r w:rsidR="002C1F69">
                  <w:rPr>
                    <w:noProof/>
                    <w:webHidden/>
                  </w:rPr>
                </w:r>
                <w:r w:rsidR="002C1F69">
                  <w:rPr>
                    <w:noProof/>
                    <w:webHidden/>
                  </w:rPr>
                  <w:fldChar w:fldCharType="separate"/>
                </w:r>
                <w:r w:rsidR="002C1F69">
                  <w:rPr>
                    <w:noProof/>
                    <w:webHidden/>
                  </w:rPr>
                  <w:t>17</w:t>
                </w:r>
                <w:r w:rsidR="002C1F69">
                  <w:rPr>
                    <w:noProof/>
                    <w:webHidden/>
                  </w:rPr>
                  <w:fldChar w:fldCharType="end"/>
                </w:r>
              </w:hyperlink>
            </w:p>
            <w:p w14:paraId="72BEBB65" w14:textId="77777777" w:rsidR="002C1F69" w:rsidRDefault="00C97455">
              <w:pPr>
                <w:pStyle w:val="TOC1"/>
                <w:tabs>
                  <w:tab w:val="right" w:leader="dot" w:pos="9016"/>
                </w:tabs>
                <w:rPr>
                  <w:rFonts w:asciiTheme="minorHAnsi" w:eastAsiaTheme="minorEastAsia" w:hAnsiTheme="minorHAnsi"/>
                  <w:noProof/>
                  <w:lang w:val="en-US"/>
                </w:rPr>
              </w:pPr>
              <w:hyperlink w:anchor="_Toc227531827" w:history="1">
                <w:r w:rsidR="002C1F69" w:rsidRPr="00497F49">
                  <w:rPr>
                    <w:rStyle w:val="Hyperlink"/>
                    <w:noProof/>
                  </w:rPr>
                  <w:t>5.0 Conclusion</w:t>
                </w:r>
                <w:r w:rsidR="002C1F69">
                  <w:rPr>
                    <w:noProof/>
                    <w:webHidden/>
                  </w:rPr>
                  <w:tab/>
                </w:r>
                <w:r w:rsidR="002C1F69">
                  <w:rPr>
                    <w:noProof/>
                    <w:webHidden/>
                  </w:rPr>
                  <w:fldChar w:fldCharType="begin"/>
                </w:r>
                <w:r w:rsidR="002C1F69">
                  <w:rPr>
                    <w:noProof/>
                    <w:webHidden/>
                  </w:rPr>
                  <w:instrText xml:space="preserve"> PAGEREF _Toc227531827 \h </w:instrText>
                </w:r>
                <w:r w:rsidR="002C1F69">
                  <w:rPr>
                    <w:noProof/>
                    <w:webHidden/>
                  </w:rPr>
                </w:r>
                <w:r w:rsidR="002C1F69">
                  <w:rPr>
                    <w:noProof/>
                    <w:webHidden/>
                  </w:rPr>
                  <w:fldChar w:fldCharType="separate"/>
                </w:r>
                <w:r w:rsidR="002C1F69">
                  <w:rPr>
                    <w:noProof/>
                    <w:webHidden/>
                  </w:rPr>
                  <w:t>19</w:t>
                </w:r>
                <w:r w:rsidR="002C1F69">
                  <w:rPr>
                    <w:noProof/>
                    <w:webHidden/>
                  </w:rPr>
                  <w:fldChar w:fldCharType="end"/>
                </w:r>
              </w:hyperlink>
            </w:p>
            <w:p w14:paraId="1A280B27" w14:textId="77777777" w:rsidR="002C1F69" w:rsidRDefault="00C97455">
              <w:pPr>
                <w:pStyle w:val="TOC1"/>
                <w:tabs>
                  <w:tab w:val="right" w:leader="dot" w:pos="9016"/>
                </w:tabs>
                <w:rPr>
                  <w:rFonts w:asciiTheme="minorHAnsi" w:eastAsiaTheme="minorEastAsia" w:hAnsiTheme="minorHAnsi"/>
                  <w:noProof/>
                  <w:lang w:val="en-US"/>
                </w:rPr>
              </w:pPr>
              <w:hyperlink w:anchor="_Toc227531828" w:history="1">
                <w:r w:rsidR="002C1F69" w:rsidRPr="00497F49">
                  <w:rPr>
                    <w:rStyle w:val="Hyperlink"/>
                    <w:noProof/>
                  </w:rPr>
                  <w:t>Bibliography</w:t>
                </w:r>
                <w:r w:rsidR="002C1F69">
                  <w:rPr>
                    <w:noProof/>
                    <w:webHidden/>
                  </w:rPr>
                  <w:tab/>
                </w:r>
                <w:r w:rsidR="002C1F69">
                  <w:rPr>
                    <w:noProof/>
                    <w:webHidden/>
                  </w:rPr>
                  <w:fldChar w:fldCharType="begin"/>
                </w:r>
                <w:r w:rsidR="002C1F69">
                  <w:rPr>
                    <w:noProof/>
                    <w:webHidden/>
                  </w:rPr>
                  <w:instrText xml:space="preserve"> PAGEREF _Toc227531828 \h </w:instrText>
                </w:r>
                <w:r w:rsidR="002C1F69">
                  <w:rPr>
                    <w:noProof/>
                    <w:webHidden/>
                  </w:rPr>
                </w:r>
                <w:r w:rsidR="002C1F69">
                  <w:rPr>
                    <w:noProof/>
                    <w:webHidden/>
                  </w:rPr>
                  <w:fldChar w:fldCharType="separate"/>
                </w:r>
                <w:r w:rsidR="002C1F69">
                  <w:rPr>
                    <w:noProof/>
                    <w:webHidden/>
                  </w:rPr>
                  <w:t>20</w:t>
                </w:r>
                <w:r w:rsidR="002C1F69">
                  <w:rPr>
                    <w:noProof/>
                    <w:webHidden/>
                  </w:rPr>
                  <w:fldChar w:fldCharType="end"/>
                </w:r>
              </w:hyperlink>
            </w:p>
            <w:p w14:paraId="22F11532" w14:textId="0F85AE4C" w:rsidR="007D1947" w:rsidRDefault="007D1947" w:rsidP="00983EF9">
              <w:r>
                <w:rPr>
                  <w:b/>
                  <w:bCs/>
                  <w:noProof/>
                </w:rPr>
                <w:fldChar w:fldCharType="end"/>
              </w:r>
              <w:r w:rsidR="00983EF9">
                <w:rPr>
                  <w:b/>
                  <w:bCs/>
                  <w:noProof/>
                </w:rPr>
                <w:t xml:space="preserve"> </w:t>
              </w:r>
            </w:p>
          </w:sdtContent>
        </w:sdt>
        <w:p w14:paraId="15C6D916" w14:textId="78B5ED73" w:rsidR="002C1F69" w:rsidRDefault="002C1F69">
          <w:pPr>
            <w:spacing w:line="259" w:lineRule="auto"/>
            <w:jc w:val="left"/>
          </w:pPr>
          <w:r>
            <w:br w:type="page"/>
          </w:r>
        </w:p>
        <w:p w14:paraId="7663434B" w14:textId="19E1B6B2" w:rsidR="007D1947" w:rsidRDefault="002C1F69" w:rsidP="002C1F69">
          <w:pPr>
            <w:pStyle w:val="Heading1"/>
          </w:pPr>
          <w:r>
            <w:lastRenderedPageBreak/>
            <w:t>Table of Figures</w:t>
          </w:r>
        </w:p>
        <w:p w14:paraId="2D169AA1" w14:textId="77777777" w:rsidR="002C1F69" w:rsidRDefault="002C1F69">
          <w:pPr>
            <w:pStyle w:val="TableofFigures"/>
            <w:tabs>
              <w:tab w:val="right" w:leader="dot" w:pos="9016"/>
            </w:tabs>
            <w:rPr>
              <w:noProof/>
            </w:rPr>
          </w:pPr>
          <w:r>
            <w:fldChar w:fldCharType="begin"/>
          </w:r>
          <w:r>
            <w:instrText xml:space="preserve"> TOC \h \z \c "Figure" </w:instrText>
          </w:r>
          <w:r>
            <w:fldChar w:fldCharType="separate"/>
          </w:r>
          <w:hyperlink w:anchor="_Toc227532017" w:history="1">
            <w:r w:rsidRPr="00BA483D">
              <w:rPr>
                <w:rStyle w:val="Hyperlink"/>
                <w:i/>
                <w:noProof/>
              </w:rPr>
              <w:t>Figure 1: Comparison of UK and EU AI Regulatory Approaches (Author)</w:t>
            </w:r>
            <w:r>
              <w:rPr>
                <w:noProof/>
                <w:webHidden/>
              </w:rPr>
              <w:tab/>
            </w:r>
            <w:r>
              <w:rPr>
                <w:noProof/>
                <w:webHidden/>
              </w:rPr>
              <w:fldChar w:fldCharType="begin"/>
            </w:r>
            <w:r>
              <w:rPr>
                <w:noProof/>
                <w:webHidden/>
              </w:rPr>
              <w:instrText xml:space="preserve"> PAGEREF _Toc227532017 \h </w:instrText>
            </w:r>
            <w:r>
              <w:rPr>
                <w:noProof/>
                <w:webHidden/>
              </w:rPr>
            </w:r>
            <w:r>
              <w:rPr>
                <w:noProof/>
                <w:webHidden/>
              </w:rPr>
              <w:fldChar w:fldCharType="separate"/>
            </w:r>
            <w:r>
              <w:rPr>
                <w:noProof/>
                <w:webHidden/>
              </w:rPr>
              <w:t>2</w:t>
            </w:r>
            <w:r>
              <w:rPr>
                <w:noProof/>
                <w:webHidden/>
              </w:rPr>
              <w:fldChar w:fldCharType="end"/>
            </w:r>
          </w:hyperlink>
        </w:p>
        <w:p w14:paraId="5736DF4A" w14:textId="77777777" w:rsidR="002C1F69" w:rsidRDefault="00C97455">
          <w:pPr>
            <w:pStyle w:val="TableofFigures"/>
            <w:tabs>
              <w:tab w:val="right" w:leader="dot" w:pos="9016"/>
            </w:tabs>
            <w:rPr>
              <w:noProof/>
            </w:rPr>
          </w:pPr>
          <w:hyperlink w:anchor="_Toc227532018" w:history="1">
            <w:r w:rsidR="002C1F69" w:rsidRPr="00BA483D">
              <w:rPr>
                <w:rStyle w:val="Hyperlink"/>
                <w:i/>
                <w:noProof/>
              </w:rPr>
              <w:t>Figure 2: Current interest rates of Bank of England</w:t>
            </w:r>
            <w:r w:rsidR="002C1F69" w:rsidRPr="00BA483D">
              <w:rPr>
                <w:rStyle w:val="Hyperlink"/>
                <w:noProof/>
              </w:rPr>
              <w:t xml:space="preserve"> </w:t>
            </w:r>
            <w:r w:rsidR="002C1F69" w:rsidRPr="00BA483D">
              <w:rPr>
                <w:rStyle w:val="Hyperlink"/>
                <w:i/>
                <w:noProof/>
              </w:rPr>
              <w:t>(Bank of England, 2026)</w:t>
            </w:r>
            <w:r w:rsidR="002C1F69">
              <w:rPr>
                <w:noProof/>
                <w:webHidden/>
              </w:rPr>
              <w:tab/>
            </w:r>
            <w:r w:rsidR="002C1F69">
              <w:rPr>
                <w:noProof/>
                <w:webHidden/>
              </w:rPr>
              <w:fldChar w:fldCharType="begin"/>
            </w:r>
            <w:r w:rsidR="002C1F69">
              <w:rPr>
                <w:noProof/>
                <w:webHidden/>
              </w:rPr>
              <w:instrText xml:space="preserve"> PAGEREF _Toc227532018 \h </w:instrText>
            </w:r>
            <w:r w:rsidR="002C1F69">
              <w:rPr>
                <w:noProof/>
                <w:webHidden/>
              </w:rPr>
            </w:r>
            <w:r w:rsidR="002C1F69">
              <w:rPr>
                <w:noProof/>
                <w:webHidden/>
              </w:rPr>
              <w:fldChar w:fldCharType="separate"/>
            </w:r>
            <w:r w:rsidR="002C1F69">
              <w:rPr>
                <w:noProof/>
                <w:webHidden/>
              </w:rPr>
              <w:t>3</w:t>
            </w:r>
            <w:r w:rsidR="002C1F69">
              <w:rPr>
                <w:noProof/>
                <w:webHidden/>
              </w:rPr>
              <w:fldChar w:fldCharType="end"/>
            </w:r>
          </w:hyperlink>
        </w:p>
        <w:p w14:paraId="6F20FAB0" w14:textId="77777777" w:rsidR="002C1F69" w:rsidRDefault="00C97455">
          <w:pPr>
            <w:pStyle w:val="TableofFigures"/>
            <w:tabs>
              <w:tab w:val="right" w:leader="dot" w:pos="9016"/>
            </w:tabs>
            <w:rPr>
              <w:noProof/>
            </w:rPr>
          </w:pPr>
          <w:hyperlink w:anchor="_Toc227532019" w:history="1">
            <w:r w:rsidR="002C1F69" w:rsidRPr="00BA483D">
              <w:rPr>
                <w:rStyle w:val="Hyperlink"/>
                <w:i/>
                <w:noProof/>
              </w:rPr>
              <w:t>Figure 3: Comparison of Current Interest Rates: UK vs EU (2026) (Author)</w:t>
            </w:r>
            <w:r w:rsidR="002C1F69">
              <w:rPr>
                <w:noProof/>
                <w:webHidden/>
              </w:rPr>
              <w:tab/>
            </w:r>
            <w:r w:rsidR="002C1F69">
              <w:rPr>
                <w:noProof/>
                <w:webHidden/>
              </w:rPr>
              <w:fldChar w:fldCharType="begin"/>
            </w:r>
            <w:r w:rsidR="002C1F69">
              <w:rPr>
                <w:noProof/>
                <w:webHidden/>
              </w:rPr>
              <w:instrText xml:space="preserve"> PAGEREF _Toc227532019 \h </w:instrText>
            </w:r>
            <w:r w:rsidR="002C1F69">
              <w:rPr>
                <w:noProof/>
                <w:webHidden/>
              </w:rPr>
            </w:r>
            <w:r w:rsidR="002C1F69">
              <w:rPr>
                <w:noProof/>
                <w:webHidden/>
              </w:rPr>
              <w:fldChar w:fldCharType="separate"/>
            </w:r>
            <w:r w:rsidR="002C1F69">
              <w:rPr>
                <w:noProof/>
                <w:webHidden/>
              </w:rPr>
              <w:t>4</w:t>
            </w:r>
            <w:r w:rsidR="002C1F69">
              <w:rPr>
                <w:noProof/>
                <w:webHidden/>
              </w:rPr>
              <w:fldChar w:fldCharType="end"/>
            </w:r>
          </w:hyperlink>
        </w:p>
        <w:p w14:paraId="5F3E25DA" w14:textId="77777777" w:rsidR="002C1F69" w:rsidRDefault="00C97455">
          <w:pPr>
            <w:pStyle w:val="TableofFigures"/>
            <w:tabs>
              <w:tab w:val="right" w:leader="dot" w:pos="9016"/>
            </w:tabs>
            <w:rPr>
              <w:noProof/>
            </w:rPr>
          </w:pPr>
          <w:hyperlink w:anchor="_Toc227532020" w:history="1">
            <w:r w:rsidR="002C1F69" w:rsidRPr="00BA483D">
              <w:rPr>
                <w:rStyle w:val="Hyperlink"/>
                <w:i/>
                <w:noProof/>
              </w:rPr>
              <w:t>Figure 4: Technological Developments in AI: UK vs EU Applications (Author)</w:t>
            </w:r>
            <w:r w:rsidR="002C1F69">
              <w:rPr>
                <w:noProof/>
                <w:webHidden/>
              </w:rPr>
              <w:tab/>
            </w:r>
            <w:r w:rsidR="002C1F69">
              <w:rPr>
                <w:noProof/>
                <w:webHidden/>
              </w:rPr>
              <w:fldChar w:fldCharType="begin"/>
            </w:r>
            <w:r w:rsidR="002C1F69">
              <w:rPr>
                <w:noProof/>
                <w:webHidden/>
              </w:rPr>
              <w:instrText xml:space="preserve"> PAGEREF _Toc227532020 \h </w:instrText>
            </w:r>
            <w:r w:rsidR="002C1F69">
              <w:rPr>
                <w:noProof/>
                <w:webHidden/>
              </w:rPr>
            </w:r>
            <w:r w:rsidR="002C1F69">
              <w:rPr>
                <w:noProof/>
                <w:webHidden/>
              </w:rPr>
              <w:fldChar w:fldCharType="separate"/>
            </w:r>
            <w:r w:rsidR="002C1F69">
              <w:rPr>
                <w:noProof/>
                <w:webHidden/>
              </w:rPr>
              <w:t>5</w:t>
            </w:r>
            <w:r w:rsidR="002C1F69">
              <w:rPr>
                <w:noProof/>
                <w:webHidden/>
              </w:rPr>
              <w:fldChar w:fldCharType="end"/>
            </w:r>
          </w:hyperlink>
        </w:p>
        <w:p w14:paraId="6E3EF608" w14:textId="77777777" w:rsidR="002C1F69" w:rsidRDefault="00C97455">
          <w:pPr>
            <w:pStyle w:val="TableofFigures"/>
            <w:tabs>
              <w:tab w:val="right" w:leader="dot" w:pos="9016"/>
            </w:tabs>
            <w:rPr>
              <w:noProof/>
            </w:rPr>
          </w:pPr>
          <w:hyperlink w:anchor="_Toc227532021" w:history="1">
            <w:r w:rsidR="002C1F69" w:rsidRPr="00BA483D">
              <w:rPr>
                <w:rStyle w:val="Hyperlink"/>
                <w:i/>
                <w:noProof/>
              </w:rPr>
              <w:t>Figure 5: PESTLE Analysis of AI in the UK and EU (Author)</w:t>
            </w:r>
            <w:r w:rsidR="002C1F69">
              <w:rPr>
                <w:noProof/>
                <w:webHidden/>
              </w:rPr>
              <w:tab/>
            </w:r>
            <w:r w:rsidR="002C1F69">
              <w:rPr>
                <w:noProof/>
                <w:webHidden/>
              </w:rPr>
              <w:fldChar w:fldCharType="begin"/>
            </w:r>
            <w:r w:rsidR="002C1F69">
              <w:rPr>
                <w:noProof/>
                <w:webHidden/>
              </w:rPr>
              <w:instrText xml:space="preserve"> PAGEREF _Toc227532021 \h </w:instrText>
            </w:r>
            <w:r w:rsidR="002C1F69">
              <w:rPr>
                <w:noProof/>
                <w:webHidden/>
              </w:rPr>
            </w:r>
            <w:r w:rsidR="002C1F69">
              <w:rPr>
                <w:noProof/>
                <w:webHidden/>
              </w:rPr>
              <w:fldChar w:fldCharType="separate"/>
            </w:r>
            <w:r w:rsidR="002C1F69">
              <w:rPr>
                <w:noProof/>
                <w:webHidden/>
              </w:rPr>
              <w:t>6</w:t>
            </w:r>
            <w:r w:rsidR="002C1F69">
              <w:rPr>
                <w:noProof/>
                <w:webHidden/>
              </w:rPr>
              <w:fldChar w:fldCharType="end"/>
            </w:r>
          </w:hyperlink>
        </w:p>
        <w:p w14:paraId="007188F2" w14:textId="77777777" w:rsidR="002C1F69" w:rsidRDefault="00C97455">
          <w:pPr>
            <w:pStyle w:val="TableofFigures"/>
            <w:tabs>
              <w:tab w:val="right" w:leader="dot" w:pos="9016"/>
            </w:tabs>
            <w:rPr>
              <w:noProof/>
            </w:rPr>
          </w:pPr>
          <w:hyperlink w:anchor="_Toc227532022" w:history="1">
            <w:r w:rsidR="002C1F69" w:rsidRPr="00BA483D">
              <w:rPr>
                <w:rStyle w:val="Hyperlink"/>
                <w:i/>
                <w:noProof/>
              </w:rPr>
              <w:t>Figure 6: Data Governance in AI: Ensuring Quality, Transparency, and Privacy (Author)</w:t>
            </w:r>
            <w:r w:rsidR="002C1F69">
              <w:rPr>
                <w:noProof/>
                <w:webHidden/>
              </w:rPr>
              <w:tab/>
            </w:r>
            <w:r w:rsidR="002C1F69">
              <w:rPr>
                <w:noProof/>
                <w:webHidden/>
              </w:rPr>
              <w:fldChar w:fldCharType="begin"/>
            </w:r>
            <w:r w:rsidR="002C1F69">
              <w:rPr>
                <w:noProof/>
                <w:webHidden/>
              </w:rPr>
              <w:instrText xml:space="preserve"> PAGEREF _Toc227532022 \h </w:instrText>
            </w:r>
            <w:r w:rsidR="002C1F69">
              <w:rPr>
                <w:noProof/>
                <w:webHidden/>
              </w:rPr>
            </w:r>
            <w:r w:rsidR="002C1F69">
              <w:rPr>
                <w:noProof/>
                <w:webHidden/>
              </w:rPr>
              <w:fldChar w:fldCharType="separate"/>
            </w:r>
            <w:r w:rsidR="002C1F69">
              <w:rPr>
                <w:noProof/>
                <w:webHidden/>
              </w:rPr>
              <w:t>8</w:t>
            </w:r>
            <w:r w:rsidR="002C1F69">
              <w:rPr>
                <w:noProof/>
                <w:webHidden/>
              </w:rPr>
              <w:fldChar w:fldCharType="end"/>
            </w:r>
          </w:hyperlink>
        </w:p>
        <w:p w14:paraId="1E9F5F18" w14:textId="77777777" w:rsidR="002C1F69" w:rsidRDefault="00C97455">
          <w:pPr>
            <w:pStyle w:val="TableofFigures"/>
            <w:tabs>
              <w:tab w:val="right" w:leader="dot" w:pos="9016"/>
            </w:tabs>
            <w:rPr>
              <w:noProof/>
            </w:rPr>
          </w:pPr>
          <w:hyperlink w:anchor="_Toc227532023" w:history="1">
            <w:r w:rsidR="002C1F69" w:rsidRPr="00BA483D">
              <w:rPr>
                <w:rStyle w:val="Hyperlink"/>
                <w:i/>
                <w:noProof/>
              </w:rPr>
              <w:t>Figure 7: Comparison of UK Principles-Based Approach vs EU AI Act (Author)</w:t>
            </w:r>
            <w:r w:rsidR="002C1F69">
              <w:rPr>
                <w:noProof/>
                <w:webHidden/>
              </w:rPr>
              <w:tab/>
            </w:r>
            <w:r w:rsidR="002C1F69">
              <w:rPr>
                <w:noProof/>
                <w:webHidden/>
              </w:rPr>
              <w:fldChar w:fldCharType="begin"/>
            </w:r>
            <w:r w:rsidR="002C1F69">
              <w:rPr>
                <w:noProof/>
                <w:webHidden/>
              </w:rPr>
              <w:instrText xml:space="preserve"> PAGEREF _Toc227532023 \h </w:instrText>
            </w:r>
            <w:r w:rsidR="002C1F69">
              <w:rPr>
                <w:noProof/>
                <w:webHidden/>
              </w:rPr>
            </w:r>
            <w:r w:rsidR="002C1F69">
              <w:rPr>
                <w:noProof/>
                <w:webHidden/>
              </w:rPr>
              <w:fldChar w:fldCharType="separate"/>
            </w:r>
            <w:r w:rsidR="002C1F69">
              <w:rPr>
                <w:noProof/>
                <w:webHidden/>
              </w:rPr>
              <w:t>12</w:t>
            </w:r>
            <w:r w:rsidR="002C1F69">
              <w:rPr>
                <w:noProof/>
                <w:webHidden/>
              </w:rPr>
              <w:fldChar w:fldCharType="end"/>
            </w:r>
          </w:hyperlink>
        </w:p>
        <w:p w14:paraId="630FD184" w14:textId="77777777" w:rsidR="002C1F69" w:rsidRDefault="00C97455">
          <w:pPr>
            <w:pStyle w:val="TableofFigures"/>
            <w:tabs>
              <w:tab w:val="right" w:leader="dot" w:pos="9016"/>
            </w:tabs>
            <w:rPr>
              <w:noProof/>
            </w:rPr>
          </w:pPr>
          <w:hyperlink w:anchor="_Toc227532024" w:history="1">
            <w:r w:rsidR="002C1F69" w:rsidRPr="00BA483D">
              <w:rPr>
                <w:rStyle w:val="Hyperlink"/>
                <w:i/>
                <w:noProof/>
              </w:rPr>
              <w:t>Figure 8: Balancing Stakeholder Interests for Building Long-Term Trust (Author)</w:t>
            </w:r>
            <w:r w:rsidR="002C1F69">
              <w:rPr>
                <w:noProof/>
                <w:webHidden/>
              </w:rPr>
              <w:tab/>
            </w:r>
            <w:r w:rsidR="002C1F69">
              <w:rPr>
                <w:noProof/>
                <w:webHidden/>
              </w:rPr>
              <w:fldChar w:fldCharType="begin"/>
            </w:r>
            <w:r w:rsidR="002C1F69">
              <w:rPr>
                <w:noProof/>
                <w:webHidden/>
              </w:rPr>
              <w:instrText xml:space="preserve"> PAGEREF _Toc227532024 \h </w:instrText>
            </w:r>
            <w:r w:rsidR="002C1F69">
              <w:rPr>
                <w:noProof/>
                <w:webHidden/>
              </w:rPr>
            </w:r>
            <w:r w:rsidR="002C1F69">
              <w:rPr>
                <w:noProof/>
                <w:webHidden/>
              </w:rPr>
              <w:fldChar w:fldCharType="separate"/>
            </w:r>
            <w:r w:rsidR="002C1F69">
              <w:rPr>
                <w:noProof/>
                <w:webHidden/>
              </w:rPr>
              <w:t>14</w:t>
            </w:r>
            <w:r w:rsidR="002C1F69">
              <w:rPr>
                <w:noProof/>
                <w:webHidden/>
              </w:rPr>
              <w:fldChar w:fldCharType="end"/>
            </w:r>
          </w:hyperlink>
        </w:p>
        <w:p w14:paraId="70E5AA53" w14:textId="77777777" w:rsidR="002C1F69" w:rsidRDefault="00C97455">
          <w:pPr>
            <w:pStyle w:val="TableofFigures"/>
            <w:tabs>
              <w:tab w:val="right" w:leader="dot" w:pos="9016"/>
            </w:tabs>
            <w:rPr>
              <w:noProof/>
            </w:rPr>
          </w:pPr>
          <w:hyperlink w:anchor="_Toc227532025" w:history="1">
            <w:r w:rsidR="002C1F69" w:rsidRPr="00BA483D">
              <w:rPr>
                <w:rStyle w:val="Hyperlink"/>
                <w:i/>
                <w:noProof/>
              </w:rPr>
              <w:t>Figure 9: Implications of AI Trust Failures (Author)</w:t>
            </w:r>
            <w:r w:rsidR="002C1F69">
              <w:rPr>
                <w:noProof/>
                <w:webHidden/>
              </w:rPr>
              <w:tab/>
            </w:r>
            <w:r w:rsidR="002C1F69">
              <w:rPr>
                <w:noProof/>
                <w:webHidden/>
              </w:rPr>
              <w:fldChar w:fldCharType="begin"/>
            </w:r>
            <w:r w:rsidR="002C1F69">
              <w:rPr>
                <w:noProof/>
                <w:webHidden/>
              </w:rPr>
              <w:instrText xml:space="preserve"> PAGEREF _Toc227532025 \h </w:instrText>
            </w:r>
            <w:r w:rsidR="002C1F69">
              <w:rPr>
                <w:noProof/>
                <w:webHidden/>
              </w:rPr>
            </w:r>
            <w:r w:rsidR="002C1F69">
              <w:rPr>
                <w:noProof/>
                <w:webHidden/>
              </w:rPr>
              <w:fldChar w:fldCharType="separate"/>
            </w:r>
            <w:r w:rsidR="002C1F69">
              <w:rPr>
                <w:noProof/>
                <w:webHidden/>
              </w:rPr>
              <w:t>15</w:t>
            </w:r>
            <w:r w:rsidR="002C1F69">
              <w:rPr>
                <w:noProof/>
                <w:webHidden/>
              </w:rPr>
              <w:fldChar w:fldCharType="end"/>
            </w:r>
          </w:hyperlink>
        </w:p>
        <w:p w14:paraId="35C433EE" w14:textId="77777777" w:rsidR="002C1F69" w:rsidRDefault="00C97455">
          <w:pPr>
            <w:pStyle w:val="TableofFigures"/>
            <w:tabs>
              <w:tab w:val="right" w:leader="dot" w:pos="9016"/>
            </w:tabs>
            <w:rPr>
              <w:noProof/>
            </w:rPr>
          </w:pPr>
          <w:hyperlink w:anchor="_Toc227532026" w:history="1">
            <w:r w:rsidR="002C1F69" w:rsidRPr="00BA483D">
              <w:rPr>
                <w:rStyle w:val="Hyperlink"/>
                <w:i/>
                <w:noProof/>
              </w:rPr>
              <w:t>Figure 10: Geopolitical Risks Disrupting AI Ecosystems and Data Flows (Author)</w:t>
            </w:r>
            <w:r w:rsidR="002C1F69">
              <w:rPr>
                <w:noProof/>
                <w:webHidden/>
              </w:rPr>
              <w:tab/>
            </w:r>
            <w:r w:rsidR="002C1F69">
              <w:rPr>
                <w:noProof/>
                <w:webHidden/>
              </w:rPr>
              <w:fldChar w:fldCharType="begin"/>
            </w:r>
            <w:r w:rsidR="002C1F69">
              <w:rPr>
                <w:noProof/>
                <w:webHidden/>
              </w:rPr>
              <w:instrText xml:space="preserve"> PAGEREF _Toc227532026 \h </w:instrText>
            </w:r>
            <w:r w:rsidR="002C1F69">
              <w:rPr>
                <w:noProof/>
                <w:webHidden/>
              </w:rPr>
            </w:r>
            <w:r w:rsidR="002C1F69">
              <w:rPr>
                <w:noProof/>
                <w:webHidden/>
              </w:rPr>
              <w:fldChar w:fldCharType="separate"/>
            </w:r>
            <w:r w:rsidR="002C1F69">
              <w:rPr>
                <w:noProof/>
                <w:webHidden/>
              </w:rPr>
              <w:t>16</w:t>
            </w:r>
            <w:r w:rsidR="002C1F69">
              <w:rPr>
                <w:noProof/>
                <w:webHidden/>
              </w:rPr>
              <w:fldChar w:fldCharType="end"/>
            </w:r>
          </w:hyperlink>
        </w:p>
        <w:p w14:paraId="63A86D9D" w14:textId="4F820005" w:rsidR="002C1F69" w:rsidRPr="002C1F69" w:rsidRDefault="002C1F69" w:rsidP="002C1F69">
          <w:pPr>
            <w:pStyle w:val="Heading1"/>
          </w:pPr>
          <w:r>
            <w:fldChar w:fldCharType="end"/>
          </w:r>
          <w:r w:rsidRPr="002C1F69">
            <w:t xml:space="preserve"> Table of Tables</w:t>
          </w:r>
        </w:p>
        <w:p w14:paraId="42040D59" w14:textId="77777777" w:rsidR="002C1F69" w:rsidRDefault="002C1F69">
          <w:pPr>
            <w:pStyle w:val="TableofFigures"/>
            <w:tabs>
              <w:tab w:val="right" w:leader="dot" w:pos="9016"/>
            </w:tabs>
            <w:rPr>
              <w:rFonts w:asciiTheme="minorHAnsi" w:eastAsiaTheme="minorEastAsia" w:hAnsiTheme="minorHAnsi"/>
              <w:noProof/>
              <w:lang w:val="en-US"/>
            </w:rPr>
          </w:pPr>
          <w:r>
            <w:fldChar w:fldCharType="begin"/>
          </w:r>
          <w:r>
            <w:instrText xml:space="preserve"> TOC \h \z \c "Table" </w:instrText>
          </w:r>
          <w:r>
            <w:fldChar w:fldCharType="separate"/>
          </w:r>
          <w:hyperlink w:anchor="_Toc227532028" w:history="1">
            <w:r w:rsidRPr="00053AD8">
              <w:rPr>
                <w:rStyle w:val="Hyperlink"/>
                <w:i/>
                <w:noProof/>
              </w:rPr>
              <w:t>Table 1: Key Insights on AI Regulatory, Economic, Technological, and Legal Contexts in the UK and EU (Author)</w:t>
            </w:r>
            <w:r>
              <w:rPr>
                <w:noProof/>
                <w:webHidden/>
              </w:rPr>
              <w:tab/>
            </w:r>
            <w:r>
              <w:rPr>
                <w:noProof/>
                <w:webHidden/>
              </w:rPr>
              <w:fldChar w:fldCharType="begin"/>
            </w:r>
            <w:r>
              <w:rPr>
                <w:noProof/>
                <w:webHidden/>
              </w:rPr>
              <w:instrText xml:space="preserve"> PAGEREF _Toc227532028 \h </w:instrText>
            </w:r>
            <w:r>
              <w:rPr>
                <w:noProof/>
                <w:webHidden/>
              </w:rPr>
            </w:r>
            <w:r>
              <w:rPr>
                <w:noProof/>
                <w:webHidden/>
              </w:rPr>
              <w:fldChar w:fldCharType="separate"/>
            </w:r>
            <w:r>
              <w:rPr>
                <w:noProof/>
                <w:webHidden/>
              </w:rPr>
              <w:t>7</w:t>
            </w:r>
            <w:r>
              <w:rPr>
                <w:noProof/>
                <w:webHidden/>
              </w:rPr>
              <w:fldChar w:fldCharType="end"/>
            </w:r>
          </w:hyperlink>
        </w:p>
        <w:p w14:paraId="3080DFA8" w14:textId="77777777" w:rsidR="002C1F69" w:rsidRDefault="00C97455">
          <w:pPr>
            <w:pStyle w:val="TableofFigures"/>
            <w:tabs>
              <w:tab w:val="right" w:leader="dot" w:pos="9016"/>
            </w:tabs>
            <w:rPr>
              <w:rFonts w:asciiTheme="minorHAnsi" w:eastAsiaTheme="minorEastAsia" w:hAnsiTheme="minorHAnsi"/>
              <w:noProof/>
              <w:lang w:val="en-US"/>
            </w:rPr>
          </w:pPr>
          <w:hyperlink w:anchor="_Toc227532029" w:history="1">
            <w:r w:rsidR="002C1F69" w:rsidRPr="00053AD8">
              <w:rPr>
                <w:rStyle w:val="Hyperlink"/>
                <w:i/>
                <w:noProof/>
              </w:rPr>
              <w:t>Table 2: Implementation Plan (Author)</w:t>
            </w:r>
            <w:r w:rsidR="002C1F69">
              <w:rPr>
                <w:noProof/>
                <w:webHidden/>
              </w:rPr>
              <w:tab/>
            </w:r>
            <w:r w:rsidR="002C1F69">
              <w:rPr>
                <w:noProof/>
                <w:webHidden/>
              </w:rPr>
              <w:fldChar w:fldCharType="begin"/>
            </w:r>
            <w:r w:rsidR="002C1F69">
              <w:rPr>
                <w:noProof/>
                <w:webHidden/>
              </w:rPr>
              <w:instrText xml:space="preserve"> PAGEREF _Toc227532029 \h </w:instrText>
            </w:r>
            <w:r w:rsidR="002C1F69">
              <w:rPr>
                <w:noProof/>
                <w:webHidden/>
              </w:rPr>
            </w:r>
            <w:r w:rsidR="002C1F69">
              <w:rPr>
                <w:noProof/>
                <w:webHidden/>
              </w:rPr>
              <w:fldChar w:fldCharType="separate"/>
            </w:r>
            <w:r w:rsidR="002C1F69">
              <w:rPr>
                <w:noProof/>
                <w:webHidden/>
              </w:rPr>
              <w:t>18</w:t>
            </w:r>
            <w:r w:rsidR="002C1F69">
              <w:rPr>
                <w:noProof/>
                <w:webHidden/>
              </w:rPr>
              <w:fldChar w:fldCharType="end"/>
            </w:r>
          </w:hyperlink>
        </w:p>
        <w:p w14:paraId="4AE97476" w14:textId="77777777" w:rsidR="002C1F69" w:rsidRPr="002C1F69" w:rsidRDefault="002C1F69" w:rsidP="002C1F69">
          <w:r>
            <w:fldChar w:fldCharType="end"/>
          </w:r>
        </w:p>
        <w:p w14:paraId="0882E422" w14:textId="77777777" w:rsidR="007D1947" w:rsidRDefault="007D1947" w:rsidP="00983EF9"/>
        <w:p w14:paraId="2076963D" w14:textId="77777777" w:rsidR="007D1947" w:rsidRDefault="007D1947" w:rsidP="00983EF9"/>
        <w:p w14:paraId="006E6A3F" w14:textId="77777777" w:rsidR="007D1947" w:rsidRDefault="007D1947" w:rsidP="00983EF9"/>
        <w:p w14:paraId="655F29CA" w14:textId="77777777" w:rsidR="007D1947" w:rsidRDefault="007D1947" w:rsidP="00983EF9"/>
        <w:p w14:paraId="396FE8FD" w14:textId="77777777" w:rsidR="00F64D2E" w:rsidRDefault="00F64D2E" w:rsidP="00983EF9">
          <w:pPr>
            <w:spacing w:line="259" w:lineRule="auto"/>
            <w:jc w:val="left"/>
            <w:rPr>
              <w:rFonts w:eastAsiaTheme="majorEastAsia" w:cstheme="majorBidi"/>
              <w:b/>
              <w:color w:val="000000" w:themeColor="text1"/>
              <w:sz w:val="32"/>
              <w:szCs w:val="32"/>
              <w:lang w:val="en-US"/>
            </w:rPr>
          </w:pPr>
          <w:r>
            <w:rPr>
              <w:lang w:val="en-US"/>
            </w:rPr>
            <w:br w:type="page"/>
          </w:r>
        </w:p>
        <w:p w14:paraId="6B05B005" w14:textId="77777777" w:rsidR="00A55288" w:rsidRDefault="00A55288" w:rsidP="00983EF9">
          <w:pPr>
            <w:pStyle w:val="Heading1"/>
            <w:rPr>
              <w:lang w:val="en-US"/>
            </w:rPr>
            <w:sectPr w:rsidR="00A55288" w:rsidSect="00A55288">
              <w:footerReference w:type="first" r:id="rId10"/>
              <w:pgSz w:w="11906" w:h="16838"/>
              <w:pgMar w:top="1440" w:right="1440" w:bottom="1440" w:left="1440" w:header="708" w:footer="708" w:gutter="0"/>
              <w:pgNumType w:fmt="lowerRoman" w:start="1"/>
              <w:cols w:space="708"/>
              <w:titlePg/>
              <w:docGrid w:linePitch="360"/>
            </w:sectPr>
          </w:pPr>
        </w:p>
        <w:p w14:paraId="1C4C115A" w14:textId="05175432" w:rsidR="00B93643" w:rsidRPr="00B93643" w:rsidRDefault="00B93643" w:rsidP="00983EF9">
          <w:pPr>
            <w:pStyle w:val="Heading1"/>
            <w:rPr>
              <w:lang w:val="en-US"/>
            </w:rPr>
          </w:pPr>
          <w:bookmarkStart w:id="1" w:name="_Toc227531813"/>
          <w:r w:rsidRPr="00B93643">
            <w:rPr>
              <w:lang w:val="en-US"/>
            </w:rPr>
            <w:lastRenderedPageBreak/>
            <w:t>1.</w:t>
          </w:r>
          <w:r w:rsidR="00F64D2E">
            <w:rPr>
              <w:lang w:val="en-US"/>
            </w:rPr>
            <w:t>0</w:t>
          </w:r>
          <w:r w:rsidRPr="00B93643">
            <w:rPr>
              <w:lang w:val="en-US"/>
            </w:rPr>
            <w:t xml:space="preserve"> Introduction</w:t>
          </w:r>
          <w:bookmarkEnd w:id="1"/>
          <w:r w:rsidRPr="00B93643">
            <w:rPr>
              <w:lang w:val="en-US"/>
            </w:rPr>
            <w:t xml:space="preserve"> </w:t>
          </w:r>
        </w:p>
        <w:p w14:paraId="441BBF3F" w14:textId="78F6BB25" w:rsidR="00F64D2E" w:rsidRPr="00F64D2E" w:rsidRDefault="00F64D2E" w:rsidP="00983EF9">
          <w:pPr>
            <w:rPr>
              <w:lang w:val="en-US"/>
            </w:rPr>
          </w:pPr>
          <w:r w:rsidRPr="00F64D2E">
            <w:rPr>
              <w:lang w:val="en-US"/>
            </w:rPr>
            <w:t xml:space="preserve">Accenture is a thriving professional services firm based in the world, headquartered in the </w:t>
          </w:r>
          <w:r w:rsidR="00A55288" w:rsidRPr="00F64D2E">
            <w:rPr>
              <w:lang w:val="en-US"/>
            </w:rPr>
            <w:t>US that</w:t>
          </w:r>
          <w:r w:rsidRPr="00F64D2E">
            <w:rPr>
              <w:lang w:val="en-US"/>
            </w:rPr>
            <w:t xml:space="preserve"> offers strategy, consulting, technology, and operations solutions to clients in over 120 countries across the world. It has also increasingly made artificial intelligence (AI) central to its business model and integrated AI throughout its service offerings to enable clients to reinvent and transform digitally. In fiscal 2025, the leadership of Accenture emphasized that it has integrated advanced AI into its operations and services to its customers, employing over 77,000 AI and data professionals, and its AI implementation was executed on more than 6,000 projects in that year alone, reflecting its massive deployment of AI (Fairfield, 2025). This AI-first paradigm represents both a possibility and a threat: even as AI has enabled efficiencies and innovations, it has also presented an array of complexities regarding governance, ethics, and compliance in various regulatory settings.</w:t>
          </w:r>
        </w:p>
        <w:p w14:paraId="7784BB96" w14:textId="77777777" w:rsidR="00F64D2E" w:rsidRPr="00F64D2E" w:rsidRDefault="00F64D2E" w:rsidP="00983EF9">
          <w:pPr>
            <w:rPr>
              <w:lang w:val="en-US"/>
            </w:rPr>
          </w:pPr>
          <w:r w:rsidRPr="00F64D2E">
            <w:rPr>
              <w:lang w:val="en-US"/>
            </w:rPr>
            <w:t>This report is aimed at giving strategic recommendations to Accenture on how to address the risks of fast AI development and, in particular, data governance, AI ethical use, regulatory expectations, and customer trust. Due to the differences in the regulations between the United Kingdom (UK) and the European Union (EU), this report compares the effects on the risk management strategies of Accenture in both areas. The UK prefers a more lenient and principles-based regulatory framework of AI, whereas the EU has adopted the AI Act, which is among the most comprehensive AI regulatory regimes in the world, whose compliance mandate and financial penalties (up to 35 million or 7 percent global turnover) are severe (Accenture, 2024).</w:t>
          </w:r>
        </w:p>
        <w:p w14:paraId="3A1D5251" w14:textId="77777777" w:rsidR="00F64D2E" w:rsidRPr="00F64D2E" w:rsidRDefault="00F64D2E" w:rsidP="00983EF9">
          <w:pPr>
            <w:rPr>
              <w:lang w:val="en-US"/>
            </w:rPr>
          </w:pPr>
          <w:r w:rsidRPr="00F64D2E">
            <w:rPr>
              <w:lang w:val="en-US"/>
            </w:rPr>
            <w:t>The approach that has been used in this report incorporates the already tested scholarly models that can be applied in critical analysis. The mapping of the impacts that various internal and external stakeholders (clients, regulators, employees, and investors) will be influenced by AI strategies in Accenture, and how their interests should be balanced, will be based on the stakeholder theory. The institutional theory will be used to explain how regulatory pressures within the UK and the EU change in order to influence organizational behavior and compliance strategies (Accenture, 2026). Empirical data is obtained based on annual reports published by Accenture and also on the research conducted in the sector, as concluded in the Accenture Technology Vision 2025 that predicts the groundbreaking effects of generative AI on business models (Newsroom, 2026).</w:t>
          </w:r>
        </w:p>
        <w:p w14:paraId="11EBCBC3" w14:textId="77777777" w:rsidR="00F64D2E" w:rsidRPr="00F64D2E" w:rsidRDefault="00F64D2E" w:rsidP="00983EF9">
          <w:pPr>
            <w:rPr>
              <w:lang w:val="en-US"/>
            </w:rPr>
          </w:pPr>
          <w:r w:rsidRPr="00F64D2E">
            <w:rPr>
              <w:lang w:val="en-US"/>
            </w:rPr>
            <w:t xml:space="preserve">This introduction will precondition a comprehensive comparative analysis of the macroeconomic and regulatory backgrounds of the UK and EU, and the critical consideration of information about governance, artificial intelligence, ethical issues, and customers. The </w:t>
          </w:r>
          <w:r w:rsidRPr="00F64D2E">
            <w:rPr>
              <w:lang w:val="en-US"/>
            </w:rPr>
            <w:lastRenderedPageBreak/>
            <w:t>report ends in actionable recommendations and a plan of gradual implementation of the recommendations to assist Accenture in managing the risk of AI appropriately and gaining a long-term competitive advantage.</w:t>
          </w:r>
        </w:p>
        <w:p w14:paraId="1DF4C59E" w14:textId="5066907C" w:rsidR="00F64D2E" w:rsidRPr="00F64D2E" w:rsidRDefault="00F64D2E" w:rsidP="00983EF9">
          <w:pPr>
            <w:pStyle w:val="Heading1"/>
            <w:rPr>
              <w:lang w:val="en-US"/>
            </w:rPr>
          </w:pPr>
          <w:bookmarkStart w:id="2" w:name="_Toc227531814"/>
          <w:r w:rsidRPr="00F64D2E">
            <w:rPr>
              <w:lang w:val="en-US"/>
            </w:rPr>
            <w:t>2.</w:t>
          </w:r>
          <w:r w:rsidR="00925FF4">
            <w:rPr>
              <w:lang w:val="en-US"/>
            </w:rPr>
            <w:t>0</w:t>
          </w:r>
          <w:r w:rsidRPr="00F64D2E">
            <w:rPr>
              <w:lang w:val="en-US"/>
            </w:rPr>
            <w:t xml:space="preserve"> International Business Environment and Macro Context</w:t>
          </w:r>
          <w:bookmarkEnd w:id="2"/>
        </w:p>
        <w:p w14:paraId="524E06B4" w14:textId="77777777" w:rsidR="00F64D2E" w:rsidRPr="00F64D2E" w:rsidRDefault="00F64D2E" w:rsidP="00983EF9">
          <w:pPr>
            <w:rPr>
              <w:lang w:val="en-US"/>
            </w:rPr>
          </w:pPr>
          <w:r w:rsidRPr="00F64D2E">
            <w:rPr>
              <w:lang w:val="en-US"/>
            </w:rPr>
            <w:t>The section will establish the macro environment where Accenture will be operating and will specifically concentrate on the political, regulatory, economic, and technological aspects that will shape AI. The critical analysis of the UK and EU demonstrates that AI has various challenges and opportunities for implementation, especially in the areas of data governance, regulatory compliance, and ethical AI.</w:t>
          </w:r>
        </w:p>
        <w:p w14:paraId="16640C19" w14:textId="77777777" w:rsidR="00F64D2E" w:rsidRPr="00F64D2E" w:rsidRDefault="00F64D2E" w:rsidP="00983EF9">
          <w:pPr>
            <w:pStyle w:val="Heading2"/>
            <w:rPr>
              <w:lang w:val="en-US"/>
            </w:rPr>
          </w:pPr>
          <w:bookmarkStart w:id="3" w:name="_Toc227531815"/>
          <w:r w:rsidRPr="00F64D2E">
            <w:rPr>
              <w:lang w:val="en-US"/>
            </w:rPr>
            <w:t>2.1 Political and Regulatory Landscape</w:t>
          </w:r>
          <w:bookmarkEnd w:id="3"/>
        </w:p>
        <w:p w14:paraId="1730D35B" w14:textId="77777777" w:rsidR="00F64D2E" w:rsidRDefault="00F64D2E" w:rsidP="00983EF9">
          <w:pPr>
            <w:rPr>
              <w:lang w:val="en-US"/>
            </w:rPr>
          </w:pPr>
          <w:r w:rsidRPr="00F64D2E">
            <w:rPr>
              <w:lang w:val="en-US"/>
            </w:rPr>
            <w:t>The UK AI regulation is largely principles-based, as reflected in the DSIT White Paper (2023), which encourages innovation with critical safeguards on using AI. The UK is keen to promote the development of AI without dedicating to restrictive suitability (DSIT, 2023). The ICO (Information Commissioner’s Office) is crucial in controlling AI compliance, particularly in such aspects as automated decision-making, according to the UK Data Protection Act (ICO, 2025). The model enables companies like Accenture to experiment and implement AI systems without violating the simple rules of transparency, fairness, and accountability.</w:t>
          </w:r>
        </w:p>
        <w:p w14:paraId="4A4342E8" w14:textId="77777777" w:rsidR="002C1F69" w:rsidRDefault="002C1F69" w:rsidP="002C1F69">
          <w:pPr>
            <w:keepNext/>
          </w:pPr>
          <w:r>
            <w:rPr>
              <w:noProof/>
              <w:lang w:val="en-US"/>
            </w:rPr>
            <w:drawing>
              <wp:inline distT="0" distB="0" distL="0" distR="0" wp14:anchorId="3E77325A" wp14:editId="762C41AF">
                <wp:extent cx="5723201" cy="3426373"/>
                <wp:effectExtent l="0" t="0" r="0" b="3175"/>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ChatGPT Image Apr 19, 2026, 10_58_43 PM.png"/>
                        <pic:cNvPicPr/>
                      </pic:nvPicPr>
                      <pic:blipFill rotWithShape="1">
                        <a:blip r:embed="rId11" cstate="print">
                          <a:extLst>
                            <a:ext uri="{28A0092B-C50C-407E-A947-70E740481C1C}">
                              <a14:useLocalDpi xmlns:a14="http://schemas.microsoft.com/office/drawing/2010/main" val="0"/>
                            </a:ext>
                          </a:extLst>
                        </a:blip>
                        <a:srcRect/>
                        <a:stretch/>
                      </pic:blipFill>
                      <pic:spPr bwMode="auto">
                        <a:xfrm>
                          <a:off x="0" y="0"/>
                          <a:ext cx="5731510" cy="3431347"/>
                        </a:xfrm>
                        <a:prstGeom prst="rect">
                          <a:avLst/>
                        </a:prstGeom>
                        <a:ln>
                          <a:noFill/>
                        </a:ln>
                        <a:extLst>
                          <a:ext uri="{53640926-AAD7-44D8-BBD7-CCE9431645EC}">
                            <a14:shadowObscured xmlns:a14="http://schemas.microsoft.com/office/drawing/2010/main"/>
                          </a:ext>
                        </a:extLst>
                      </pic:spPr>
                    </pic:pic>
                  </a:graphicData>
                </a:graphic>
              </wp:inline>
            </w:drawing>
          </w:r>
        </w:p>
        <w:p w14:paraId="47778326" w14:textId="0B965681" w:rsidR="002C1F69" w:rsidRPr="002C1F69" w:rsidRDefault="002C1F69" w:rsidP="002C1F69">
          <w:pPr>
            <w:pStyle w:val="Caption"/>
            <w:jc w:val="center"/>
            <w:rPr>
              <w:i/>
              <w:color w:val="auto"/>
              <w:lang w:val="en-US"/>
            </w:rPr>
          </w:pPr>
          <w:bookmarkStart w:id="4" w:name="_Toc227532017"/>
          <w:r w:rsidRPr="002C1F69">
            <w:rPr>
              <w:i/>
              <w:color w:val="auto"/>
            </w:rPr>
            <w:t xml:space="preserve">Figure </w:t>
          </w:r>
          <w:r w:rsidRPr="002C1F69">
            <w:rPr>
              <w:i/>
              <w:color w:val="auto"/>
            </w:rPr>
            <w:fldChar w:fldCharType="begin"/>
          </w:r>
          <w:r w:rsidRPr="002C1F69">
            <w:rPr>
              <w:i/>
              <w:color w:val="auto"/>
            </w:rPr>
            <w:instrText xml:space="preserve"> SEQ Figure \* ARABIC </w:instrText>
          </w:r>
          <w:r w:rsidRPr="002C1F69">
            <w:rPr>
              <w:i/>
              <w:color w:val="auto"/>
            </w:rPr>
            <w:fldChar w:fldCharType="separate"/>
          </w:r>
          <w:r w:rsidRPr="002C1F69">
            <w:rPr>
              <w:i/>
              <w:noProof/>
              <w:color w:val="auto"/>
            </w:rPr>
            <w:t>1</w:t>
          </w:r>
          <w:r w:rsidRPr="002C1F69">
            <w:rPr>
              <w:i/>
              <w:color w:val="auto"/>
            </w:rPr>
            <w:fldChar w:fldCharType="end"/>
          </w:r>
          <w:r w:rsidRPr="002C1F69">
            <w:rPr>
              <w:i/>
              <w:color w:val="auto"/>
            </w:rPr>
            <w:t>: Comparison of UK and EU AI Regulatory Approaches (Author)</w:t>
          </w:r>
          <w:bookmarkEnd w:id="4"/>
        </w:p>
        <w:p w14:paraId="47290D58" w14:textId="77777777" w:rsidR="00F64D2E" w:rsidRPr="00F64D2E" w:rsidRDefault="00F64D2E" w:rsidP="00983EF9">
          <w:pPr>
            <w:rPr>
              <w:lang w:val="en-US"/>
            </w:rPr>
          </w:pPr>
          <w:r w:rsidRPr="00F64D2E">
            <w:rPr>
              <w:lang w:val="en-US"/>
            </w:rPr>
            <w:lastRenderedPageBreak/>
            <w:t>Contrary to that, the EU AI Act (Reg. 2024/1689) divides the systems of AI into categories of their possible risks, with high-risk AI systems being limited to strict compliance schemes. The Act requires periodic conformity tests and reporting and high penalties in case of failure to do so (up to 7% of world turnover). Such a strict structure promises increased legal predictability but may result in greater operational expenses for a business with operations throughout the EU (European Commission, 2024).</w:t>
          </w:r>
        </w:p>
        <w:p w14:paraId="0CF1C728" w14:textId="77777777" w:rsidR="00F64D2E" w:rsidRPr="00F64D2E" w:rsidRDefault="00F64D2E" w:rsidP="00983EF9">
          <w:pPr>
            <w:rPr>
              <w:lang w:val="en-US"/>
            </w:rPr>
          </w:pPr>
          <w:r w:rsidRPr="00F64D2E">
            <w:rPr>
              <w:lang w:val="en-US"/>
            </w:rPr>
            <w:t>UK flexibility enables quicker implementation of AI, although it may lead to uncertainties in regulations. The stringent European framework is more costly and burdensome with stricter regulations, which means that Accenture needed to have different strategies regarding AI in each region.</w:t>
          </w:r>
        </w:p>
        <w:p w14:paraId="3272095F" w14:textId="77777777" w:rsidR="00F64D2E" w:rsidRPr="00F64D2E" w:rsidRDefault="00F64D2E" w:rsidP="00983EF9">
          <w:pPr>
            <w:pStyle w:val="Heading2"/>
            <w:rPr>
              <w:lang w:val="en-US"/>
            </w:rPr>
          </w:pPr>
          <w:bookmarkStart w:id="5" w:name="_Toc227531816"/>
          <w:r w:rsidRPr="00F64D2E">
            <w:rPr>
              <w:lang w:val="en-US"/>
            </w:rPr>
            <w:t>2.2 Economic Factors Influencing AI</w:t>
          </w:r>
          <w:bookmarkEnd w:id="5"/>
        </w:p>
        <w:p w14:paraId="5BDE520F" w14:textId="77777777" w:rsidR="00F64D2E" w:rsidRDefault="00F64D2E" w:rsidP="00983EF9">
          <w:pPr>
            <w:rPr>
              <w:lang w:val="en-US"/>
            </w:rPr>
          </w:pPr>
          <w:r w:rsidRPr="00F64D2E">
            <w:rPr>
              <w:lang w:val="en-US"/>
            </w:rPr>
            <w:t>The interest rates, inflation, and the growth of GDP are economic variables that have direct effects on the investment in AI in the UK. The interest rate of the Bank of England is 3.75 as of early 2026, meaning there is an environment of high cost of borrowing. Together with an ongoing inflationary trend and slower economic growth, this restricts the capital supply to high-risk AI projects and makes companies such as Accenture focus on the AI solution that has a real ROI (Bank of England, 2026).</w:t>
          </w:r>
        </w:p>
        <w:p w14:paraId="7AB3D479" w14:textId="77777777" w:rsidR="00125E5E" w:rsidRDefault="00125E5E" w:rsidP="00125E5E">
          <w:pPr>
            <w:keepNext/>
          </w:pPr>
          <w:r w:rsidRPr="00125E5E">
            <w:rPr>
              <w:noProof/>
              <w:lang w:val="en-US"/>
            </w:rPr>
            <w:drawing>
              <wp:inline distT="0" distB="0" distL="0" distR="0" wp14:anchorId="0C9B9B8B" wp14:editId="11704BC4">
                <wp:extent cx="5731510" cy="1080782"/>
                <wp:effectExtent l="0" t="0" r="2540" b="508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2"/>
                        <a:stretch>
                          <a:fillRect/>
                        </a:stretch>
                      </pic:blipFill>
                      <pic:spPr>
                        <a:xfrm>
                          <a:off x="0" y="0"/>
                          <a:ext cx="5731510" cy="1080782"/>
                        </a:xfrm>
                        <a:prstGeom prst="rect">
                          <a:avLst/>
                        </a:prstGeom>
                      </pic:spPr>
                    </pic:pic>
                  </a:graphicData>
                </a:graphic>
              </wp:inline>
            </w:drawing>
          </w:r>
        </w:p>
        <w:p w14:paraId="3878063E" w14:textId="10F2A383" w:rsidR="00125E5E" w:rsidRPr="00125E5E" w:rsidRDefault="00125E5E" w:rsidP="00125E5E">
          <w:pPr>
            <w:pStyle w:val="Caption"/>
            <w:jc w:val="center"/>
            <w:rPr>
              <w:i/>
              <w:color w:val="auto"/>
              <w:lang w:val="en-US"/>
            </w:rPr>
          </w:pPr>
          <w:bookmarkStart w:id="6" w:name="_Toc227532018"/>
          <w:r w:rsidRPr="00125E5E">
            <w:rPr>
              <w:i/>
              <w:color w:val="auto"/>
            </w:rPr>
            <w:t xml:space="preserve">Figure </w:t>
          </w:r>
          <w:r w:rsidRPr="00125E5E">
            <w:rPr>
              <w:i/>
              <w:color w:val="auto"/>
            </w:rPr>
            <w:fldChar w:fldCharType="begin"/>
          </w:r>
          <w:r w:rsidRPr="00125E5E">
            <w:rPr>
              <w:i/>
              <w:color w:val="auto"/>
            </w:rPr>
            <w:instrText xml:space="preserve"> SEQ Figure \* ARABIC </w:instrText>
          </w:r>
          <w:r w:rsidRPr="00125E5E">
            <w:rPr>
              <w:i/>
              <w:color w:val="auto"/>
            </w:rPr>
            <w:fldChar w:fldCharType="separate"/>
          </w:r>
          <w:r w:rsidR="002C1F69">
            <w:rPr>
              <w:i/>
              <w:noProof/>
              <w:color w:val="auto"/>
            </w:rPr>
            <w:t>2</w:t>
          </w:r>
          <w:r w:rsidRPr="00125E5E">
            <w:rPr>
              <w:i/>
              <w:color w:val="auto"/>
            </w:rPr>
            <w:fldChar w:fldCharType="end"/>
          </w:r>
          <w:r w:rsidRPr="00125E5E">
            <w:rPr>
              <w:i/>
              <w:color w:val="auto"/>
            </w:rPr>
            <w:t>: Current interest rates of Bank of England</w:t>
          </w:r>
          <w:r w:rsidR="002C1F69" w:rsidRPr="002C1F69">
            <w:t xml:space="preserve"> </w:t>
          </w:r>
          <w:r w:rsidR="002C1F69" w:rsidRPr="002C1F69">
            <w:rPr>
              <w:i/>
              <w:color w:val="auto"/>
            </w:rPr>
            <w:t>(Bank of England, 2026)</w:t>
          </w:r>
          <w:bookmarkEnd w:id="6"/>
        </w:p>
        <w:p w14:paraId="7AFEED66" w14:textId="77777777" w:rsidR="00F64D2E" w:rsidRDefault="00F64D2E" w:rsidP="00983EF9">
          <w:pPr>
            <w:rPr>
              <w:lang w:val="en-US"/>
            </w:rPr>
          </w:pPr>
          <w:r w:rsidRPr="00F64D2E">
            <w:rPr>
              <w:lang w:val="en-US"/>
            </w:rPr>
            <w:t>In the same way, the European Central Bank (ECB) has also kept the interest rate at 2.00 percent in a bid to contain inflation and to help check the economic stability. Nonetheless, the geopolitical uncertainty related to various events, such as Brexit and the Russia-Ukraine conflict, is still affecting the condition of the economy, interfering with the supply chains and data flows of the AI sphere (European Central Bank, 2026).</w:t>
          </w:r>
        </w:p>
        <w:p w14:paraId="45938770" w14:textId="77777777" w:rsidR="00125E5E" w:rsidRDefault="00125E5E" w:rsidP="00125E5E">
          <w:pPr>
            <w:keepNext/>
          </w:pPr>
          <w:r>
            <w:rPr>
              <w:noProof/>
              <w:lang w:val="en-US"/>
            </w:rPr>
            <w:lastRenderedPageBreak/>
            <w:drawing>
              <wp:inline distT="0" distB="0" distL="0" distR="0" wp14:anchorId="5C1E09C7" wp14:editId="5D2AEEDC">
                <wp:extent cx="5731510" cy="3820795"/>
                <wp:effectExtent l="0" t="0" r="2540" b="825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20260419_2154_Image Generation_simple_compose_01kpk76ktne84tdfkz16wx4pvz.png"/>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731510" cy="3820795"/>
                        </a:xfrm>
                        <a:prstGeom prst="rect">
                          <a:avLst/>
                        </a:prstGeom>
                      </pic:spPr>
                    </pic:pic>
                  </a:graphicData>
                </a:graphic>
              </wp:inline>
            </w:drawing>
          </w:r>
        </w:p>
        <w:p w14:paraId="60455738" w14:textId="1652C8ED" w:rsidR="00125E5E" w:rsidRPr="00125E5E" w:rsidRDefault="00125E5E" w:rsidP="00125E5E">
          <w:pPr>
            <w:pStyle w:val="Caption"/>
            <w:jc w:val="center"/>
            <w:rPr>
              <w:i/>
              <w:color w:val="auto"/>
              <w:lang w:val="en-US"/>
            </w:rPr>
          </w:pPr>
          <w:bookmarkStart w:id="7" w:name="_Toc227532019"/>
          <w:r w:rsidRPr="00125E5E">
            <w:rPr>
              <w:i/>
              <w:color w:val="auto"/>
            </w:rPr>
            <w:t xml:space="preserve">Figure </w:t>
          </w:r>
          <w:r w:rsidRPr="00125E5E">
            <w:rPr>
              <w:i/>
              <w:color w:val="auto"/>
            </w:rPr>
            <w:fldChar w:fldCharType="begin"/>
          </w:r>
          <w:r w:rsidRPr="00125E5E">
            <w:rPr>
              <w:i/>
              <w:color w:val="auto"/>
            </w:rPr>
            <w:instrText xml:space="preserve"> SEQ Figure \* ARABIC </w:instrText>
          </w:r>
          <w:r w:rsidRPr="00125E5E">
            <w:rPr>
              <w:i/>
              <w:color w:val="auto"/>
            </w:rPr>
            <w:fldChar w:fldCharType="separate"/>
          </w:r>
          <w:r w:rsidR="002C1F69">
            <w:rPr>
              <w:i/>
              <w:noProof/>
              <w:color w:val="auto"/>
            </w:rPr>
            <w:t>3</w:t>
          </w:r>
          <w:r w:rsidRPr="00125E5E">
            <w:rPr>
              <w:i/>
              <w:color w:val="auto"/>
            </w:rPr>
            <w:fldChar w:fldCharType="end"/>
          </w:r>
          <w:r w:rsidRPr="00125E5E">
            <w:rPr>
              <w:i/>
              <w:color w:val="auto"/>
            </w:rPr>
            <w:t>: Comparison of Current Interest Rates: UK vs EU (2026) (Author)</w:t>
          </w:r>
          <w:bookmarkEnd w:id="7"/>
        </w:p>
        <w:p w14:paraId="20E66E19" w14:textId="77777777" w:rsidR="00F64D2E" w:rsidRPr="00F64D2E" w:rsidRDefault="00F64D2E" w:rsidP="00983EF9">
          <w:pPr>
            <w:rPr>
              <w:lang w:val="en-US"/>
            </w:rPr>
          </w:pPr>
          <w:r w:rsidRPr="00F64D2E">
            <w:rPr>
              <w:lang w:val="en-US"/>
            </w:rPr>
            <w:t>Both are crashing through economic difficulties that demand modifications of investments in AI by Accenture. The economic uncertainty and high interest rates encourage the company to pursue more conservative investment options, which could help the company to be efficient and cost-effective in its AI solutions.</w:t>
          </w:r>
        </w:p>
        <w:p w14:paraId="431A7B4A" w14:textId="77777777" w:rsidR="00F64D2E" w:rsidRPr="00F64D2E" w:rsidRDefault="00F64D2E" w:rsidP="00983EF9">
          <w:pPr>
            <w:pStyle w:val="Heading2"/>
            <w:rPr>
              <w:lang w:val="en-US"/>
            </w:rPr>
          </w:pPr>
          <w:bookmarkStart w:id="8" w:name="_Toc227531817"/>
          <w:r w:rsidRPr="00F64D2E">
            <w:rPr>
              <w:lang w:val="en-US"/>
            </w:rPr>
            <w:t>2.3 Technological Developments</w:t>
          </w:r>
          <w:bookmarkEnd w:id="8"/>
        </w:p>
        <w:p w14:paraId="69F8A74A" w14:textId="77777777" w:rsidR="00F64D2E" w:rsidRPr="00F64D2E" w:rsidRDefault="00F64D2E" w:rsidP="00983EF9">
          <w:pPr>
            <w:rPr>
              <w:lang w:val="en-US"/>
            </w:rPr>
          </w:pPr>
          <w:r w:rsidRPr="00F64D2E">
            <w:rPr>
              <w:lang w:val="en-US"/>
            </w:rPr>
            <w:t>The development of AI in the UK and EU has been particularly affected by the development of generative AI and machine learning (ML). Accenture in the UK is applying generative AI to develop individual customer solutions and improve data analytics to enable companies to simplify their operations and innovate. The AI strategy in the UK encourages the involvement of both industry and academia, enhancing AI application innovation (Khurana et al., 2025).</w:t>
          </w:r>
        </w:p>
        <w:p w14:paraId="0336A0D2" w14:textId="77777777" w:rsidR="00F64D2E" w:rsidRDefault="00F64D2E" w:rsidP="00983EF9">
          <w:pPr>
            <w:rPr>
              <w:lang w:val="en-US"/>
            </w:rPr>
          </w:pPr>
          <w:r w:rsidRPr="00F64D2E">
            <w:rPr>
              <w:lang w:val="en-US"/>
            </w:rPr>
            <w:t>The use of AI in the EU has gained momentum, with machine learning models already implemented in the EU in such fields as healthcare, finance, and manufacturing. The EU AI Act establishes a regulatory framework that will make AI systems comply with high ethical standards, spurring responsible AI innovation (European Commission, 2024).</w:t>
          </w:r>
        </w:p>
        <w:p w14:paraId="5F516E24" w14:textId="77777777" w:rsidR="00F14D70" w:rsidRDefault="00F14D70" w:rsidP="00F14D70">
          <w:pPr>
            <w:keepNext/>
          </w:pPr>
          <w:r>
            <w:rPr>
              <w:noProof/>
              <w:lang w:val="en-US"/>
            </w:rPr>
            <w:lastRenderedPageBreak/>
            <w:drawing>
              <wp:inline distT="0" distB="0" distL="0" distR="0" wp14:anchorId="573556CD" wp14:editId="370973CA">
                <wp:extent cx="5731510" cy="3820795"/>
                <wp:effectExtent l="0" t="0" r="2540" b="825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20260419_2200_Image Generation_simple_compose_01kpk7gwmcekc8y3y037h3tvd6.png"/>
                        <pic:cNvPicPr/>
                      </pic:nvPicPr>
                      <pic:blipFill>
                        <a:blip r:embed="rId14" cstate="print">
                          <a:extLst>
                            <a:ext uri="{28A0092B-C50C-407E-A947-70E740481C1C}">
                              <a14:useLocalDpi xmlns:a14="http://schemas.microsoft.com/office/drawing/2010/main" val="0"/>
                            </a:ext>
                          </a:extLst>
                        </a:blip>
                        <a:stretch>
                          <a:fillRect/>
                        </a:stretch>
                      </pic:blipFill>
                      <pic:spPr>
                        <a:xfrm>
                          <a:off x="0" y="0"/>
                          <a:ext cx="5731510" cy="3820795"/>
                        </a:xfrm>
                        <a:prstGeom prst="rect">
                          <a:avLst/>
                        </a:prstGeom>
                      </pic:spPr>
                    </pic:pic>
                  </a:graphicData>
                </a:graphic>
              </wp:inline>
            </w:drawing>
          </w:r>
        </w:p>
        <w:p w14:paraId="121F1277" w14:textId="641D8765" w:rsidR="00F14D70" w:rsidRPr="00F14D70" w:rsidRDefault="00F14D70" w:rsidP="00F14D70">
          <w:pPr>
            <w:pStyle w:val="Caption"/>
            <w:jc w:val="center"/>
            <w:rPr>
              <w:i/>
              <w:color w:val="auto"/>
              <w:lang w:val="en-US"/>
            </w:rPr>
          </w:pPr>
          <w:bookmarkStart w:id="9" w:name="_Toc227532020"/>
          <w:r w:rsidRPr="00F14D70">
            <w:rPr>
              <w:i/>
              <w:color w:val="auto"/>
            </w:rPr>
            <w:t xml:space="preserve">Figure </w:t>
          </w:r>
          <w:r w:rsidRPr="00F14D70">
            <w:rPr>
              <w:i/>
              <w:color w:val="auto"/>
            </w:rPr>
            <w:fldChar w:fldCharType="begin"/>
          </w:r>
          <w:r w:rsidRPr="00F14D70">
            <w:rPr>
              <w:i/>
              <w:color w:val="auto"/>
            </w:rPr>
            <w:instrText xml:space="preserve"> SEQ Figure \* ARABIC </w:instrText>
          </w:r>
          <w:r w:rsidRPr="00F14D70">
            <w:rPr>
              <w:i/>
              <w:color w:val="auto"/>
            </w:rPr>
            <w:fldChar w:fldCharType="separate"/>
          </w:r>
          <w:r w:rsidR="002C1F69">
            <w:rPr>
              <w:i/>
              <w:noProof/>
              <w:color w:val="auto"/>
            </w:rPr>
            <w:t>4</w:t>
          </w:r>
          <w:r w:rsidRPr="00F14D70">
            <w:rPr>
              <w:i/>
              <w:color w:val="auto"/>
            </w:rPr>
            <w:fldChar w:fldCharType="end"/>
          </w:r>
          <w:r w:rsidRPr="00F14D70">
            <w:rPr>
              <w:i/>
              <w:color w:val="auto"/>
            </w:rPr>
            <w:t>: Technological Developments in AI: UK vs EU Applications (Author)</w:t>
          </w:r>
          <w:bookmarkEnd w:id="9"/>
        </w:p>
        <w:p w14:paraId="61C45115" w14:textId="77777777" w:rsidR="00F64D2E" w:rsidRPr="00F64D2E" w:rsidRDefault="00F64D2E" w:rsidP="00983EF9">
          <w:pPr>
            <w:rPr>
              <w:lang w:val="en-US"/>
            </w:rPr>
          </w:pPr>
          <w:r w:rsidRPr="00F64D2E">
            <w:rPr>
              <w:lang w:val="en-US"/>
            </w:rPr>
            <w:t>The services provided by AI have been central in assisting businesses in these technological changes so that they can position the clients with an edge in the market that is mature yet in tandem with the changing rules and regulations (Edelman, 2024). The position of Accenture in the digital transformation through AI places it in the leadership of technological developments in both regions.</w:t>
          </w:r>
        </w:p>
        <w:p w14:paraId="436786B2" w14:textId="77777777" w:rsidR="00F64D2E" w:rsidRPr="00F64D2E" w:rsidRDefault="00F64D2E" w:rsidP="00983EF9">
          <w:pPr>
            <w:pStyle w:val="Heading2"/>
            <w:rPr>
              <w:lang w:val="en-US"/>
            </w:rPr>
          </w:pPr>
          <w:bookmarkStart w:id="10" w:name="_Toc227531818"/>
          <w:r w:rsidRPr="00F64D2E">
            <w:rPr>
              <w:lang w:val="en-US"/>
            </w:rPr>
            <w:t>2.4 Legal Considerations and Risk Exposure</w:t>
          </w:r>
          <w:bookmarkEnd w:id="10"/>
        </w:p>
        <w:p w14:paraId="75A73300" w14:textId="494A30E4" w:rsidR="00F64D2E" w:rsidRDefault="00F64D2E" w:rsidP="00983EF9">
          <w:pPr>
            <w:rPr>
              <w:lang w:val="en-US"/>
            </w:rPr>
          </w:pPr>
          <w:r w:rsidRPr="00F64D2E">
            <w:rPr>
              <w:lang w:val="en-US"/>
            </w:rPr>
            <w:t xml:space="preserve">The AI governance is important because of legal aspects, especially data protection laws. The requirements of the GDPR in the EU and the Data Protection Act in the UK set a high standard that businesses have to follow in terms of data privacy, data transparency, and consent by the consumer, particularly concerning AI usage (McKinsey </w:t>
          </w:r>
          <w:r w:rsidR="007C0AA1">
            <w:rPr>
              <w:lang w:val="en-US"/>
            </w:rPr>
            <w:t>&amp;</w:t>
          </w:r>
          <w:r w:rsidRPr="00F64D2E">
            <w:rPr>
              <w:lang w:val="en-US"/>
            </w:rPr>
            <w:t xml:space="preserve"> Company, 2025). These rules provide data management and AI decision-making strategies to meet the ultimate standards of privacy protection. To address the problem of IP risks and prevent liability in cases of wrongful AI decisions, Accenture should make sure that the models used comply with these legal requirements, especially in highly regulated industries like healthcare and finance.</w:t>
          </w:r>
        </w:p>
        <w:p w14:paraId="4B1BAB07" w14:textId="77777777" w:rsidR="00F14D70" w:rsidRDefault="00F14D70" w:rsidP="00F14D70">
          <w:pPr>
            <w:keepNext/>
          </w:pPr>
          <w:r>
            <w:rPr>
              <w:noProof/>
              <w:lang w:val="en-US"/>
            </w:rPr>
            <w:lastRenderedPageBreak/>
            <w:drawing>
              <wp:inline distT="0" distB="0" distL="0" distR="0" wp14:anchorId="3FFC5292" wp14:editId="75D11136">
                <wp:extent cx="5731510" cy="3820795"/>
                <wp:effectExtent l="0" t="0" r="2540" b="825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20260419_2210_Image Generation_simple_compose_01kpk8340yfnfbxfsmk8b8n0kx.png"/>
                        <pic:cNvPicPr/>
                      </pic:nvPicPr>
                      <pic:blipFill>
                        <a:blip r:embed="rId15" cstate="print">
                          <a:extLst>
                            <a:ext uri="{28A0092B-C50C-407E-A947-70E740481C1C}">
                              <a14:useLocalDpi xmlns:a14="http://schemas.microsoft.com/office/drawing/2010/main" val="0"/>
                            </a:ext>
                          </a:extLst>
                        </a:blip>
                        <a:stretch>
                          <a:fillRect/>
                        </a:stretch>
                      </pic:blipFill>
                      <pic:spPr>
                        <a:xfrm>
                          <a:off x="0" y="0"/>
                          <a:ext cx="5731510" cy="3820795"/>
                        </a:xfrm>
                        <a:prstGeom prst="rect">
                          <a:avLst/>
                        </a:prstGeom>
                      </pic:spPr>
                    </pic:pic>
                  </a:graphicData>
                </a:graphic>
              </wp:inline>
            </w:drawing>
          </w:r>
        </w:p>
        <w:p w14:paraId="35E774C9" w14:textId="0C30E30A" w:rsidR="00F14D70" w:rsidRPr="00305271" w:rsidRDefault="00F14D70" w:rsidP="00305271">
          <w:pPr>
            <w:pStyle w:val="Caption"/>
            <w:jc w:val="center"/>
            <w:rPr>
              <w:i/>
              <w:color w:val="auto"/>
              <w:lang w:val="en-US"/>
            </w:rPr>
          </w:pPr>
          <w:bookmarkStart w:id="11" w:name="_Toc227532021"/>
          <w:r w:rsidRPr="00305271">
            <w:rPr>
              <w:i/>
              <w:color w:val="auto"/>
            </w:rPr>
            <w:t xml:space="preserve">Figure </w:t>
          </w:r>
          <w:r w:rsidRPr="00305271">
            <w:rPr>
              <w:i/>
              <w:color w:val="auto"/>
            </w:rPr>
            <w:fldChar w:fldCharType="begin"/>
          </w:r>
          <w:r w:rsidRPr="00305271">
            <w:rPr>
              <w:i/>
              <w:color w:val="auto"/>
            </w:rPr>
            <w:instrText xml:space="preserve"> SEQ Figure \* ARABIC </w:instrText>
          </w:r>
          <w:r w:rsidRPr="00305271">
            <w:rPr>
              <w:i/>
              <w:color w:val="auto"/>
            </w:rPr>
            <w:fldChar w:fldCharType="separate"/>
          </w:r>
          <w:r w:rsidR="002C1F69">
            <w:rPr>
              <w:i/>
              <w:noProof/>
              <w:color w:val="auto"/>
            </w:rPr>
            <w:t>5</w:t>
          </w:r>
          <w:r w:rsidRPr="00305271">
            <w:rPr>
              <w:i/>
              <w:color w:val="auto"/>
            </w:rPr>
            <w:fldChar w:fldCharType="end"/>
          </w:r>
          <w:r w:rsidRPr="00305271">
            <w:rPr>
              <w:i/>
              <w:color w:val="auto"/>
            </w:rPr>
            <w:t>: PESTLE Analysis of AI in the UK and EU (Author)</w:t>
          </w:r>
          <w:bookmarkEnd w:id="11"/>
        </w:p>
        <w:p w14:paraId="2A5C8D20" w14:textId="77777777" w:rsidR="00F64D2E" w:rsidRPr="00F64D2E" w:rsidRDefault="00F64D2E" w:rsidP="00983EF9">
          <w:pPr>
            <w:pStyle w:val="Heading2"/>
            <w:rPr>
              <w:lang w:val="en-US"/>
            </w:rPr>
          </w:pPr>
          <w:bookmarkStart w:id="12" w:name="_Toc227531819"/>
          <w:r w:rsidRPr="00F64D2E">
            <w:rPr>
              <w:lang w:val="en-US"/>
            </w:rPr>
            <w:t>2.5 Social and Environmental Aspects</w:t>
          </w:r>
          <w:bookmarkEnd w:id="12"/>
        </w:p>
        <w:p w14:paraId="3B9EBD7F" w14:textId="77777777" w:rsidR="00F64D2E" w:rsidRPr="00F64D2E" w:rsidRDefault="00F64D2E" w:rsidP="00983EF9">
          <w:pPr>
            <w:rPr>
              <w:lang w:val="en-US"/>
            </w:rPr>
          </w:pPr>
          <w:r w:rsidRPr="00F64D2E">
            <w:rPr>
              <w:lang w:val="en-US"/>
            </w:rPr>
            <w:t>The increasing role of AI in society raises ethical issues pertaining to its social and environmental sustainability. The extent of attention towards the impact of AI technologies on social equity grows in the UK and the EU alike. The algorithm's bias issue and the ethical application of AI raise concerns regarding the responsible development of AI. The EU AI Act primarily focuses on human control and the reduction of bias and establishes high standards of fairness and transparency of AI (European Commission, 2024).</w:t>
          </w:r>
        </w:p>
        <w:p w14:paraId="40C553AC" w14:textId="565D8AD7" w:rsidR="00F14D70" w:rsidRPr="00F64D2E" w:rsidRDefault="00F64D2E" w:rsidP="00983EF9">
          <w:pPr>
            <w:rPr>
              <w:lang w:val="en-US"/>
            </w:rPr>
          </w:pPr>
          <w:r w:rsidRPr="00F64D2E">
            <w:rPr>
              <w:lang w:val="en-US"/>
            </w:rPr>
            <w:t xml:space="preserve">Also, due to the compute energy usage of state-of-the-art generative models, the environmental outcome of AI has become an issue of concern regarding sustainability. The application of AI by Accenture to the environmentally conscious development of AI implies the encouragement of AI energy efficiency and the overall carbon footprint of AI technologies (Ireni-Saban </w:t>
          </w:r>
          <w:r w:rsidR="007C0AA1">
            <w:rPr>
              <w:lang w:val="en-US"/>
            </w:rPr>
            <w:t>and</w:t>
          </w:r>
          <w:r w:rsidRPr="00F64D2E">
            <w:rPr>
              <w:lang w:val="en-US"/>
            </w:rPr>
            <w:t xml:space="preserve"> Sherman, 2021). This is critical in ensuring consumer confidence and rising demand for sustainable solutions.</w:t>
          </w:r>
        </w:p>
        <w:p w14:paraId="0D58C0EA" w14:textId="07517A0F" w:rsidR="00925FF4" w:rsidRPr="00925FF4" w:rsidRDefault="00925FF4" w:rsidP="00983EF9">
          <w:pPr>
            <w:pStyle w:val="Caption"/>
            <w:keepNext/>
            <w:jc w:val="center"/>
            <w:rPr>
              <w:i/>
              <w:color w:val="auto"/>
              <w:sz w:val="16"/>
            </w:rPr>
          </w:pPr>
          <w:bookmarkStart w:id="13" w:name="_Toc227532028"/>
          <w:r w:rsidRPr="00925FF4">
            <w:rPr>
              <w:i/>
              <w:color w:val="auto"/>
              <w:sz w:val="16"/>
            </w:rPr>
            <w:lastRenderedPageBreak/>
            <w:t xml:space="preserve">Table </w:t>
          </w:r>
          <w:r w:rsidRPr="00925FF4">
            <w:rPr>
              <w:i/>
              <w:color w:val="auto"/>
              <w:sz w:val="16"/>
            </w:rPr>
            <w:fldChar w:fldCharType="begin"/>
          </w:r>
          <w:r w:rsidRPr="00925FF4">
            <w:rPr>
              <w:i/>
              <w:color w:val="auto"/>
              <w:sz w:val="16"/>
            </w:rPr>
            <w:instrText xml:space="preserve"> SEQ Table \* ARABIC </w:instrText>
          </w:r>
          <w:r w:rsidRPr="00925FF4">
            <w:rPr>
              <w:i/>
              <w:color w:val="auto"/>
              <w:sz w:val="16"/>
            </w:rPr>
            <w:fldChar w:fldCharType="separate"/>
          </w:r>
          <w:r w:rsidR="00650710">
            <w:rPr>
              <w:i/>
              <w:noProof/>
              <w:color w:val="auto"/>
              <w:sz w:val="16"/>
            </w:rPr>
            <w:t>1</w:t>
          </w:r>
          <w:r w:rsidRPr="00925FF4">
            <w:rPr>
              <w:i/>
              <w:color w:val="auto"/>
              <w:sz w:val="16"/>
            </w:rPr>
            <w:fldChar w:fldCharType="end"/>
          </w:r>
          <w:r w:rsidRPr="00925FF4">
            <w:rPr>
              <w:i/>
              <w:color w:val="auto"/>
              <w:sz w:val="16"/>
            </w:rPr>
            <w:t>: Key Insights on AI Regulatory, Economic, Technological, and Legal Contexts in the UK and EU (Author)</w:t>
          </w:r>
          <w:bookmarkEnd w:id="13"/>
        </w:p>
        <w:p w14:paraId="4F4BB830" w14:textId="417CC333" w:rsidR="00F64D2E" w:rsidRDefault="00925FF4" w:rsidP="00983EF9">
          <w:pPr>
            <w:rPr>
              <w:rFonts w:ascii="Times New Roman" w:eastAsia="Times New Roman" w:hAnsi="Times New Roman" w:cs="Times New Roman"/>
              <w:sz w:val="24"/>
              <w:szCs w:val="24"/>
              <w:lang w:val="en-US"/>
            </w:rPr>
          </w:pPr>
          <w:r w:rsidRPr="00925FF4">
            <w:rPr>
              <w:rFonts w:ascii="Times New Roman" w:eastAsia="Times New Roman" w:hAnsi="Times New Roman" w:cs="Times New Roman"/>
              <w:noProof/>
              <w:sz w:val="24"/>
              <w:szCs w:val="24"/>
              <w:lang w:val="en-US"/>
            </w:rPr>
            <w:drawing>
              <wp:inline distT="0" distB="0" distL="0" distR="0" wp14:anchorId="6A5959C9" wp14:editId="7A4F8323">
                <wp:extent cx="5602014" cy="4119404"/>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6"/>
                        <a:stretch>
                          <a:fillRect/>
                        </a:stretch>
                      </pic:blipFill>
                      <pic:spPr>
                        <a:xfrm>
                          <a:off x="0" y="0"/>
                          <a:ext cx="5607478" cy="4123422"/>
                        </a:xfrm>
                        <a:prstGeom prst="rect">
                          <a:avLst/>
                        </a:prstGeom>
                      </pic:spPr>
                    </pic:pic>
                  </a:graphicData>
                </a:graphic>
              </wp:inline>
            </w:drawing>
          </w:r>
          <w:r w:rsidR="00F64D2E">
            <w:rPr>
              <w:rFonts w:ascii="Times New Roman" w:eastAsia="Times New Roman" w:hAnsi="Times New Roman" w:cs="Times New Roman"/>
              <w:sz w:val="24"/>
              <w:szCs w:val="24"/>
              <w:lang w:val="en-US"/>
            </w:rPr>
            <w:br w:type="page"/>
          </w:r>
        </w:p>
        <w:p w14:paraId="6CEA2099" w14:textId="2FA116A5" w:rsidR="00B93643" w:rsidRPr="00B93643" w:rsidRDefault="00925FF4" w:rsidP="00983EF9">
          <w:pPr>
            <w:pStyle w:val="Heading1"/>
            <w:rPr>
              <w:lang w:val="en-US"/>
            </w:rPr>
          </w:pPr>
          <w:bookmarkStart w:id="14" w:name="_Toc227531820"/>
          <w:r>
            <w:rPr>
              <w:lang w:val="en-US"/>
            </w:rPr>
            <w:lastRenderedPageBreak/>
            <w:t xml:space="preserve">3.0 </w:t>
          </w:r>
          <w:r w:rsidR="00B93643" w:rsidRPr="00B93643">
            <w:rPr>
              <w:lang w:val="en-US"/>
            </w:rPr>
            <w:t>Regulatory, Ethical, and Economic Considerations</w:t>
          </w:r>
          <w:bookmarkEnd w:id="14"/>
        </w:p>
        <w:p w14:paraId="17CE5B81" w14:textId="77777777" w:rsidR="00493CCA" w:rsidRPr="00493CCA" w:rsidRDefault="00493CCA" w:rsidP="00983EF9">
          <w:pPr>
            <w:pStyle w:val="Heading2"/>
            <w:rPr>
              <w:lang w:val="en-US"/>
            </w:rPr>
          </w:pPr>
          <w:bookmarkStart w:id="15" w:name="_Toc227531821"/>
          <w:r w:rsidRPr="00493CCA">
            <w:rPr>
              <w:lang w:val="en-US"/>
            </w:rPr>
            <w:t>3.1 Data Governance</w:t>
          </w:r>
          <w:bookmarkEnd w:id="15"/>
        </w:p>
        <w:p w14:paraId="629917B6" w14:textId="77777777" w:rsidR="00493CCA" w:rsidRPr="00493CCA" w:rsidRDefault="00493CCA" w:rsidP="00983EF9">
          <w:pPr>
            <w:rPr>
              <w:lang w:val="en-US"/>
            </w:rPr>
          </w:pPr>
          <w:r w:rsidRPr="00493CCA">
            <w:rPr>
              <w:lang w:val="en-US"/>
            </w:rPr>
            <w:t>The key part of AI risk management is data governance: it is necessary to maintain high-quality data in AI systems, data lineage, transparency, and privacy (Kitchin, 2014). These considerations are essential not just to operational success but also to reducing legal and reputational risks of AI implementation.</w:t>
          </w:r>
        </w:p>
        <w:p w14:paraId="262F95A2" w14:textId="01765EAE" w:rsidR="00493CCA" w:rsidRPr="00493CCA" w:rsidRDefault="00493CCA" w:rsidP="00983EF9">
          <w:pPr>
            <w:rPr>
              <w:lang w:val="en-US"/>
            </w:rPr>
          </w:pPr>
          <w:r w:rsidRPr="00493CCA">
            <w:rPr>
              <w:lang w:val="en-US"/>
            </w:rPr>
            <w:t xml:space="preserve">The significance of data quality is that the data used to train AI models must be accurate, consistent, and reliable. Low quality of data may result in wrong outputs, prejudices, and unexpected outcomes (DiMaggio and Powell, 2016). Data lineage guarantees that all information in AI applications can be traced back to enable complete knowledge of how data circulates in the system and who is in control of the data and its applications. It is necessary to resolve the issue of data integrity and the origins of possible biases in the results of AI (Ireni-Saban </w:t>
          </w:r>
          <w:r w:rsidR="007C0AA1">
            <w:rPr>
              <w:lang w:val="en-US"/>
            </w:rPr>
            <w:t>and</w:t>
          </w:r>
          <w:r w:rsidRPr="00493CCA">
            <w:rPr>
              <w:lang w:val="en-US"/>
            </w:rPr>
            <w:t xml:space="preserve"> Sherman, 2021).</w:t>
          </w:r>
        </w:p>
        <w:p w14:paraId="0A8C2CA4" w14:textId="77777777" w:rsidR="00493CCA" w:rsidRDefault="00493CCA" w:rsidP="00983EF9">
          <w:pPr>
            <w:rPr>
              <w:lang w:val="en-US"/>
            </w:rPr>
          </w:pPr>
          <w:r w:rsidRPr="00493CCA">
            <w:rPr>
              <w:lang w:val="en-US"/>
            </w:rPr>
            <w:t>AI systems require openness to make the stakeholders realize the process of making decisions. With artificial intelligence-based decisions affecting more and more spheres of business, businesses such as Accenture need to focus on transparent data utilization and AI algorithms. Another essential detail is data privacy (Raji et al., 2020). According to the GDPR and other data protection regulations, organizations must be responsible when using personal data and must ensure that the individual's rights are not violated (European Commission, 2020).</w:t>
          </w:r>
        </w:p>
        <w:p w14:paraId="0855A2E3" w14:textId="77777777" w:rsidR="00CC5E39" w:rsidRDefault="00CC5E39" w:rsidP="00CC5E39">
          <w:pPr>
            <w:keepNext/>
            <w:jc w:val="center"/>
          </w:pPr>
          <w:r>
            <w:rPr>
              <w:noProof/>
              <w:lang w:val="en-US"/>
            </w:rPr>
            <w:drawing>
              <wp:inline distT="0" distB="0" distL="0" distR="0" wp14:anchorId="453B703F" wp14:editId="0E5BE351">
                <wp:extent cx="5431583" cy="3005958"/>
                <wp:effectExtent l="0" t="0" r="0" b="444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20260419_2230_Image Generation_simple_compose_01kpk975z0fb1rapxpkzn51bce (2).png"/>
                        <pic:cNvPicPr/>
                      </pic:nvPicPr>
                      <pic:blipFill rotWithShape="1">
                        <a:blip r:embed="rId17" cstate="print">
                          <a:extLst>
                            <a:ext uri="{28A0092B-C50C-407E-A947-70E740481C1C}">
                              <a14:useLocalDpi xmlns:a14="http://schemas.microsoft.com/office/drawing/2010/main" val="0"/>
                            </a:ext>
                          </a:extLst>
                        </a:blip>
                        <a:srcRect/>
                        <a:stretch/>
                      </pic:blipFill>
                      <pic:spPr bwMode="auto">
                        <a:xfrm>
                          <a:off x="0" y="0"/>
                          <a:ext cx="5451174" cy="3016800"/>
                        </a:xfrm>
                        <a:prstGeom prst="rect">
                          <a:avLst/>
                        </a:prstGeom>
                        <a:ln>
                          <a:noFill/>
                        </a:ln>
                        <a:extLst>
                          <a:ext uri="{53640926-AAD7-44D8-BBD7-CCE9431645EC}">
                            <a14:shadowObscured xmlns:a14="http://schemas.microsoft.com/office/drawing/2010/main"/>
                          </a:ext>
                        </a:extLst>
                      </pic:spPr>
                    </pic:pic>
                  </a:graphicData>
                </a:graphic>
              </wp:inline>
            </w:drawing>
          </w:r>
        </w:p>
        <w:p w14:paraId="06436901" w14:textId="28F090F7" w:rsidR="00CC5E39" w:rsidRPr="00CC5E39" w:rsidRDefault="00CC5E39" w:rsidP="00CC5E39">
          <w:pPr>
            <w:pStyle w:val="Caption"/>
            <w:jc w:val="center"/>
            <w:rPr>
              <w:i/>
              <w:color w:val="auto"/>
              <w:lang w:val="en-US"/>
            </w:rPr>
          </w:pPr>
          <w:bookmarkStart w:id="16" w:name="_Toc227532022"/>
          <w:r w:rsidRPr="00CC5E39">
            <w:rPr>
              <w:i/>
              <w:color w:val="auto"/>
            </w:rPr>
            <w:t xml:space="preserve">Figure </w:t>
          </w:r>
          <w:r w:rsidRPr="00CC5E39">
            <w:rPr>
              <w:i/>
              <w:color w:val="auto"/>
            </w:rPr>
            <w:fldChar w:fldCharType="begin"/>
          </w:r>
          <w:r w:rsidRPr="00CC5E39">
            <w:rPr>
              <w:i/>
              <w:color w:val="auto"/>
            </w:rPr>
            <w:instrText xml:space="preserve"> SEQ Figure \* ARABIC </w:instrText>
          </w:r>
          <w:r w:rsidRPr="00CC5E39">
            <w:rPr>
              <w:i/>
              <w:color w:val="auto"/>
            </w:rPr>
            <w:fldChar w:fldCharType="separate"/>
          </w:r>
          <w:r w:rsidR="002C1F69">
            <w:rPr>
              <w:i/>
              <w:noProof/>
              <w:color w:val="auto"/>
            </w:rPr>
            <w:t>6</w:t>
          </w:r>
          <w:r w:rsidRPr="00CC5E39">
            <w:rPr>
              <w:i/>
              <w:color w:val="auto"/>
            </w:rPr>
            <w:fldChar w:fldCharType="end"/>
          </w:r>
          <w:r w:rsidRPr="00CC5E39">
            <w:rPr>
              <w:i/>
              <w:color w:val="auto"/>
            </w:rPr>
            <w:t>: Data Governance in AI: Ensuring Quality, Transparency, and Privacy (Author)</w:t>
          </w:r>
          <w:bookmarkEnd w:id="16"/>
        </w:p>
        <w:p w14:paraId="3E993950" w14:textId="77777777" w:rsidR="00493CCA" w:rsidRPr="00493CCA" w:rsidRDefault="00493CCA" w:rsidP="00983EF9">
          <w:pPr>
            <w:rPr>
              <w:b/>
              <w:i/>
              <w:sz w:val="24"/>
              <w:u w:val="single"/>
              <w:lang w:val="en-US"/>
            </w:rPr>
          </w:pPr>
          <w:r w:rsidRPr="00493CCA">
            <w:rPr>
              <w:b/>
              <w:i/>
              <w:sz w:val="24"/>
              <w:u w:val="single"/>
              <w:lang w:val="en-US"/>
            </w:rPr>
            <w:lastRenderedPageBreak/>
            <w:t>Regulatory Requirements:</w:t>
          </w:r>
        </w:p>
        <w:p w14:paraId="17389293" w14:textId="77777777" w:rsidR="00493CCA" w:rsidRPr="00493CCA" w:rsidRDefault="00493CCA" w:rsidP="00983EF9">
          <w:pPr>
            <w:rPr>
              <w:lang w:val="en-US"/>
            </w:rPr>
          </w:pPr>
          <w:r w:rsidRPr="00493CCA">
            <w:rPr>
              <w:lang w:val="en-US"/>
            </w:rPr>
            <w:t>The UK and EU have formed a strong framework of data governance with significant disparities in the complexity of regulations. In the GDPR (General Data Protection Regulation), the EU has established the pinnacle of data protection, where businesses must guarantee clear consent to data gathering, safeguard the rights of the subject of data, and adopt stringent measures to handle data. The UK Data Protection Act (2018) largely corresponds to the GDPR, but divergence is possible after Brexit. The UK and EU attach a high value to the privacy of their data, minimization, and the right to erasure, which have to be integrated into the AI governance systems (UK Government, 2026).</w:t>
          </w:r>
        </w:p>
        <w:p w14:paraId="705BC314" w14:textId="77777777" w:rsidR="00493CCA" w:rsidRPr="00493CCA" w:rsidRDefault="00493CCA" w:rsidP="00983EF9">
          <w:pPr>
            <w:rPr>
              <w:lang w:val="en-US"/>
            </w:rPr>
          </w:pPr>
          <w:r w:rsidRPr="00493CCA">
            <w:rPr>
              <w:lang w:val="en-US"/>
            </w:rPr>
            <w:t>In the cross-border data transfer case, GDPR stipulates that any data transfers that transfer data outside the EU shall be of sufficient protection and restricts the transfers of data flows among multinational firms such as Accenture to a different location. Although the UK continues to accept EU-approved tools such as the Standard Contractual Clauses (SCCs), other nations might need to seek individual approval regulations in order to achieve compliance (European Data Protection Board, 2025).</w:t>
          </w:r>
        </w:p>
        <w:p w14:paraId="0B57C084" w14:textId="77777777" w:rsidR="00493CCA" w:rsidRPr="00493CCA" w:rsidRDefault="00493CCA" w:rsidP="00983EF9">
          <w:pPr>
            <w:rPr>
              <w:b/>
              <w:i/>
              <w:u w:val="single"/>
              <w:lang w:val="en-US"/>
            </w:rPr>
          </w:pPr>
          <w:r w:rsidRPr="00493CCA">
            <w:rPr>
              <w:b/>
              <w:i/>
              <w:u w:val="single"/>
              <w:lang w:val="en-US"/>
            </w:rPr>
            <w:t>Recommendations:</w:t>
          </w:r>
        </w:p>
        <w:p w14:paraId="4081514F" w14:textId="77777777" w:rsidR="00493CCA" w:rsidRPr="00493CCA" w:rsidRDefault="00493CCA" w:rsidP="00983EF9">
          <w:pPr>
            <w:rPr>
              <w:lang w:val="en-US"/>
            </w:rPr>
          </w:pPr>
          <w:r w:rsidRPr="00493CCA">
            <w:rPr>
              <w:lang w:val="en-US"/>
            </w:rPr>
            <w:t>In order to enhance the process of data governance in Accenture, the company ought to:</w:t>
          </w:r>
        </w:p>
        <w:p w14:paraId="3C1916DF" w14:textId="77777777" w:rsidR="00493CCA" w:rsidRPr="00493CCA" w:rsidRDefault="00493CCA" w:rsidP="00983EF9">
          <w:pPr>
            <w:pStyle w:val="ListParagraph"/>
            <w:numPr>
              <w:ilvl w:val="0"/>
              <w:numId w:val="6"/>
            </w:numPr>
            <w:rPr>
              <w:lang w:val="en-US"/>
            </w:rPr>
          </w:pPr>
          <w:r w:rsidRPr="00493CCA">
            <w:rPr>
              <w:lang w:val="en-US"/>
            </w:rPr>
            <w:t>Optimize data quality testing by using data validation tools that work automatically and establishing data cleaning procedures for AI models.</w:t>
          </w:r>
        </w:p>
        <w:p w14:paraId="298F3451" w14:textId="77777777" w:rsidR="00493CCA" w:rsidRPr="00493CCA" w:rsidRDefault="00493CCA" w:rsidP="00983EF9">
          <w:pPr>
            <w:pStyle w:val="ListParagraph"/>
            <w:numPr>
              <w:ilvl w:val="0"/>
              <w:numId w:val="6"/>
            </w:numPr>
            <w:rPr>
              <w:lang w:val="en-US"/>
            </w:rPr>
          </w:pPr>
          <w:r w:rsidRPr="00493CCA">
            <w:rPr>
              <w:lang w:val="en-US"/>
            </w:rPr>
            <w:t>Enhance data lineage controls by implementing blockchain technologies to monitor data sources and make datasets employed in the development of AI fully traceable.</w:t>
          </w:r>
        </w:p>
        <w:p w14:paraId="75D6CFF4" w14:textId="77777777" w:rsidR="00493CCA" w:rsidRPr="00493CCA" w:rsidRDefault="00493CCA" w:rsidP="00983EF9">
          <w:pPr>
            <w:pStyle w:val="ListParagraph"/>
            <w:numPr>
              <w:ilvl w:val="0"/>
              <w:numId w:val="6"/>
            </w:numPr>
            <w:rPr>
              <w:lang w:val="en-US"/>
            </w:rPr>
          </w:pPr>
          <w:r w:rsidRPr="00493CCA">
            <w:rPr>
              <w:lang w:val="en-US"/>
            </w:rPr>
            <w:t>Become more transparent by ensuring that AI decision-making procedures are well-documented and allow clients to receive explanations of AI outputs.</w:t>
          </w:r>
        </w:p>
        <w:p w14:paraId="4CF4BD40" w14:textId="77777777" w:rsidR="00493CCA" w:rsidRPr="00493CCA" w:rsidRDefault="00493CCA" w:rsidP="00983EF9">
          <w:pPr>
            <w:pStyle w:val="ListParagraph"/>
            <w:numPr>
              <w:ilvl w:val="0"/>
              <w:numId w:val="6"/>
            </w:numPr>
            <w:rPr>
              <w:lang w:val="en-US"/>
            </w:rPr>
          </w:pPr>
          <w:r w:rsidRPr="00493CCA">
            <w:rPr>
              <w:lang w:val="en-US"/>
            </w:rPr>
            <w:t>Compliant with GDPR by doing a regular privacy impact assessment (PIA) and updating the policies on privacy to take into consideration the changes that have occurred currently.</w:t>
          </w:r>
        </w:p>
        <w:p w14:paraId="640D1298" w14:textId="77777777" w:rsidR="00493CCA" w:rsidRPr="00493CCA" w:rsidRDefault="00493CCA" w:rsidP="00983EF9">
          <w:pPr>
            <w:pStyle w:val="ListParagraph"/>
            <w:numPr>
              <w:ilvl w:val="0"/>
              <w:numId w:val="6"/>
            </w:numPr>
            <w:rPr>
              <w:lang w:val="en-US"/>
            </w:rPr>
          </w:pPr>
          <w:r w:rsidRPr="00493CCA">
            <w:rPr>
              <w:lang w:val="en-US"/>
            </w:rPr>
            <w:t>Enhance cross-border compliance by making sure all data transfer contracts based on GDPR are in line with its SCCs, as well as other cross-border data adequacy frameworks.</w:t>
          </w:r>
        </w:p>
        <w:p w14:paraId="648F42F5" w14:textId="77777777" w:rsidR="00493CCA" w:rsidRPr="00493CCA" w:rsidRDefault="00493CCA" w:rsidP="00983EF9">
          <w:pPr>
            <w:rPr>
              <w:lang w:val="en-US"/>
            </w:rPr>
          </w:pPr>
          <w:r w:rsidRPr="00493CCA">
            <w:rPr>
              <w:lang w:val="en-US"/>
            </w:rPr>
            <w:t>Through these measures, Accenture will be able to uphold a robust governance framework that is not only protective but also safeguards its reputation and fosters trust between its clients and its AI-oriented solutions.</w:t>
          </w:r>
        </w:p>
        <w:p w14:paraId="7CBC2D2A" w14:textId="0CEC07CC" w:rsidR="00B93643" w:rsidRPr="00B93643" w:rsidRDefault="00B93643" w:rsidP="00983EF9">
          <w:pPr>
            <w:pStyle w:val="Heading2"/>
            <w:rPr>
              <w:lang w:val="en-US"/>
            </w:rPr>
          </w:pPr>
          <w:bookmarkStart w:id="17" w:name="_Toc227531822"/>
          <w:r w:rsidRPr="00B93643">
            <w:rPr>
              <w:lang w:val="en-US"/>
            </w:rPr>
            <w:lastRenderedPageBreak/>
            <w:t>3.2 Ethical AI</w:t>
          </w:r>
          <w:bookmarkEnd w:id="17"/>
          <w:r w:rsidR="00910434">
            <w:rPr>
              <w:lang w:val="en-US"/>
            </w:rPr>
            <w:t xml:space="preserve"> </w:t>
          </w:r>
        </w:p>
        <w:p w14:paraId="3067AF16" w14:textId="77777777" w:rsidR="00493CCA" w:rsidRDefault="00493CCA" w:rsidP="00983EF9">
          <w:pPr>
            <w:rPr>
              <w:lang w:val="en-US"/>
            </w:rPr>
          </w:pPr>
          <w:r w:rsidRPr="00493CCA">
            <w:rPr>
              <w:lang w:val="en-US"/>
            </w:rPr>
            <w:t>Ethical AI can be defined as the principles and practices that strive to establish that AI systems are designed and implemented in a manner that is fair, accountable, and transparent. Ethical AI has three main guidelines: fairness, acco</w:t>
          </w:r>
          <w:r>
            <w:rPr>
              <w:lang w:val="en-US"/>
            </w:rPr>
            <w:t>untability, and explainability.</w:t>
          </w:r>
        </w:p>
        <w:p w14:paraId="36191A63" w14:textId="77777777" w:rsidR="00493CCA" w:rsidRPr="00493CCA" w:rsidRDefault="00493CCA" w:rsidP="00983EF9">
          <w:pPr>
            <w:pStyle w:val="ListParagraph"/>
            <w:numPr>
              <w:ilvl w:val="0"/>
              <w:numId w:val="7"/>
            </w:numPr>
            <w:rPr>
              <w:lang w:val="en-US"/>
            </w:rPr>
          </w:pPr>
          <w:r w:rsidRPr="00493CCA">
            <w:rPr>
              <w:lang w:val="en-US"/>
            </w:rPr>
            <w:t xml:space="preserve">Fairness makes sure that AI models will not achieve discriminatory results. The AI systems should be programmed to handle everyone with discrimination regardless of their race, gender, ethnicity, or socioeconomic status. This is essential to prevent making biases in a society stronger (Zhang and Xu, 2022). </w:t>
          </w:r>
        </w:p>
        <w:p w14:paraId="0FFD8E14" w14:textId="45A6096E" w:rsidR="00493CCA" w:rsidRPr="00493CCA" w:rsidRDefault="00493CCA" w:rsidP="00983EF9">
          <w:pPr>
            <w:pStyle w:val="ListParagraph"/>
            <w:numPr>
              <w:ilvl w:val="0"/>
              <w:numId w:val="7"/>
            </w:numPr>
            <w:rPr>
              <w:lang w:val="en-US"/>
            </w:rPr>
          </w:pPr>
          <w:r w:rsidRPr="00493CCA">
            <w:rPr>
              <w:lang w:val="en-US"/>
            </w:rPr>
            <w:t>Accountability is a phenomenon that concerns the developers and users of AI systems to make sure that these systems are employed in a proper manner and in accordance with ethical principles</w:t>
          </w:r>
          <w:r w:rsidR="008A4B81">
            <w:rPr>
              <w:lang w:val="en-US"/>
            </w:rPr>
            <w:t xml:space="preserve"> </w:t>
          </w:r>
          <w:r w:rsidR="008A4B81" w:rsidRPr="008A4B81">
            <w:rPr>
              <w:lang w:val="en-US"/>
            </w:rPr>
            <w:t>(Eke, 2024)</w:t>
          </w:r>
          <w:r w:rsidRPr="00493CCA">
            <w:rPr>
              <w:lang w:val="en-US"/>
            </w:rPr>
            <w:t xml:space="preserve">. In case AI systems cause wrong or dangerous decisions, they should have the tools to arrest the developers (European Commission, 2021). </w:t>
          </w:r>
        </w:p>
        <w:p w14:paraId="469A4CB1" w14:textId="77777777" w:rsidR="00493CCA" w:rsidRPr="00493CCA" w:rsidRDefault="00493CCA" w:rsidP="00983EF9">
          <w:pPr>
            <w:pStyle w:val="ListParagraph"/>
            <w:numPr>
              <w:ilvl w:val="0"/>
              <w:numId w:val="7"/>
            </w:numPr>
            <w:rPr>
              <w:lang w:val="en-US"/>
            </w:rPr>
          </w:pPr>
          <w:r w:rsidRPr="00493CCA">
            <w:rPr>
              <w:lang w:val="en-US"/>
            </w:rPr>
            <w:t xml:space="preserve">Explainability refers to the capacity to provide explanations about the decisions of AI systems that are understandable to human users, particularly in high-stakes areas like healthcare, finance, and criminal law. This will make sure that users can put their trust into the AI systems and comprehend the logic of their choices (Gunning, 2025). </w:t>
          </w:r>
        </w:p>
        <w:p w14:paraId="1BF733E2" w14:textId="666C9CCC" w:rsidR="00493CCA" w:rsidRDefault="00493CCA" w:rsidP="00983EF9">
          <w:pPr>
            <w:rPr>
              <w:lang w:val="en-US"/>
            </w:rPr>
          </w:pPr>
          <w:r w:rsidRPr="00493CCA">
            <w:rPr>
              <w:lang w:val="en-US"/>
            </w:rPr>
            <w:t>The consequences of AI bias are demonstrated on a practical basis through the failures of Amazon and HireVue AI recruiting tools and video interview AI, respectively. An AI recruiting tool created by Amazon, to which one example is the Amazon application of AI in recruiting employees, was discovered to play in favor of women since the system was trained using the resumes submitted to the company, the vast majority of which belonged to men, and therefore favored men (Reuters, 2025). Likewise, HireVue, an AI-based video interviewing platform, was also criticized due to its racial and gender biases in hiring. It was claimed that the system disproportionately penalized Black and Latino candidates since it took various aspects into account, such as tone of voice and word choice</w:t>
          </w:r>
          <w:r w:rsidR="008A4B81">
            <w:rPr>
              <w:lang w:val="en-US"/>
            </w:rPr>
            <w:t xml:space="preserve"> </w:t>
          </w:r>
          <w:r w:rsidR="008A4B81" w:rsidRPr="008A4B81">
            <w:rPr>
              <w:lang w:val="en-US"/>
            </w:rPr>
            <w:t xml:space="preserve">(Ghose </w:t>
          </w:r>
          <w:r w:rsidR="007C0AA1">
            <w:rPr>
              <w:lang w:val="en-US"/>
            </w:rPr>
            <w:t>and</w:t>
          </w:r>
          <w:r w:rsidR="008A4B81" w:rsidRPr="008A4B81">
            <w:rPr>
              <w:lang w:val="en-US"/>
            </w:rPr>
            <w:t xml:space="preserve"> Aamir Ali, 2025)</w:t>
          </w:r>
          <w:r w:rsidR="008A4B81">
            <w:rPr>
              <w:lang w:val="en-US"/>
            </w:rPr>
            <w:t>. It</w:t>
          </w:r>
          <w:r w:rsidRPr="00493CCA">
            <w:rPr>
              <w:lang w:val="en-US"/>
            </w:rPr>
            <w:t xml:space="preserve"> might not be reflective of job performance but tend to have socio-cultural and socio-economic </w:t>
          </w:r>
          <w:r>
            <w:rPr>
              <w:lang w:val="en-US"/>
            </w:rPr>
            <w:t>biases (Angwin et al., 2022).</w:t>
          </w:r>
        </w:p>
        <w:p w14:paraId="00A2BEB7" w14:textId="77777777" w:rsidR="00493CCA" w:rsidRDefault="00493CCA" w:rsidP="00983EF9">
          <w:pPr>
            <w:rPr>
              <w:lang w:val="en-US"/>
            </w:rPr>
          </w:pPr>
          <w:r w:rsidRPr="00493CCA">
            <w:rPr>
              <w:lang w:val="en-US"/>
            </w:rPr>
            <w:t>A systematic method of overcoming these ethical issues can be offered by the NIST AI Risk Management Framework (RMF) that is targeted at dealing with reliable AI systems, which are expected to be transparent, auditable, and devoid of malicious bias (Tabassi, 2023). The framework promotes lifecycle evaluation of AI systems to enhance fairness, responsibility, a</w:t>
          </w:r>
          <w:r>
            <w:rPr>
              <w:lang w:val="en-US"/>
            </w:rPr>
            <w:t>nd transparency in the systems.</w:t>
          </w:r>
        </w:p>
        <w:p w14:paraId="10C1C42C" w14:textId="7E7B1219" w:rsidR="00493CCA" w:rsidRPr="00493CCA" w:rsidRDefault="00493CCA" w:rsidP="00983EF9">
          <w:pPr>
            <w:rPr>
              <w:lang w:val="en-US"/>
            </w:rPr>
          </w:pPr>
          <w:r w:rsidRPr="00493CCA">
            <w:rPr>
              <w:lang w:val="en-US"/>
            </w:rPr>
            <w:lastRenderedPageBreak/>
            <w:t>Through the NIST AI RMF, Accenture can incorporate it in its AI governance model to make sure that the models of AI used at Accenture meet ethical standards. This may be facilitated through the integration of bias detection software, by integrating clarification into AI model systems, and through the creation of accountability systems to guarantee the decisions produced by AI systems are traceable and justifiable.</w:t>
          </w:r>
        </w:p>
        <w:p w14:paraId="241E82FD" w14:textId="768C978C" w:rsidR="00B93643" w:rsidRPr="00B93643" w:rsidRDefault="00B93643" w:rsidP="00983EF9">
          <w:pPr>
            <w:pStyle w:val="Heading2"/>
            <w:rPr>
              <w:lang w:val="en-US"/>
            </w:rPr>
          </w:pPr>
          <w:bookmarkStart w:id="18" w:name="_Toc227531823"/>
          <w:r w:rsidRPr="00B93643">
            <w:rPr>
              <w:lang w:val="en-US"/>
            </w:rPr>
            <w:t>3.3 Regulatory Compliance: UK vs EU</w:t>
          </w:r>
          <w:bookmarkEnd w:id="18"/>
          <w:r w:rsidRPr="00B93643">
            <w:rPr>
              <w:lang w:val="en-US"/>
            </w:rPr>
            <w:t xml:space="preserve"> </w:t>
          </w:r>
        </w:p>
        <w:p w14:paraId="0B7C3C12" w14:textId="7600FF84" w:rsidR="00EB26F8" w:rsidRPr="00CC5E39" w:rsidRDefault="00EB26F8" w:rsidP="00983EF9">
          <w:r w:rsidRPr="00EB26F8">
            <w:t>Regulating compliance of AI is a fundamental risk aspect to multinational companies such as Accenture, particularly when they are conducting business in jurisdictions that have different regulatory philosophies</w:t>
          </w:r>
          <w:r w:rsidR="008A4B81">
            <w:t xml:space="preserve"> </w:t>
          </w:r>
          <w:r w:rsidR="008A4B81" w:rsidRPr="008A4B81">
            <w:t xml:space="preserve">(Rana </w:t>
          </w:r>
          <w:r w:rsidR="007C0AA1">
            <w:t>and</w:t>
          </w:r>
          <w:r w:rsidR="008A4B81" w:rsidRPr="008A4B81">
            <w:t xml:space="preserve"> Bhambri, 2026)</w:t>
          </w:r>
          <w:r w:rsidRPr="00EB26F8">
            <w:t>. The principles-based approach to the UK compares well with the AI Act within the EU, and one should know the difference to handle their legal exposure and also strategic compliance.</w:t>
          </w:r>
        </w:p>
        <w:p w14:paraId="7B4E986F" w14:textId="77777777" w:rsidR="00EB26F8" w:rsidRPr="00EB26F8" w:rsidRDefault="00EB26F8" w:rsidP="00983EF9">
          <w:pPr>
            <w:rPr>
              <w:sz w:val="24"/>
            </w:rPr>
          </w:pPr>
          <w:r w:rsidRPr="00EB26F8">
            <w:rPr>
              <w:b/>
              <w:bCs/>
              <w:i/>
              <w:iCs/>
              <w:sz w:val="24"/>
              <w:u w:val="single"/>
            </w:rPr>
            <w:t>UK Principles</w:t>
          </w:r>
          <w:r w:rsidRPr="00EB26F8">
            <w:rPr>
              <w:b/>
              <w:bCs/>
              <w:i/>
              <w:iCs/>
              <w:sz w:val="24"/>
              <w:u w:val="single"/>
            </w:rPr>
            <w:noBreakHyphen/>
            <w:t>Based Approach:</w:t>
          </w:r>
        </w:p>
        <w:p w14:paraId="113AE552" w14:textId="77777777" w:rsidR="00EB26F8" w:rsidRPr="00EB26F8" w:rsidRDefault="00EB26F8" w:rsidP="00983EF9">
          <w:r w:rsidRPr="00EB26F8">
            <w:t>Unlike many countries, the UK has chosen a laissez-faire, principles-based approach to AI regulation in favor of technology and industrial expansion and offers only general ethical guidelines. The DSIT White Paper describes the plan of the UK government to shun prescriptive, heavy-handed mandates, leaning towards outcome-focused principles that focus on safety, fairness, transparency, and accountability (UK Government, 2021). Regulatory roles are divided between appropriate authorities, such as ICO, where data protection and automated decision-making compliance are regulated by the UK Data Protection Act 2018, and industry regulators impose certain standards on their practitioners (DSIT, 2023). Such a distributed model provides companies such as Accenture with regulatory flexibility, allowing quick experimentation and implementation of AI solutions without the need to wait until legislative changes are formalized (European Data Protection Board, 2018).</w:t>
          </w:r>
        </w:p>
        <w:p w14:paraId="1B7C2C2B" w14:textId="02DBE69F" w:rsidR="00EB26F8" w:rsidRPr="00EB26F8" w:rsidRDefault="00EB26F8" w:rsidP="00983EF9">
          <w:r w:rsidRPr="00EB26F8">
            <w:t>Nevertheless, the principle-based regulation might also cause ambiguity: lacking explicit thresholds or outlined steps, the organizations may have a hard time defining what is expected according to the organizations (Crawford, 2022). Due to the highly advisory approach to the UK model, which is based on guidance and not based on strict guidelines, companies have to allocate more resources to internal governance systems to understand and encode principles in a varied application of AI</w:t>
          </w:r>
          <w:r w:rsidR="008A4B81">
            <w:t xml:space="preserve"> </w:t>
          </w:r>
          <w:r w:rsidR="008A4B81" w:rsidRPr="008A4B81">
            <w:t>(Sayles, 2024)</w:t>
          </w:r>
          <w:r w:rsidRPr="00EB26F8">
            <w:t>. This imposes a strain on firms to become self-regulating and expects them to look forward to changing standards.</w:t>
          </w:r>
        </w:p>
        <w:p w14:paraId="05B73C00" w14:textId="77777777" w:rsidR="00EB26F8" w:rsidRPr="00EB26F8" w:rsidRDefault="00EB26F8" w:rsidP="00983EF9">
          <w:pPr>
            <w:rPr>
              <w:sz w:val="24"/>
            </w:rPr>
          </w:pPr>
          <w:r w:rsidRPr="00EB26F8">
            <w:rPr>
              <w:b/>
              <w:bCs/>
              <w:i/>
              <w:iCs/>
              <w:sz w:val="24"/>
              <w:u w:val="single"/>
            </w:rPr>
            <w:t>EU AI Act:</w:t>
          </w:r>
        </w:p>
        <w:p w14:paraId="61857F53" w14:textId="77777777" w:rsidR="00EB26F8" w:rsidRDefault="00EB26F8" w:rsidP="00983EF9">
          <w:r w:rsidRPr="00EB26F8">
            <w:t xml:space="preserve">The EU AI Act (Reg. 2024/1689) is one of the first risk-based and comprehensive regulatory regimes of AI in the world. The Act categorizes AI systems as unacceptable, high risk, limited </w:t>
          </w:r>
          <w:r w:rsidRPr="00EB26F8">
            <w:lastRenderedPageBreak/>
            <w:t>risk, and minimal risk, with clear regulations on each group. The existence of high-risk AI systems (e.g., those operating critical infrastructure, employment, law enforcement, and healthcare) will require compulsory conformity assessments, technical documentation, and other mitigation mechanisms to allow them to be put on the EU market (European Commission, 2024). The risk levels and conformity testing provided by the EU, in contrast to UK counterparts, do not introduce legal uncertainty but rather predictable procedural demands, adding strain to the operation cost and compliance burden (Kim and Routledge, 2020).</w:t>
          </w:r>
        </w:p>
        <w:p w14:paraId="28BE449F" w14:textId="77777777" w:rsidR="00CC5E39" w:rsidRDefault="00CC5E39" w:rsidP="00CC5E39">
          <w:pPr>
            <w:keepNext/>
          </w:pPr>
          <w:r>
            <w:rPr>
              <w:noProof/>
              <w:lang w:val="en-US"/>
            </w:rPr>
            <w:drawing>
              <wp:inline distT="0" distB="0" distL="0" distR="0" wp14:anchorId="362F8ACC" wp14:editId="3951B364">
                <wp:extent cx="5723201" cy="3331780"/>
                <wp:effectExtent l="0" t="0" r="0" b="254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20260419_2234_Image Generation_simple_compose_01kpk9en6pf48vyv4c841hwejq.png"/>
                        <pic:cNvPicPr/>
                      </pic:nvPicPr>
                      <pic:blipFill rotWithShape="1">
                        <a:blip r:embed="rId18" cstate="print">
                          <a:extLst>
                            <a:ext uri="{28A0092B-C50C-407E-A947-70E740481C1C}">
                              <a14:useLocalDpi xmlns:a14="http://schemas.microsoft.com/office/drawing/2010/main" val="0"/>
                            </a:ext>
                          </a:extLst>
                        </a:blip>
                        <a:srcRect/>
                        <a:stretch/>
                      </pic:blipFill>
                      <pic:spPr bwMode="auto">
                        <a:xfrm>
                          <a:off x="0" y="0"/>
                          <a:ext cx="5731510" cy="3336617"/>
                        </a:xfrm>
                        <a:prstGeom prst="rect">
                          <a:avLst/>
                        </a:prstGeom>
                        <a:ln>
                          <a:noFill/>
                        </a:ln>
                        <a:extLst>
                          <a:ext uri="{53640926-AAD7-44D8-BBD7-CCE9431645EC}">
                            <a14:shadowObscured xmlns:a14="http://schemas.microsoft.com/office/drawing/2010/main"/>
                          </a:ext>
                        </a:extLst>
                      </pic:spPr>
                    </pic:pic>
                  </a:graphicData>
                </a:graphic>
              </wp:inline>
            </w:drawing>
          </w:r>
        </w:p>
        <w:p w14:paraId="2C5BEA89" w14:textId="1A12F8A5" w:rsidR="00CC5E39" w:rsidRPr="00CC5E39" w:rsidRDefault="00CC5E39" w:rsidP="00CC5E39">
          <w:pPr>
            <w:pStyle w:val="Caption"/>
            <w:jc w:val="center"/>
            <w:rPr>
              <w:i/>
              <w:color w:val="auto"/>
            </w:rPr>
          </w:pPr>
          <w:bookmarkStart w:id="19" w:name="_Toc227532023"/>
          <w:r w:rsidRPr="00CC5E39">
            <w:rPr>
              <w:i/>
              <w:color w:val="auto"/>
            </w:rPr>
            <w:t xml:space="preserve">Figure </w:t>
          </w:r>
          <w:r w:rsidRPr="00CC5E39">
            <w:rPr>
              <w:i/>
              <w:color w:val="auto"/>
            </w:rPr>
            <w:fldChar w:fldCharType="begin"/>
          </w:r>
          <w:r w:rsidRPr="00CC5E39">
            <w:rPr>
              <w:i/>
              <w:color w:val="auto"/>
            </w:rPr>
            <w:instrText xml:space="preserve"> SEQ Figure \* ARABIC </w:instrText>
          </w:r>
          <w:r w:rsidRPr="00CC5E39">
            <w:rPr>
              <w:i/>
              <w:color w:val="auto"/>
            </w:rPr>
            <w:fldChar w:fldCharType="separate"/>
          </w:r>
          <w:r w:rsidR="002C1F69">
            <w:rPr>
              <w:i/>
              <w:noProof/>
              <w:color w:val="auto"/>
            </w:rPr>
            <w:t>7</w:t>
          </w:r>
          <w:r w:rsidRPr="00CC5E39">
            <w:rPr>
              <w:i/>
              <w:color w:val="auto"/>
            </w:rPr>
            <w:fldChar w:fldCharType="end"/>
          </w:r>
          <w:r w:rsidRPr="00CC5E39">
            <w:rPr>
              <w:i/>
              <w:color w:val="auto"/>
            </w:rPr>
            <w:t>: Comparison of UK Principles-Based Approach vs EU AI Act (Author)</w:t>
          </w:r>
          <w:bookmarkEnd w:id="19"/>
        </w:p>
        <w:p w14:paraId="59727D40" w14:textId="77777777" w:rsidR="00EB26F8" w:rsidRPr="00EB26F8" w:rsidRDefault="00EB26F8" w:rsidP="00983EF9">
          <w:pPr>
            <w:rPr>
              <w:sz w:val="24"/>
            </w:rPr>
          </w:pPr>
          <w:r w:rsidRPr="00EB26F8">
            <w:rPr>
              <w:b/>
              <w:bCs/>
              <w:i/>
              <w:iCs/>
              <w:sz w:val="24"/>
              <w:u w:val="single"/>
            </w:rPr>
            <w:t>Legal Exposure in Both Regions:</w:t>
          </w:r>
        </w:p>
        <w:p w14:paraId="183BE1E2" w14:textId="6E0FC001" w:rsidR="00EB26F8" w:rsidRPr="00EB26F8" w:rsidRDefault="00EB26F8" w:rsidP="00983EF9">
          <w:r w:rsidRPr="00EB26F8">
            <w:t>In the case of Accenture, the biggest legal liability is the risk of data protection and compliance with AI. Both the UK and EU have GDPR-style protection regulating data processing by AI systems when it comes to personal data</w:t>
          </w:r>
          <w:r w:rsidR="008A4B81">
            <w:t xml:space="preserve"> </w:t>
          </w:r>
          <w:r w:rsidR="008A4B81" w:rsidRPr="008A4B81">
            <w:t>(Ajiboye, 2023)</w:t>
          </w:r>
          <w:r w:rsidRPr="00EB26F8">
            <w:t>. The GDPR is stricter in the EU, particularly in aspects pertaining to cross-border data flows and rights of data subjects. Failure to comply may result in large fines—up to 20 million in wages or 4 percent of the worldwide turnover—plus a bad reputation (European Commission, 2024). Although the Data Protection Act 2018 in the UK covers the majority of the requirements of the GDPR, the rule enforcement methods have been different, and the post-Brexit deviation could lead to imbalances in the future.</w:t>
          </w:r>
        </w:p>
        <w:p w14:paraId="4C556894" w14:textId="77777777" w:rsidR="00EB26F8" w:rsidRPr="00EB26F8" w:rsidRDefault="00EB26F8" w:rsidP="00983EF9">
          <w:r w:rsidRPr="00EB26F8">
            <w:t xml:space="preserve">The enforcement mechanisms, provided by the EU AI Act, apply fines as high as 35 million EU or 7 percent of total global turnover to offenses of high-risk AI, which is a meaningful </w:t>
          </w:r>
          <w:r w:rsidRPr="00EB26F8">
            <w:lastRenderedPageBreak/>
            <w:t>financial liability (European Commission, 2021). Lessons in the UK The main consequences of AI governance failure are related to data breaches related to information protection, as the ICO could impose hefty fines and compliance notices.</w:t>
          </w:r>
        </w:p>
        <w:p w14:paraId="0399C891" w14:textId="77777777" w:rsidR="00EB26F8" w:rsidRPr="00EB26F8" w:rsidRDefault="00EB26F8" w:rsidP="00983EF9">
          <w:pPr>
            <w:rPr>
              <w:sz w:val="24"/>
            </w:rPr>
          </w:pPr>
          <w:r w:rsidRPr="00EB26F8">
            <w:rPr>
              <w:b/>
              <w:bCs/>
              <w:i/>
              <w:iCs/>
              <w:sz w:val="24"/>
              <w:u w:val="single"/>
            </w:rPr>
            <w:t>Recommendations for Accenture:</w:t>
          </w:r>
        </w:p>
        <w:p w14:paraId="3DB00B23" w14:textId="77777777" w:rsidR="00EB26F8" w:rsidRPr="00EB26F8" w:rsidRDefault="00EB26F8" w:rsidP="00983EF9">
          <w:pPr>
            <w:pStyle w:val="ListParagraph"/>
            <w:numPr>
              <w:ilvl w:val="0"/>
              <w:numId w:val="9"/>
            </w:numPr>
          </w:pPr>
          <w:r w:rsidRPr="00EB26F8">
            <w:rPr>
              <w:b/>
              <w:bCs/>
            </w:rPr>
            <w:t>Balanced AI Governance Framework</w:t>
          </w:r>
          <w:r w:rsidRPr="00EB26F8">
            <w:t>: Accenture needs to come up with a single internal governance framework to accommodate the highest requirements in both jurisdictions with an effective implementation of the EU AI Act standards as a reference point. Such a gold standard system does not create any fragmentation and makes the UK operations the same standard used by the EU.</w:t>
          </w:r>
        </w:p>
        <w:p w14:paraId="25A81ADA" w14:textId="77777777" w:rsidR="00EB26F8" w:rsidRPr="00EB26F8" w:rsidRDefault="00EB26F8" w:rsidP="00983EF9">
          <w:pPr>
            <w:pStyle w:val="ListParagraph"/>
            <w:numPr>
              <w:ilvl w:val="0"/>
              <w:numId w:val="9"/>
            </w:numPr>
          </w:pPr>
          <w:r w:rsidRPr="00EB26F8">
            <w:rPr>
              <w:b/>
              <w:bCs/>
            </w:rPr>
            <w:t>Documentation and Conformity Workflows</w:t>
          </w:r>
          <w:r w:rsidRPr="00EB26F8">
            <w:t>: Introducing systematic documentation procedures and nonconformity routes that are equivalent to EU standards of high-risk AI, such as risk assessment, algorithmic audit trail, and impact analyses. Where overhead can be minimized and be consistent, these processes should be automated and possibly made on a larger scale.</w:t>
          </w:r>
        </w:p>
        <w:p w14:paraId="3D1AEE91" w14:textId="77777777" w:rsidR="00EB26F8" w:rsidRPr="00EB26F8" w:rsidRDefault="00EB26F8" w:rsidP="00983EF9">
          <w:pPr>
            <w:pStyle w:val="ListParagraph"/>
            <w:numPr>
              <w:ilvl w:val="0"/>
              <w:numId w:val="9"/>
            </w:numPr>
          </w:pPr>
          <w:r w:rsidRPr="00EB26F8">
            <w:rPr>
              <w:b/>
              <w:bCs/>
            </w:rPr>
            <w:t>Dedicated Compliance Teams:</w:t>
          </w:r>
          <w:r w:rsidRPr="00EB26F8">
            <w:t xml:space="preserve"> Creating special AI compliance and ethics units that have jurisdiction-specific skills to monitor, translate, and implement emerging guidance by the ICO and EU regulators. Such teams need to be considered during early project designs in order to avoid downstream legal problems.</w:t>
          </w:r>
        </w:p>
        <w:p w14:paraId="4D3F148E" w14:textId="77777777" w:rsidR="00EB26F8" w:rsidRPr="00EB26F8" w:rsidRDefault="00EB26F8" w:rsidP="00983EF9">
          <w:pPr>
            <w:pStyle w:val="ListParagraph"/>
            <w:numPr>
              <w:ilvl w:val="0"/>
              <w:numId w:val="9"/>
            </w:numPr>
          </w:pPr>
          <w:r w:rsidRPr="00EB26F8">
            <w:rPr>
              <w:b/>
              <w:bCs/>
            </w:rPr>
            <w:t>Cross-Border Data Transfer Protocols:</w:t>
          </w:r>
          <w:r w:rsidRPr="00EB26F8">
            <w:t xml:space="preserve"> Enhance data transfer options, using common contractual intents, binding corporate principles, and privacy-enhancing technologies to reduce risks of both GDPR and UK data protection policies.</w:t>
          </w:r>
        </w:p>
        <w:p w14:paraId="2F8CDCB3" w14:textId="7EFA3CBE" w:rsidR="00B93643" w:rsidRPr="00B93643" w:rsidRDefault="00B93643" w:rsidP="00983EF9">
          <w:pPr>
            <w:pStyle w:val="Heading2"/>
            <w:rPr>
              <w:lang w:val="en-US"/>
            </w:rPr>
          </w:pPr>
          <w:bookmarkStart w:id="20" w:name="_Toc227531824"/>
          <w:r w:rsidRPr="00B93643">
            <w:rPr>
              <w:lang w:val="en-US"/>
            </w:rPr>
            <w:t>3.4 Customer Trust</w:t>
          </w:r>
          <w:bookmarkEnd w:id="20"/>
          <w:r w:rsidR="008C5748">
            <w:rPr>
              <w:lang w:val="en-US"/>
            </w:rPr>
            <w:t xml:space="preserve"> </w:t>
          </w:r>
        </w:p>
        <w:p w14:paraId="3A7FFA07" w14:textId="4C1DB293" w:rsidR="00EB26F8" w:rsidRPr="00EB26F8" w:rsidRDefault="00EB26F8" w:rsidP="00983EF9">
          <w:pPr>
            <w:rPr>
              <w:lang w:val="en-US"/>
            </w:rPr>
          </w:pPr>
          <w:r w:rsidRPr="00EB26F8">
            <w:rPr>
              <w:lang w:val="en-US"/>
            </w:rPr>
            <w:t xml:space="preserve">Customer trust is the core of the commercial viability and reputation of AI solutions, particularly to companies such as Accenture selling advanced AI-inspired services to global customers. Nevertheless, there is a decrease in trust towards AI (Lepri et al., 2017). The 2024 Edelman Trust Barometer suggests a low level of active adoption of AI by the global population (only 30%), and an anti-AI attitude is held by 35 percent of the population, which indicates the overall state of fear of AI influence on privacy, fairness, and control. This disjunction is notable considering that the general technology industry continues to ride on the trust of 76 % of people, highlighting a lack of connection between </w:t>
          </w:r>
          <w:r w:rsidR="002C1F69" w:rsidRPr="00EB26F8">
            <w:rPr>
              <w:lang w:val="en-US"/>
            </w:rPr>
            <w:t>trusts</w:t>
          </w:r>
          <w:r w:rsidRPr="00EB26F8">
            <w:rPr>
              <w:lang w:val="en-US"/>
            </w:rPr>
            <w:t xml:space="preserve"> in technology firms in general and trust in their AI products in particular (Edelman, 2024).</w:t>
          </w:r>
        </w:p>
        <w:p w14:paraId="5AA7A8F3" w14:textId="77777777" w:rsidR="00EB26F8" w:rsidRDefault="00EB26F8" w:rsidP="00983EF9">
          <w:pPr>
            <w:rPr>
              <w:lang w:val="en-US"/>
            </w:rPr>
          </w:pPr>
          <w:r w:rsidRPr="00EB26F8">
            <w:rPr>
              <w:lang w:val="en-US"/>
            </w:rPr>
            <w:t xml:space="preserve">The Edelman Trust Barometer also points out that more and more individuals assume that innovation is mismanaged and that companies dealing with swift AI transformation do not give enough attention to societal issues, further promoting a lack of trust in AI (Edelman, 2024). </w:t>
          </w:r>
          <w:r w:rsidRPr="00EB26F8">
            <w:rPr>
              <w:lang w:val="en-US"/>
            </w:rPr>
            <w:lastRenderedPageBreak/>
            <w:t>Respondents in most countries noted that they think that institutions, such as companies, are unprepared to manage or communicate the impact of AI, which adds to the polarization and mistrust in the role of AI in society (Majumdar, 2023).</w:t>
          </w:r>
        </w:p>
        <w:p w14:paraId="57597092" w14:textId="77777777" w:rsidR="002C1F69" w:rsidRDefault="002C1F69" w:rsidP="002C1F69">
          <w:pPr>
            <w:keepNext/>
          </w:pPr>
          <w:r>
            <w:rPr>
              <w:noProof/>
              <w:lang w:val="en-US"/>
            </w:rPr>
            <w:drawing>
              <wp:inline distT="0" distB="0" distL="0" distR="0" wp14:anchorId="25BC8AB8" wp14:editId="6CC0BE4E">
                <wp:extent cx="5723200" cy="3237186"/>
                <wp:effectExtent l="0" t="0" r="0" b="190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20260419_2245_Image Generation_simple_compose_01kpka26n3ebgsvj7yjbpxmrfa.png"/>
                        <pic:cNvPicPr/>
                      </pic:nvPicPr>
                      <pic:blipFill rotWithShape="1">
                        <a:blip r:embed="rId19" cstate="print">
                          <a:extLst>
                            <a:ext uri="{28A0092B-C50C-407E-A947-70E740481C1C}">
                              <a14:useLocalDpi xmlns:a14="http://schemas.microsoft.com/office/drawing/2010/main" val="0"/>
                            </a:ext>
                          </a:extLst>
                        </a:blip>
                        <a:srcRect t="15152"/>
                        <a:stretch/>
                      </pic:blipFill>
                      <pic:spPr bwMode="auto">
                        <a:xfrm>
                          <a:off x="0" y="0"/>
                          <a:ext cx="5731510" cy="3241887"/>
                        </a:xfrm>
                        <a:prstGeom prst="rect">
                          <a:avLst/>
                        </a:prstGeom>
                        <a:ln>
                          <a:noFill/>
                        </a:ln>
                        <a:extLst>
                          <a:ext uri="{53640926-AAD7-44D8-BBD7-CCE9431645EC}">
                            <a14:shadowObscured xmlns:a14="http://schemas.microsoft.com/office/drawing/2010/main"/>
                          </a:ext>
                        </a:extLst>
                      </pic:spPr>
                    </pic:pic>
                  </a:graphicData>
                </a:graphic>
              </wp:inline>
            </w:drawing>
          </w:r>
        </w:p>
        <w:p w14:paraId="2A589668" w14:textId="42FD828E" w:rsidR="002C1F69" w:rsidRPr="002C1F69" w:rsidRDefault="002C1F69" w:rsidP="002C1F69">
          <w:pPr>
            <w:pStyle w:val="Caption"/>
            <w:jc w:val="center"/>
            <w:rPr>
              <w:i/>
              <w:color w:val="auto"/>
              <w:lang w:val="en-US"/>
            </w:rPr>
          </w:pPr>
          <w:bookmarkStart w:id="21" w:name="_Toc227532024"/>
          <w:r w:rsidRPr="002C1F69">
            <w:rPr>
              <w:i/>
              <w:color w:val="auto"/>
            </w:rPr>
            <w:t xml:space="preserve">Figure </w:t>
          </w:r>
          <w:r w:rsidRPr="002C1F69">
            <w:rPr>
              <w:i/>
              <w:color w:val="auto"/>
            </w:rPr>
            <w:fldChar w:fldCharType="begin"/>
          </w:r>
          <w:r w:rsidRPr="002C1F69">
            <w:rPr>
              <w:i/>
              <w:color w:val="auto"/>
            </w:rPr>
            <w:instrText xml:space="preserve"> SEQ Figure \* ARABIC </w:instrText>
          </w:r>
          <w:r w:rsidRPr="002C1F69">
            <w:rPr>
              <w:i/>
              <w:color w:val="auto"/>
            </w:rPr>
            <w:fldChar w:fldCharType="separate"/>
          </w:r>
          <w:r>
            <w:rPr>
              <w:i/>
              <w:noProof/>
              <w:color w:val="auto"/>
            </w:rPr>
            <w:t>8</w:t>
          </w:r>
          <w:r w:rsidRPr="002C1F69">
            <w:rPr>
              <w:i/>
              <w:color w:val="auto"/>
            </w:rPr>
            <w:fldChar w:fldCharType="end"/>
          </w:r>
          <w:r w:rsidRPr="002C1F69">
            <w:rPr>
              <w:i/>
              <w:color w:val="auto"/>
            </w:rPr>
            <w:t>: Balancing Stakeholder Interests for Building Long-Term Trust (Author)</w:t>
          </w:r>
          <w:bookmarkEnd w:id="21"/>
        </w:p>
        <w:p w14:paraId="6D094AEA" w14:textId="424D5E07" w:rsidR="00EB26F8" w:rsidRPr="00EB26F8" w:rsidRDefault="00EB26F8" w:rsidP="00983EF9">
          <w:pPr>
            <w:rPr>
              <w:lang w:val="en-US"/>
            </w:rPr>
          </w:pPr>
          <w:r w:rsidRPr="00EB26F8">
            <w:rPr>
              <w:lang w:val="en-US"/>
            </w:rPr>
            <w:t>Applying Freeman's stakeholder theory, the long-term performance of a firm hinges on the ability to manage the expectations of all stakeholders, such as customers, investors, regulators, employees, and communities, and not solely on shareholder profits (Freeman, 2018). Modern developments of this theory suggest building trust through businesses exhibiting that their choices are based on the interests of more than a single stakeholder group and are not only based upon short-term financial benefits</w:t>
          </w:r>
          <w:r w:rsidR="008A4B81">
            <w:rPr>
              <w:lang w:val="en-US"/>
            </w:rPr>
            <w:t xml:space="preserve"> </w:t>
          </w:r>
          <w:r w:rsidR="008A4B81" w:rsidRPr="008A4B81">
            <w:rPr>
              <w:lang w:val="en-US"/>
            </w:rPr>
            <w:t>(Beede, 2025)</w:t>
          </w:r>
          <w:r w:rsidRPr="00EB26F8">
            <w:rPr>
              <w:lang w:val="en-US"/>
            </w:rPr>
            <w:t>. The AI strategy of Accenture, in its turn, will have to meet the expectations of society as a whole regarding how responsible the usage of AI is and increase ethical transparency to be considered legitimate within the community of external stakeholders (Eubanks, 2019).</w:t>
          </w:r>
        </w:p>
        <w:p w14:paraId="188BEEA4" w14:textId="77777777" w:rsidR="00EB26F8" w:rsidRDefault="00EB26F8" w:rsidP="00983EF9">
          <w:pPr>
            <w:rPr>
              <w:lang w:val="en-US"/>
            </w:rPr>
          </w:pPr>
          <w:r w:rsidRPr="00EB26F8">
            <w:rPr>
              <w:lang w:val="en-US"/>
            </w:rPr>
            <w:t>The clinical implications of failures in AI can be severe to the companies: trust failures may negatively affect the rates of client adoption, cause a decline in investor trust, and provoke a reputational crisis weakening competitive advantage. Uncommunicated or unclear AI systems risk being treated as arbitrary or uncontrolled and limit the willingness of clients to use them on a large scale.</w:t>
          </w:r>
        </w:p>
        <w:p w14:paraId="59A108E2" w14:textId="77777777" w:rsidR="002C1F69" w:rsidRDefault="002C1F69" w:rsidP="002C1F69">
          <w:pPr>
            <w:keepNext/>
          </w:pPr>
          <w:r>
            <w:rPr>
              <w:noProof/>
              <w:lang w:val="en-US"/>
            </w:rPr>
            <w:lastRenderedPageBreak/>
            <w:drawing>
              <wp:inline distT="0" distB="0" distL="0" distR="0" wp14:anchorId="6E790D66" wp14:editId="66D74D63">
                <wp:extent cx="5723200" cy="2963917"/>
                <wp:effectExtent l="0" t="0" r="0" b="825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20260419_2248_Image Generation_simple_compose_01kpka8nq5e6vsj0nm215j3b6d.png"/>
                        <pic:cNvPicPr/>
                      </pic:nvPicPr>
                      <pic:blipFill rotWithShape="1">
                        <a:blip r:embed="rId20" cstate="print">
                          <a:extLst>
                            <a:ext uri="{28A0092B-C50C-407E-A947-70E740481C1C}">
                              <a14:useLocalDpi xmlns:a14="http://schemas.microsoft.com/office/drawing/2010/main" val="0"/>
                            </a:ext>
                          </a:extLst>
                        </a:blip>
                        <a:srcRect b="22314"/>
                        <a:stretch/>
                      </pic:blipFill>
                      <pic:spPr bwMode="auto">
                        <a:xfrm>
                          <a:off x="0" y="0"/>
                          <a:ext cx="5731510" cy="2968221"/>
                        </a:xfrm>
                        <a:prstGeom prst="rect">
                          <a:avLst/>
                        </a:prstGeom>
                        <a:ln>
                          <a:noFill/>
                        </a:ln>
                        <a:extLst>
                          <a:ext uri="{53640926-AAD7-44D8-BBD7-CCE9431645EC}">
                            <a14:shadowObscured xmlns:a14="http://schemas.microsoft.com/office/drawing/2010/main"/>
                          </a:ext>
                        </a:extLst>
                      </pic:spPr>
                    </pic:pic>
                  </a:graphicData>
                </a:graphic>
              </wp:inline>
            </w:drawing>
          </w:r>
        </w:p>
        <w:p w14:paraId="5D84C013" w14:textId="6264DA73" w:rsidR="002C1F69" w:rsidRPr="002C1F69" w:rsidRDefault="002C1F69" w:rsidP="002C1F69">
          <w:pPr>
            <w:pStyle w:val="Caption"/>
            <w:jc w:val="center"/>
            <w:rPr>
              <w:i/>
              <w:color w:val="auto"/>
              <w:lang w:val="en-US"/>
            </w:rPr>
          </w:pPr>
          <w:bookmarkStart w:id="22" w:name="_Toc227532025"/>
          <w:r w:rsidRPr="002C1F69">
            <w:rPr>
              <w:i/>
              <w:color w:val="auto"/>
            </w:rPr>
            <w:t xml:space="preserve">Figure </w:t>
          </w:r>
          <w:r w:rsidRPr="002C1F69">
            <w:rPr>
              <w:i/>
              <w:color w:val="auto"/>
            </w:rPr>
            <w:fldChar w:fldCharType="begin"/>
          </w:r>
          <w:r w:rsidRPr="002C1F69">
            <w:rPr>
              <w:i/>
              <w:color w:val="auto"/>
            </w:rPr>
            <w:instrText xml:space="preserve"> SEQ Figure \* ARABIC </w:instrText>
          </w:r>
          <w:r w:rsidRPr="002C1F69">
            <w:rPr>
              <w:i/>
              <w:color w:val="auto"/>
            </w:rPr>
            <w:fldChar w:fldCharType="separate"/>
          </w:r>
          <w:r>
            <w:rPr>
              <w:i/>
              <w:noProof/>
              <w:color w:val="auto"/>
            </w:rPr>
            <w:t>9</w:t>
          </w:r>
          <w:r w:rsidRPr="002C1F69">
            <w:rPr>
              <w:i/>
              <w:color w:val="auto"/>
            </w:rPr>
            <w:fldChar w:fldCharType="end"/>
          </w:r>
          <w:r w:rsidRPr="002C1F69">
            <w:rPr>
              <w:i/>
              <w:color w:val="auto"/>
            </w:rPr>
            <w:t>: Implications of AI Trust Failures (Author)</w:t>
          </w:r>
          <w:bookmarkEnd w:id="22"/>
        </w:p>
        <w:p w14:paraId="4B4ED854" w14:textId="77777777" w:rsidR="00EB26F8" w:rsidRPr="00EB26F8" w:rsidRDefault="00EB26F8" w:rsidP="00983EF9">
          <w:pPr>
            <w:rPr>
              <w:lang w:val="en-US"/>
            </w:rPr>
          </w:pPr>
          <w:r w:rsidRPr="00EB26F8">
            <w:rPr>
              <w:lang w:val="en-US"/>
            </w:rPr>
            <w:t>To build and maintain trust, it is recommended to:</w:t>
          </w:r>
        </w:p>
        <w:p w14:paraId="2ACDE4AF" w14:textId="7D1D1416" w:rsidR="00EB26F8" w:rsidRPr="00B35F57" w:rsidRDefault="00EB26F8" w:rsidP="00983EF9">
          <w:pPr>
            <w:pStyle w:val="ListParagraph"/>
            <w:numPr>
              <w:ilvl w:val="0"/>
              <w:numId w:val="10"/>
            </w:numPr>
            <w:rPr>
              <w:lang w:val="en-US"/>
            </w:rPr>
          </w:pPr>
          <w:r w:rsidRPr="00B35F57">
            <w:rPr>
              <w:b/>
              <w:lang w:val="en-US"/>
            </w:rPr>
            <w:t>Transparent Communication:</w:t>
          </w:r>
          <w:r w:rsidRPr="00B35F57">
            <w:rPr>
              <w:lang w:val="en-US"/>
            </w:rPr>
            <w:t xml:space="preserve"> Accenture ought to be transparent in how its AI solutions arrive at decisions, such as through transparency documentation and public customer-facing transparency reports.</w:t>
          </w:r>
        </w:p>
        <w:p w14:paraId="37CAE311" w14:textId="504ADA9B" w:rsidR="00EB26F8" w:rsidRPr="00B35F57" w:rsidRDefault="00EB26F8" w:rsidP="00983EF9">
          <w:pPr>
            <w:pStyle w:val="ListParagraph"/>
            <w:numPr>
              <w:ilvl w:val="0"/>
              <w:numId w:val="10"/>
            </w:numPr>
            <w:rPr>
              <w:lang w:val="en-US"/>
            </w:rPr>
          </w:pPr>
          <w:r w:rsidRPr="00B35F57">
            <w:rPr>
              <w:b/>
              <w:lang w:val="en-US"/>
            </w:rPr>
            <w:t>Stakeholder Engagement</w:t>
          </w:r>
          <w:r w:rsidRPr="00B35F57">
            <w:rPr>
              <w:lang w:val="en-US"/>
            </w:rPr>
            <w:t>: It should communicate with customers, regulators, and civil society in advance of deployment, getting product development aligned to ethical issues and the expectations of users.</w:t>
          </w:r>
        </w:p>
        <w:p w14:paraId="7D75E6AD" w14:textId="07AC315B" w:rsidR="00EB26F8" w:rsidRPr="00B35F57" w:rsidRDefault="00EB26F8" w:rsidP="00983EF9">
          <w:pPr>
            <w:pStyle w:val="ListParagraph"/>
            <w:numPr>
              <w:ilvl w:val="0"/>
              <w:numId w:val="10"/>
            </w:numPr>
            <w:rPr>
              <w:lang w:val="en-US"/>
            </w:rPr>
          </w:pPr>
          <w:r w:rsidRPr="00B35F57">
            <w:rPr>
              <w:b/>
              <w:lang w:val="en-US"/>
            </w:rPr>
            <w:t>Third-Party Assurance</w:t>
          </w:r>
          <w:r w:rsidRPr="00B35F57">
            <w:rPr>
              <w:lang w:val="en-US"/>
            </w:rPr>
            <w:t>: Have independent audits provide certification of compliance of AI systems with ethical and regulatory standards.</w:t>
          </w:r>
        </w:p>
        <w:p w14:paraId="2F1F8371" w14:textId="3B1F683B" w:rsidR="00EB26F8" w:rsidRPr="00B35F57" w:rsidRDefault="00EB26F8" w:rsidP="00983EF9">
          <w:pPr>
            <w:pStyle w:val="ListParagraph"/>
            <w:numPr>
              <w:ilvl w:val="0"/>
              <w:numId w:val="10"/>
            </w:numPr>
            <w:rPr>
              <w:lang w:val="en-US"/>
            </w:rPr>
          </w:pPr>
          <w:r w:rsidRPr="00B35F57">
            <w:rPr>
              <w:b/>
              <w:lang w:val="en-US"/>
            </w:rPr>
            <w:t>Ethics Governance:</w:t>
          </w:r>
          <w:r w:rsidRPr="00B35F57">
            <w:rPr>
              <w:lang w:val="en-US"/>
            </w:rPr>
            <w:t xml:space="preserve"> Integrate ethics frameworks into the lifecycles of AI development, including stakeholder concerns in design, testing, and implementation.</w:t>
          </w:r>
        </w:p>
        <w:p w14:paraId="670264FC" w14:textId="77777777" w:rsidR="00EB26F8" w:rsidRPr="00EB26F8" w:rsidRDefault="00EB26F8" w:rsidP="00983EF9">
          <w:pPr>
            <w:rPr>
              <w:lang w:val="en-US"/>
            </w:rPr>
          </w:pPr>
          <w:r w:rsidRPr="00EB26F8">
            <w:rPr>
              <w:lang w:val="en-US"/>
            </w:rPr>
            <w:t>The measures will reinforce the perception of AI as technically skilled yet socially doubtful and make it reliable and user-focused, allowing Accenture to safeguard its reputation and encourage AI capability use.</w:t>
          </w:r>
        </w:p>
        <w:p w14:paraId="61E8F6B4" w14:textId="77777777" w:rsidR="00EB26F8" w:rsidRPr="00EB26F8" w:rsidRDefault="00EB26F8" w:rsidP="00983EF9">
          <w:pPr>
            <w:pStyle w:val="Heading2"/>
            <w:rPr>
              <w:lang w:val="en-US"/>
            </w:rPr>
          </w:pPr>
          <w:bookmarkStart w:id="23" w:name="_Toc227531825"/>
          <w:r w:rsidRPr="00EB26F8">
            <w:rPr>
              <w:lang w:val="en-US"/>
            </w:rPr>
            <w:t>3.5 Macroeconomic Context</w:t>
          </w:r>
          <w:bookmarkEnd w:id="23"/>
        </w:p>
        <w:p w14:paraId="414D4B74" w14:textId="77777777" w:rsidR="00EB26F8" w:rsidRPr="00EB26F8" w:rsidRDefault="00EB26F8" w:rsidP="00983EF9">
          <w:pPr>
            <w:rPr>
              <w:lang w:val="en-US"/>
            </w:rPr>
          </w:pPr>
          <w:r w:rsidRPr="00EB26F8">
            <w:rPr>
              <w:lang w:val="en-US"/>
            </w:rPr>
            <w:t>The essential dynamics influencing the investment in and deployment of artificial intelligence (AI) in firms are dictated by global economic conditions. Inflation, geopolitical risk, and environmental, social, and governance (ESG) pressures do not only affect the cost of AI development but also strategic decision-making and expectations of stakeholders in companies such as Accenture.</w:t>
          </w:r>
        </w:p>
        <w:p w14:paraId="4D5488D7" w14:textId="5F6076F0" w:rsidR="00EB26F8" w:rsidRPr="00EB26F8" w:rsidRDefault="00EB26F8" w:rsidP="00983EF9">
          <w:pPr>
            <w:rPr>
              <w:lang w:val="en-US"/>
            </w:rPr>
          </w:pPr>
          <w:r w:rsidRPr="00EB26F8">
            <w:rPr>
              <w:lang w:val="en-US"/>
            </w:rPr>
            <w:lastRenderedPageBreak/>
            <w:t>The constant inflation leads to a rising cost of capital in real value (perhaps it is real capital), which in turn raises the cost of investing in long-term technologies such as AI. With an increase in inflation, central banks are likely to increase the interest rates</w:t>
          </w:r>
          <w:r w:rsidR="008A4B81" w:rsidRPr="008A4B81">
            <w:t xml:space="preserve"> </w:t>
          </w:r>
          <w:r w:rsidR="008A4B81" w:rsidRPr="008A4B81">
            <w:rPr>
              <w:lang w:val="en-US"/>
            </w:rPr>
            <w:t>(Mnazir, 2025)</w:t>
          </w:r>
          <w:r w:rsidRPr="00EB26F8">
            <w:rPr>
              <w:lang w:val="en-US"/>
            </w:rPr>
            <w:t xml:space="preserve">. For illustration, the bank rate observed by the Bank of England stood at 3.75% in early 2026, as a sign that the country is experiencing inflationary pressures that are likely to dampen the investment appetite by businesses. Increased borrowing expenses would slow down or reduce AI investments, particularly those that have unpredictable returns in the short run (Bank of England, 2026). Meanwhile, companies have extra operational expenses, including higher wages and energy </w:t>
          </w:r>
          <w:r w:rsidR="00B35F57" w:rsidRPr="00EB26F8">
            <w:rPr>
              <w:lang w:val="en-US"/>
            </w:rPr>
            <w:t>prices that can vie with technology budgets</w:t>
          </w:r>
          <w:r w:rsidRPr="00EB26F8">
            <w:rPr>
              <w:lang w:val="en-US"/>
            </w:rPr>
            <w:t xml:space="preserve"> and firms are likely to assign cost-efficient cases of AI usage instead of broad-based innovation initiatives</w:t>
          </w:r>
          <w:r w:rsidR="008A4B81" w:rsidRPr="008A4B81">
            <w:t xml:space="preserve"> </w:t>
          </w:r>
          <w:r w:rsidR="008A4B81" w:rsidRPr="008A4B81">
            <w:rPr>
              <w:lang w:val="en-US"/>
            </w:rPr>
            <w:t>(Gortsos, 2025)</w:t>
          </w:r>
          <w:r w:rsidRPr="00EB26F8">
            <w:rPr>
              <w:lang w:val="en-US"/>
            </w:rPr>
            <w:t>.</w:t>
          </w:r>
        </w:p>
        <w:p w14:paraId="3F1288EE" w14:textId="2959C41C" w:rsidR="00EB26F8" w:rsidRDefault="00EB26F8" w:rsidP="00983EF9">
          <w:pPr>
            <w:rPr>
              <w:lang w:val="en-US"/>
            </w:rPr>
          </w:pPr>
          <w:r w:rsidRPr="00EB26F8">
            <w:rPr>
              <w:lang w:val="en-US"/>
            </w:rPr>
            <w:t>The geopolitical risks also have a significant influence on AI development and deployment</w:t>
          </w:r>
          <w:r w:rsidR="008A4B81" w:rsidRPr="008A4B81">
            <w:t xml:space="preserve"> </w:t>
          </w:r>
          <w:r w:rsidR="008A4B81" w:rsidRPr="008A4B81">
            <w:rPr>
              <w:lang w:val="en-US"/>
            </w:rPr>
            <w:t>(Roumate, 2026)</w:t>
          </w:r>
          <w:r w:rsidRPr="00EB26F8">
            <w:rPr>
              <w:lang w:val="en-US"/>
            </w:rPr>
            <w:t>. The Russia-Ukraine turmoil, persistent uncertainty over Brexit, and escalating U.S.-China tech competition are some of the events that cause fracturation in AI ecosystems, especially in data flows and standards of technology (European Central Bank, 2026). In the case of multinational companies such as Accenture, when different regulatory requirements are combined with fragmented supply chains, compliance and operational risk rise (World Economic Forum, 2025). Resilient AI systems capable of functioning within a jurisdiction that supports diverse regulations are also augmented by the geopolitical tensions</w:t>
          </w:r>
          <w:r w:rsidR="008A4B81" w:rsidRPr="008A4B81">
            <w:t xml:space="preserve"> </w:t>
          </w:r>
          <w:r w:rsidR="008A4B81" w:rsidRPr="008A4B81">
            <w:rPr>
              <w:lang w:val="en-US"/>
            </w:rPr>
            <w:t>(Jariwala, 2024)</w:t>
          </w:r>
          <w:r w:rsidRPr="00EB26F8">
            <w:rPr>
              <w:lang w:val="en-US"/>
            </w:rPr>
            <w:t>. It has the ability to increase the cost of development and decrease the process of deployment.</w:t>
          </w:r>
        </w:p>
        <w:p w14:paraId="6368891A" w14:textId="77777777" w:rsidR="002C1F69" w:rsidRDefault="002C1F69" w:rsidP="002C1F69">
          <w:pPr>
            <w:keepNext/>
          </w:pPr>
          <w:r>
            <w:rPr>
              <w:noProof/>
              <w:lang w:val="en-US"/>
            </w:rPr>
            <w:drawing>
              <wp:inline distT="0" distB="0" distL="0" distR="0" wp14:anchorId="7F6E0D95" wp14:editId="256D22A8">
                <wp:extent cx="5717628" cy="2963917"/>
                <wp:effectExtent l="0" t="0" r="0" b="825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20260419_2250_Image Generation_simple_compose_01kpkabfpfeqv8ww6qsj3qmv7y.png"/>
                        <pic:cNvPicPr/>
                      </pic:nvPicPr>
                      <pic:blipFill rotWithShape="1">
                        <a:blip r:embed="rId21" cstate="print">
                          <a:extLst>
                            <a:ext uri="{28A0092B-C50C-407E-A947-70E740481C1C}">
                              <a14:useLocalDpi xmlns:a14="http://schemas.microsoft.com/office/drawing/2010/main" val="0"/>
                            </a:ext>
                          </a:extLst>
                        </a:blip>
                        <a:srcRect/>
                        <a:stretch/>
                      </pic:blipFill>
                      <pic:spPr bwMode="auto">
                        <a:xfrm>
                          <a:off x="0" y="0"/>
                          <a:ext cx="5731510" cy="2971113"/>
                        </a:xfrm>
                        <a:prstGeom prst="rect">
                          <a:avLst/>
                        </a:prstGeom>
                        <a:ln>
                          <a:noFill/>
                        </a:ln>
                        <a:extLst>
                          <a:ext uri="{53640926-AAD7-44D8-BBD7-CCE9431645EC}">
                            <a14:shadowObscured xmlns:a14="http://schemas.microsoft.com/office/drawing/2010/main"/>
                          </a:ext>
                        </a:extLst>
                      </pic:spPr>
                    </pic:pic>
                  </a:graphicData>
                </a:graphic>
              </wp:inline>
            </w:drawing>
          </w:r>
        </w:p>
        <w:p w14:paraId="1FE23FAB" w14:textId="0A67121C" w:rsidR="002C1F69" w:rsidRPr="002C1F69" w:rsidRDefault="002C1F69" w:rsidP="002C1F69">
          <w:pPr>
            <w:pStyle w:val="Caption"/>
            <w:jc w:val="center"/>
            <w:rPr>
              <w:i/>
              <w:color w:val="auto"/>
              <w:lang w:val="en-US"/>
            </w:rPr>
          </w:pPr>
          <w:bookmarkStart w:id="24" w:name="_Toc227532026"/>
          <w:r w:rsidRPr="002C1F69">
            <w:rPr>
              <w:i/>
              <w:color w:val="auto"/>
            </w:rPr>
            <w:t xml:space="preserve">Figure </w:t>
          </w:r>
          <w:r w:rsidRPr="002C1F69">
            <w:rPr>
              <w:i/>
              <w:color w:val="auto"/>
            </w:rPr>
            <w:fldChar w:fldCharType="begin"/>
          </w:r>
          <w:r w:rsidRPr="002C1F69">
            <w:rPr>
              <w:i/>
              <w:color w:val="auto"/>
            </w:rPr>
            <w:instrText xml:space="preserve"> SEQ Figure \* ARABIC </w:instrText>
          </w:r>
          <w:r w:rsidRPr="002C1F69">
            <w:rPr>
              <w:i/>
              <w:color w:val="auto"/>
            </w:rPr>
            <w:fldChar w:fldCharType="separate"/>
          </w:r>
          <w:r>
            <w:rPr>
              <w:i/>
              <w:noProof/>
              <w:color w:val="auto"/>
            </w:rPr>
            <w:t>10</w:t>
          </w:r>
          <w:r w:rsidRPr="002C1F69">
            <w:rPr>
              <w:i/>
              <w:color w:val="auto"/>
            </w:rPr>
            <w:fldChar w:fldCharType="end"/>
          </w:r>
          <w:r w:rsidRPr="002C1F69">
            <w:rPr>
              <w:i/>
              <w:color w:val="auto"/>
            </w:rPr>
            <w:t>: Geopolitical Risks Disrupting AI Ecosystems and Data Flows (Author)</w:t>
          </w:r>
          <w:bookmarkEnd w:id="24"/>
        </w:p>
        <w:p w14:paraId="451BF0B9" w14:textId="58EF39F9" w:rsidR="00EB26F8" w:rsidRPr="00EB26F8" w:rsidRDefault="00EB26F8" w:rsidP="00983EF9">
          <w:pPr>
            <w:rPr>
              <w:lang w:val="en-US"/>
            </w:rPr>
          </w:pPr>
          <w:r w:rsidRPr="00EB26F8">
            <w:rPr>
              <w:lang w:val="en-US"/>
            </w:rPr>
            <w:t xml:space="preserve">Investments in AI are influenced by ESG pressures as well. Stakeholders are becoming increasingly moralistic when it comes to the practices of the firms, i.e., data privacy, fairness, </w:t>
          </w:r>
          <w:r w:rsidRPr="00EB26F8">
            <w:rPr>
              <w:lang w:val="en-US"/>
            </w:rPr>
            <w:lastRenderedPageBreak/>
            <w:t xml:space="preserve">and environmental footprint (OECD, 2025). Computational requirements of AI also lead to energy consumption and greenhouse gases, and investors are pressuring a more sustainable approach to AI to be more in line with climate pledges (McKinsey </w:t>
          </w:r>
          <w:r w:rsidR="007C0AA1">
            <w:rPr>
              <w:lang w:val="en-US"/>
            </w:rPr>
            <w:t>&amp;</w:t>
          </w:r>
          <w:r w:rsidRPr="00EB26F8">
            <w:rPr>
              <w:lang w:val="en-US"/>
            </w:rPr>
            <w:t xml:space="preserve"> Company, 2025). Integrating ESG will have the impact of propelling other governance demands, yet it opens up new possibilities: companies that take a leading role in aligning AI plans with sustainability objectives will have an edge and be eligible to secure the so-called green tech financing pools related to ESG indicators.</w:t>
          </w:r>
        </w:p>
        <w:p w14:paraId="5BEEB003" w14:textId="77777777" w:rsidR="00EB26F8" w:rsidRPr="00EB26F8" w:rsidRDefault="00EB26F8" w:rsidP="00983EF9">
          <w:pPr>
            <w:rPr>
              <w:lang w:val="en-US"/>
            </w:rPr>
          </w:pPr>
          <w:r w:rsidRPr="00EB26F8">
            <w:rPr>
              <w:lang w:val="en-US"/>
            </w:rPr>
            <w:t>In the case of Accenture, the economic risks associated with adopting AI technologies are the increased cost of capital, enforcement of geopolitical compliance, and pressure to show ethical and sustainable AI practices by the stakeholders. However, there are corresponding opportunities (Long, 2021). Reduced barriers to innovation can be facilitated by cheaper AI solutions such as free-open software and platforms as a service. The global nature of Accenture is also enabling it to package AI services that can assist clients in overcoming macroeconomic volatility to turn a threat into a market opportunity. Accenture can leverage macroeconomic challenges to create a competitive advantage by investing in energy-efficient AI architectures, open governance models, and effective risk management systems.</w:t>
          </w:r>
        </w:p>
        <w:p w14:paraId="2F757D32" w14:textId="77777777" w:rsidR="004A11F6" w:rsidRDefault="004A11F6" w:rsidP="00983EF9"/>
        <w:p w14:paraId="4950AFFE" w14:textId="77777777" w:rsidR="004A11F6" w:rsidRDefault="004A11F6" w:rsidP="00983EF9"/>
        <w:p w14:paraId="377C9265" w14:textId="77777777" w:rsidR="004A11F6" w:rsidRDefault="004A11F6" w:rsidP="00983EF9"/>
        <w:p w14:paraId="4108EE7B" w14:textId="77777777" w:rsidR="004A11F6" w:rsidRDefault="004A11F6" w:rsidP="00983EF9"/>
        <w:p w14:paraId="0EB1AA98" w14:textId="77777777" w:rsidR="004A11F6" w:rsidRDefault="004A11F6" w:rsidP="00983EF9"/>
        <w:p w14:paraId="50EA4EC0" w14:textId="77777777" w:rsidR="004A11F6" w:rsidRDefault="004A11F6" w:rsidP="00983EF9"/>
        <w:p w14:paraId="47DC0B2B" w14:textId="77777777" w:rsidR="004A11F6" w:rsidRDefault="004A11F6" w:rsidP="00983EF9"/>
        <w:p w14:paraId="5FA54E48" w14:textId="77777777" w:rsidR="004A11F6" w:rsidRDefault="004A11F6" w:rsidP="00983EF9"/>
        <w:p w14:paraId="63B8FBF1" w14:textId="77777777" w:rsidR="004A11F6" w:rsidRDefault="004A11F6" w:rsidP="00983EF9"/>
        <w:p w14:paraId="4AA639F2" w14:textId="77777777" w:rsidR="004A11F6" w:rsidRDefault="004A11F6" w:rsidP="00983EF9"/>
        <w:p w14:paraId="6609DA3E" w14:textId="77777777" w:rsidR="004A11F6" w:rsidRDefault="004A11F6" w:rsidP="00983EF9"/>
        <w:p w14:paraId="23067ADB" w14:textId="77777777" w:rsidR="004A11F6" w:rsidRDefault="004A11F6" w:rsidP="00983EF9"/>
        <w:p w14:paraId="0BE775A6" w14:textId="77777777" w:rsidR="004A11F6" w:rsidRDefault="004A11F6" w:rsidP="00983EF9"/>
        <w:p w14:paraId="2B298963" w14:textId="429D56EC" w:rsidR="00650710" w:rsidRDefault="00650710" w:rsidP="00983EF9">
          <w:pPr>
            <w:pStyle w:val="Heading1"/>
          </w:pPr>
          <w:bookmarkStart w:id="25" w:name="_Toc227531826"/>
          <w:r>
            <w:lastRenderedPageBreak/>
            <w:t>4.0 Implementation Plan: Actionable Recommendations</w:t>
          </w:r>
          <w:bookmarkEnd w:id="25"/>
        </w:p>
        <w:p w14:paraId="34E22E0F" w14:textId="20481B3E" w:rsidR="00650710" w:rsidRPr="00650710" w:rsidRDefault="00650710" w:rsidP="00983EF9">
          <w:pPr>
            <w:pStyle w:val="Caption"/>
            <w:keepNext/>
            <w:jc w:val="center"/>
            <w:rPr>
              <w:i/>
              <w:color w:val="auto"/>
            </w:rPr>
          </w:pPr>
          <w:bookmarkStart w:id="26" w:name="_Toc227532029"/>
          <w:r w:rsidRPr="00650710">
            <w:rPr>
              <w:i/>
              <w:color w:val="auto"/>
            </w:rPr>
            <w:t xml:space="preserve">Table </w:t>
          </w:r>
          <w:r w:rsidRPr="00650710">
            <w:rPr>
              <w:i/>
              <w:color w:val="auto"/>
            </w:rPr>
            <w:fldChar w:fldCharType="begin"/>
          </w:r>
          <w:r w:rsidRPr="00650710">
            <w:rPr>
              <w:i/>
              <w:color w:val="auto"/>
            </w:rPr>
            <w:instrText xml:space="preserve"> SEQ Table \* ARABIC </w:instrText>
          </w:r>
          <w:r w:rsidRPr="00650710">
            <w:rPr>
              <w:i/>
              <w:color w:val="auto"/>
            </w:rPr>
            <w:fldChar w:fldCharType="separate"/>
          </w:r>
          <w:r w:rsidRPr="00650710">
            <w:rPr>
              <w:i/>
              <w:noProof/>
              <w:color w:val="auto"/>
            </w:rPr>
            <w:t>2</w:t>
          </w:r>
          <w:r w:rsidRPr="00650710">
            <w:rPr>
              <w:i/>
              <w:color w:val="auto"/>
            </w:rPr>
            <w:fldChar w:fldCharType="end"/>
          </w:r>
          <w:r w:rsidRPr="00650710">
            <w:rPr>
              <w:i/>
              <w:color w:val="auto"/>
            </w:rPr>
            <w:t>: Implementation Plan (Author)</w:t>
          </w:r>
          <w:bookmarkEnd w:id="26"/>
        </w:p>
        <w:p w14:paraId="748087D5" w14:textId="333878B5" w:rsidR="00650710" w:rsidRDefault="00650710" w:rsidP="00983EF9">
          <w:r w:rsidRPr="00650710">
            <w:rPr>
              <w:noProof/>
              <w:lang w:val="en-US"/>
            </w:rPr>
            <w:drawing>
              <wp:inline distT="0" distB="0" distL="0" distR="0" wp14:anchorId="187B8C80" wp14:editId="56C9CEAF">
                <wp:extent cx="5372850" cy="3877216"/>
                <wp:effectExtent l="0" t="0" r="0" b="952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2"/>
                        <a:stretch>
                          <a:fillRect/>
                        </a:stretch>
                      </pic:blipFill>
                      <pic:spPr>
                        <a:xfrm>
                          <a:off x="0" y="0"/>
                          <a:ext cx="5372850" cy="3877216"/>
                        </a:xfrm>
                        <a:prstGeom prst="rect">
                          <a:avLst/>
                        </a:prstGeom>
                      </pic:spPr>
                    </pic:pic>
                  </a:graphicData>
                </a:graphic>
              </wp:inline>
            </w:drawing>
          </w:r>
        </w:p>
        <w:p w14:paraId="34C0038F" w14:textId="77777777" w:rsidR="00650710" w:rsidRPr="00650710" w:rsidRDefault="00650710" w:rsidP="00983EF9">
          <w:pPr>
            <w:rPr>
              <w:b/>
              <w:sz w:val="24"/>
              <w:lang w:val="en-US"/>
            </w:rPr>
          </w:pPr>
          <w:r w:rsidRPr="00650710">
            <w:rPr>
              <w:b/>
              <w:sz w:val="24"/>
              <w:lang w:val="en-US"/>
            </w:rPr>
            <w:t>0-6 Months: Establishing Foundations for AI Governance</w:t>
          </w:r>
        </w:p>
        <w:p w14:paraId="5FBA8F28" w14:textId="77777777" w:rsidR="00650710" w:rsidRPr="00650710" w:rsidRDefault="00650710" w:rsidP="00983EF9">
          <w:pPr>
            <w:rPr>
              <w:lang w:val="en-US"/>
            </w:rPr>
          </w:pPr>
          <w:r w:rsidRPr="00650710">
            <w:rPr>
              <w:lang w:val="en-US"/>
            </w:rPr>
            <w:t>The establishment of an AI risk management committee is the first step of an AI risk management strategy. It will be a team of professionals working in legal, compliance, and AI teams and supervising the implementation and operation of AI systems in accordance with UK and EU regulations. The committee will be charged with the responsibility of making sure that AI systems are ethical and that they are in adherence with all laws of the region (Accenture, 2025). Then, Accenture can perform a data governance review to determine the effect of its AI systems on privacy. The emphasis here is on achieving compliance and adherence to GDPR and the UK Data Protection Act (2018) specifically, in as much as they are concerned with the processing of personal data, automated decision-making, and cross-border data flows (European Commission, 2024). A definite data governance policy will help to avoid the breach of law and reputation.</w:t>
          </w:r>
        </w:p>
        <w:p w14:paraId="1312DD6E" w14:textId="3D228A47" w:rsidR="00650710" w:rsidRPr="00650710" w:rsidRDefault="00650710" w:rsidP="00983EF9">
          <w:pPr>
            <w:rPr>
              <w:lang w:val="en-US"/>
            </w:rPr>
          </w:pPr>
          <w:r w:rsidRPr="00650710">
            <w:rPr>
              <w:lang w:val="en-US"/>
            </w:rPr>
            <w:t xml:space="preserve">Lastly, ethical AI guidelines must also be stipulated and incorporated into AI systems. Accenture needs to apply the concepts of fairness, accountability, and explainability to shape the design of an AI model, especially in high-stakes sectors, such as finance or healthcare </w:t>
          </w:r>
          <w:r w:rsidR="00983EF9" w:rsidRPr="00983EF9">
            <w:rPr>
              <w:lang w:val="en-US"/>
            </w:rPr>
            <w:lastRenderedPageBreak/>
            <w:t>(ICO, 2025)</w:t>
          </w:r>
          <w:r w:rsidRPr="00650710">
            <w:rPr>
              <w:lang w:val="en-US"/>
            </w:rPr>
            <w:t>. Such ethical guidelines will reduce the threat of bias and transparency in decisions that involve AI.</w:t>
          </w:r>
        </w:p>
        <w:p w14:paraId="55C58E04" w14:textId="77777777" w:rsidR="00650710" w:rsidRPr="00650710" w:rsidRDefault="00650710" w:rsidP="00983EF9">
          <w:pPr>
            <w:rPr>
              <w:sz w:val="24"/>
              <w:lang w:val="en-US"/>
            </w:rPr>
          </w:pPr>
          <w:r w:rsidRPr="00650710">
            <w:rPr>
              <w:b/>
              <w:bCs/>
              <w:sz w:val="24"/>
              <w:lang w:val="en-US"/>
            </w:rPr>
            <w:t>6-12 Months: Regulatory Alignment and Bias Mitigation</w:t>
          </w:r>
        </w:p>
        <w:p w14:paraId="16E60D1E" w14:textId="03A4C068" w:rsidR="00650710" w:rsidRPr="00650710" w:rsidRDefault="00650710" w:rsidP="00983EF9">
          <w:pPr>
            <w:rPr>
              <w:lang w:val="en-US"/>
            </w:rPr>
          </w:pPr>
          <w:r w:rsidRPr="00650710">
            <w:rPr>
              <w:lang w:val="en-US"/>
            </w:rPr>
            <w:t>During the second step, Accenture ought to focus on aligning AI models with the regulations, particularly the EU AI Act (2024). This includes performing conformity tests and developing the relevant paperwork that will show that the high-risk AI systems met the requirements of the Act (European Commission, 2024). Periodic audits will ensure that AI models comply with the necessary ethical and technical standards. Implementations of bias detection and mitigation tools are another important measure that should be taken</w:t>
          </w:r>
          <w:r w:rsidR="00983EF9">
            <w:rPr>
              <w:lang w:val="en-US"/>
            </w:rPr>
            <w:t xml:space="preserve"> </w:t>
          </w:r>
          <w:r w:rsidR="00983EF9" w:rsidRPr="00983EF9">
            <w:rPr>
              <w:lang w:val="en-US"/>
            </w:rPr>
            <w:t>(Yap, 2025)</w:t>
          </w:r>
          <w:r w:rsidRPr="00650710">
            <w:rPr>
              <w:lang w:val="en-US"/>
            </w:rPr>
            <w:t xml:space="preserve">. As AI systems are vulnerable to picking up biases as training data, implementing tools to detect and fix the biases will enhance the quality and fairness of AI models </w:t>
          </w:r>
          <w:r w:rsidR="00983EF9" w:rsidRPr="00983EF9">
            <w:rPr>
              <w:lang w:val="en-US"/>
            </w:rPr>
            <w:t>(Nguyen, 2026)</w:t>
          </w:r>
          <w:r w:rsidRPr="00650710">
            <w:rPr>
              <w:lang w:val="en-US"/>
            </w:rPr>
            <w:t>. This plays a great role in reducing reputational risks and preventing lawsuits, especially in sensitive areas like hiring tasks, insurance provision, and loan issuances.</w:t>
          </w:r>
        </w:p>
        <w:p w14:paraId="1291ED53" w14:textId="77777777" w:rsidR="00650710" w:rsidRPr="00650710" w:rsidRDefault="00650710" w:rsidP="00983EF9">
          <w:pPr>
            <w:rPr>
              <w:lang w:val="en-US"/>
            </w:rPr>
          </w:pPr>
          <w:r w:rsidRPr="00650710">
            <w:rPr>
              <w:lang w:val="en-US"/>
            </w:rPr>
            <w:t>Also, it is important to be proactive in addressing regulatory authorities in both the UK and the EU. With the changing AI regulations, being ahead of legal regulations holds the key to ensuring that Accenture is not out of favor and only capable of shaping the future of AI standards, therefore, becoming a leader in ethical AI practices within the industry (ICO, 2025).</w:t>
          </w:r>
        </w:p>
        <w:p w14:paraId="034A5030" w14:textId="77777777" w:rsidR="00650710" w:rsidRPr="00650710" w:rsidRDefault="00650710" w:rsidP="00983EF9">
          <w:pPr>
            <w:rPr>
              <w:sz w:val="24"/>
              <w:lang w:val="en-US"/>
            </w:rPr>
          </w:pPr>
          <w:r w:rsidRPr="00650710">
            <w:rPr>
              <w:b/>
              <w:bCs/>
              <w:sz w:val="24"/>
              <w:lang w:val="en-US"/>
            </w:rPr>
            <w:t>12-24 Months: Scaling and Maintaining Compliance</w:t>
          </w:r>
        </w:p>
        <w:p w14:paraId="54F2FC68" w14:textId="77777777" w:rsidR="00650710" w:rsidRPr="00650710" w:rsidRDefault="00650710" w:rsidP="00983EF9">
          <w:pPr>
            <w:rPr>
              <w:lang w:val="en-US"/>
            </w:rPr>
          </w:pPr>
          <w:r w:rsidRPr="00650710">
            <w:rPr>
              <w:lang w:val="en-US"/>
            </w:rPr>
            <w:t>Scaling and adhering to comprehensive AI governance frameworks should be prioritized in the long term, which is what Accenture should do. Such a framework needs to borrow both the UK and EU regulatory best practices so that a uniform and smooth way to deal with AI ethics, data control, and adherence to regulations applies (Accenture, 2024). The other important measure is to update cross-border data transfer protocols. By making sure that the data transfer contracts are consistent with GDPR and the UK data protection laws, risks associated with data breaches and breaches of regulations will be reduced (European Data Protection Board, 2025).</w:t>
          </w:r>
        </w:p>
        <w:p w14:paraId="08C9F9C1" w14:textId="078B7FFE" w:rsidR="00650710" w:rsidRPr="00650710" w:rsidRDefault="00650710" w:rsidP="00983EF9">
          <w:pPr>
            <w:rPr>
              <w:lang w:val="en-US"/>
            </w:rPr>
          </w:pPr>
          <w:r w:rsidRPr="00650710">
            <w:rPr>
              <w:lang w:val="en-US"/>
            </w:rPr>
            <w:t xml:space="preserve">Lastly, Accenture ought to establish customer trust through transparency when making decisions in AI. It can be done via transparency reports and third-party audits, as it will reassure clients and stakeholders that AI systems at Accenture do not serve below high ethical and regulatory standards </w:t>
          </w:r>
          <w:r w:rsidR="00983EF9" w:rsidRPr="00983EF9">
            <w:rPr>
              <w:lang w:val="en-US"/>
            </w:rPr>
            <w:t>(UNEP, 2026)</w:t>
          </w:r>
          <w:r w:rsidRPr="00650710">
            <w:rPr>
              <w:lang w:val="en-US"/>
            </w:rPr>
            <w:t>. This level of transparency will foster trust, especially in areas where decisions made by AI could have serious implications on people.</w:t>
          </w:r>
        </w:p>
        <w:p w14:paraId="170AF4A8" w14:textId="364BA667" w:rsidR="00650710" w:rsidRDefault="00650710" w:rsidP="00983EF9">
          <w:pPr>
            <w:pStyle w:val="Heading1"/>
          </w:pPr>
          <w:bookmarkStart w:id="27" w:name="_Toc227531827"/>
          <w:r>
            <w:lastRenderedPageBreak/>
            <w:t xml:space="preserve">5.0 </w:t>
          </w:r>
          <w:r w:rsidRPr="00650710">
            <w:t>Conclusion</w:t>
          </w:r>
          <w:bookmarkEnd w:id="27"/>
        </w:p>
        <w:p w14:paraId="2D0BBCD0" w14:textId="004FEDBA" w:rsidR="00480872" w:rsidRDefault="002C1F69" w:rsidP="002C1F69">
          <w:r w:rsidRPr="002C1F69">
            <w:rPr>
              <w:lang w:val="en-US"/>
            </w:rPr>
            <w:t>This study provides Accenture with a straightforward and achievable roadmap towards how to handle the issues of AI risk management and ensure that it meets the evolving legislation of the UK and EU requirements. The groundwork for long-term compliance and operational success is laid by concentrating on creating a special AI risk management committee, carrying out a comprehensive data governance review, and incorporating ethical AI concepts in the near future. Long-term effects: Biases will be identified, regulatory intervention proactively addressed, the EU AI Act will be adhered to, and AI systems will be more transparent and fair with the ethical principles being respected. Finally, the compliance of Accenture and its reputation would be secured by the long-term adoption of an in-depth AI governance framework and enhanced processes of transfers of data across national borders, which would create confidence in clients. By doing so, Accenture will not only increase its status as a global leader in the safe use of AI but also minimize the risk of AI.</w:t>
          </w:r>
        </w:p>
        <w:p w14:paraId="36574C88" w14:textId="77777777" w:rsidR="00480872" w:rsidRDefault="00480872" w:rsidP="00983EF9">
          <w:pPr>
            <w:pStyle w:val="Heading1"/>
          </w:pPr>
        </w:p>
        <w:p w14:paraId="4E1FD67F" w14:textId="77777777" w:rsidR="00480872" w:rsidRDefault="00480872" w:rsidP="00983EF9">
          <w:pPr>
            <w:pStyle w:val="Heading1"/>
          </w:pPr>
        </w:p>
        <w:p w14:paraId="36749EDA" w14:textId="77777777" w:rsidR="00480872" w:rsidRDefault="00480872" w:rsidP="00983EF9">
          <w:pPr>
            <w:pStyle w:val="Heading1"/>
          </w:pPr>
        </w:p>
        <w:p w14:paraId="32FEED6F" w14:textId="77777777" w:rsidR="00480872" w:rsidRDefault="00480872" w:rsidP="00983EF9">
          <w:pPr>
            <w:pStyle w:val="Heading1"/>
          </w:pPr>
        </w:p>
        <w:p w14:paraId="29AD4EF5" w14:textId="77777777" w:rsidR="00983EF9" w:rsidRDefault="00983EF9">
          <w:pPr>
            <w:spacing w:line="259" w:lineRule="auto"/>
            <w:jc w:val="left"/>
            <w:rPr>
              <w:rFonts w:eastAsiaTheme="majorEastAsia" w:cstheme="majorBidi"/>
              <w:b/>
              <w:color w:val="000000" w:themeColor="text1"/>
              <w:sz w:val="32"/>
              <w:szCs w:val="32"/>
            </w:rPr>
          </w:pPr>
          <w:r>
            <w:br w:type="page"/>
          </w:r>
        </w:p>
        <w:p w14:paraId="2C05290D" w14:textId="7070AE66" w:rsidR="00983EF9" w:rsidRPr="00983EF9" w:rsidRDefault="00AA2A91" w:rsidP="00983EF9">
          <w:pPr>
            <w:pStyle w:val="Heading1"/>
          </w:pPr>
          <w:bookmarkStart w:id="28" w:name="_Toc227531828"/>
          <w:r>
            <w:lastRenderedPageBreak/>
            <w:t>Bibliography</w:t>
          </w:r>
        </w:p>
      </w:sdtContent>
    </w:sdt>
    <w:bookmarkEnd w:id="28" w:displacedByCustomXml="prev"/>
    <w:p w14:paraId="7FEADC44" w14:textId="77777777" w:rsidR="0023137F" w:rsidRPr="0023137F" w:rsidRDefault="0023137F" w:rsidP="0023137F">
      <w:pPr>
        <w:ind w:left="720" w:hanging="720"/>
        <w:rPr>
          <w:rFonts w:cs="Arial"/>
          <w:shd w:val="clear" w:color="auto" w:fill="FFFFFF"/>
        </w:rPr>
      </w:pPr>
      <w:r w:rsidRPr="00983EF9">
        <w:t xml:space="preserve">Accenture (2024) </w:t>
      </w:r>
      <w:r w:rsidRPr="0023137F">
        <w:rPr>
          <w:i/>
          <w:iCs/>
        </w:rPr>
        <w:t>EU AI act announcement</w:t>
      </w:r>
      <w:r w:rsidRPr="00983EF9">
        <w:t xml:space="preserve">, </w:t>
      </w:r>
      <w:r w:rsidRPr="0023137F">
        <w:rPr>
          <w:i/>
          <w:iCs/>
        </w:rPr>
        <w:t>Accenture</w:t>
      </w:r>
      <w:r w:rsidRPr="00983EF9">
        <w:t xml:space="preserve">. Available at: https://www.accenture.com/us-en/insights/eu-ai-act-ready-regulated-ai (Accessed: 16 April 2026). </w:t>
      </w:r>
    </w:p>
    <w:p w14:paraId="70110813" w14:textId="77777777" w:rsidR="0023137F" w:rsidRPr="0023137F" w:rsidRDefault="0023137F" w:rsidP="0023137F">
      <w:pPr>
        <w:ind w:left="720" w:hanging="720"/>
        <w:rPr>
          <w:rFonts w:eastAsia="Times New Roman"/>
          <w:lang w:val="en-US"/>
        </w:rPr>
      </w:pPr>
      <w:r w:rsidRPr="0023137F">
        <w:rPr>
          <w:rFonts w:eastAsia="Times New Roman"/>
          <w:lang w:val="en-US"/>
        </w:rPr>
        <w:t xml:space="preserve">Accenture (2026) </w:t>
      </w:r>
      <w:r w:rsidRPr="0023137F">
        <w:rPr>
          <w:rFonts w:eastAsia="Times New Roman"/>
          <w:i/>
          <w:iCs/>
          <w:lang w:val="en-US"/>
        </w:rPr>
        <w:t>2025 Annual Report</w:t>
      </w:r>
      <w:r w:rsidRPr="0023137F">
        <w:rPr>
          <w:rFonts w:eastAsia="Times New Roman"/>
          <w:lang w:val="en-US"/>
        </w:rPr>
        <w:t xml:space="preserve">. Available at: https://www.accenture.com/content/dam/accenture/final/accenture-com/document-4/Annual-Report-2025.pdf (Accessed: 16 April 2026). </w:t>
      </w:r>
    </w:p>
    <w:p w14:paraId="586FA5FB" w14:textId="77777777" w:rsidR="0023137F" w:rsidRPr="0023137F" w:rsidRDefault="0023137F" w:rsidP="0023137F">
      <w:pPr>
        <w:ind w:left="720" w:hanging="720"/>
        <w:rPr>
          <w:rFonts w:eastAsia="Times New Roman"/>
          <w:lang w:val="en-US"/>
        </w:rPr>
      </w:pPr>
      <w:r w:rsidRPr="0023137F">
        <w:rPr>
          <w:rFonts w:eastAsia="Times New Roman"/>
          <w:lang w:val="en-US"/>
        </w:rPr>
        <w:t xml:space="preserve">Ajiboye, K.J. (2023) ‘Ensuring data security and compliance in AI-powered business applications’, </w:t>
      </w:r>
      <w:r w:rsidRPr="0023137F">
        <w:rPr>
          <w:rFonts w:eastAsia="Times New Roman"/>
          <w:i/>
          <w:iCs/>
          <w:lang w:val="en-US"/>
        </w:rPr>
        <w:t>Global Journal of Engineering and Technology Advances</w:t>
      </w:r>
      <w:r w:rsidRPr="0023137F">
        <w:rPr>
          <w:rFonts w:eastAsia="Times New Roman"/>
          <w:lang w:val="en-US"/>
        </w:rPr>
        <w:t xml:space="preserve">, 15(1), pp. 125–142. doi:10.30574/gjeta.2023.15.1.0067. </w:t>
      </w:r>
    </w:p>
    <w:p w14:paraId="4E3F695F" w14:textId="77777777" w:rsidR="0023137F" w:rsidRPr="00983EF9" w:rsidRDefault="0023137F" w:rsidP="0023137F">
      <w:pPr>
        <w:ind w:left="720" w:hanging="720"/>
      </w:pPr>
      <w:r w:rsidRPr="0023137F">
        <w:rPr>
          <w:shd w:val="clear" w:color="auto" w:fill="FFFFFF"/>
        </w:rPr>
        <w:t>Angwin, J., Larson, J., Mattu, S. and Kirchner, L.. (2022). Machine bias. In </w:t>
      </w:r>
      <w:r w:rsidRPr="0023137F">
        <w:rPr>
          <w:i/>
          <w:iCs/>
          <w:shd w:val="clear" w:color="auto" w:fill="FFFFFF"/>
        </w:rPr>
        <w:t>Ethics of data and analytics</w:t>
      </w:r>
      <w:r w:rsidRPr="0023137F">
        <w:rPr>
          <w:shd w:val="clear" w:color="auto" w:fill="FFFFFF"/>
        </w:rPr>
        <w:t> (pp. 254-264). Auerbach Publications.</w:t>
      </w:r>
    </w:p>
    <w:p w14:paraId="71BA3D85" w14:textId="77777777" w:rsidR="0023137F" w:rsidRPr="0023137F" w:rsidRDefault="0023137F" w:rsidP="0023137F">
      <w:pPr>
        <w:ind w:left="720" w:hanging="720"/>
        <w:rPr>
          <w:lang w:val="en-US"/>
        </w:rPr>
      </w:pPr>
      <w:r w:rsidRPr="0023137F">
        <w:rPr>
          <w:lang w:val="en-US"/>
        </w:rPr>
        <w:t xml:space="preserve">Bank of England (2026) </w:t>
      </w:r>
      <w:r w:rsidRPr="0023137F">
        <w:rPr>
          <w:i/>
          <w:iCs/>
          <w:lang w:val="en-US"/>
        </w:rPr>
        <w:t>Interest rates and bank rate: Our latest decision</w:t>
      </w:r>
      <w:r w:rsidRPr="0023137F">
        <w:rPr>
          <w:lang w:val="en-US"/>
        </w:rPr>
        <w:t xml:space="preserve">, </w:t>
      </w:r>
      <w:r w:rsidRPr="0023137F">
        <w:rPr>
          <w:i/>
          <w:iCs/>
          <w:lang w:val="en-US"/>
        </w:rPr>
        <w:t>Bank of England</w:t>
      </w:r>
      <w:r w:rsidRPr="0023137F">
        <w:rPr>
          <w:lang w:val="en-US"/>
        </w:rPr>
        <w:t xml:space="preserve">. Available at: https://www.bankofengland.co.uk/monetary-policy/the-interest-rate-bank-rate (Accessed: 19 April 2026). </w:t>
      </w:r>
    </w:p>
    <w:p w14:paraId="10D7199F" w14:textId="77777777" w:rsidR="0023137F" w:rsidRPr="0023137F" w:rsidRDefault="0023137F" w:rsidP="0023137F">
      <w:pPr>
        <w:ind w:left="720" w:hanging="720"/>
        <w:rPr>
          <w:rFonts w:eastAsia="Times New Roman"/>
          <w:lang w:val="en-US"/>
        </w:rPr>
      </w:pPr>
      <w:r w:rsidRPr="0023137F">
        <w:rPr>
          <w:rFonts w:eastAsia="Times New Roman"/>
          <w:lang w:val="en-US"/>
        </w:rPr>
        <w:t xml:space="preserve">Bank of England (2026) </w:t>
      </w:r>
      <w:r w:rsidRPr="0023137F">
        <w:rPr>
          <w:rFonts w:eastAsia="Times New Roman"/>
          <w:i/>
          <w:iCs/>
          <w:lang w:val="en-US"/>
        </w:rPr>
        <w:t>Monetary policy report - february 2026</w:t>
      </w:r>
      <w:r w:rsidRPr="0023137F">
        <w:rPr>
          <w:rFonts w:eastAsia="Times New Roman"/>
          <w:lang w:val="en-US"/>
        </w:rPr>
        <w:t xml:space="preserve">, </w:t>
      </w:r>
      <w:r w:rsidRPr="0023137F">
        <w:rPr>
          <w:rFonts w:eastAsia="Times New Roman"/>
          <w:i/>
          <w:iCs/>
          <w:lang w:val="en-US"/>
        </w:rPr>
        <w:t>Bank of England</w:t>
      </w:r>
      <w:r w:rsidRPr="0023137F">
        <w:rPr>
          <w:rFonts w:eastAsia="Times New Roman"/>
          <w:lang w:val="en-US"/>
        </w:rPr>
        <w:t xml:space="preserve">. Available at: https://www.bankofengland.co.uk/monetary-policy-report/2026/february-2026 (Accessed: 16 April 2026). </w:t>
      </w:r>
    </w:p>
    <w:p w14:paraId="26FE9772" w14:textId="77777777" w:rsidR="0023137F" w:rsidRPr="0023137F" w:rsidRDefault="0023137F" w:rsidP="0023137F">
      <w:pPr>
        <w:ind w:left="720" w:hanging="720"/>
        <w:rPr>
          <w:rFonts w:eastAsia="Times New Roman"/>
          <w:lang w:val="en-US"/>
        </w:rPr>
      </w:pPr>
      <w:r w:rsidRPr="0023137F">
        <w:rPr>
          <w:rFonts w:eastAsia="Times New Roman"/>
          <w:lang w:val="en-US"/>
        </w:rPr>
        <w:t xml:space="preserve">Beede, P. (2025) ‘Navigating the AI revolution in advertising’, </w:t>
      </w:r>
      <w:r w:rsidRPr="0023137F">
        <w:rPr>
          <w:rFonts w:eastAsia="Times New Roman"/>
          <w:i/>
          <w:iCs/>
          <w:lang w:val="en-US"/>
        </w:rPr>
        <w:t>Advances in Computational Intelligence and Robotics</w:t>
      </w:r>
      <w:r w:rsidRPr="0023137F">
        <w:rPr>
          <w:rFonts w:eastAsia="Times New Roman"/>
          <w:lang w:val="en-US"/>
        </w:rPr>
        <w:t xml:space="preserve">, pp. 175–206. doi:10.4018/979-8-3693-9894-4.ch006. </w:t>
      </w:r>
    </w:p>
    <w:p w14:paraId="1004AA1D" w14:textId="77777777" w:rsidR="0023137F" w:rsidRPr="0023137F" w:rsidRDefault="0023137F" w:rsidP="0023137F">
      <w:pPr>
        <w:ind w:left="720" w:hanging="720"/>
        <w:rPr>
          <w:rFonts w:eastAsia="Times New Roman"/>
          <w:lang w:val="en-US"/>
        </w:rPr>
      </w:pPr>
      <w:r w:rsidRPr="0023137F">
        <w:rPr>
          <w:rFonts w:eastAsia="Times New Roman"/>
          <w:lang w:val="en-US"/>
        </w:rPr>
        <w:t xml:space="preserve">Crawford, K. (2022) </w:t>
      </w:r>
      <w:r w:rsidRPr="0023137F">
        <w:rPr>
          <w:rFonts w:eastAsia="Times New Roman"/>
          <w:i/>
          <w:iCs/>
          <w:lang w:val="en-US"/>
        </w:rPr>
        <w:t>Atlas of AI: Power, politics, and the planetary costs of Artificial Intelligence</w:t>
      </w:r>
      <w:r w:rsidRPr="0023137F">
        <w:rPr>
          <w:rFonts w:eastAsia="Times New Roman"/>
          <w:lang w:val="en-US"/>
        </w:rPr>
        <w:t xml:space="preserve">. New Haven: Yale University Press. </w:t>
      </w:r>
    </w:p>
    <w:p w14:paraId="1DFEC8C5" w14:textId="77777777" w:rsidR="0023137F" w:rsidRPr="0023137F" w:rsidRDefault="0023137F" w:rsidP="0023137F">
      <w:pPr>
        <w:ind w:left="720" w:hanging="720"/>
        <w:rPr>
          <w:rFonts w:eastAsia="Times New Roman"/>
          <w:lang w:val="en-US"/>
        </w:rPr>
      </w:pPr>
      <w:r w:rsidRPr="0023137F">
        <w:rPr>
          <w:rFonts w:eastAsia="Times New Roman"/>
          <w:lang w:val="en-US"/>
        </w:rPr>
        <w:t xml:space="preserve">DiMaggio, P.J. and Powell, W.W. (2016) ‘“the iron cage revisited: Institutional isomorphism and collective rationality in Organizational Fields”, American Sociological Review, 48, pp. 147-60.’, </w:t>
      </w:r>
      <w:r w:rsidRPr="0023137F">
        <w:rPr>
          <w:rFonts w:eastAsia="Times New Roman"/>
          <w:i/>
          <w:iCs/>
          <w:lang w:val="en-US"/>
        </w:rPr>
        <w:t>Organizational Sociology</w:t>
      </w:r>
      <w:r w:rsidRPr="0023137F">
        <w:rPr>
          <w:rFonts w:eastAsia="Times New Roman"/>
          <w:lang w:val="en-US"/>
        </w:rPr>
        <w:t xml:space="preserve">, pp. 517–530. doi:10.4324/9781315247533-34. </w:t>
      </w:r>
    </w:p>
    <w:p w14:paraId="5268E3D0" w14:textId="77777777" w:rsidR="0023137F" w:rsidRPr="0023137F" w:rsidRDefault="0023137F" w:rsidP="0023137F">
      <w:pPr>
        <w:ind w:left="720" w:hanging="720"/>
        <w:rPr>
          <w:rFonts w:eastAsia="Times New Roman"/>
          <w:lang w:val="en-US"/>
        </w:rPr>
      </w:pPr>
      <w:r w:rsidRPr="0023137F">
        <w:rPr>
          <w:rFonts w:eastAsia="Times New Roman"/>
          <w:lang w:val="en-US"/>
        </w:rPr>
        <w:t xml:space="preserve">DSIT (2023) </w:t>
      </w:r>
      <w:r w:rsidRPr="0023137F">
        <w:rPr>
          <w:rFonts w:eastAsia="Times New Roman"/>
          <w:i/>
          <w:iCs/>
          <w:lang w:val="en-US"/>
        </w:rPr>
        <w:t>Ai regulation: A pro-innovation approach</w:t>
      </w:r>
      <w:r w:rsidRPr="0023137F">
        <w:rPr>
          <w:rFonts w:eastAsia="Times New Roman"/>
          <w:lang w:val="en-US"/>
        </w:rPr>
        <w:t xml:space="preserve">, </w:t>
      </w:r>
      <w:r w:rsidRPr="0023137F">
        <w:rPr>
          <w:rFonts w:eastAsia="Times New Roman"/>
          <w:i/>
          <w:iCs/>
          <w:lang w:val="en-US"/>
        </w:rPr>
        <w:t>GOV.UK</w:t>
      </w:r>
      <w:r w:rsidRPr="0023137F">
        <w:rPr>
          <w:rFonts w:eastAsia="Times New Roman"/>
          <w:lang w:val="en-US"/>
        </w:rPr>
        <w:t xml:space="preserve">. Available at: https://www.gov.uk/government/publications/ai-regulation-a-pro-innovation-approach (Accessed: 16 April 2026). </w:t>
      </w:r>
    </w:p>
    <w:p w14:paraId="1CF88FE3" w14:textId="77777777" w:rsidR="0023137F" w:rsidRPr="0023137F" w:rsidRDefault="0023137F" w:rsidP="0023137F">
      <w:pPr>
        <w:ind w:left="720" w:hanging="720"/>
        <w:rPr>
          <w:rFonts w:eastAsia="Times New Roman"/>
          <w:lang w:val="en-US"/>
        </w:rPr>
      </w:pPr>
      <w:r w:rsidRPr="0023137F">
        <w:rPr>
          <w:rFonts w:eastAsia="Times New Roman"/>
          <w:lang w:val="en-US"/>
        </w:rPr>
        <w:t xml:space="preserve">Edelman (2024) </w:t>
      </w:r>
      <w:r w:rsidRPr="0023137F">
        <w:rPr>
          <w:rFonts w:eastAsia="Times New Roman"/>
          <w:i/>
          <w:iCs/>
          <w:lang w:val="en-US"/>
        </w:rPr>
        <w:t>2024 Edelman Trust Barometer Key Insights around AI</w:t>
      </w:r>
      <w:r w:rsidRPr="0023137F">
        <w:rPr>
          <w:rFonts w:eastAsia="Times New Roman"/>
          <w:lang w:val="en-US"/>
        </w:rPr>
        <w:t xml:space="preserve">, </w:t>
      </w:r>
      <w:r w:rsidRPr="0023137F">
        <w:rPr>
          <w:rFonts w:eastAsia="Times New Roman"/>
          <w:i/>
          <w:iCs/>
          <w:lang w:val="en-US"/>
        </w:rPr>
        <w:t>Edelman</w:t>
      </w:r>
      <w:r w:rsidRPr="0023137F">
        <w:rPr>
          <w:rFonts w:eastAsia="Times New Roman"/>
          <w:lang w:val="en-US"/>
        </w:rPr>
        <w:t>. Available at: https://www.edelman.com/sites/g/files/aatuss191/files/2024-</w:t>
      </w:r>
      <w:r w:rsidRPr="0023137F">
        <w:rPr>
          <w:rFonts w:eastAsia="Times New Roman"/>
          <w:lang w:val="en-US"/>
        </w:rPr>
        <w:lastRenderedPageBreak/>
        <w:t xml:space="preserve">03/2024%20Edelman%20Trust%20Barometer%20Key%20Insights%20Around%20AI.pdf (Accessed: 16 April 2026). </w:t>
      </w:r>
    </w:p>
    <w:p w14:paraId="06B4AB78" w14:textId="77777777" w:rsidR="0023137F" w:rsidRPr="0023137F" w:rsidRDefault="0023137F" w:rsidP="0023137F">
      <w:pPr>
        <w:ind w:left="720" w:hanging="720"/>
        <w:rPr>
          <w:rFonts w:eastAsia="Times New Roman"/>
          <w:lang w:val="en-US"/>
        </w:rPr>
      </w:pPr>
      <w:r w:rsidRPr="0023137F">
        <w:rPr>
          <w:rFonts w:eastAsia="Times New Roman"/>
          <w:lang w:val="en-US"/>
        </w:rPr>
        <w:t xml:space="preserve">Eke, D. (2024) ‘Ethics and governance of Neurotechnology in Africa: Lessons from ai’, </w:t>
      </w:r>
      <w:r w:rsidRPr="0023137F">
        <w:rPr>
          <w:rFonts w:eastAsia="Times New Roman"/>
          <w:i/>
          <w:iCs/>
          <w:lang w:val="en-US"/>
        </w:rPr>
        <w:t>JMIR Neurotechnology</w:t>
      </w:r>
      <w:r w:rsidRPr="0023137F">
        <w:rPr>
          <w:rFonts w:eastAsia="Times New Roman"/>
          <w:lang w:val="en-US"/>
        </w:rPr>
        <w:t xml:space="preserve">, 3. doi:10.2196/56665. </w:t>
      </w:r>
    </w:p>
    <w:p w14:paraId="5C22D051" w14:textId="77777777" w:rsidR="0023137F" w:rsidRPr="0023137F" w:rsidRDefault="0023137F" w:rsidP="0023137F">
      <w:pPr>
        <w:ind w:left="720" w:hanging="720"/>
        <w:rPr>
          <w:rFonts w:eastAsia="Times New Roman"/>
          <w:lang w:val="en-US"/>
        </w:rPr>
      </w:pPr>
      <w:r w:rsidRPr="0023137F">
        <w:rPr>
          <w:rFonts w:eastAsia="Times New Roman"/>
          <w:lang w:val="en-US"/>
        </w:rPr>
        <w:t xml:space="preserve">Eubanks, V. (2019) </w:t>
      </w:r>
      <w:r w:rsidRPr="0023137F">
        <w:rPr>
          <w:rFonts w:eastAsia="Times New Roman"/>
          <w:i/>
          <w:iCs/>
          <w:lang w:val="en-US"/>
        </w:rPr>
        <w:t>Automating inequality: How high-tech tools profile, police, and punish the poor</w:t>
      </w:r>
      <w:r w:rsidRPr="0023137F">
        <w:rPr>
          <w:rFonts w:eastAsia="Times New Roman"/>
          <w:lang w:val="en-US"/>
        </w:rPr>
        <w:t xml:space="preserve">. New York: Picador, St. Martin’s Press. </w:t>
      </w:r>
    </w:p>
    <w:p w14:paraId="3E9E9655" w14:textId="77777777" w:rsidR="0023137F" w:rsidRPr="0023137F" w:rsidRDefault="0023137F" w:rsidP="0023137F">
      <w:pPr>
        <w:ind w:left="720" w:hanging="720"/>
        <w:rPr>
          <w:rFonts w:eastAsia="Times New Roman"/>
          <w:lang w:val="en-US"/>
        </w:rPr>
      </w:pPr>
      <w:r w:rsidRPr="0023137F">
        <w:rPr>
          <w:rFonts w:eastAsia="Times New Roman"/>
          <w:lang w:val="en-US"/>
        </w:rPr>
        <w:t xml:space="preserve">European Central Bank (2026) </w:t>
      </w:r>
      <w:r w:rsidRPr="0023137F">
        <w:rPr>
          <w:rFonts w:eastAsia="Times New Roman"/>
          <w:i/>
          <w:iCs/>
          <w:lang w:val="en-US"/>
        </w:rPr>
        <w:t>Monetary policy decisions</w:t>
      </w:r>
      <w:r w:rsidRPr="0023137F">
        <w:rPr>
          <w:rFonts w:eastAsia="Times New Roman"/>
          <w:lang w:val="en-US"/>
        </w:rPr>
        <w:t xml:space="preserve">, </w:t>
      </w:r>
      <w:r w:rsidRPr="0023137F">
        <w:rPr>
          <w:rFonts w:eastAsia="Times New Roman"/>
          <w:i/>
          <w:iCs/>
          <w:lang w:val="en-US"/>
        </w:rPr>
        <w:t>European Central Bank</w:t>
      </w:r>
      <w:r w:rsidRPr="0023137F">
        <w:rPr>
          <w:rFonts w:eastAsia="Times New Roman"/>
          <w:lang w:val="en-US"/>
        </w:rPr>
        <w:t xml:space="preserve">. Available at: https://www.ecb.europa.eu/press/pr/date/2026/html/ecb.mp260319~3057739775.en.html (Accessed: 16 April 2026). </w:t>
      </w:r>
    </w:p>
    <w:p w14:paraId="64FA0BB9" w14:textId="77777777" w:rsidR="0023137F" w:rsidRPr="0023137F" w:rsidRDefault="0023137F" w:rsidP="0023137F">
      <w:pPr>
        <w:ind w:left="720" w:hanging="720"/>
        <w:rPr>
          <w:rFonts w:eastAsia="Times New Roman"/>
          <w:lang w:val="en-US"/>
        </w:rPr>
      </w:pPr>
      <w:r w:rsidRPr="0023137F">
        <w:rPr>
          <w:rFonts w:eastAsia="Times New Roman"/>
          <w:lang w:val="en-US"/>
        </w:rPr>
        <w:t xml:space="preserve">European Commission (2020) </w:t>
      </w:r>
      <w:r w:rsidRPr="0023137F">
        <w:rPr>
          <w:rFonts w:eastAsia="Times New Roman"/>
          <w:i/>
          <w:iCs/>
          <w:lang w:val="en-US"/>
        </w:rPr>
        <w:t>Data protection</w:t>
      </w:r>
      <w:r w:rsidRPr="0023137F">
        <w:rPr>
          <w:rFonts w:eastAsia="Times New Roman"/>
          <w:lang w:val="en-US"/>
        </w:rPr>
        <w:t xml:space="preserve">, </w:t>
      </w:r>
      <w:r w:rsidRPr="0023137F">
        <w:rPr>
          <w:rFonts w:eastAsia="Times New Roman"/>
          <w:i/>
          <w:iCs/>
          <w:lang w:val="en-US"/>
        </w:rPr>
        <w:t>European Commission</w:t>
      </w:r>
      <w:r w:rsidRPr="0023137F">
        <w:rPr>
          <w:rFonts w:eastAsia="Times New Roman"/>
          <w:lang w:val="en-US"/>
        </w:rPr>
        <w:t xml:space="preserve">. Available at: https://commission.europa.eu/law/law-topic/data-protection_en (Accessed: 16 April 2026). </w:t>
      </w:r>
    </w:p>
    <w:p w14:paraId="67A0B808" w14:textId="77777777" w:rsidR="0023137F" w:rsidRPr="0023137F" w:rsidRDefault="0023137F" w:rsidP="0023137F">
      <w:pPr>
        <w:ind w:left="720" w:hanging="720"/>
        <w:rPr>
          <w:rFonts w:eastAsia="Times New Roman"/>
          <w:lang w:val="en-US"/>
        </w:rPr>
      </w:pPr>
      <w:r w:rsidRPr="0023137F">
        <w:rPr>
          <w:rFonts w:eastAsia="Times New Roman"/>
          <w:lang w:val="en-US"/>
        </w:rPr>
        <w:t xml:space="preserve">European Commission (2021) </w:t>
      </w:r>
      <w:r w:rsidRPr="0023137F">
        <w:rPr>
          <w:rFonts w:eastAsia="Times New Roman"/>
          <w:i/>
          <w:iCs/>
          <w:lang w:val="en-US"/>
        </w:rPr>
        <w:t>Ethics guidelines for Trustworthy Ai</w:t>
      </w:r>
      <w:r w:rsidRPr="0023137F">
        <w:rPr>
          <w:rFonts w:eastAsia="Times New Roman"/>
          <w:lang w:val="en-US"/>
        </w:rPr>
        <w:t xml:space="preserve">, </w:t>
      </w:r>
      <w:r w:rsidRPr="0023137F">
        <w:rPr>
          <w:rFonts w:eastAsia="Times New Roman"/>
          <w:i/>
          <w:iCs/>
          <w:lang w:val="en-US"/>
        </w:rPr>
        <w:t>FUTURIUM - European Commission</w:t>
      </w:r>
      <w:r w:rsidRPr="0023137F">
        <w:rPr>
          <w:rFonts w:eastAsia="Times New Roman"/>
          <w:lang w:val="en-US"/>
        </w:rPr>
        <w:t xml:space="preserve">. Available at: https://ec.europa.eu/futurium/en/ai-alliance-consultation.1.html (Accessed: 16 April 2026). </w:t>
      </w:r>
    </w:p>
    <w:p w14:paraId="1BC10677" w14:textId="77777777" w:rsidR="0023137F" w:rsidRPr="0023137F" w:rsidRDefault="0023137F" w:rsidP="0023137F">
      <w:pPr>
        <w:ind w:left="720" w:hanging="720"/>
        <w:rPr>
          <w:rFonts w:eastAsia="Times New Roman"/>
          <w:lang w:val="en-US"/>
        </w:rPr>
      </w:pPr>
      <w:r w:rsidRPr="0023137F">
        <w:rPr>
          <w:rFonts w:eastAsia="Times New Roman"/>
          <w:lang w:val="en-US"/>
        </w:rPr>
        <w:t xml:space="preserve">European Commission (2024) </w:t>
      </w:r>
      <w:r w:rsidRPr="0023137F">
        <w:rPr>
          <w:rFonts w:eastAsia="Times New Roman"/>
          <w:i/>
          <w:iCs/>
          <w:lang w:val="en-US"/>
        </w:rPr>
        <w:t>Regulation - EU - 2024/1689 - en - EUR-lex - european union</w:t>
      </w:r>
      <w:r w:rsidRPr="0023137F">
        <w:rPr>
          <w:rFonts w:eastAsia="Times New Roman"/>
          <w:lang w:val="en-US"/>
        </w:rPr>
        <w:t xml:space="preserve">, </w:t>
      </w:r>
      <w:r w:rsidRPr="0023137F">
        <w:rPr>
          <w:rFonts w:eastAsia="Times New Roman"/>
          <w:i/>
          <w:iCs/>
          <w:lang w:val="en-US"/>
        </w:rPr>
        <w:t>European Commission</w:t>
      </w:r>
      <w:r w:rsidRPr="0023137F">
        <w:rPr>
          <w:rFonts w:eastAsia="Times New Roman"/>
          <w:lang w:val="en-US"/>
        </w:rPr>
        <w:t xml:space="preserve">. Available at: https://eur-lex.europa.eu/eli/reg/2024/1689/oj/eng (Accessed: 16 April 2026). </w:t>
      </w:r>
    </w:p>
    <w:p w14:paraId="5721CADC" w14:textId="77777777" w:rsidR="0023137F" w:rsidRPr="0023137F" w:rsidRDefault="0023137F" w:rsidP="0023137F">
      <w:pPr>
        <w:ind w:left="720" w:hanging="720"/>
        <w:rPr>
          <w:rFonts w:eastAsia="Times New Roman"/>
          <w:lang w:val="en-US"/>
        </w:rPr>
      </w:pPr>
      <w:r w:rsidRPr="0023137F">
        <w:rPr>
          <w:rFonts w:eastAsia="Times New Roman"/>
          <w:lang w:val="en-US"/>
        </w:rPr>
        <w:t xml:space="preserve">European Data Protection Board (2018) </w:t>
      </w:r>
      <w:r w:rsidRPr="0023137F">
        <w:rPr>
          <w:rFonts w:eastAsia="Times New Roman"/>
          <w:i/>
          <w:iCs/>
          <w:lang w:val="en-US"/>
        </w:rPr>
        <w:t>Data Protection Impact Assessments High Risk Processing</w:t>
      </w:r>
      <w:r w:rsidRPr="0023137F">
        <w:rPr>
          <w:rFonts w:eastAsia="Times New Roman"/>
          <w:lang w:val="en-US"/>
        </w:rPr>
        <w:t xml:space="preserve">, </w:t>
      </w:r>
      <w:r w:rsidRPr="0023137F">
        <w:rPr>
          <w:rFonts w:eastAsia="Times New Roman"/>
          <w:i/>
          <w:iCs/>
          <w:lang w:val="en-US"/>
        </w:rPr>
        <w:t>Data Protection impact assessments High risk processing | European Data Protection Board</w:t>
      </w:r>
      <w:r w:rsidRPr="0023137F">
        <w:rPr>
          <w:rFonts w:eastAsia="Times New Roman"/>
          <w:lang w:val="en-US"/>
        </w:rPr>
        <w:t xml:space="preserve">. Available at: https://www.edpb.europa.eu/our-work-tools/our-documents/guidelines/data-protection-impact-assessments-high-risk-processing_en (Accessed: 16 April 2026). </w:t>
      </w:r>
    </w:p>
    <w:p w14:paraId="46704CA3" w14:textId="77777777" w:rsidR="0023137F" w:rsidRPr="0023137F" w:rsidRDefault="0023137F" w:rsidP="0023137F">
      <w:pPr>
        <w:ind w:left="720" w:hanging="720"/>
        <w:rPr>
          <w:rFonts w:eastAsia="Times New Roman"/>
          <w:lang w:val="en-US"/>
        </w:rPr>
      </w:pPr>
      <w:r w:rsidRPr="0023137F">
        <w:rPr>
          <w:rFonts w:eastAsia="Times New Roman"/>
          <w:lang w:val="en-US"/>
        </w:rPr>
        <w:t xml:space="preserve">European Data Protection Board (2025) </w:t>
      </w:r>
      <w:r w:rsidRPr="0023137F">
        <w:rPr>
          <w:rFonts w:eastAsia="Times New Roman"/>
          <w:i/>
          <w:iCs/>
          <w:lang w:val="en-US"/>
        </w:rPr>
        <w:t>International Data Transfers</w:t>
      </w:r>
      <w:r w:rsidRPr="0023137F">
        <w:rPr>
          <w:rFonts w:eastAsia="Times New Roman"/>
          <w:lang w:val="en-US"/>
        </w:rPr>
        <w:t xml:space="preserve">, </w:t>
      </w:r>
      <w:r w:rsidRPr="0023137F">
        <w:rPr>
          <w:rFonts w:eastAsia="Times New Roman"/>
          <w:i/>
          <w:iCs/>
          <w:lang w:val="en-US"/>
        </w:rPr>
        <w:t>International data transfers | European Data Protection Board</w:t>
      </w:r>
      <w:r w:rsidRPr="0023137F">
        <w:rPr>
          <w:rFonts w:eastAsia="Times New Roman"/>
          <w:lang w:val="en-US"/>
        </w:rPr>
        <w:t xml:space="preserve">. Available at: https://www.edpb.europa.eu/sme-data-protection-guide/international-data-transfers_en (Accessed: 16 April 2026). </w:t>
      </w:r>
    </w:p>
    <w:p w14:paraId="5D38E693" w14:textId="77777777" w:rsidR="0023137F" w:rsidRPr="0023137F" w:rsidRDefault="0023137F" w:rsidP="0023137F">
      <w:pPr>
        <w:ind w:left="720" w:hanging="720"/>
        <w:rPr>
          <w:rFonts w:eastAsia="Times New Roman"/>
          <w:lang w:val="en-US"/>
        </w:rPr>
      </w:pPr>
      <w:r w:rsidRPr="0023137F">
        <w:rPr>
          <w:rFonts w:eastAsia="Times New Roman"/>
          <w:lang w:val="en-US"/>
        </w:rPr>
        <w:t xml:space="preserve">Fairfield, C. (2025) </w:t>
      </w:r>
      <w:r w:rsidRPr="0023137F">
        <w:rPr>
          <w:rFonts w:eastAsia="Times New Roman"/>
          <w:i/>
          <w:iCs/>
          <w:lang w:val="en-US"/>
        </w:rPr>
        <w:t>Accenture’s $3b AI bet is paying off: Inside a massive transformation fueled by advanced AI</w:t>
      </w:r>
      <w:r w:rsidRPr="0023137F">
        <w:rPr>
          <w:rFonts w:eastAsia="Times New Roman"/>
          <w:lang w:val="en-US"/>
        </w:rPr>
        <w:t xml:space="preserve">, </w:t>
      </w:r>
      <w:r w:rsidRPr="0023137F">
        <w:rPr>
          <w:rFonts w:eastAsia="Times New Roman"/>
          <w:i/>
          <w:iCs/>
          <w:lang w:val="en-US"/>
        </w:rPr>
        <w:t>Technology News For IT Channel Partners and Solution Providers</w:t>
      </w:r>
      <w:r w:rsidRPr="0023137F">
        <w:rPr>
          <w:rFonts w:eastAsia="Times New Roman"/>
          <w:lang w:val="en-US"/>
        </w:rPr>
        <w:t xml:space="preserve">. Available at: https://www.crn.com/news/ai/2025/accenture-s-3b-ai-bet-is-paying-off-inside-a-massive-transformation-fueled-by-advanced-ai (Accessed: 16 April 2026). </w:t>
      </w:r>
    </w:p>
    <w:p w14:paraId="6AF27BAD" w14:textId="77777777" w:rsidR="0023137F" w:rsidRPr="0023137F" w:rsidRDefault="0023137F" w:rsidP="0023137F">
      <w:pPr>
        <w:ind w:left="720" w:hanging="720"/>
        <w:rPr>
          <w:rFonts w:eastAsia="Times New Roman"/>
          <w:lang w:val="en-US"/>
        </w:rPr>
      </w:pPr>
      <w:r w:rsidRPr="0023137F">
        <w:rPr>
          <w:rFonts w:eastAsia="Times New Roman"/>
          <w:lang w:val="en-US"/>
        </w:rPr>
        <w:lastRenderedPageBreak/>
        <w:t xml:space="preserve">Freeman, R.E. (2018) </w:t>
      </w:r>
      <w:r w:rsidRPr="0023137F">
        <w:rPr>
          <w:rFonts w:eastAsia="Times New Roman"/>
          <w:i/>
          <w:iCs/>
          <w:lang w:val="en-US"/>
        </w:rPr>
        <w:t>Strategic management: A stakeholder approach</w:t>
      </w:r>
      <w:r w:rsidRPr="0023137F">
        <w:rPr>
          <w:rFonts w:eastAsia="Times New Roman"/>
          <w:lang w:val="en-US"/>
        </w:rPr>
        <w:t xml:space="preserve">. Cambridge: Cambridge University Press. </w:t>
      </w:r>
    </w:p>
    <w:p w14:paraId="737F99B9" w14:textId="77777777" w:rsidR="0023137F" w:rsidRPr="0023137F" w:rsidRDefault="0023137F" w:rsidP="0023137F">
      <w:pPr>
        <w:ind w:left="720" w:hanging="720"/>
        <w:rPr>
          <w:rFonts w:eastAsia="Times New Roman"/>
          <w:lang w:val="en-US"/>
        </w:rPr>
      </w:pPr>
      <w:r w:rsidRPr="0023137F">
        <w:rPr>
          <w:rFonts w:eastAsia="Times New Roman"/>
          <w:lang w:val="en-US"/>
        </w:rPr>
        <w:t xml:space="preserve">Ghose, A. and Aamir Ali, S.M. (2025) ‘Navigating the legal and Ethical Framework for generative AI: Fostering responsible global governance’, </w:t>
      </w:r>
      <w:r w:rsidRPr="0023137F">
        <w:rPr>
          <w:rFonts w:eastAsia="Times New Roman"/>
          <w:i/>
          <w:iCs/>
          <w:lang w:val="en-US"/>
        </w:rPr>
        <w:t>SSRN Electronic Journal</w:t>
      </w:r>
      <w:r w:rsidRPr="0023137F">
        <w:rPr>
          <w:rFonts w:eastAsia="Times New Roman"/>
          <w:lang w:val="en-US"/>
        </w:rPr>
        <w:t xml:space="preserve"> [Preprint]. doi:10.2139/ssrn.5311639. </w:t>
      </w:r>
    </w:p>
    <w:p w14:paraId="01395468" w14:textId="77777777" w:rsidR="0023137F" w:rsidRPr="0023137F" w:rsidRDefault="0023137F" w:rsidP="0023137F">
      <w:pPr>
        <w:ind w:left="720" w:hanging="720"/>
        <w:rPr>
          <w:rFonts w:eastAsia="Times New Roman"/>
          <w:lang w:val="en-US"/>
        </w:rPr>
      </w:pPr>
      <w:r w:rsidRPr="0023137F">
        <w:rPr>
          <w:rFonts w:eastAsia="Times New Roman"/>
          <w:lang w:val="en-US"/>
        </w:rPr>
        <w:t xml:space="preserve">Gortsos, C. (2025) ‘The impact of geopolitical risks and tensions on the Exisiting International Financial Architecture’, </w:t>
      </w:r>
      <w:r w:rsidRPr="0023137F">
        <w:rPr>
          <w:rFonts w:eastAsia="Times New Roman"/>
          <w:i/>
          <w:iCs/>
          <w:lang w:val="en-US"/>
        </w:rPr>
        <w:t>SSRN Electronic Journal</w:t>
      </w:r>
      <w:r w:rsidRPr="0023137F">
        <w:rPr>
          <w:rFonts w:eastAsia="Times New Roman"/>
          <w:lang w:val="en-US"/>
        </w:rPr>
        <w:t xml:space="preserve"> [Preprint]. doi:10.2139/ssrn.5363510. </w:t>
      </w:r>
    </w:p>
    <w:p w14:paraId="0F67D98C" w14:textId="77777777" w:rsidR="0023137F" w:rsidRPr="0023137F" w:rsidRDefault="0023137F" w:rsidP="0023137F">
      <w:pPr>
        <w:ind w:left="720" w:hanging="720"/>
        <w:rPr>
          <w:rFonts w:eastAsia="Times New Roman"/>
          <w:lang w:val="en-US"/>
        </w:rPr>
      </w:pPr>
      <w:r w:rsidRPr="0023137F">
        <w:rPr>
          <w:rFonts w:eastAsia="Times New Roman"/>
          <w:lang w:val="en-US"/>
        </w:rPr>
        <w:t xml:space="preserve">Gunning (2025) </w:t>
      </w:r>
      <w:r w:rsidRPr="0023137F">
        <w:rPr>
          <w:rFonts w:eastAsia="Times New Roman"/>
          <w:i/>
          <w:iCs/>
          <w:lang w:val="en-US"/>
        </w:rPr>
        <w:t>Explainable artificial intelligence (XAI) David Gunning DARPA/I2O</w:t>
      </w:r>
      <w:r w:rsidRPr="0023137F">
        <w:rPr>
          <w:rFonts w:eastAsia="Times New Roman"/>
          <w:lang w:val="en-US"/>
        </w:rPr>
        <w:t xml:space="preserve">, </w:t>
      </w:r>
      <w:r w:rsidRPr="0023137F">
        <w:rPr>
          <w:rFonts w:eastAsia="Times New Roman"/>
          <w:i/>
          <w:iCs/>
          <w:lang w:val="en-US"/>
        </w:rPr>
        <w:t>Gunning</w:t>
      </w:r>
      <w:r w:rsidRPr="0023137F">
        <w:rPr>
          <w:rFonts w:eastAsia="Times New Roman"/>
          <w:lang w:val="en-US"/>
        </w:rPr>
        <w:t xml:space="preserve">. Available at: https://nsarchive.gwu.edu/sites/default/files/documents/5794867/National-Security-Archive-David-Gunning-DARPA.pdf (Accessed: 16 April 2026). </w:t>
      </w:r>
    </w:p>
    <w:p w14:paraId="1E119971" w14:textId="77777777" w:rsidR="0023137F" w:rsidRPr="0023137F" w:rsidRDefault="0023137F" w:rsidP="0023137F">
      <w:pPr>
        <w:ind w:left="720" w:hanging="720"/>
        <w:rPr>
          <w:rFonts w:eastAsia="Times New Roman"/>
          <w:lang w:val="en-US"/>
        </w:rPr>
      </w:pPr>
      <w:r w:rsidRPr="0023137F">
        <w:rPr>
          <w:rFonts w:eastAsia="Times New Roman"/>
          <w:lang w:val="en-US"/>
        </w:rPr>
        <w:t xml:space="preserve">ICO (2025) </w:t>
      </w:r>
      <w:r w:rsidRPr="0023137F">
        <w:rPr>
          <w:rFonts w:eastAsia="Times New Roman"/>
          <w:i/>
          <w:iCs/>
          <w:lang w:val="en-US"/>
        </w:rPr>
        <w:t>Guidance on AI and Data Protection</w:t>
      </w:r>
      <w:r w:rsidRPr="0023137F">
        <w:rPr>
          <w:rFonts w:eastAsia="Times New Roman"/>
          <w:lang w:val="en-US"/>
        </w:rPr>
        <w:t xml:space="preserve">, </w:t>
      </w:r>
      <w:r w:rsidRPr="0023137F">
        <w:rPr>
          <w:rFonts w:eastAsia="Times New Roman"/>
          <w:i/>
          <w:iCs/>
          <w:lang w:val="en-US"/>
        </w:rPr>
        <w:t>ICO</w:t>
      </w:r>
      <w:r w:rsidRPr="0023137F">
        <w:rPr>
          <w:rFonts w:eastAsia="Times New Roman"/>
          <w:lang w:val="en-US"/>
        </w:rPr>
        <w:t xml:space="preserve">. Available at: https://ico.org.uk/for-organisations/uk-gdpr-guidance-and-resources/artificial-intelligence/guidance-on-ai-and-data-protection/ (Accessed: 16 April 2026). </w:t>
      </w:r>
    </w:p>
    <w:p w14:paraId="24385144" w14:textId="77777777" w:rsidR="0023137F" w:rsidRPr="0023137F" w:rsidRDefault="0023137F" w:rsidP="0023137F">
      <w:pPr>
        <w:ind w:left="720" w:hanging="720"/>
        <w:rPr>
          <w:rFonts w:eastAsia="Times New Roman"/>
          <w:lang w:val="en-US"/>
        </w:rPr>
      </w:pPr>
      <w:r w:rsidRPr="0023137F">
        <w:rPr>
          <w:rFonts w:eastAsia="Times New Roman"/>
          <w:lang w:val="en-US"/>
        </w:rPr>
        <w:t xml:space="preserve">ICO (2025) </w:t>
      </w:r>
      <w:r w:rsidRPr="0023137F">
        <w:rPr>
          <w:rFonts w:eastAsia="Times New Roman"/>
          <w:i/>
          <w:iCs/>
          <w:lang w:val="en-US"/>
        </w:rPr>
        <w:t>Information commissioner’s office regulating AI: The ICO’s strategic approach</w:t>
      </w:r>
      <w:r w:rsidRPr="0023137F">
        <w:rPr>
          <w:rFonts w:eastAsia="Times New Roman"/>
          <w:lang w:val="en-US"/>
        </w:rPr>
        <w:t xml:space="preserve">, </w:t>
      </w:r>
      <w:r w:rsidRPr="0023137F">
        <w:rPr>
          <w:rFonts w:eastAsia="Times New Roman"/>
          <w:i/>
          <w:iCs/>
          <w:lang w:val="en-US"/>
        </w:rPr>
        <w:t>ICO</w:t>
      </w:r>
      <w:r w:rsidRPr="0023137F">
        <w:rPr>
          <w:rFonts w:eastAsia="Times New Roman"/>
          <w:lang w:val="en-US"/>
        </w:rPr>
        <w:t xml:space="preserve">. Available at: https://ico.org.uk/media2/migrated/4029424/regulating-ai-the-icos-strategic-approach.pdf (Accessed: 16 April 2026). </w:t>
      </w:r>
    </w:p>
    <w:p w14:paraId="1F926B4B" w14:textId="77777777" w:rsidR="0023137F" w:rsidRPr="0023137F" w:rsidRDefault="0023137F" w:rsidP="0023137F">
      <w:pPr>
        <w:ind w:left="720" w:hanging="720"/>
        <w:rPr>
          <w:rFonts w:eastAsia="Times New Roman"/>
          <w:lang w:val="en-US"/>
        </w:rPr>
      </w:pPr>
      <w:r w:rsidRPr="0023137F">
        <w:rPr>
          <w:rFonts w:eastAsia="Times New Roman"/>
          <w:lang w:val="en-US"/>
        </w:rPr>
        <w:t xml:space="preserve">Ireni-Saban, L. and Sherman, M. (2021) ‘Developing ethical framework for ethical responsible innovation’, </w:t>
      </w:r>
      <w:r w:rsidRPr="0023137F">
        <w:rPr>
          <w:rFonts w:eastAsia="Times New Roman"/>
          <w:i/>
          <w:iCs/>
          <w:lang w:val="en-US"/>
        </w:rPr>
        <w:t>Ethical Governance of Artificial Intelligence in the Public Sector</w:t>
      </w:r>
      <w:r w:rsidRPr="0023137F">
        <w:rPr>
          <w:rFonts w:eastAsia="Times New Roman"/>
          <w:lang w:val="en-US"/>
        </w:rPr>
        <w:t xml:space="preserve">, pp. 46–66. doi:10.4324/9781003106678-4. </w:t>
      </w:r>
    </w:p>
    <w:p w14:paraId="4F2AE650" w14:textId="77777777" w:rsidR="0023137F" w:rsidRPr="0023137F" w:rsidRDefault="0023137F" w:rsidP="0023137F">
      <w:pPr>
        <w:ind w:left="720" w:hanging="720"/>
        <w:rPr>
          <w:rFonts w:eastAsia="Times New Roman"/>
          <w:lang w:val="en-US"/>
        </w:rPr>
      </w:pPr>
      <w:r w:rsidRPr="0023137F">
        <w:rPr>
          <w:rFonts w:eastAsia="Times New Roman"/>
          <w:lang w:val="en-US"/>
        </w:rPr>
        <w:t xml:space="preserve">Jariwala, M. (2024) ‘A comparative analysis of the EU AI act and the colorado AI act: Regulatory approaches to artificial intelligence governance’, </w:t>
      </w:r>
      <w:r w:rsidRPr="0023137F">
        <w:rPr>
          <w:rFonts w:eastAsia="Times New Roman"/>
          <w:i/>
          <w:iCs/>
          <w:lang w:val="en-US"/>
        </w:rPr>
        <w:t>International Journal of Computer Applications</w:t>
      </w:r>
      <w:r w:rsidRPr="0023137F">
        <w:rPr>
          <w:rFonts w:eastAsia="Times New Roman"/>
          <w:lang w:val="en-US"/>
        </w:rPr>
        <w:t xml:space="preserve">, 186(38), pp. 23–29. doi:10.5120/ijca2024923954. </w:t>
      </w:r>
    </w:p>
    <w:p w14:paraId="3BD266E3" w14:textId="77777777" w:rsidR="0023137F" w:rsidRPr="0023137F" w:rsidRDefault="0023137F" w:rsidP="0023137F">
      <w:pPr>
        <w:ind w:left="720" w:hanging="720"/>
        <w:rPr>
          <w:rFonts w:eastAsia="Times New Roman"/>
          <w:lang w:val="en-US"/>
        </w:rPr>
      </w:pPr>
      <w:r w:rsidRPr="0023137F">
        <w:rPr>
          <w:rFonts w:eastAsia="Times New Roman"/>
          <w:lang w:val="en-US"/>
        </w:rPr>
        <w:t xml:space="preserve">Khurana, A., Natarahjan, H. and Jarjour, T. (2025) </w:t>
      </w:r>
      <w:r w:rsidRPr="0023137F">
        <w:rPr>
          <w:rFonts w:eastAsia="Times New Roman"/>
          <w:i/>
          <w:iCs/>
          <w:lang w:val="en-US"/>
        </w:rPr>
        <w:t>High Tech Industry Technology trends</w:t>
      </w:r>
      <w:r w:rsidRPr="0023137F">
        <w:rPr>
          <w:rFonts w:eastAsia="Times New Roman"/>
          <w:lang w:val="en-US"/>
        </w:rPr>
        <w:t xml:space="preserve">, </w:t>
      </w:r>
      <w:r w:rsidRPr="0023137F">
        <w:rPr>
          <w:rFonts w:eastAsia="Times New Roman"/>
          <w:i/>
          <w:iCs/>
          <w:lang w:val="en-US"/>
        </w:rPr>
        <w:t>Accenture</w:t>
      </w:r>
      <w:r w:rsidRPr="0023137F">
        <w:rPr>
          <w:rFonts w:eastAsia="Times New Roman"/>
          <w:lang w:val="en-US"/>
        </w:rPr>
        <w:t xml:space="preserve">. Available at: https://www.accenture.com/us-en/insights/high-tech/technology-vision (Accessed: 16 April 2026). </w:t>
      </w:r>
    </w:p>
    <w:p w14:paraId="11C1F021" w14:textId="77777777" w:rsidR="0023137F" w:rsidRPr="0023137F" w:rsidRDefault="0023137F" w:rsidP="0023137F">
      <w:pPr>
        <w:ind w:left="720" w:hanging="720"/>
        <w:rPr>
          <w:rFonts w:eastAsia="Times New Roman"/>
          <w:lang w:val="en-US"/>
        </w:rPr>
      </w:pPr>
      <w:r w:rsidRPr="0023137F">
        <w:rPr>
          <w:rFonts w:eastAsia="Times New Roman"/>
          <w:lang w:val="en-US"/>
        </w:rPr>
        <w:t xml:space="preserve">Kim, T.W. and Routledge, B.R. (2020) ‘Why a right to an explanation of algorithmic decision-making should exist: A trust-based approach’, </w:t>
      </w:r>
      <w:r w:rsidRPr="0023137F">
        <w:rPr>
          <w:rFonts w:eastAsia="Times New Roman"/>
          <w:i/>
          <w:iCs/>
          <w:lang w:val="en-US"/>
        </w:rPr>
        <w:t>SSRN Electronic Journal</w:t>
      </w:r>
      <w:r w:rsidRPr="0023137F">
        <w:rPr>
          <w:rFonts w:eastAsia="Times New Roman"/>
          <w:lang w:val="en-US"/>
        </w:rPr>
        <w:t xml:space="preserve"> [Preprint]. doi:10.2139/ssrn.3716519. </w:t>
      </w:r>
    </w:p>
    <w:p w14:paraId="5825D769" w14:textId="77777777" w:rsidR="0023137F" w:rsidRPr="0023137F" w:rsidRDefault="0023137F" w:rsidP="0023137F">
      <w:pPr>
        <w:ind w:left="720" w:hanging="720"/>
        <w:rPr>
          <w:rFonts w:eastAsia="Times New Roman"/>
          <w:lang w:val="en-US"/>
        </w:rPr>
      </w:pPr>
      <w:r w:rsidRPr="0023137F">
        <w:rPr>
          <w:rFonts w:eastAsia="Times New Roman"/>
          <w:lang w:val="en-US"/>
        </w:rPr>
        <w:t xml:space="preserve">Kitchin, R. (2014) </w:t>
      </w:r>
      <w:r w:rsidRPr="0023137F">
        <w:rPr>
          <w:rFonts w:eastAsia="Times New Roman"/>
          <w:i/>
          <w:iCs/>
          <w:lang w:val="en-US"/>
        </w:rPr>
        <w:t>The Data Revolution: Big Data, Open Data, data infrastructures and their consequences</w:t>
      </w:r>
      <w:r w:rsidRPr="0023137F">
        <w:rPr>
          <w:rFonts w:eastAsia="Times New Roman"/>
          <w:lang w:val="en-US"/>
        </w:rPr>
        <w:t xml:space="preserve">. Los Angeles: SAGE. </w:t>
      </w:r>
    </w:p>
    <w:p w14:paraId="3EC5C48A" w14:textId="77777777" w:rsidR="0023137F" w:rsidRPr="0023137F" w:rsidRDefault="0023137F" w:rsidP="0023137F">
      <w:pPr>
        <w:ind w:left="720" w:hanging="720"/>
        <w:rPr>
          <w:rFonts w:eastAsia="Times New Roman"/>
          <w:lang w:val="en-US"/>
        </w:rPr>
      </w:pPr>
      <w:r w:rsidRPr="0023137F">
        <w:rPr>
          <w:rFonts w:eastAsia="Times New Roman"/>
          <w:lang w:val="en-US"/>
        </w:rPr>
        <w:lastRenderedPageBreak/>
        <w:t xml:space="preserve">Lepri, B. </w:t>
      </w:r>
      <w:r w:rsidRPr="0023137F">
        <w:rPr>
          <w:rFonts w:eastAsia="Times New Roman"/>
          <w:i/>
          <w:iCs/>
          <w:lang w:val="en-US"/>
        </w:rPr>
        <w:t>et al.</w:t>
      </w:r>
      <w:r w:rsidRPr="0023137F">
        <w:rPr>
          <w:rFonts w:eastAsia="Times New Roman"/>
          <w:lang w:val="en-US"/>
        </w:rPr>
        <w:t xml:space="preserve"> (2017) ‘Fair, transparent, and accountable algorithmic decision-making processes’, </w:t>
      </w:r>
      <w:r w:rsidRPr="0023137F">
        <w:rPr>
          <w:rFonts w:eastAsia="Times New Roman"/>
          <w:i/>
          <w:iCs/>
          <w:lang w:val="en-US"/>
        </w:rPr>
        <w:t>Philosophy andamp; Technology</w:t>
      </w:r>
      <w:r w:rsidRPr="0023137F">
        <w:rPr>
          <w:rFonts w:eastAsia="Times New Roman"/>
          <w:lang w:val="en-US"/>
        </w:rPr>
        <w:t xml:space="preserve">, 31(4), pp. 611–627. doi:10.1007/s13347-017-0279-x. </w:t>
      </w:r>
    </w:p>
    <w:p w14:paraId="4411C377" w14:textId="77777777" w:rsidR="0023137F" w:rsidRPr="0023137F" w:rsidRDefault="0023137F" w:rsidP="0023137F">
      <w:pPr>
        <w:ind w:left="720" w:hanging="720"/>
        <w:rPr>
          <w:rFonts w:eastAsia="Times New Roman"/>
          <w:lang w:val="en-US"/>
        </w:rPr>
      </w:pPr>
      <w:r w:rsidRPr="0023137F">
        <w:rPr>
          <w:rFonts w:eastAsia="Times New Roman"/>
          <w:lang w:val="en-US"/>
        </w:rPr>
        <w:t xml:space="preserve">Long, R. (2021) ‘Fairness in machine learning: Against false positive rate equality as a measure of fairness’, </w:t>
      </w:r>
      <w:r w:rsidRPr="0023137F">
        <w:rPr>
          <w:rFonts w:eastAsia="Times New Roman"/>
          <w:i/>
          <w:iCs/>
          <w:lang w:val="en-US"/>
        </w:rPr>
        <w:t>Journal of Moral Philosophy</w:t>
      </w:r>
      <w:r w:rsidRPr="0023137F">
        <w:rPr>
          <w:rFonts w:eastAsia="Times New Roman"/>
          <w:lang w:val="en-US"/>
        </w:rPr>
        <w:t xml:space="preserve">, 19(1), pp. 49–78. doi:10.1163/17455243-20213439. </w:t>
      </w:r>
    </w:p>
    <w:p w14:paraId="78848431" w14:textId="77777777" w:rsidR="0023137F" w:rsidRPr="0023137F" w:rsidRDefault="0023137F" w:rsidP="0023137F">
      <w:pPr>
        <w:ind w:left="720" w:hanging="720"/>
        <w:rPr>
          <w:rFonts w:eastAsia="Times New Roman"/>
          <w:lang w:val="en-US"/>
        </w:rPr>
      </w:pPr>
      <w:r w:rsidRPr="0023137F">
        <w:rPr>
          <w:rFonts w:eastAsia="Times New Roman"/>
          <w:lang w:val="en-US"/>
        </w:rPr>
        <w:t xml:space="preserve">Majumdar, S. (2023) ‘Fairness, explainability, privacy, and robustness for trustworthy algorithmic decision-making’, </w:t>
      </w:r>
      <w:r w:rsidRPr="0023137F">
        <w:rPr>
          <w:rFonts w:eastAsia="Times New Roman"/>
          <w:i/>
          <w:iCs/>
          <w:lang w:val="en-US"/>
        </w:rPr>
        <w:t>Big Data Analytics in Chemoinformatics and Bioinformatics</w:t>
      </w:r>
      <w:r w:rsidRPr="0023137F">
        <w:rPr>
          <w:rFonts w:eastAsia="Times New Roman"/>
          <w:lang w:val="en-US"/>
        </w:rPr>
        <w:t xml:space="preserve">, pp. 61–95. doi:10.1016/b978-0-323-85713-0.00017-7. </w:t>
      </w:r>
    </w:p>
    <w:p w14:paraId="0ED05573" w14:textId="77777777" w:rsidR="0023137F" w:rsidRPr="0023137F" w:rsidRDefault="0023137F" w:rsidP="0023137F">
      <w:pPr>
        <w:ind w:left="720" w:hanging="720"/>
        <w:rPr>
          <w:rFonts w:eastAsia="Times New Roman"/>
          <w:lang w:val="en-US"/>
        </w:rPr>
      </w:pPr>
      <w:r w:rsidRPr="0023137F">
        <w:rPr>
          <w:rFonts w:eastAsia="Times New Roman"/>
          <w:lang w:val="en-US"/>
        </w:rPr>
        <w:t xml:space="preserve">McKinsey &amp; Company (2025) </w:t>
      </w:r>
      <w:r w:rsidRPr="0023137F">
        <w:rPr>
          <w:rFonts w:eastAsia="Times New Roman"/>
          <w:i/>
          <w:iCs/>
          <w:lang w:val="en-US"/>
        </w:rPr>
        <w:t>The state of AI in 2025: Agents, Innovation, and transformation</w:t>
      </w:r>
      <w:r w:rsidRPr="0023137F">
        <w:rPr>
          <w:rFonts w:eastAsia="Times New Roman"/>
          <w:lang w:val="en-US"/>
        </w:rPr>
        <w:t xml:space="preserve">, </w:t>
      </w:r>
      <w:r w:rsidRPr="0023137F">
        <w:rPr>
          <w:rFonts w:eastAsia="Times New Roman"/>
          <w:i/>
          <w:iCs/>
          <w:lang w:val="en-US"/>
        </w:rPr>
        <w:t>McKinsey &amp; Company</w:t>
      </w:r>
      <w:r w:rsidRPr="0023137F">
        <w:rPr>
          <w:rFonts w:eastAsia="Times New Roman"/>
          <w:lang w:val="en-US"/>
        </w:rPr>
        <w:t xml:space="preserve">. Available at: https://www.mckinsey.com/capabilities/quantumblack/our-insights/the-state-of-ai (Accessed: 16 April 2026). </w:t>
      </w:r>
    </w:p>
    <w:p w14:paraId="696AC3D0" w14:textId="77777777" w:rsidR="0023137F" w:rsidRPr="0023137F" w:rsidRDefault="0023137F" w:rsidP="0023137F">
      <w:pPr>
        <w:ind w:left="720" w:hanging="720"/>
        <w:rPr>
          <w:rFonts w:eastAsia="Times New Roman"/>
          <w:lang w:val="en-US"/>
        </w:rPr>
      </w:pPr>
      <w:r w:rsidRPr="0023137F">
        <w:rPr>
          <w:rFonts w:eastAsia="Times New Roman"/>
          <w:lang w:val="en-US"/>
        </w:rPr>
        <w:t xml:space="preserve">Mnazir, A. (2025) ‘The effect of artificial intelligence on strategic decision-making in multinational corporations’, </w:t>
      </w:r>
      <w:r w:rsidRPr="0023137F">
        <w:rPr>
          <w:rFonts w:eastAsia="Times New Roman"/>
          <w:i/>
          <w:iCs/>
          <w:lang w:val="en-US"/>
        </w:rPr>
        <w:t>International Journal of Financial, Administrative, and Economic Sciences</w:t>
      </w:r>
      <w:r w:rsidRPr="0023137F">
        <w:rPr>
          <w:rFonts w:eastAsia="Times New Roman"/>
          <w:lang w:val="en-US"/>
        </w:rPr>
        <w:t xml:space="preserve">, 4(6), pp. 187–203. doi:10.59992/ijfaes.2025.v4n6p6. </w:t>
      </w:r>
    </w:p>
    <w:p w14:paraId="3FE6F4C1" w14:textId="77777777" w:rsidR="0023137F" w:rsidRPr="0023137F" w:rsidRDefault="0023137F" w:rsidP="0023137F">
      <w:pPr>
        <w:ind w:left="720" w:hanging="720"/>
        <w:rPr>
          <w:rFonts w:eastAsia="Times New Roman"/>
          <w:lang w:val="en-US"/>
        </w:rPr>
      </w:pPr>
      <w:r w:rsidRPr="0023137F">
        <w:rPr>
          <w:rFonts w:eastAsia="Times New Roman"/>
          <w:lang w:val="en-US"/>
        </w:rPr>
        <w:t xml:space="preserve">Newsroom (2026) </w:t>
      </w:r>
      <w:r w:rsidRPr="0023137F">
        <w:rPr>
          <w:rFonts w:eastAsia="Times New Roman"/>
          <w:i/>
          <w:iCs/>
          <w:lang w:val="en-US"/>
        </w:rPr>
        <w:t>Accenture Technology Vision 2025: New age of ai to bring unprecedented autonomy to business</w:t>
      </w:r>
      <w:r w:rsidRPr="0023137F">
        <w:rPr>
          <w:rFonts w:eastAsia="Times New Roman"/>
          <w:lang w:val="en-US"/>
        </w:rPr>
        <w:t xml:space="preserve">, </w:t>
      </w:r>
      <w:r w:rsidRPr="0023137F">
        <w:rPr>
          <w:rFonts w:eastAsia="Times New Roman"/>
          <w:i/>
          <w:iCs/>
          <w:lang w:val="en-US"/>
        </w:rPr>
        <w:t>Newsroom</w:t>
      </w:r>
      <w:r w:rsidRPr="0023137F">
        <w:rPr>
          <w:rFonts w:eastAsia="Times New Roman"/>
          <w:lang w:val="en-US"/>
        </w:rPr>
        <w:t xml:space="preserve">. Available at: https://newsroom.accenture.com/news/2025/accenture-technology-vision-2025-new-age-of-ai-to-bring-unprecedented-autonomy-to-business (Accessed: 16 April 2026). </w:t>
      </w:r>
    </w:p>
    <w:p w14:paraId="1A486310" w14:textId="77777777" w:rsidR="0023137F" w:rsidRPr="0023137F" w:rsidRDefault="0023137F" w:rsidP="0023137F">
      <w:pPr>
        <w:ind w:left="720" w:hanging="720"/>
        <w:rPr>
          <w:rFonts w:eastAsia="Times New Roman"/>
          <w:lang w:val="en-US"/>
        </w:rPr>
      </w:pPr>
      <w:r w:rsidRPr="0023137F">
        <w:rPr>
          <w:rFonts w:eastAsia="Times New Roman"/>
          <w:lang w:val="en-US"/>
        </w:rPr>
        <w:t xml:space="preserve">Nguyen, J. (2026) </w:t>
      </w:r>
      <w:r w:rsidRPr="0023137F">
        <w:rPr>
          <w:rFonts w:eastAsia="Times New Roman"/>
          <w:i/>
          <w:iCs/>
          <w:lang w:val="en-US"/>
        </w:rPr>
        <w:t>Why geopolitical conflict is making AI risk a business continuity issue</w:t>
      </w:r>
      <w:r w:rsidRPr="0023137F">
        <w:rPr>
          <w:rFonts w:eastAsia="Times New Roman"/>
          <w:lang w:val="en-US"/>
        </w:rPr>
        <w:t xml:space="preserve">, </w:t>
      </w:r>
      <w:r w:rsidRPr="0023137F">
        <w:rPr>
          <w:rFonts w:eastAsia="Times New Roman"/>
          <w:i/>
          <w:iCs/>
          <w:lang w:val="en-US"/>
        </w:rPr>
        <w:t>TNGlobal</w:t>
      </w:r>
      <w:r w:rsidRPr="0023137F">
        <w:rPr>
          <w:rFonts w:eastAsia="Times New Roman"/>
          <w:lang w:val="en-US"/>
        </w:rPr>
        <w:t xml:space="preserve">. Available at: https://technode.global/2026/03/13/why-geopolitical-conflict-is-making-ai-risk-a-business-continuity-issue/ (Accessed: 16 April 2026). </w:t>
      </w:r>
    </w:p>
    <w:p w14:paraId="660D1335" w14:textId="77777777" w:rsidR="0023137F" w:rsidRPr="0023137F" w:rsidRDefault="0023137F" w:rsidP="0023137F">
      <w:pPr>
        <w:ind w:left="720" w:hanging="720"/>
        <w:rPr>
          <w:rFonts w:eastAsia="Times New Roman"/>
          <w:lang w:val="en-US"/>
        </w:rPr>
      </w:pPr>
      <w:r w:rsidRPr="0023137F">
        <w:rPr>
          <w:rFonts w:eastAsia="Times New Roman"/>
          <w:lang w:val="en-US"/>
        </w:rPr>
        <w:t xml:space="preserve">OECD (2025) </w:t>
      </w:r>
      <w:r w:rsidRPr="0023137F">
        <w:rPr>
          <w:rFonts w:eastAsia="Times New Roman"/>
          <w:i/>
          <w:iCs/>
          <w:lang w:val="en-US"/>
        </w:rPr>
        <w:t>Generative AI and the SME Workforce New Survey Evidence</w:t>
      </w:r>
      <w:r w:rsidRPr="0023137F">
        <w:rPr>
          <w:rFonts w:eastAsia="Times New Roman"/>
          <w:lang w:val="en-US"/>
        </w:rPr>
        <w:t xml:space="preserve">, </w:t>
      </w:r>
      <w:r w:rsidRPr="0023137F">
        <w:rPr>
          <w:rFonts w:eastAsia="Times New Roman"/>
          <w:i/>
          <w:iCs/>
          <w:lang w:val="en-US"/>
        </w:rPr>
        <w:t>OECD</w:t>
      </w:r>
      <w:r w:rsidRPr="0023137F">
        <w:rPr>
          <w:rFonts w:eastAsia="Times New Roman"/>
          <w:lang w:val="en-US"/>
        </w:rPr>
        <w:t xml:space="preserve">. Available at: https://www.oecd.org/content/dam/oecd/en/publications/reports/2025/11/generative-ai-and-the-sme-workforce_83bafdfb/2d08b99d-en.pdf (Accessed: 16 April 2026). </w:t>
      </w:r>
    </w:p>
    <w:p w14:paraId="1EA6D383" w14:textId="77777777" w:rsidR="0023137F" w:rsidRPr="0023137F" w:rsidRDefault="0023137F" w:rsidP="0023137F">
      <w:pPr>
        <w:ind w:left="720" w:hanging="720"/>
        <w:rPr>
          <w:rFonts w:eastAsia="Times New Roman"/>
          <w:lang w:val="en-US"/>
        </w:rPr>
      </w:pPr>
      <w:r w:rsidRPr="0023137F">
        <w:rPr>
          <w:rFonts w:eastAsia="Times New Roman"/>
          <w:lang w:val="en-US"/>
        </w:rPr>
        <w:t xml:space="preserve">Raji, I.D. </w:t>
      </w:r>
      <w:r w:rsidRPr="0023137F">
        <w:rPr>
          <w:rFonts w:eastAsia="Times New Roman"/>
          <w:i/>
          <w:iCs/>
          <w:lang w:val="en-US"/>
        </w:rPr>
        <w:t>et al.</w:t>
      </w:r>
      <w:r w:rsidRPr="0023137F">
        <w:rPr>
          <w:rFonts w:eastAsia="Times New Roman"/>
          <w:lang w:val="en-US"/>
        </w:rPr>
        <w:t xml:space="preserve"> (2020) ‘Closing the AI accountability gap’, </w:t>
      </w:r>
      <w:r w:rsidRPr="0023137F">
        <w:rPr>
          <w:rFonts w:eastAsia="Times New Roman"/>
          <w:i/>
          <w:iCs/>
          <w:lang w:val="en-US"/>
        </w:rPr>
        <w:t>Proceedings of the 2020 Conference on Fairness, Accountability, and Transparency</w:t>
      </w:r>
      <w:r w:rsidRPr="0023137F">
        <w:rPr>
          <w:rFonts w:eastAsia="Times New Roman"/>
          <w:lang w:val="en-US"/>
        </w:rPr>
        <w:t xml:space="preserve">, pp. 33–44. doi:10.1145/3351095.3372873. </w:t>
      </w:r>
    </w:p>
    <w:p w14:paraId="010D1AB7" w14:textId="77777777" w:rsidR="0023137F" w:rsidRPr="0023137F" w:rsidRDefault="0023137F" w:rsidP="0023137F">
      <w:pPr>
        <w:ind w:left="720" w:hanging="720"/>
        <w:rPr>
          <w:rFonts w:eastAsia="Times New Roman"/>
          <w:lang w:val="en-US"/>
        </w:rPr>
      </w:pPr>
      <w:r w:rsidRPr="0023137F">
        <w:rPr>
          <w:rFonts w:eastAsia="Times New Roman"/>
          <w:lang w:val="en-US"/>
        </w:rPr>
        <w:t>Rana, R. and Bhambri, P. (2026) ‘Ensuring ethical and Equitabl</w:t>
      </w:r>
      <w:bookmarkStart w:id="29" w:name="_GoBack"/>
      <w:bookmarkEnd w:id="29"/>
      <w:r w:rsidRPr="0023137F">
        <w:rPr>
          <w:rFonts w:eastAsia="Times New Roman"/>
          <w:lang w:val="en-US"/>
        </w:rPr>
        <w:t xml:space="preserve">e AI’, </w:t>
      </w:r>
      <w:r w:rsidRPr="0023137F">
        <w:rPr>
          <w:rFonts w:eastAsia="Times New Roman"/>
          <w:i/>
          <w:iCs/>
          <w:lang w:val="en-US"/>
        </w:rPr>
        <w:t>Advances in Computational Intelligence and Robotics</w:t>
      </w:r>
      <w:r w:rsidRPr="0023137F">
        <w:rPr>
          <w:rFonts w:eastAsia="Times New Roman"/>
          <w:lang w:val="en-US"/>
        </w:rPr>
        <w:t xml:space="preserve">, pp. 31–66. doi:10.4018/979-8-2600-0000-7.ch002. </w:t>
      </w:r>
    </w:p>
    <w:p w14:paraId="6EC694F3" w14:textId="77777777" w:rsidR="0023137F" w:rsidRPr="0023137F" w:rsidRDefault="0023137F" w:rsidP="0023137F">
      <w:pPr>
        <w:ind w:left="720" w:hanging="720"/>
        <w:rPr>
          <w:rFonts w:eastAsia="Times New Roman"/>
          <w:lang w:val="en-US"/>
        </w:rPr>
      </w:pPr>
      <w:r w:rsidRPr="0023137F">
        <w:rPr>
          <w:rFonts w:eastAsia="Times New Roman"/>
          <w:lang w:val="en-US"/>
        </w:rPr>
        <w:lastRenderedPageBreak/>
        <w:t xml:space="preserve">Reuters (2025) </w:t>
      </w:r>
      <w:r w:rsidRPr="0023137F">
        <w:rPr>
          <w:rFonts w:eastAsia="Times New Roman"/>
          <w:i/>
          <w:iCs/>
          <w:lang w:val="en-US"/>
        </w:rPr>
        <w:t>Insight - Amazon scraps secret AI recruiting tool that showed bias against women | reuters</w:t>
      </w:r>
      <w:r w:rsidRPr="0023137F">
        <w:rPr>
          <w:rFonts w:eastAsia="Times New Roman"/>
          <w:lang w:val="en-US"/>
        </w:rPr>
        <w:t xml:space="preserve">, </w:t>
      </w:r>
      <w:r w:rsidRPr="0023137F">
        <w:rPr>
          <w:rFonts w:eastAsia="Times New Roman"/>
          <w:i/>
          <w:iCs/>
          <w:lang w:val="en-US"/>
        </w:rPr>
        <w:t>Reuters</w:t>
      </w:r>
      <w:r w:rsidRPr="0023137F">
        <w:rPr>
          <w:rFonts w:eastAsia="Times New Roman"/>
          <w:lang w:val="en-US"/>
        </w:rPr>
        <w:t xml:space="preserve">. Available at: https://www.reuters.com/article/world/insight-amazon-scraps-secret-ai-recruiting-tool-that-showed-bias-against-women-idUSKCN1MK0AG/ (Accessed: 16 April 2026). </w:t>
      </w:r>
    </w:p>
    <w:p w14:paraId="534D3081" w14:textId="77777777" w:rsidR="0023137F" w:rsidRPr="0023137F" w:rsidRDefault="0023137F" w:rsidP="0023137F">
      <w:pPr>
        <w:ind w:left="720" w:hanging="720"/>
        <w:rPr>
          <w:rFonts w:eastAsia="Times New Roman"/>
          <w:lang w:val="en-US"/>
        </w:rPr>
      </w:pPr>
      <w:r w:rsidRPr="0023137F">
        <w:rPr>
          <w:rFonts w:eastAsia="Times New Roman"/>
          <w:lang w:val="en-US"/>
        </w:rPr>
        <w:t xml:space="preserve">Roumate, F. (2026) ‘Understanding the intersection of AI, information, and the geopolitical dynamics’, </w:t>
      </w:r>
      <w:r w:rsidRPr="0023137F">
        <w:rPr>
          <w:rFonts w:eastAsia="Times New Roman"/>
          <w:i/>
          <w:iCs/>
          <w:lang w:val="en-US"/>
        </w:rPr>
        <w:t>Contributions to International Relations</w:t>
      </w:r>
      <w:r w:rsidRPr="0023137F">
        <w:rPr>
          <w:rFonts w:eastAsia="Times New Roman"/>
          <w:lang w:val="en-US"/>
        </w:rPr>
        <w:t xml:space="preserve">, pp. 1–14. doi:10.1007/978-3-032-13528-5_1. </w:t>
      </w:r>
    </w:p>
    <w:p w14:paraId="534A9E67" w14:textId="77777777" w:rsidR="0023137F" w:rsidRPr="0023137F" w:rsidRDefault="0023137F" w:rsidP="0023137F">
      <w:pPr>
        <w:ind w:left="720" w:hanging="720"/>
        <w:rPr>
          <w:rFonts w:eastAsia="Times New Roman"/>
          <w:lang w:val="en-US"/>
        </w:rPr>
      </w:pPr>
      <w:r w:rsidRPr="0023137F">
        <w:rPr>
          <w:rFonts w:eastAsia="Times New Roman"/>
          <w:lang w:val="en-US"/>
        </w:rPr>
        <w:t xml:space="preserve">Sayles, J. (2024) ‘Integrating AI governance with enterprise governance risk and compliance’, </w:t>
      </w:r>
      <w:r w:rsidRPr="0023137F">
        <w:rPr>
          <w:rFonts w:eastAsia="Times New Roman"/>
          <w:i/>
          <w:iCs/>
          <w:lang w:val="en-US"/>
        </w:rPr>
        <w:t>Principles of AI Governance and Model Risk Management</w:t>
      </w:r>
      <w:r w:rsidRPr="0023137F">
        <w:rPr>
          <w:rFonts w:eastAsia="Times New Roman"/>
          <w:lang w:val="en-US"/>
        </w:rPr>
        <w:t xml:space="preserve">, pp. 231–247. doi:10.1007/979-8-8688-0983-5_9. </w:t>
      </w:r>
    </w:p>
    <w:p w14:paraId="70ABB194" w14:textId="77777777" w:rsidR="0023137F" w:rsidRPr="0023137F" w:rsidRDefault="0023137F" w:rsidP="0023137F">
      <w:pPr>
        <w:ind w:left="720" w:hanging="720"/>
        <w:rPr>
          <w:rFonts w:eastAsia="Times New Roman"/>
          <w:lang w:val="en-US"/>
        </w:rPr>
      </w:pPr>
      <w:r w:rsidRPr="0023137F">
        <w:rPr>
          <w:rFonts w:eastAsia="Times New Roman"/>
          <w:lang w:val="en-US"/>
        </w:rPr>
        <w:t xml:space="preserve">Tabassi, E. (2023) </w:t>
      </w:r>
      <w:r w:rsidRPr="0023137F">
        <w:rPr>
          <w:rFonts w:eastAsia="Times New Roman"/>
          <w:i/>
          <w:iCs/>
          <w:lang w:val="en-US"/>
        </w:rPr>
        <w:t>Artificial Intelligence Risk Management Framework (AI RMF 1.0)</w:t>
      </w:r>
      <w:r w:rsidRPr="0023137F">
        <w:rPr>
          <w:rFonts w:eastAsia="Times New Roman"/>
          <w:lang w:val="en-US"/>
        </w:rPr>
        <w:t xml:space="preserve">, </w:t>
      </w:r>
      <w:r w:rsidRPr="0023137F">
        <w:rPr>
          <w:rFonts w:eastAsia="Times New Roman"/>
          <w:i/>
          <w:iCs/>
          <w:lang w:val="en-US"/>
        </w:rPr>
        <w:t>NIST</w:t>
      </w:r>
      <w:r w:rsidRPr="0023137F">
        <w:rPr>
          <w:rFonts w:eastAsia="Times New Roman"/>
          <w:lang w:val="en-US"/>
        </w:rPr>
        <w:t xml:space="preserve">. Available at: https://www.nist.gov/publications/artificial-intelligence-risk-management-framework-ai-rmf-10 (Accessed: 16 April 2026). </w:t>
      </w:r>
    </w:p>
    <w:p w14:paraId="05C864A5" w14:textId="77777777" w:rsidR="0023137F" w:rsidRPr="0023137F" w:rsidRDefault="0023137F" w:rsidP="0023137F">
      <w:pPr>
        <w:ind w:left="720" w:hanging="720"/>
        <w:rPr>
          <w:rFonts w:eastAsia="Times New Roman"/>
          <w:lang w:val="en-US"/>
        </w:rPr>
      </w:pPr>
      <w:r w:rsidRPr="0023137F">
        <w:rPr>
          <w:rFonts w:eastAsia="Times New Roman"/>
          <w:lang w:val="en-US"/>
        </w:rPr>
        <w:t xml:space="preserve">UK Government (2021) </w:t>
      </w:r>
      <w:r w:rsidRPr="0023137F">
        <w:rPr>
          <w:rFonts w:eastAsia="Times New Roman"/>
          <w:i/>
          <w:iCs/>
          <w:lang w:val="en-US"/>
        </w:rPr>
        <w:t>Artificial Intelligence Playbook for the UK Government (HTML)</w:t>
      </w:r>
      <w:r w:rsidRPr="0023137F">
        <w:rPr>
          <w:rFonts w:eastAsia="Times New Roman"/>
          <w:lang w:val="en-US"/>
        </w:rPr>
        <w:t xml:space="preserve">, </w:t>
      </w:r>
      <w:r w:rsidRPr="0023137F">
        <w:rPr>
          <w:rFonts w:eastAsia="Times New Roman"/>
          <w:i/>
          <w:iCs/>
          <w:lang w:val="en-US"/>
        </w:rPr>
        <w:t>GOV.UK</w:t>
      </w:r>
      <w:r w:rsidRPr="0023137F">
        <w:rPr>
          <w:rFonts w:eastAsia="Times New Roman"/>
          <w:lang w:val="en-US"/>
        </w:rPr>
        <w:t xml:space="preserve">. Available at: https://www.gov.uk/government/publications/ai-playbook-for-the-uk-government/artificial-intelligence-playbook-for-the-uk-government-html (Accessed: 16 April 2026). </w:t>
      </w:r>
    </w:p>
    <w:p w14:paraId="73C9B460" w14:textId="77777777" w:rsidR="0023137F" w:rsidRPr="0023137F" w:rsidRDefault="0023137F" w:rsidP="0023137F">
      <w:pPr>
        <w:ind w:left="720" w:hanging="720"/>
        <w:rPr>
          <w:rFonts w:eastAsia="Times New Roman"/>
          <w:lang w:val="en-US"/>
        </w:rPr>
      </w:pPr>
      <w:r w:rsidRPr="0023137F">
        <w:rPr>
          <w:rFonts w:eastAsia="Times New Roman"/>
          <w:lang w:val="en-US"/>
        </w:rPr>
        <w:t xml:space="preserve">UK Government (2026) </w:t>
      </w:r>
      <w:r w:rsidRPr="0023137F">
        <w:rPr>
          <w:rFonts w:eastAsia="Times New Roman"/>
          <w:i/>
          <w:iCs/>
          <w:lang w:val="en-US"/>
        </w:rPr>
        <w:t>Data protection act 2018</w:t>
      </w:r>
      <w:r w:rsidRPr="0023137F">
        <w:rPr>
          <w:rFonts w:eastAsia="Times New Roman"/>
          <w:lang w:val="en-US"/>
        </w:rPr>
        <w:t xml:space="preserve">, </w:t>
      </w:r>
      <w:r w:rsidRPr="0023137F">
        <w:rPr>
          <w:rFonts w:eastAsia="Times New Roman"/>
          <w:i/>
          <w:iCs/>
          <w:lang w:val="en-US"/>
        </w:rPr>
        <w:t>Legislation.gov.uk</w:t>
      </w:r>
      <w:r w:rsidRPr="0023137F">
        <w:rPr>
          <w:rFonts w:eastAsia="Times New Roman"/>
          <w:lang w:val="en-US"/>
        </w:rPr>
        <w:t xml:space="preserve">. Available at: https://www.legislation.gov.uk/ukpga/2018/12 (Accessed: 16 April 2026). </w:t>
      </w:r>
    </w:p>
    <w:p w14:paraId="1C19CE0C" w14:textId="77777777" w:rsidR="0023137F" w:rsidRPr="0023137F" w:rsidRDefault="0023137F" w:rsidP="0023137F">
      <w:pPr>
        <w:ind w:left="720" w:hanging="720"/>
        <w:rPr>
          <w:rFonts w:eastAsia="Times New Roman"/>
          <w:lang w:val="en-US"/>
        </w:rPr>
      </w:pPr>
      <w:r w:rsidRPr="0023137F">
        <w:rPr>
          <w:rFonts w:eastAsia="Times New Roman"/>
          <w:lang w:val="en-US"/>
        </w:rPr>
        <w:t xml:space="preserve">UNEP (2026) </w:t>
      </w:r>
      <w:r w:rsidRPr="0023137F">
        <w:rPr>
          <w:rFonts w:eastAsia="Times New Roman"/>
          <w:i/>
          <w:iCs/>
          <w:lang w:val="en-US"/>
        </w:rPr>
        <w:t>AI has an environmental problem. here’s what the world can do about that.</w:t>
      </w:r>
      <w:r w:rsidRPr="0023137F">
        <w:rPr>
          <w:rFonts w:eastAsia="Times New Roman"/>
          <w:lang w:val="en-US"/>
        </w:rPr>
        <w:t xml:space="preserve">, </w:t>
      </w:r>
      <w:r w:rsidRPr="0023137F">
        <w:rPr>
          <w:rFonts w:eastAsia="Times New Roman"/>
          <w:i/>
          <w:iCs/>
          <w:lang w:val="en-US"/>
        </w:rPr>
        <w:t>UNEP</w:t>
      </w:r>
      <w:r w:rsidRPr="0023137F">
        <w:rPr>
          <w:rFonts w:eastAsia="Times New Roman"/>
          <w:lang w:val="en-US"/>
        </w:rPr>
        <w:t xml:space="preserve">. Available at: https://www.unep.org/news-and-stories/story/ai-has-environmental-problem-heres-what-world-can-do-about (Accessed: 16 April 2026). </w:t>
      </w:r>
    </w:p>
    <w:p w14:paraId="25026FEA" w14:textId="77777777" w:rsidR="0023137F" w:rsidRPr="0023137F" w:rsidRDefault="0023137F" w:rsidP="0023137F">
      <w:pPr>
        <w:ind w:left="720" w:hanging="720"/>
        <w:rPr>
          <w:rFonts w:eastAsia="Times New Roman"/>
          <w:lang w:val="en-US"/>
        </w:rPr>
      </w:pPr>
      <w:r w:rsidRPr="0023137F">
        <w:rPr>
          <w:rFonts w:eastAsia="Times New Roman"/>
          <w:lang w:val="en-US"/>
        </w:rPr>
        <w:t xml:space="preserve">World Economic Forum (2025) </w:t>
      </w:r>
      <w:r w:rsidRPr="0023137F">
        <w:rPr>
          <w:rFonts w:eastAsia="Times New Roman"/>
          <w:i/>
          <w:iCs/>
          <w:lang w:val="en-US"/>
        </w:rPr>
        <w:t>Artificial Intelligence</w:t>
      </w:r>
      <w:r w:rsidRPr="0023137F">
        <w:rPr>
          <w:rFonts w:eastAsia="Times New Roman"/>
          <w:lang w:val="en-US"/>
        </w:rPr>
        <w:t xml:space="preserve">, </w:t>
      </w:r>
      <w:r w:rsidRPr="0023137F">
        <w:rPr>
          <w:rFonts w:eastAsia="Times New Roman"/>
          <w:i/>
          <w:iCs/>
          <w:lang w:val="en-US"/>
        </w:rPr>
        <w:t>World Economic Forum</w:t>
      </w:r>
      <w:r w:rsidRPr="0023137F">
        <w:rPr>
          <w:rFonts w:eastAsia="Times New Roman"/>
          <w:lang w:val="en-US"/>
        </w:rPr>
        <w:t xml:space="preserve">. Available at: https://www.weforum.org/stories/artificial-intelligence/ (Accessed: 16 April 2026). </w:t>
      </w:r>
    </w:p>
    <w:p w14:paraId="698C1768" w14:textId="77777777" w:rsidR="0023137F" w:rsidRPr="0023137F" w:rsidRDefault="0023137F" w:rsidP="0023137F">
      <w:pPr>
        <w:ind w:left="720" w:hanging="720"/>
        <w:rPr>
          <w:rFonts w:eastAsia="Times New Roman"/>
          <w:lang w:val="en-US"/>
        </w:rPr>
      </w:pPr>
      <w:r w:rsidRPr="0023137F">
        <w:rPr>
          <w:rFonts w:eastAsia="Times New Roman"/>
          <w:lang w:val="en-US"/>
        </w:rPr>
        <w:t xml:space="preserve">Yap, S.N. (2025) ‘AI governance for Sustainable Development’, </w:t>
      </w:r>
      <w:r w:rsidRPr="0023137F">
        <w:rPr>
          <w:rFonts w:eastAsia="Times New Roman"/>
          <w:i/>
          <w:iCs/>
          <w:lang w:val="en-US"/>
        </w:rPr>
        <w:t>Integrating Legal Compliance With Sustainable Development Goals</w:t>
      </w:r>
      <w:r w:rsidRPr="0023137F">
        <w:rPr>
          <w:rFonts w:eastAsia="Times New Roman"/>
          <w:lang w:val="en-US"/>
        </w:rPr>
        <w:t xml:space="preserve">, pp. 327–354. doi:10.4018/979-8-3373-1792-2.ch011. </w:t>
      </w:r>
    </w:p>
    <w:p w14:paraId="3E6AE1D9" w14:textId="77777777" w:rsidR="0023137F" w:rsidRPr="0023137F" w:rsidRDefault="0023137F" w:rsidP="0023137F">
      <w:pPr>
        <w:ind w:left="720" w:hanging="720"/>
        <w:rPr>
          <w:rFonts w:eastAsia="Times New Roman"/>
          <w:lang w:val="en-US"/>
        </w:rPr>
      </w:pPr>
      <w:r w:rsidRPr="0023137F">
        <w:rPr>
          <w:rFonts w:eastAsia="Times New Roman"/>
          <w:lang w:val="en-US"/>
        </w:rPr>
        <w:t xml:space="preserve">Zhang, N. and Xu, H. (2022) ‘Fairness of ratemaking for Catastrophe Insurance: Lessons from machine learning’, </w:t>
      </w:r>
      <w:r w:rsidRPr="0023137F">
        <w:rPr>
          <w:rFonts w:eastAsia="Times New Roman"/>
          <w:i/>
          <w:iCs/>
          <w:lang w:val="en-US"/>
        </w:rPr>
        <w:t>SSRN Electronic Journal</w:t>
      </w:r>
      <w:r w:rsidRPr="0023137F">
        <w:rPr>
          <w:rFonts w:eastAsia="Times New Roman"/>
          <w:lang w:val="en-US"/>
        </w:rPr>
        <w:t xml:space="preserve"> [Preprint]. doi:10.2139/ssrn.4044812. </w:t>
      </w:r>
    </w:p>
    <w:p w14:paraId="7F890C1F" w14:textId="77777777" w:rsidR="00CA09F3" w:rsidRDefault="00CA09F3"/>
    <w:sectPr w:rsidR="00CA09F3" w:rsidSect="00A55288">
      <w:footerReference w:type="first" r:id="rId23"/>
      <w:pgSz w:w="11906" w:h="16838"/>
      <w:pgMar w:top="1440" w:right="1440" w:bottom="1440" w:left="1440" w:header="708" w:footer="708" w:gutter="0"/>
      <w:pgNumType w:start="1"/>
      <w:cols w:space="708"/>
      <w:titlePg/>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22EBF19E" w14:textId="77777777" w:rsidR="00C97455" w:rsidRDefault="00C97455" w:rsidP="00A55288">
      <w:pPr>
        <w:spacing w:after="0" w:line="240" w:lineRule="auto"/>
      </w:pPr>
      <w:r>
        <w:separator/>
      </w:r>
    </w:p>
  </w:endnote>
  <w:endnote w:type="continuationSeparator" w:id="0">
    <w:p w14:paraId="4DC34325" w14:textId="77777777" w:rsidR="00C97455" w:rsidRDefault="00C97455" w:rsidP="00A5528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954409104"/>
      <w:docPartObj>
        <w:docPartGallery w:val="Page Numbers (Bottom of Page)"/>
        <w:docPartUnique/>
      </w:docPartObj>
    </w:sdtPr>
    <w:sdtEndPr>
      <w:rPr>
        <w:noProof/>
      </w:rPr>
    </w:sdtEndPr>
    <w:sdtContent>
      <w:p w14:paraId="5F83A90C" w14:textId="73D9966D" w:rsidR="00425035" w:rsidRDefault="00425035">
        <w:pPr>
          <w:pStyle w:val="Footer"/>
          <w:jc w:val="right"/>
        </w:pPr>
        <w:r>
          <w:fldChar w:fldCharType="begin"/>
        </w:r>
        <w:r>
          <w:instrText xml:space="preserve"> PAGE   \* MERGEFORMAT </w:instrText>
        </w:r>
        <w:r>
          <w:fldChar w:fldCharType="separate"/>
        </w:r>
        <w:r>
          <w:rPr>
            <w:noProof/>
          </w:rPr>
          <w:t>23</w:t>
        </w:r>
        <w:r>
          <w:rPr>
            <w:noProof/>
          </w:rPr>
          <w:fldChar w:fldCharType="end"/>
        </w:r>
      </w:p>
    </w:sdtContent>
  </w:sdt>
  <w:p w14:paraId="255738F4" w14:textId="77777777" w:rsidR="00425035" w:rsidRDefault="00425035">
    <w:pPr>
      <w:pStyle w:val="Footer"/>
    </w:pPr>
  </w:p>
</w:ftr>
</file>

<file path=word/footer2.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844322976"/>
      <w:docPartObj>
        <w:docPartGallery w:val="Page Numbers (Bottom of Page)"/>
        <w:docPartUnique/>
      </w:docPartObj>
    </w:sdtPr>
    <w:sdtEndPr>
      <w:rPr>
        <w:noProof/>
      </w:rPr>
    </w:sdtEndPr>
    <w:sdtContent>
      <w:p w14:paraId="45C24DC1" w14:textId="2F1EE95D" w:rsidR="009E3627" w:rsidRDefault="009E3627">
        <w:pPr>
          <w:pStyle w:val="Footer"/>
          <w:jc w:val="right"/>
        </w:pPr>
        <w:r>
          <w:fldChar w:fldCharType="begin"/>
        </w:r>
        <w:r>
          <w:instrText xml:space="preserve"> PAGE   \* MERGEFORMAT </w:instrText>
        </w:r>
        <w:r>
          <w:fldChar w:fldCharType="separate"/>
        </w:r>
        <w:r w:rsidR="00425035">
          <w:rPr>
            <w:noProof/>
          </w:rPr>
          <w:t>i</w:t>
        </w:r>
        <w:r>
          <w:rPr>
            <w:noProof/>
          </w:rPr>
          <w:fldChar w:fldCharType="end"/>
        </w:r>
      </w:p>
    </w:sdtContent>
  </w:sdt>
  <w:p w14:paraId="71F2075B" w14:textId="77777777" w:rsidR="009E3627" w:rsidRDefault="009E3627">
    <w:pPr>
      <w:pStyle w:val="Footer"/>
    </w:pPr>
  </w:p>
</w:ftr>
</file>

<file path=word/footer3.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364028462"/>
      <w:docPartObj>
        <w:docPartGallery w:val="Page Numbers (Bottom of Page)"/>
        <w:docPartUnique/>
      </w:docPartObj>
    </w:sdtPr>
    <w:sdtEndPr>
      <w:rPr>
        <w:noProof/>
      </w:rPr>
    </w:sdtEndPr>
    <w:sdtContent>
      <w:p w14:paraId="0DD090A1" w14:textId="7A7A8B99" w:rsidR="009E3627" w:rsidRDefault="009E3627">
        <w:pPr>
          <w:pStyle w:val="Footer"/>
          <w:jc w:val="right"/>
        </w:pPr>
        <w:r>
          <w:fldChar w:fldCharType="begin"/>
        </w:r>
        <w:r>
          <w:instrText xml:space="preserve"> PAGE   \* MERGEFORMAT </w:instrText>
        </w:r>
        <w:r>
          <w:fldChar w:fldCharType="separate"/>
        </w:r>
        <w:r w:rsidR="00425035">
          <w:rPr>
            <w:noProof/>
          </w:rPr>
          <w:t>1</w:t>
        </w:r>
        <w:r>
          <w:rPr>
            <w:noProof/>
          </w:rPr>
          <w:fldChar w:fldCharType="end"/>
        </w:r>
      </w:p>
    </w:sdtContent>
  </w:sdt>
  <w:p w14:paraId="154924A4" w14:textId="77777777" w:rsidR="009E3627" w:rsidRDefault="009E3627">
    <w:pPr>
      <w:pStyle w:val="Foote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320CC566" w14:textId="77777777" w:rsidR="00C97455" w:rsidRDefault="00C97455" w:rsidP="00A55288">
      <w:pPr>
        <w:spacing w:after="0" w:line="240" w:lineRule="auto"/>
      </w:pPr>
      <w:r>
        <w:separator/>
      </w:r>
    </w:p>
  </w:footnote>
  <w:footnote w:type="continuationSeparator" w:id="0">
    <w:p w14:paraId="5680A323" w14:textId="77777777" w:rsidR="00C97455" w:rsidRDefault="00C97455" w:rsidP="00A5528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4531BD9"/>
    <w:multiLevelType w:val="multilevel"/>
    <w:tmpl w:val="05BEA5B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7D5198D"/>
    <w:multiLevelType w:val="hybridMultilevel"/>
    <w:tmpl w:val="C5B2C85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23ED7307"/>
    <w:multiLevelType w:val="multilevel"/>
    <w:tmpl w:val="6186E5F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293C0E20"/>
    <w:multiLevelType w:val="multilevel"/>
    <w:tmpl w:val="3D6A705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36BF0294"/>
    <w:multiLevelType w:val="hybridMultilevel"/>
    <w:tmpl w:val="32E25F6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3A0D4C62"/>
    <w:multiLevelType w:val="multilevel"/>
    <w:tmpl w:val="1BD4DBC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49C000A6"/>
    <w:multiLevelType w:val="multilevel"/>
    <w:tmpl w:val="0FDE29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503008EB"/>
    <w:multiLevelType w:val="hybridMultilevel"/>
    <w:tmpl w:val="983006E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15:restartNumberingAfterBreak="0">
    <w:nsid w:val="51BF4475"/>
    <w:multiLevelType w:val="hybridMultilevel"/>
    <w:tmpl w:val="1558387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52710372"/>
    <w:multiLevelType w:val="hybridMultilevel"/>
    <w:tmpl w:val="C1D210C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559F0479"/>
    <w:multiLevelType w:val="hybridMultilevel"/>
    <w:tmpl w:val="8392DB6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5F977C5D"/>
    <w:multiLevelType w:val="hybridMultilevel"/>
    <w:tmpl w:val="9D762A4E"/>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613F0049"/>
    <w:multiLevelType w:val="hybridMultilevel"/>
    <w:tmpl w:val="24B0C17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15:restartNumberingAfterBreak="0">
    <w:nsid w:val="719C4F1E"/>
    <w:multiLevelType w:val="hybridMultilevel"/>
    <w:tmpl w:val="E4CC23B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6"/>
  </w:num>
  <w:num w:numId="3">
    <w:abstractNumId w:val="3"/>
  </w:num>
  <w:num w:numId="4">
    <w:abstractNumId w:val="5"/>
  </w:num>
  <w:num w:numId="5">
    <w:abstractNumId w:val="2"/>
  </w:num>
  <w:num w:numId="6">
    <w:abstractNumId w:val="10"/>
  </w:num>
  <w:num w:numId="7">
    <w:abstractNumId w:val="9"/>
  </w:num>
  <w:num w:numId="8">
    <w:abstractNumId w:val="12"/>
  </w:num>
  <w:num w:numId="9">
    <w:abstractNumId w:val="1"/>
  </w:num>
  <w:num w:numId="10">
    <w:abstractNumId w:val="8"/>
  </w:num>
  <w:num w:numId="11">
    <w:abstractNumId w:val="11"/>
  </w:num>
  <w:num w:numId="12">
    <w:abstractNumId w:val="7"/>
  </w:num>
  <w:num w:numId="13">
    <w:abstractNumId w:val="4"/>
  </w:num>
  <w:num w:numId="14">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removePersonalInformation/>
  <w:removeDateAndTime/>
  <w:proofState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D1947"/>
    <w:rsid w:val="00007A67"/>
    <w:rsid w:val="00107936"/>
    <w:rsid w:val="00115B96"/>
    <w:rsid w:val="00125E5E"/>
    <w:rsid w:val="0023137F"/>
    <w:rsid w:val="002C1F69"/>
    <w:rsid w:val="00305271"/>
    <w:rsid w:val="00324CCD"/>
    <w:rsid w:val="00360A98"/>
    <w:rsid w:val="003E75E5"/>
    <w:rsid w:val="00425035"/>
    <w:rsid w:val="00474D96"/>
    <w:rsid w:val="00480872"/>
    <w:rsid w:val="00493CCA"/>
    <w:rsid w:val="004A11F6"/>
    <w:rsid w:val="004D519C"/>
    <w:rsid w:val="005D3560"/>
    <w:rsid w:val="00650710"/>
    <w:rsid w:val="006E2135"/>
    <w:rsid w:val="007B54AB"/>
    <w:rsid w:val="007C0AA1"/>
    <w:rsid w:val="007D1947"/>
    <w:rsid w:val="007D5E8B"/>
    <w:rsid w:val="008A4B81"/>
    <w:rsid w:val="008C5748"/>
    <w:rsid w:val="00910434"/>
    <w:rsid w:val="00925FF4"/>
    <w:rsid w:val="00931CAA"/>
    <w:rsid w:val="00983EF9"/>
    <w:rsid w:val="009E3627"/>
    <w:rsid w:val="00A12B58"/>
    <w:rsid w:val="00A55288"/>
    <w:rsid w:val="00AA2A91"/>
    <w:rsid w:val="00AE3068"/>
    <w:rsid w:val="00B35F57"/>
    <w:rsid w:val="00B93643"/>
    <w:rsid w:val="00C97455"/>
    <w:rsid w:val="00CA09F3"/>
    <w:rsid w:val="00CC5E39"/>
    <w:rsid w:val="00CD1C88"/>
    <w:rsid w:val="00D407AC"/>
    <w:rsid w:val="00D854A5"/>
    <w:rsid w:val="00DC65CD"/>
    <w:rsid w:val="00DE4433"/>
    <w:rsid w:val="00E15338"/>
    <w:rsid w:val="00E94C01"/>
    <w:rsid w:val="00EB26F8"/>
    <w:rsid w:val="00F14D70"/>
    <w:rsid w:val="00F34636"/>
    <w:rsid w:val="00F64D2E"/>
    <w:rsid w:val="00F708CD"/>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7FDF8C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F64D2E"/>
    <w:pPr>
      <w:spacing w:line="360" w:lineRule="auto"/>
      <w:jc w:val="both"/>
    </w:pPr>
    <w:rPr>
      <w:rFonts w:ascii="Arial" w:hAnsi="Arial"/>
    </w:rPr>
  </w:style>
  <w:style w:type="paragraph" w:styleId="Heading1">
    <w:name w:val="heading 1"/>
    <w:basedOn w:val="Normal"/>
    <w:next w:val="Normal"/>
    <w:link w:val="Heading1Char"/>
    <w:uiPriority w:val="9"/>
    <w:qFormat/>
    <w:rsid w:val="00F34636"/>
    <w:pPr>
      <w:keepNext/>
      <w:keepLines/>
      <w:spacing w:before="480" w:after="240"/>
      <w:jc w:val="center"/>
      <w:outlineLvl w:val="0"/>
    </w:pPr>
    <w:rPr>
      <w:rFonts w:eastAsiaTheme="majorEastAsia" w:cstheme="majorBidi"/>
      <w:b/>
      <w:color w:val="000000" w:themeColor="text1"/>
      <w:sz w:val="32"/>
      <w:szCs w:val="32"/>
    </w:rPr>
  </w:style>
  <w:style w:type="paragraph" w:styleId="Heading2">
    <w:name w:val="heading 2"/>
    <w:basedOn w:val="Normal"/>
    <w:next w:val="Normal"/>
    <w:link w:val="Heading2Char"/>
    <w:uiPriority w:val="9"/>
    <w:unhideWhenUsed/>
    <w:qFormat/>
    <w:rsid w:val="00925FF4"/>
    <w:pPr>
      <w:keepNext/>
      <w:keepLines/>
      <w:spacing w:before="160" w:after="120"/>
      <w:outlineLvl w:val="1"/>
    </w:pPr>
    <w:rPr>
      <w:rFonts w:eastAsiaTheme="majorEastAsia" w:cstheme="majorBidi"/>
      <w:b/>
      <w:sz w:val="26"/>
      <w:szCs w:val="26"/>
    </w:rPr>
  </w:style>
  <w:style w:type="paragraph" w:styleId="Heading3">
    <w:name w:val="heading 3"/>
    <w:basedOn w:val="Normal"/>
    <w:next w:val="Normal"/>
    <w:link w:val="Heading3Char"/>
    <w:uiPriority w:val="9"/>
    <w:semiHidden/>
    <w:unhideWhenUsed/>
    <w:qFormat/>
    <w:rsid w:val="00B93643"/>
    <w:pPr>
      <w:keepNext/>
      <w:keepLines/>
      <w:spacing w:before="200" w:after="0"/>
      <w:outlineLvl w:val="2"/>
    </w:pPr>
    <w:rPr>
      <w:rFonts w:asciiTheme="majorHAnsi" w:eastAsiaTheme="majorEastAsia" w:hAnsiTheme="majorHAnsi" w:cstheme="majorBidi"/>
      <w:b/>
      <w:bCs/>
      <w:color w:val="5B9BD5" w:themeColor="accent1"/>
    </w:rPr>
  </w:style>
  <w:style w:type="paragraph" w:styleId="Heading4">
    <w:name w:val="heading 4"/>
    <w:basedOn w:val="Normal"/>
    <w:next w:val="Normal"/>
    <w:link w:val="Heading4Char"/>
    <w:uiPriority w:val="9"/>
    <w:semiHidden/>
    <w:unhideWhenUsed/>
    <w:qFormat/>
    <w:rsid w:val="00B93643"/>
    <w:pPr>
      <w:keepNext/>
      <w:keepLines/>
      <w:spacing w:before="200" w:after="0"/>
      <w:outlineLvl w:val="3"/>
    </w:pPr>
    <w:rPr>
      <w:rFonts w:asciiTheme="majorHAnsi" w:eastAsiaTheme="majorEastAsia" w:hAnsiTheme="majorHAnsi" w:cstheme="majorBidi"/>
      <w:b/>
      <w:bCs/>
      <w:i/>
      <w:iCs/>
      <w:color w:val="5B9BD5"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D194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D1947"/>
    <w:rPr>
      <w:rFonts w:eastAsiaTheme="minorEastAsia"/>
      <w:lang w:val="en-US"/>
    </w:rPr>
  </w:style>
  <w:style w:type="character" w:customStyle="1" w:styleId="Heading1Char">
    <w:name w:val="Heading 1 Char"/>
    <w:basedOn w:val="DefaultParagraphFont"/>
    <w:link w:val="Heading1"/>
    <w:uiPriority w:val="9"/>
    <w:rsid w:val="00F34636"/>
    <w:rPr>
      <w:rFonts w:ascii="Arial" w:eastAsiaTheme="majorEastAsia" w:hAnsi="Arial" w:cstheme="majorBidi"/>
      <w:b/>
      <w:color w:val="000000" w:themeColor="text1"/>
      <w:sz w:val="32"/>
      <w:szCs w:val="32"/>
    </w:rPr>
  </w:style>
  <w:style w:type="paragraph" w:styleId="TOCHeading">
    <w:name w:val="TOC Heading"/>
    <w:basedOn w:val="Heading1"/>
    <w:next w:val="Normal"/>
    <w:uiPriority w:val="39"/>
    <w:unhideWhenUsed/>
    <w:qFormat/>
    <w:rsid w:val="007D1947"/>
    <w:pPr>
      <w:outlineLvl w:val="9"/>
    </w:pPr>
    <w:rPr>
      <w:lang w:val="en-US"/>
    </w:rPr>
  </w:style>
  <w:style w:type="paragraph" w:styleId="TOC1">
    <w:name w:val="toc 1"/>
    <w:basedOn w:val="Normal"/>
    <w:next w:val="Normal"/>
    <w:autoRedefine/>
    <w:uiPriority w:val="39"/>
    <w:unhideWhenUsed/>
    <w:rsid w:val="007D1947"/>
    <w:pPr>
      <w:spacing w:after="100"/>
    </w:pPr>
  </w:style>
  <w:style w:type="character" w:styleId="Hyperlink">
    <w:name w:val="Hyperlink"/>
    <w:basedOn w:val="DefaultParagraphFont"/>
    <w:uiPriority w:val="99"/>
    <w:unhideWhenUsed/>
    <w:rsid w:val="007D1947"/>
    <w:rPr>
      <w:color w:val="0563C1" w:themeColor="hyperlink"/>
      <w:u w:val="single"/>
    </w:rPr>
  </w:style>
  <w:style w:type="character" w:customStyle="1" w:styleId="Heading2Char">
    <w:name w:val="Heading 2 Char"/>
    <w:basedOn w:val="DefaultParagraphFont"/>
    <w:link w:val="Heading2"/>
    <w:uiPriority w:val="9"/>
    <w:rsid w:val="00925FF4"/>
    <w:rPr>
      <w:rFonts w:ascii="Arial" w:eastAsiaTheme="majorEastAsia" w:hAnsi="Arial" w:cstheme="majorBidi"/>
      <w:b/>
      <w:sz w:val="26"/>
      <w:szCs w:val="26"/>
    </w:rPr>
  </w:style>
  <w:style w:type="paragraph" w:styleId="TOC2">
    <w:name w:val="toc 2"/>
    <w:basedOn w:val="Normal"/>
    <w:next w:val="Normal"/>
    <w:autoRedefine/>
    <w:uiPriority w:val="39"/>
    <w:unhideWhenUsed/>
    <w:rsid w:val="00115B96"/>
    <w:pPr>
      <w:spacing w:after="100"/>
      <w:ind w:left="220"/>
    </w:pPr>
  </w:style>
  <w:style w:type="paragraph" w:styleId="BalloonText">
    <w:name w:val="Balloon Text"/>
    <w:basedOn w:val="Normal"/>
    <w:link w:val="BalloonTextChar"/>
    <w:uiPriority w:val="99"/>
    <w:semiHidden/>
    <w:unhideWhenUsed/>
    <w:rsid w:val="00B93643"/>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93643"/>
    <w:rPr>
      <w:rFonts w:ascii="Tahoma" w:hAnsi="Tahoma" w:cs="Tahoma"/>
      <w:sz w:val="16"/>
      <w:szCs w:val="16"/>
    </w:rPr>
  </w:style>
  <w:style w:type="character" w:customStyle="1" w:styleId="Heading3Char">
    <w:name w:val="Heading 3 Char"/>
    <w:basedOn w:val="DefaultParagraphFont"/>
    <w:link w:val="Heading3"/>
    <w:uiPriority w:val="9"/>
    <w:semiHidden/>
    <w:rsid w:val="00B93643"/>
    <w:rPr>
      <w:rFonts w:asciiTheme="majorHAnsi" w:eastAsiaTheme="majorEastAsia" w:hAnsiTheme="majorHAnsi" w:cstheme="majorBidi"/>
      <w:b/>
      <w:bCs/>
      <w:color w:val="5B9BD5" w:themeColor="accent1"/>
    </w:rPr>
  </w:style>
  <w:style w:type="paragraph" w:styleId="NormalWeb">
    <w:name w:val="Normal (Web)"/>
    <w:basedOn w:val="Normal"/>
    <w:uiPriority w:val="99"/>
    <w:semiHidden/>
    <w:unhideWhenUsed/>
    <w:rsid w:val="00B93643"/>
    <w:pPr>
      <w:spacing w:before="100" w:beforeAutospacing="1" w:after="100" w:afterAutospacing="1" w:line="240" w:lineRule="auto"/>
    </w:pPr>
    <w:rPr>
      <w:rFonts w:ascii="Times New Roman" w:eastAsia="Times New Roman" w:hAnsi="Times New Roman" w:cs="Times New Roman"/>
      <w:sz w:val="24"/>
      <w:szCs w:val="24"/>
      <w:lang w:val="en-US"/>
    </w:rPr>
  </w:style>
  <w:style w:type="character" w:styleId="Strong">
    <w:name w:val="Strong"/>
    <w:basedOn w:val="DefaultParagraphFont"/>
    <w:uiPriority w:val="22"/>
    <w:qFormat/>
    <w:rsid w:val="00B93643"/>
    <w:rPr>
      <w:b/>
      <w:bCs/>
    </w:rPr>
  </w:style>
  <w:style w:type="character" w:customStyle="1" w:styleId="Heading4Char">
    <w:name w:val="Heading 4 Char"/>
    <w:basedOn w:val="DefaultParagraphFont"/>
    <w:link w:val="Heading4"/>
    <w:uiPriority w:val="9"/>
    <w:semiHidden/>
    <w:rsid w:val="00B93643"/>
    <w:rPr>
      <w:rFonts w:asciiTheme="majorHAnsi" w:eastAsiaTheme="majorEastAsia" w:hAnsiTheme="majorHAnsi" w:cstheme="majorBidi"/>
      <w:b/>
      <w:bCs/>
      <w:i/>
      <w:iCs/>
      <w:color w:val="5B9BD5" w:themeColor="accent1"/>
    </w:rPr>
  </w:style>
  <w:style w:type="table" w:styleId="TableGrid">
    <w:name w:val="Table Grid"/>
    <w:basedOn w:val="TableNormal"/>
    <w:uiPriority w:val="39"/>
    <w:rsid w:val="00925FF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925FF4"/>
    <w:pPr>
      <w:spacing w:after="200" w:line="240" w:lineRule="auto"/>
    </w:pPr>
    <w:rPr>
      <w:b/>
      <w:bCs/>
      <w:color w:val="5B9BD5" w:themeColor="accent1"/>
      <w:sz w:val="18"/>
      <w:szCs w:val="18"/>
    </w:rPr>
  </w:style>
  <w:style w:type="paragraph" w:styleId="ListParagraph">
    <w:name w:val="List Paragraph"/>
    <w:basedOn w:val="Normal"/>
    <w:uiPriority w:val="34"/>
    <w:qFormat/>
    <w:rsid w:val="00493CCA"/>
    <w:pPr>
      <w:ind w:left="720"/>
      <w:contextualSpacing/>
    </w:pPr>
  </w:style>
  <w:style w:type="paragraph" w:styleId="Header">
    <w:name w:val="header"/>
    <w:basedOn w:val="Normal"/>
    <w:link w:val="HeaderChar"/>
    <w:uiPriority w:val="99"/>
    <w:unhideWhenUsed/>
    <w:rsid w:val="00A55288"/>
    <w:pPr>
      <w:tabs>
        <w:tab w:val="center" w:pos="4680"/>
        <w:tab w:val="right" w:pos="9360"/>
      </w:tabs>
      <w:spacing w:after="0" w:line="240" w:lineRule="auto"/>
    </w:pPr>
  </w:style>
  <w:style w:type="character" w:customStyle="1" w:styleId="HeaderChar">
    <w:name w:val="Header Char"/>
    <w:basedOn w:val="DefaultParagraphFont"/>
    <w:link w:val="Header"/>
    <w:uiPriority w:val="99"/>
    <w:rsid w:val="00A55288"/>
    <w:rPr>
      <w:rFonts w:ascii="Arial" w:hAnsi="Arial"/>
    </w:rPr>
  </w:style>
  <w:style w:type="paragraph" w:styleId="Footer">
    <w:name w:val="footer"/>
    <w:basedOn w:val="Normal"/>
    <w:link w:val="FooterChar"/>
    <w:uiPriority w:val="99"/>
    <w:unhideWhenUsed/>
    <w:rsid w:val="00A55288"/>
    <w:pPr>
      <w:tabs>
        <w:tab w:val="center" w:pos="4680"/>
        <w:tab w:val="right" w:pos="9360"/>
      </w:tabs>
      <w:spacing w:after="0" w:line="240" w:lineRule="auto"/>
    </w:pPr>
  </w:style>
  <w:style w:type="character" w:customStyle="1" w:styleId="FooterChar">
    <w:name w:val="Footer Char"/>
    <w:basedOn w:val="DefaultParagraphFont"/>
    <w:link w:val="Footer"/>
    <w:uiPriority w:val="99"/>
    <w:rsid w:val="00A55288"/>
    <w:rPr>
      <w:rFonts w:ascii="Arial" w:hAnsi="Arial"/>
    </w:rPr>
  </w:style>
  <w:style w:type="paragraph" w:styleId="TableofFigures">
    <w:name w:val="table of figures"/>
    <w:basedOn w:val="Normal"/>
    <w:next w:val="Normal"/>
    <w:uiPriority w:val="99"/>
    <w:unhideWhenUsed/>
    <w:rsid w:val="002C1F69"/>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2347858">
      <w:bodyDiv w:val="1"/>
      <w:marLeft w:val="0"/>
      <w:marRight w:val="0"/>
      <w:marTop w:val="0"/>
      <w:marBottom w:val="0"/>
      <w:divBdr>
        <w:top w:val="none" w:sz="0" w:space="0" w:color="auto"/>
        <w:left w:val="none" w:sz="0" w:space="0" w:color="auto"/>
        <w:bottom w:val="none" w:sz="0" w:space="0" w:color="auto"/>
        <w:right w:val="none" w:sz="0" w:space="0" w:color="auto"/>
      </w:divBdr>
    </w:div>
    <w:div w:id="49964638">
      <w:bodyDiv w:val="1"/>
      <w:marLeft w:val="0"/>
      <w:marRight w:val="0"/>
      <w:marTop w:val="0"/>
      <w:marBottom w:val="0"/>
      <w:divBdr>
        <w:top w:val="none" w:sz="0" w:space="0" w:color="auto"/>
        <w:left w:val="none" w:sz="0" w:space="0" w:color="auto"/>
        <w:bottom w:val="none" w:sz="0" w:space="0" w:color="auto"/>
        <w:right w:val="none" w:sz="0" w:space="0" w:color="auto"/>
      </w:divBdr>
    </w:div>
    <w:div w:id="97681027">
      <w:bodyDiv w:val="1"/>
      <w:marLeft w:val="0"/>
      <w:marRight w:val="0"/>
      <w:marTop w:val="0"/>
      <w:marBottom w:val="0"/>
      <w:divBdr>
        <w:top w:val="none" w:sz="0" w:space="0" w:color="auto"/>
        <w:left w:val="none" w:sz="0" w:space="0" w:color="auto"/>
        <w:bottom w:val="none" w:sz="0" w:space="0" w:color="auto"/>
        <w:right w:val="none" w:sz="0" w:space="0" w:color="auto"/>
      </w:divBdr>
    </w:div>
    <w:div w:id="111285402">
      <w:bodyDiv w:val="1"/>
      <w:marLeft w:val="0"/>
      <w:marRight w:val="0"/>
      <w:marTop w:val="0"/>
      <w:marBottom w:val="0"/>
      <w:divBdr>
        <w:top w:val="none" w:sz="0" w:space="0" w:color="auto"/>
        <w:left w:val="none" w:sz="0" w:space="0" w:color="auto"/>
        <w:bottom w:val="none" w:sz="0" w:space="0" w:color="auto"/>
        <w:right w:val="none" w:sz="0" w:space="0" w:color="auto"/>
      </w:divBdr>
    </w:div>
    <w:div w:id="185601271">
      <w:bodyDiv w:val="1"/>
      <w:marLeft w:val="0"/>
      <w:marRight w:val="0"/>
      <w:marTop w:val="0"/>
      <w:marBottom w:val="0"/>
      <w:divBdr>
        <w:top w:val="none" w:sz="0" w:space="0" w:color="auto"/>
        <w:left w:val="none" w:sz="0" w:space="0" w:color="auto"/>
        <w:bottom w:val="none" w:sz="0" w:space="0" w:color="auto"/>
        <w:right w:val="none" w:sz="0" w:space="0" w:color="auto"/>
      </w:divBdr>
    </w:div>
    <w:div w:id="185676629">
      <w:bodyDiv w:val="1"/>
      <w:marLeft w:val="0"/>
      <w:marRight w:val="0"/>
      <w:marTop w:val="0"/>
      <w:marBottom w:val="0"/>
      <w:divBdr>
        <w:top w:val="none" w:sz="0" w:space="0" w:color="auto"/>
        <w:left w:val="none" w:sz="0" w:space="0" w:color="auto"/>
        <w:bottom w:val="none" w:sz="0" w:space="0" w:color="auto"/>
        <w:right w:val="none" w:sz="0" w:space="0" w:color="auto"/>
      </w:divBdr>
    </w:div>
    <w:div w:id="213390040">
      <w:bodyDiv w:val="1"/>
      <w:marLeft w:val="0"/>
      <w:marRight w:val="0"/>
      <w:marTop w:val="0"/>
      <w:marBottom w:val="0"/>
      <w:divBdr>
        <w:top w:val="none" w:sz="0" w:space="0" w:color="auto"/>
        <w:left w:val="none" w:sz="0" w:space="0" w:color="auto"/>
        <w:bottom w:val="none" w:sz="0" w:space="0" w:color="auto"/>
        <w:right w:val="none" w:sz="0" w:space="0" w:color="auto"/>
      </w:divBdr>
    </w:div>
    <w:div w:id="512569841">
      <w:bodyDiv w:val="1"/>
      <w:marLeft w:val="0"/>
      <w:marRight w:val="0"/>
      <w:marTop w:val="0"/>
      <w:marBottom w:val="0"/>
      <w:divBdr>
        <w:top w:val="none" w:sz="0" w:space="0" w:color="auto"/>
        <w:left w:val="none" w:sz="0" w:space="0" w:color="auto"/>
        <w:bottom w:val="none" w:sz="0" w:space="0" w:color="auto"/>
        <w:right w:val="none" w:sz="0" w:space="0" w:color="auto"/>
      </w:divBdr>
    </w:div>
    <w:div w:id="534970858">
      <w:bodyDiv w:val="1"/>
      <w:marLeft w:val="0"/>
      <w:marRight w:val="0"/>
      <w:marTop w:val="0"/>
      <w:marBottom w:val="0"/>
      <w:divBdr>
        <w:top w:val="none" w:sz="0" w:space="0" w:color="auto"/>
        <w:left w:val="none" w:sz="0" w:space="0" w:color="auto"/>
        <w:bottom w:val="none" w:sz="0" w:space="0" w:color="auto"/>
        <w:right w:val="none" w:sz="0" w:space="0" w:color="auto"/>
      </w:divBdr>
    </w:div>
    <w:div w:id="826019727">
      <w:bodyDiv w:val="1"/>
      <w:marLeft w:val="0"/>
      <w:marRight w:val="0"/>
      <w:marTop w:val="0"/>
      <w:marBottom w:val="0"/>
      <w:divBdr>
        <w:top w:val="none" w:sz="0" w:space="0" w:color="auto"/>
        <w:left w:val="none" w:sz="0" w:space="0" w:color="auto"/>
        <w:bottom w:val="none" w:sz="0" w:space="0" w:color="auto"/>
        <w:right w:val="none" w:sz="0" w:space="0" w:color="auto"/>
      </w:divBdr>
    </w:div>
    <w:div w:id="870655953">
      <w:bodyDiv w:val="1"/>
      <w:marLeft w:val="0"/>
      <w:marRight w:val="0"/>
      <w:marTop w:val="0"/>
      <w:marBottom w:val="0"/>
      <w:divBdr>
        <w:top w:val="none" w:sz="0" w:space="0" w:color="auto"/>
        <w:left w:val="none" w:sz="0" w:space="0" w:color="auto"/>
        <w:bottom w:val="none" w:sz="0" w:space="0" w:color="auto"/>
        <w:right w:val="none" w:sz="0" w:space="0" w:color="auto"/>
      </w:divBdr>
    </w:div>
    <w:div w:id="899636144">
      <w:bodyDiv w:val="1"/>
      <w:marLeft w:val="0"/>
      <w:marRight w:val="0"/>
      <w:marTop w:val="0"/>
      <w:marBottom w:val="0"/>
      <w:divBdr>
        <w:top w:val="none" w:sz="0" w:space="0" w:color="auto"/>
        <w:left w:val="none" w:sz="0" w:space="0" w:color="auto"/>
        <w:bottom w:val="none" w:sz="0" w:space="0" w:color="auto"/>
        <w:right w:val="none" w:sz="0" w:space="0" w:color="auto"/>
      </w:divBdr>
    </w:div>
    <w:div w:id="924728505">
      <w:bodyDiv w:val="1"/>
      <w:marLeft w:val="0"/>
      <w:marRight w:val="0"/>
      <w:marTop w:val="0"/>
      <w:marBottom w:val="0"/>
      <w:divBdr>
        <w:top w:val="none" w:sz="0" w:space="0" w:color="auto"/>
        <w:left w:val="none" w:sz="0" w:space="0" w:color="auto"/>
        <w:bottom w:val="none" w:sz="0" w:space="0" w:color="auto"/>
        <w:right w:val="none" w:sz="0" w:space="0" w:color="auto"/>
      </w:divBdr>
    </w:div>
    <w:div w:id="1020280041">
      <w:bodyDiv w:val="1"/>
      <w:marLeft w:val="0"/>
      <w:marRight w:val="0"/>
      <w:marTop w:val="0"/>
      <w:marBottom w:val="0"/>
      <w:divBdr>
        <w:top w:val="none" w:sz="0" w:space="0" w:color="auto"/>
        <w:left w:val="none" w:sz="0" w:space="0" w:color="auto"/>
        <w:bottom w:val="none" w:sz="0" w:space="0" w:color="auto"/>
        <w:right w:val="none" w:sz="0" w:space="0" w:color="auto"/>
      </w:divBdr>
      <w:divsChild>
        <w:div w:id="743600554">
          <w:marLeft w:val="0"/>
          <w:marRight w:val="0"/>
          <w:marTop w:val="120"/>
          <w:marBottom w:val="120"/>
          <w:divBdr>
            <w:top w:val="none" w:sz="0" w:space="0" w:color="auto"/>
            <w:left w:val="none" w:sz="0" w:space="0" w:color="auto"/>
            <w:bottom w:val="none" w:sz="0" w:space="0" w:color="auto"/>
            <w:right w:val="none" w:sz="0" w:space="0" w:color="auto"/>
          </w:divBdr>
        </w:div>
        <w:div w:id="958225282">
          <w:marLeft w:val="0"/>
          <w:marRight w:val="0"/>
          <w:marTop w:val="120"/>
          <w:marBottom w:val="120"/>
          <w:divBdr>
            <w:top w:val="none" w:sz="0" w:space="0" w:color="auto"/>
            <w:left w:val="none" w:sz="0" w:space="0" w:color="auto"/>
            <w:bottom w:val="none" w:sz="0" w:space="0" w:color="auto"/>
            <w:right w:val="none" w:sz="0" w:space="0" w:color="auto"/>
          </w:divBdr>
        </w:div>
        <w:div w:id="486409177">
          <w:marLeft w:val="0"/>
          <w:marRight w:val="0"/>
          <w:marTop w:val="120"/>
          <w:marBottom w:val="120"/>
          <w:divBdr>
            <w:top w:val="none" w:sz="0" w:space="0" w:color="auto"/>
            <w:left w:val="none" w:sz="0" w:space="0" w:color="auto"/>
            <w:bottom w:val="none" w:sz="0" w:space="0" w:color="auto"/>
            <w:right w:val="none" w:sz="0" w:space="0" w:color="auto"/>
          </w:divBdr>
        </w:div>
        <w:div w:id="483667513">
          <w:marLeft w:val="0"/>
          <w:marRight w:val="0"/>
          <w:marTop w:val="120"/>
          <w:marBottom w:val="120"/>
          <w:divBdr>
            <w:top w:val="none" w:sz="0" w:space="0" w:color="auto"/>
            <w:left w:val="none" w:sz="0" w:space="0" w:color="auto"/>
            <w:bottom w:val="none" w:sz="0" w:space="0" w:color="auto"/>
            <w:right w:val="none" w:sz="0" w:space="0" w:color="auto"/>
          </w:divBdr>
        </w:div>
        <w:div w:id="1597248338">
          <w:marLeft w:val="0"/>
          <w:marRight w:val="0"/>
          <w:marTop w:val="120"/>
          <w:marBottom w:val="120"/>
          <w:divBdr>
            <w:top w:val="none" w:sz="0" w:space="0" w:color="auto"/>
            <w:left w:val="none" w:sz="0" w:space="0" w:color="auto"/>
            <w:bottom w:val="none" w:sz="0" w:space="0" w:color="auto"/>
            <w:right w:val="none" w:sz="0" w:space="0" w:color="auto"/>
          </w:divBdr>
        </w:div>
        <w:div w:id="1113597581">
          <w:marLeft w:val="0"/>
          <w:marRight w:val="0"/>
          <w:marTop w:val="120"/>
          <w:marBottom w:val="120"/>
          <w:divBdr>
            <w:top w:val="none" w:sz="0" w:space="0" w:color="auto"/>
            <w:left w:val="none" w:sz="0" w:space="0" w:color="auto"/>
            <w:bottom w:val="none" w:sz="0" w:space="0" w:color="auto"/>
            <w:right w:val="none" w:sz="0" w:space="0" w:color="auto"/>
          </w:divBdr>
        </w:div>
        <w:div w:id="2143963793">
          <w:marLeft w:val="0"/>
          <w:marRight w:val="0"/>
          <w:marTop w:val="120"/>
          <w:marBottom w:val="120"/>
          <w:divBdr>
            <w:top w:val="none" w:sz="0" w:space="0" w:color="auto"/>
            <w:left w:val="none" w:sz="0" w:space="0" w:color="auto"/>
            <w:bottom w:val="none" w:sz="0" w:space="0" w:color="auto"/>
            <w:right w:val="none" w:sz="0" w:space="0" w:color="auto"/>
          </w:divBdr>
        </w:div>
        <w:div w:id="844200693">
          <w:marLeft w:val="0"/>
          <w:marRight w:val="0"/>
          <w:marTop w:val="120"/>
          <w:marBottom w:val="120"/>
          <w:divBdr>
            <w:top w:val="none" w:sz="0" w:space="0" w:color="auto"/>
            <w:left w:val="none" w:sz="0" w:space="0" w:color="auto"/>
            <w:bottom w:val="none" w:sz="0" w:space="0" w:color="auto"/>
            <w:right w:val="none" w:sz="0" w:space="0" w:color="auto"/>
          </w:divBdr>
        </w:div>
        <w:div w:id="1110004935">
          <w:marLeft w:val="0"/>
          <w:marRight w:val="0"/>
          <w:marTop w:val="120"/>
          <w:marBottom w:val="120"/>
          <w:divBdr>
            <w:top w:val="none" w:sz="0" w:space="0" w:color="auto"/>
            <w:left w:val="none" w:sz="0" w:space="0" w:color="auto"/>
            <w:bottom w:val="none" w:sz="0" w:space="0" w:color="auto"/>
            <w:right w:val="none" w:sz="0" w:space="0" w:color="auto"/>
          </w:divBdr>
        </w:div>
        <w:div w:id="17975559">
          <w:marLeft w:val="0"/>
          <w:marRight w:val="0"/>
          <w:marTop w:val="120"/>
          <w:marBottom w:val="120"/>
          <w:divBdr>
            <w:top w:val="none" w:sz="0" w:space="0" w:color="auto"/>
            <w:left w:val="none" w:sz="0" w:space="0" w:color="auto"/>
            <w:bottom w:val="none" w:sz="0" w:space="0" w:color="auto"/>
            <w:right w:val="none" w:sz="0" w:space="0" w:color="auto"/>
          </w:divBdr>
        </w:div>
        <w:div w:id="594555028">
          <w:marLeft w:val="0"/>
          <w:marRight w:val="0"/>
          <w:marTop w:val="120"/>
          <w:marBottom w:val="120"/>
          <w:divBdr>
            <w:top w:val="none" w:sz="0" w:space="0" w:color="auto"/>
            <w:left w:val="none" w:sz="0" w:space="0" w:color="auto"/>
            <w:bottom w:val="none" w:sz="0" w:space="0" w:color="auto"/>
            <w:right w:val="none" w:sz="0" w:space="0" w:color="auto"/>
          </w:divBdr>
        </w:div>
        <w:div w:id="652755113">
          <w:marLeft w:val="0"/>
          <w:marRight w:val="0"/>
          <w:marTop w:val="120"/>
          <w:marBottom w:val="120"/>
          <w:divBdr>
            <w:top w:val="none" w:sz="0" w:space="0" w:color="auto"/>
            <w:left w:val="none" w:sz="0" w:space="0" w:color="auto"/>
            <w:bottom w:val="none" w:sz="0" w:space="0" w:color="auto"/>
            <w:right w:val="none" w:sz="0" w:space="0" w:color="auto"/>
          </w:divBdr>
        </w:div>
        <w:div w:id="574437470">
          <w:marLeft w:val="0"/>
          <w:marRight w:val="0"/>
          <w:marTop w:val="120"/>
          <w:marBottom w:val="120"/>
          <w:divBdr>
            <w:top w:val="none" w:sz="0" w:space="0" w:color="auto"/>
            <w:left w:val="none" w:sz="0" w:space="0" w:color="auto"/>
            <w:bottom w:val="none" w:sz="0" w:space="0" w:color="auto"/>
            <w:right w:val="none" w:sz="0" w:space="0" w:color="auto"/>
          </w:divBdr>
        </w:div>
        <w:div w:id="119885788">
          <w:marLeft w:val="0"/>
          <w:marRight w:val="0"/>
          <w:marTop w:val="120"/>
          <w:marBottom w:val="120"/>
          <w:divBdr>
            <w:top w:val="none" w:sz="0" w:space="0" w:color="auto"/>
            <w:left w:val="none" w:sz="0" w:space="0" w:color="auto"/>
            <w:bottom w:val="none" w:sz="0" w:space="0" w:color="auto"/>
            <w:right w:val="none" w:sz="0" w:space="0" w:color="auto"/>
          </w:divBdr>
        </w:div>
        <w:div w:id="1090353092">
          <w:marLeft w:val="0"/>
          <w:marRight w:val="0"/>
          <w:marTop w:val="120"/>
          <w:marBottom w:val="120"/>
          <w:divBdr>
            <w:top w:val="none" w:sz="0" w:space="0" w:color="auto"/>
            <w:left w:val="none" w:sz="0" w:space="0" w:color="auto"/>
            <w:bottom w:val="none" w:sz="0" w:space="0" w:color="auto"/>
            <w:right w:val="none" w:sz="0" w:space="0" w:color="auto"/>
          </w:divBdr>
        </w:div>
      </w:divsChild>
    </w:div>
    <w:div w:id="1094017343">
      <w:bodyDiv w:val="1"/>
      <w:marLeft w:val="0"/>
      <w:marRight w:val="0"/>
      <w:marTop w:val="0"/>
      <w:marBottom w:val="0"/>
      <w:divBdr>
        <w:top w:val="none" w:sz="0" w:space="0" w:color="auto"/>
        <w:left w:val="none" w:sz="0" w:space="0" w:color="auto"/>
        <w:bottom w:val="none" w:sz="0" w:space="0" w:color="auto"/>
        <w:right w:val="none" w:sz="0" w:space="0" w:color="auto"/>
      </w:divBdr>
    </w:div>
    <w:div w:id="1179194831">
      <w:bodyDiv w:val="1"/>
      <w:marLeft w:val="0"/>
      <w:marRight w:val="0"/>
      <w:marTop w:val="0"/>
      <w:marBottom w:val="0"/>
      <w:divBdr>
        <w:top w:val="none" w:sz="0" w:space="0" w:color="auto"/>
        <w:left w:val="none" w:sz="0" w:space="0" w:color="auto"/>
        <w:bottom w:val="none" w:sz="0" w:space="0" w:color="auto"/>
        <w:right w:val="none" w:sz="0" w:space="0" w:color="auto"/>
      </w:divBdr>
    </w:div>
    <w:div w:id="1233586778">
      <w:bodyDiv w:val="1"/>
      <w:marLeft w:val="0"/>
      <w:marRight w:val="0"/>
      <w:marTop w:val="0"/>
      <w:marBottom w:val="0"/>
      <w:divBdr>
        <w:top w:val="none" w:sz="0" w:space="0" w:color="auto"/>
        <w:left w:val="none" w:sz="0" w:space="0" w:color="auto"/>
        <w:bottom w:val="none" w:sz="0" w:space="0" w:color="auto"/>
        <w:right w:val="none" w:sz="0" w:space="0" w:color="auto"/>
      </w:divBdr>
    </w:div>
    <w:div w:id="1253852226">
      <w:bodyDiv w:val="1"/>
      <w:marLeft w:val="0"/>
      <w:marRight w:val="0"/>
      <w:marTop w:val="0"/>
      <w:marBottom w:val="0"/>
      <w:divBdr>
        <w:top w:val="none" w:sz="0" w:space="0" w:color="auto"/>
        <w:left w:val="none" w:sz="0" w:space="0" w:color="auto"/>
        <w:bottom w:val="none" w:sz="0" w:space="0" w:color="auto"/>
        <w:right w:val="none" w:sz="0" w:space="0" w:color="auto"/>
      </w:divBdr>
      <w:divsChild>
        <w:div w:id="1514757208">
          <w:marLeft w:val="0"/>
          <w:marRight w:val="0"/>
          <w:marTop w:val="120"/>
          <w:marBottom w:val="120"/>
          <w:divBdr>
            <w:top w:val="none" w:sz="0" w:space="0" w:color="auto"/>
            <w:left w:val="none" w:sz="0" w:space="0" w:color="auto"/>
            <w:bottom w:val="none" w:sz="0" w:space="0" w:color="auto"/>
            <w:right w:val="none" w:sz="0" w:space="0" w:color="auto"/>
          </w:divBdr>
        </w:div>
        <w:div w:id="993333188">
          <w:marLeft w:val="0"/>
          <w:marRight w:val="0"/>
          <w:marTop w:val="120"/>
          <w:marBottom w:val="120"/>
          <w:divBdr>
            <w:top w:val="none" w:sz="0" w:space="0" w:color="auto"/>
            <w:left w:val="none" w:sz="0" w:space="0" w:color="auto"/>
            <w:bottom w:val="none" w:sz="0" w:space="0" w:color="auto"/>
            <w:right w:val="none" w:sz="0" w:space="0" w:color="auto"/>
          </w:divBdr>
        </w:div>
        <w:div w:id="1543589631">
          <w:marLeft w:val="0"/>
          <w:marRight w:val="0"/>
          <w:marTop w:val="120"/>
          <w:marBottom w:val="120"/>
          <w:divBdr>
            <w:top w:val="none" w:sz="0" w:space="0" w:color="auto"/>
            <w:left w:val="none" w:sz="0" w:space="0" w:color="auto"/>
            <w:bottom w:val="none" w:sz="0" w:space="0" w:color="auto"/>
            <w:right w:val="none" w:sz="0" w:space="0" w:color="auto"/>
          </w:divBdr>
        </w:div>
        <w:div w:id="647982560">
          <w:marLeft w:val="0"/>
          <w:marRight w:val="0"/>
          <w:marTop w:val="120"/>
          <w:marBottom w:val="120"/>
          <w:divBdr>
            <w:top w:val="none" w:sz="0" w:space="0" w:color="auto"/>
            <w:left w:val="none" w:sz="0" w:space="0" w:color="auto"/>
            <w:bottom w:val="none" w:sz="0" w:space="0" w:color="auto"/>
            <w:right w:val="none" w:sz="0" w:space="0" w:color="auto"/>
          </w:divBdr>
        </w:div>
        <w:div w:id="1310943268">
          <w:marLeft w:val="0"/>
          <w:marRight w:val="0"/>
          <w:marTop w:val="120"/>
          <w:marBottom w:val="120"/>
          <w:divBdr>
            <w:top w:val="none" w:sz="0" w:space="0" w:color="auto"/>
            <w:left w:val="none" w:sz="0" w:space="0" w:color="auto"/>
            <w:bottom w:val="none" w:sz="0" w:space="0" w:color="auto"/>
            <w:right w:val="none" w:sz="0" w:space="0" w:color="auto"/>
          </w:divBdr>
        </w:div>
        <w:div w:id="1520267157">
          <w:marLeft w:val="0"/>
          <w:marRight w:val="0"/>
          <w:marTop w:val="120"/>
          <w:marBottom w:val="120"/>
          <w:divBdr>
            <w:top w:val="none" w:sz="0" w:space="0" w:color="auto"/>
            <w:left w:val="none" w:sz="0" w:space="0" w:color="auto"/>
            <w:bottom w:val="none" w:sz="0" w:space="0" w:color="auto"/>
            <w:right w:val="none" w:sz="0" w:space="0" w:color="auto"/>
          </w:divBdr>
        </w:div>
        <w:div w:id="1168792696">
          <w:marLeft w:val="0"/>
          <w:marRight w:val="0"/>
          <w:marTop w:val="120"/>
          <w:marBottom w:val="120"/>
          <w:divBdr>
            <w:top w:val="none" w:sz="0" w:space="0" w:color="auto"/>
            <w:left w:val="none" w:sz="0" w:space="0" w:color="auto"/>
            <w:bottom w:val="none" w:sz="0" w:space="0" w:color="auto"/>
            <w:right w:val="none" w:sz="0" w:space="0" w:color="auto"/>
          </w:divBdr>
        </w:div>
        <w:div w:id="328026527">
          <w:marLeft w:val="0"/>
          <w:marRight w:val="0"/>
          <w:marTop w:val="120"/>
          <w:marBottom w:val="120"/>
          <w:divBdr>
            <w:top w:val="none" w:sz="0" w:space="0" w:color="auto"/>
            <w:left w:val="none" w:sz="0" w:space="0" w:color="auto"/>
            <w:bottom w:val="none" w:sz="0" w:space="0" w:color="auto"/>
            <w:right w:val="none" w:sz="0" w:space="0" w:color="auto"/>
          </w:divBdr>
        </w:div>
        <w:div w:id="56054132">
          <w:marLeft w:val="0"/>
          <w:marRight w:val="0"/>
          <w:marTop w:val="120"/>
          <w:marBottom w:val="120"/>
          <w:divBdr>
            <w:top w:val="none" w:sz="0" w:space="0" w:color="auto"/>
            <w:left w:val="none" w:sz="0" w:space="0" w:color="auto"/>
            <w:bottom w:val="none" w:sz="0" w:space="0" w:color="auto"/>
            <w:right w:val="none" w:sz="0" w:space="0" w:color="auto"/>
          </w:divBdr>
        </w:div>
        <w:div w:id="1894660316">
          <w:marLeft w:val="0"/>
          <w:marRight w:val="0"/>
          <w:marTop w:val="120"/>
          <w:marBottom w:val="120"/>
          <w:divBdr>
            <w:top w:val="none" w:sz="0" w:space="0" w:color="auto"/>
            <w:left w:val="none" w:sz="0" w:space="0" w:color="auto"/>
            <w:bottom w:val="none" w:sz="0" w:space="0" w:color="auto"/>
            <w:right w:val="none" w:sz="0" w:space="0" w:color="auto"/>
          </w:divBdr>
        </w:div>
        <w:div w:id="2030135825">
          <w:marLeft w:val="0"/>
          <w:marRight w:val="0"/>
          <w:marTop w:val="120"/>
          <w:marBottom w:val="120"/>
          <w:divBdr>
            <w:top w:val="none" w:sz="0" w:space="0" w:color="auto"/>
            <w:left w:val="none" w:sz="0" w:space="0" w:color="auto"/>
            <w:bottom w:val="none" w:sz="0" w:space="0" w:color="auto"/>
            <w:right w:val="none" w:sz="0" w:space="0" w:color="auto"/>
          </w:divBdr>
        </w:div>
        <w:div w:id="861433021">
          <w:marLeft w:val="0"/>
          <w:marRight w:val="0"/>
          <w:marTop w:val="120"/>
          <w:marBottom w:val="120"/>
          <w:divBdr>
            <w:top w:val="none" w:sz="0" w:space="0" w:color="auto"/>
            <w:left w:val="none" w:sz="0" w:space="0" w:color="auto"/>
            <w:bottom w:val="none" w:sz="0" w:space="0" w:color="auto"/>
            <w:right w:val="none" w:sz="0" w:space="0" w:color="auto"/>
          </w:divBdr>
        </w:div>
        <w:div w:id="1074858669">
          <w:marLeft w:val="0"/>
          <w:marRight w:val="0"/>
          <w:marTop w:val="120"/>
          <w:marBottom w:val="120"/>
          <w:divBdr>
            <w:top w:val="none" w:sz="0" w:space="0" w:color="auto"/>
            <w:left w:val="none" w:sz="0" w:space="0" w:color="auto"/>
            <w:bottom w:val="none" w:sz="0" w:space="0" w:color="auto"/>
            <w:right w:val="none" w:sz="0" w:space="0" w:color="auto"/>
          </w:divBdr>
        </w:div>
        <w:div w:id="314921170">
          <w:marLeft w:val="0"/>
          <w:marRight w:val="0"/>
          <w:marTop w:val="120"/>
          <w:marBottom w:val="120"/>
          <w:divBdr>
            <w:top w:val="none" w:sz="0" w:space="0" w:color="auto"/>
            <w:left w:val="none" w:sz="0" w:space="0" w:color="auto"/>
            <w:bottom w:val="none" w:sz="0" w:space="0" w:color="auto"/>
            <w:right w:val="none" w:sz="0" w:space="0" w:color="auto"/>
          </w:divBdr>
        </w:div>
        <w:div w:id="520364204">
          <w:marLeft w:val="0"/>
          <w:marRight w:val="0"/>
          <w:marTop w:val="120"/>
          <w:marBottom w:val="120"/>
          <w:divBdr>
            <w:top w:val="none" w:sz="0" w:space="0" w:color="auto"/>
            <w:left w:val="none" w:sz="0" w:space="0" w:color="auto"/>
            <w:bottom w:val="none" w:sz="0" w:space="0" w:color="auto"/>
            <w:right w:val="none" w:sz="0" w:space="0" w:color="auto"/>
          </w:divBdr>
        </w:div>
        <w:div w:id="1891648695">
          <w:marLeft w:val="0"/>
          <w:marRight w:val="0"/>
          <w:marTop w:val="120"/>
          <w:marBottom w:val="120"/>
          <w:divBdr>
            <w:top w:val="none" w:sz="0" w:space="0" w:color="auto"/>
            <w:left w:val="none" w:sz="0" w:space="0" w:color="auto"/>
            <w:bottom w:val="none" w:sz="0" w:space="0" w:color="auto"/>
            <w:right w:val="none" w:sz="0" w:space="0" w:color="auto"/>
          </w:divBdr>
        </w:div>
        <w:div w:id="840505756">
          <w:marLeft w:val="0"/>
          <w:marRight w:val="0"/>
          <w:marTop w:val="120"/>
          <w:marBottom w:val="120"/>
          <w:divBdr>
            <w:top w:val="none" w:sz="0" w:space="0" w:color="auto"/>
            <w:left w:val="none" w:sz="0" w:space="0" w:color="auto"/>
            <w:bottom w:val="none" w:sz="0" w:space="0" w:color="auto"/>
            <w:right w:val="none" w:sz="0" w:space="0" w:color="auto"/>
          </w:divBdr>
        </w:div>
        <w:div w:id="2058160184">
          <w:marLeft w:val="0"/>
          <w:marRight w:val="0"/>
          <w:marTop w:val="120"/>
          <w:marBottom w:val="120"/>
          <w:divBdr>
            <w:top w:val="none" w:sz="0" w:space="0" w:color="auto"/>
            <w:left w:val="none" w:sz="0" w:space="0" w:color="auto"/>
            <w:bottom w:val="none" w:sz="0" w:space="0" w:color="auto"/>
            <w:right w:val="none" w:sz="0" w:space="0" w:color="auto"/>
          </w:divBdr>
        </w:div>
        <w:div w:id="1281912172">
          <w:marLeft w:val="0"/>
          <w:marRight w:val="0"/>
          <w:marTop w:val="120"/>
          <w:marBottom w:val="120"/>
          <w:divBdr>
            <w:top w:val="none" w:sz="0" w:space="0" w:color="auto"/>
            <w:left w:val="none" w:sz="0" w:space="0" w:color="auto"/>
            <w:bottom w:val="none" w:sz="0" w:space="0" w:color="auto"/>
            <w:right w:val="none" w:sz="0" w:space="0" w:color="auto"/>
          </w:divBdr>
        </w:div>
        <w:div w:id="1696731521">
          <w:marLeft w:val="0"/>
          <w:marRight w:val="0"/>
          <w:marTop w:val="120"/>
          <w:marBottom w:val="120"/>
          <w:divBdr>
            <w:top w:val="none" w:sz="0" w:space="0" w:color="auto"/>
            <w:left w:val="none" w:sz="0" w:space="0" w:color="auto"/>
            <w:bottom w:val="none" w:sz="0" w:space="0" w:color="auto"/>
            <w:right w:val="none" w:sz="0" w:space="0" w:color="auto"/>
          </w:divBdr>
        </w:div>
        <w:div w:id="445348255">
          <w:marLeft w:val="0"/>
          <w:marRight w:val="0"/>
          <w:marTop w:val="120"/>
          <w:marBottom w:val="120"/>
          <w:divBdr>
            <w:top w:val="none" w:sz="0" w:space="0" w:color="auto"/>
            <w:left w:val="none" w:sz="0" w:space="0" w:color="auto"/>
            <w:bottom w:val="none" w:sz="0" w:space="0" w:color="auto"/>
            <w:right w:val="none" w:sz="0" w:space="0" w:color="auto"/>
          </w:divBdr>
        </w:div>
        <w:div w:id="1728528142">
          <w:marLeft w:val="0"/>
          <w:marRight w:val="0"/>
          <w:marTop w:val="120"/>
          <w:marBottom w:val="120"/>
          <w:divBdr>
            <w:top w:val="none" w:sz="0" w:space="0" w:color="auto"/>
            <w:left w:val="none" w:sz="0" w:space="0" w:color="auto"/>
            <w:bottom w:val="none" w:sz="0" w:space="0" w:color="auto"/>
            <w:right w:val="none" w:sz="0" w:space="0" w:color="auto"/>
          </w:divBdr>
        </w:div>
        <w:div w:id="223412753">
          <w:marLeft w:val="0"/>
          <w:marRight w:val="0"/>
          <w:marTop w:val="120"/>
          <w:marBottom w:val="120"/>
          <w:divBdr>
            <w:top w:val="none" w:sz="0" w:space="0" w:color="auto"/>
            <w:left w:val="none" w:sz="0" w:space="0" w:color="auto"/>
            <w:bottom w:val="none" w:sz="0" w:space="0" w:color="auto"/>
            <w:right w:val="none" w:sz="0" w:space="0" w:color="auto"/>
          </w:divBdr>
        </w:div>
      </w:divsChild>
    </w:div>
    <w:div w:id="1385059599">
      <w:bodyDiv w:val="1"/>
      <w:marLeft w:val="0"/>
      <w:marRight w:val="0"/>
      <w:marTop w:val="0"/>
      <w:marBottom w:val="0"/>
      <w:divBdr>
        <w:top w:val="none" w:sz="0" w:space="0" w:color="auto"/>
        <w:left w:val="none" w:sz="0" w:space="0" w:color="auto"/>
        <w:bottom w:val="none" w:sz="0" w:space="0" w:color="auto"/>
        <w:right w:val="none" w:sz="0" w:space="0" w:color="auto"/>
      </w:divBdr>
    </w:div>
    <w:div w:id="1576278522">
      <w:bodyDiv w:val="1"/>
      <w:marLeft w:val="0"/>
      <w:marRight w:val="0"/>
      <w:marTop w:val="0"/>
      <w:marBottom w:val="0"/>
      <w:divBdr>
        <w:top w:val="none" w:sz="0" w:space="0" w:color="auto"/>
        <w:left w:val="none" w:sz="0" w:space="0" w:color="auto"/>
        <w:bottom w:val="none" w:sz="0" w:space="0" w:color="auto"/>
        <w:right w:val="none" w:sz="0" w:space="0" w:color="auto"/>
      </w:divBdr>
    </w:div>
    <w:div w:id="1800680309">
      <w:bodyDiv w:val="1"/>
      <w:marLeft w:val="0"/>
      <w:marRight w:val="0"/>
      <w:marTop w:val="0"/>
      <w:marBottom w:val="0"/>
      <w:divBdr>
        <w:top w:val="none" w:sz="0" w:space="0" w:color="auto"/>
        <w:left w:val="none" w:sz="0" w:space="0" w:color="auto"/>
        <w:bottom w:val="none" w:sz="0" w:space="0" w:color="auto"/>
        <w:right w:val="none" w:sz="0" w:space="0" w:color="auto"/>
      </w:divBdr>
    </w:div>
    <w:div w:id="1880506902">
      <w:bodyDiv w:val="1"/>
      <w:marLeft w:val="0"/>
      <w:marRight w:val="0"/>
      <w:marTop w:val="0"/>
      <w:marBottom w:val="0"/>
      <w:divBdr>
        <w:top w:val="none" w:sz="0" w:space="0" w:color="auto"/>
        <w:left w:val="none" w:sz="0" w:space="0" w:color="auto"/>
        <w:bottom w:val="none" w:sz="0" w:space="0" w:color="auto"/>
        <w:right w:val="none" w:sz="0" w:space="0" w:color="auto"/>
      </w:divBdr>
    </w:div>
    <w:div w:id="1936862146">
      <w:bodyDiv w:val="1"/>
      <w:marLeft w:val="0"/>
      <w:marRight w:val="0"/>
      <w:marTop w:val="0"/>
      <w:marBottom w:val="0"/>
      <w:divBdr>
        <w:top w:val="none" w:sz="0" w:space="0" w:color="auto"/>
        <w:left w:val="none" w:sz="0" w:space="0" w:color="auto"/>
        <w:bottom w:val="none" w:sz="0" w:space="0" w:color="auto"/>
        <w:right w:val="none" w:sz="0" w:space="0" w:color="auto"/>
      </w:divBdr>
    </w:div>
    <w:div w:id="1960531176">
      <w:bodyDiv w:val="1"/>
      <w:marLeft w:val="0"/>
      <w:marRight w:val="0"/>
      <w:marTop w:val="0"/>
      <w:marBottom w:val="0"/>
      <w:divBdr>
        <w:top w:val="none" w:sz="0" w:space="0" w:color="auto"/>
        <w:left w:val="none" w:sz="0" w:space="0" w:color="auto"/>
        <w:bottom w:val="none" w:sz="0" w:space="0" w:color="auto"/>
        <w:right w:val="none" w:sz="0" w:space="0" w:color="auto"/>
      </w:divBdr>
    </w:div>
    <w:div w:id="1988122073">
      <w:bodyDiv w:val="1"/>
      <w:marLeft w:val="0"/>
      <w:marRight w:val="0"/>
      <w:marTop w:val="0"/>
      <w:marBottom w:val="0"/>
      <w:divBdr>
        <w:top w:val="none" w:sz="0" w:space="0" w:color="auto"/>
        <w:left w:val="none" w:sz="0" w:space="0" w:color="auto"/>
        <w:bottom w:val="none" w:sz="0" w:space="0" w:color="auto"/>
        <w:right w:val="none" w:sz="0" w:space="0" w:color="auto"/>
      </w:divBdr>
    </w:div>
    <w:div w:id="2082748853">
      <w:bodyDiv w:val="1"/>
      <w:marLeft w:val="0"/>
      <w:marRight w:val="0"/>
      <w:marTop w:val="0"/>
      <w:marBottom w:val="0"/>
      <w:divBdr>
        <w:top w:val="none" w:sz="0" w:space="0" w:color="auto"/>
        <w:left w:val="none" w:sz="0" w:space="0" w:color="auto"/>
        <w:bottom w:val="none" w:sz="0" w:space="0" w:color="auto"/>
        <w:right w:val="none" w:sz="0" w:space="0" w:color="auto"/>
      </w:divBdr>
    </w:div>
    <w:div w:id="2100443892">
      <w:bodyDiv w:val="1"/>
      <w:marLeft w:val="0"/>
      <w:marRight w:val="0"/>
      <w:marTop w:val="0"/>
      <w:marBottom w:val="0"/>
      <w:divBdr>
        <w:top w:val="none" w:sz="0" w:space="0" w:color="auto"/>
        <w:left w:val="none" w:sz="0" w:space="0" w:color="auto"/>
        <w:bottom w:val="none" w:sz="0" w:space="0" w:color="auto"/>
        <w:right w:val="none" w:sz="0" w:space="0" w:color="auto"/>
      </w:divBdr>
    </w:div>
    <w:div w:id="214133564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4.png"/><Relationship Id="rId18" Type="http://schemas.openxmlformats.org/officeDocument/2006/relationships/image" Target="media/image9.png"/><Relationship Id="rId3" Type="http://schemas.openxmlformats.org/officeDocument/2006/relationships/styles" Target="styles.xml"/><Relationship Id="rId21" Type="http://schemas.openxmlformats.org/officeDocument/2006/relationships/image" Target="media/image12.png"/><Relationship Id="rId7" Type="http://schemas.openxmlformats.org/officeDocument/2006/relationships/endnotes" Target="endnotes.xml"/><Relationship Id="rId12" Type="http://schemas.openxmlformats.org/officeDocument/2006/relationships/image" Target="media/image3.png"/><Relationship Id="rId17" Type="http://schemas.openxmlformats.org/officeDocument/2006/relationships/image" Target="media/image8.png"/><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image" Target="media/image7.png"/><Relationship Id="rId20" Type="http://schemas.openxmlformats.org/officeDocument/2006/relationships/image" Target="media/image11.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png"/><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6.png"/><Relationship Id="rId23" Type="http://schemas.openxmlformats.org/officeDocument/2006/relationships/footer" Target="footer3.xml"/><Relationship Id="rId10" Type="http://schemas.openxmlformats.org/officeDocument/2006/relationships/footer" Target="footer2.xml"/><Relationship Id="rId19" Type="http://schemas.openxmlformats.org/officeDocument/2006/relationships/image" Target="media/image10.png"/><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image" Target="media/image5.png"/><Relationship Id="rId22" Type="http://schemas.openxmlformats.org/officeDocument/2006/relationships/image" Target="media/image1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2FAC3ED-7D5C-4168-96C9-A027A5F3D7F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29</Pages>
  <Words>7606</Words>
  <Characters>43360</Characters>
  <Application>Microsoft Office Word</Application>
  <DocSecurity>0</DocSecurity>
  <Lines>361</Lines>
  <Paragraphs>101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50865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2026-04-20T02:30:00Z</dcterms:created>
  <dcterms:modified xsi:type="dcterms:W3CDTF">2026-04-22T09:44:00Z</dcterms:modified>
</cp:coreProperties>
</file>